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20" w:after="120" w:line="360" w:lineRule="auto"/>
        <w:jc w:val="center"/>
        <w:rPr>
          <w:rFonts w:hint="eastAsia" w:ascii="仿宋" w:hAnsi="仿宋" w:eastAsia="仿宋"/>
          <w:b/>
          <w:bCs/>
          <w:sz w:val="44"/>
          <w:szCs w:val="44"/>
          <w:lang w:val="en-US" w:eastAsia="zh-CN"/>
        </w:rPr>
      </w:pPr>
      <w:bookmarkStart w:id="0" w:name="_Hlk84667823"/>
      <w:r>
        <w:rPr>
          <w:rFonts w:ascii="仿宋" w:hAnsi="仿宋" w:eastAsia="仿宋"/>
          <w:b/>
          <w:bCs/>
          <w:sz w:val="44"/>
          <w:szCs w:val="44"/>
        </w:rPr>
        <w:t>询价</w:t>
      </w:r>
      <w:r>
        <w:rPr>
          <w:rFonts w:hint="eastAsia" w:ascii="仿宋" w:hAnsi="仿宋" w:eastAsia="仿宋"/>
          <w:b/>
          <w:bCs/>
          <w:sz w:val="44"/>
          <w:szCs w:val="44"/>
          <w:lang w:val="en-US" w:eastAsia="zh-CN"/>
        </w:rPr>
        <w:t>文件</w:t>
      </w:r>
    </w:p>
    <w:p>
      <w:pPr>
        <w:adjustRightInd w:val="0"/>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为加强东莞滨海湾新区沙头垃圾填埋场综合整治项目的日常安全管理，本公司（东莞市新东湾环保投资有限公司）需安装一批安防监控系统，现将相关情况介绍如下：</w:t>
      </w:r>
    </w:p>
    <w:p>
      <w:pPr>
        <w:pStyle w:val="32"/>
        <w:snapToGrid w:val="0"/>
        <w:spacing w:line="300" w:lineRule="auto"/>
        <w:ind w:firstLine="562"/>
        <w:outlineLvl w:val="1"/>
        <w:rPr>
          <w:rFonts w:ascii="仿宋" w:hAnsi="仿宋" w:eastAsia="仿宋" w:cs="仿宋"/>
          <w:b/>
          <w:bCs/>
          <w:sz w:val="28"/>
          <w:szCs w:val="28"/>
        </w:rPr>
      </w:pPr>
      <w:r>
        <w:rPr>
          <w:rFonts w:hint="eastAsia" w:ascii="仿宋" w:hAnsi="仿宋" w:eastAsia="仿宋" w:cs="仿宋"/>
          <w:b/>
          <w:bCs/>
          <w:sz w:val="28"/>
          <w:szCs w:val="28"/>
        </w:rPr>
        <w:t>一、工程名称及内容</w:t>
      </w:r>
    </w:p>
    <w:p>
      <w:pPr>
        <w:adjustRightInd w:val="0"/>
        <w:snapToGrid w:val="0"/>
        <w:spacing w:line="30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项目名称：</w:t>
      </w:r>
      <w:r>
        <w:rPr>
          <w:rFonts w:hint="eastAsia" w:ascii="仿宋" w:hAnsi="仿宋" w:eastAsia="仿宋" w:cs="仿宋"/>
          <w:sz w:val="28"/>
          <w:szCs w:val="28"/>
          <w:lang w:eastAsia="zh-CN"/>
        </w:rPr>
        <w:t>东莞滨海湾新区沙头垃圾填埋场综合整治项目-安防监控系统安装工程项目（重新采购）</w:t>
      </w:r>
    </w:p>
    <w:p>
      <w:pPr>
        <w:pStyle w:val="32"/>
        <w:snapToGrid w:val="0"/>
        <w:spacing w:line="300" w:lineRule="auto"/>
        <w:ind w:firstLine="562"/>
        <w:outlineLvl w:val="1"/>
        <w:rPr>
          <w:rFonts w:ascii="仿宋" w:hAnsi="仿宋" w:eastAsia="仿宋" w:cs="仿宋"/>
          <w:b/>
          <w:bCs/>
          <w:sz w:val="28"/>
          <w:szCs w:val="28"/>
        </w:rPr>
      </w:pPr>
      <w:r>
        <w:rPr>
          <w:rFonts w:hint="eastAsia" w:ascii="仿宋" w:hAnsi="仿宋" w:eastAsia="仿宋" w:cs="仿宋"/>
          <w:b/>
          <w:bCs/>
          <w:sz w:val="28"/>
          <w:szCs w:val="28"/>
        </w:rPr>
        <w:t>二、工程概况</w:t>
      </w:r>
    </w:p>
    <w:p>
      <w:pPr>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为加强东莞滨海湾新区沙头垃圾填埋场综合整治项目的日常管理，保证项目现场的安全工作，</w:t>
      </w:r>
      <w:r>
        <w:rPr>
          <w:rFonts w:hint="eastAsia" w:ascii="仿宋" w:hAnsi="仿宋" w:eastAsia="仿宋" w:cs="仿宋"/>
          <w:sz w:val="28"/>
          <w:szCs w:val="28"/>
          <w:lang w:val="en-US" w:eastAsia="zh-CN"/>
        </w:rPr>
        <w:t>现需</w:t>
      </w:r>
      <w:r>
        <w:rPr>
          <w:rFonts w:hint="eastAsia" w:ascii="仿宋" w:hAnsi="仿宋" w:eastAsia="仿宋" w:cs="仿宋"/>
          <w:sz w:val="28"/>
          <w:szCs w:val="28"/>
        </w:rPr>
        <w:t>安装一批安防监控系统。</w:t>
      </w:r>
    </w:p>
    <w:p>
      <w:pPr>
        <w:adjustRightInd w:val="0"/>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项目地点：东莞滨海湾新区沙头垃圾填埋场综合整治项目。</w:t>
      </w:r>
    </w:p>
    <w:p>
      <w:pPr>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本项目采购信息在东莞实业投资控股集团有限公司网站发布（http://www.dgsy.com.cn/）、</w:t>
      </w:r>
      <w:bookmarkStart w:id="1" w:name="_Hlk73112413"/>
      <w:r>
        <w:rPr>
          <w:rFonts w:hint="eastAsia" w:ascii="仿宋" w:hAnsi="仿宋" w:eastAsia="仿宋" w:cs="仿宋"/>
          <w:color w:val="000000" w:themeColor="text1"/>
          <w:sz w:val="28"/>
          <w:szCs w:val="28"/>
          <w14:textFill>
            <w14:solidFill>
              <w14:schemeClr w14:val="tx1"/>
            </w14:solidFill>
          </w14:textFill>
        </w:rPr>
        <w:t>东莞市东实新能源有限公司网站（http://www.dshuanbao.com.cn/）发布</w:t>
      </w:r>
      <w:bookmarkEnd w:id="1"/>
      <w:r>
        <w:rPr>
          <w:rFonts w:hint="eastAsia" w:ascii="仿宋" w:hAnsi="仿宋" w:eastAsia="仿宋" w:cs="仿宋"/>
          <w:sz w:val="28"/>
          <w:szCs w:val="28"/>
        </w:rPr>
        <w:t>。</w:t>
      </w:r>
    </w:p>
    <w:p>
      <w:pPr>
        <w:pStyle w:val="32"/>
        <w:snapToGrid w:val="0"/>
        <w:spacing w:line="300" w:lineRule="auto"/>
        <w:ind w:firstLine="562"/>
        <w:outlineLvl w:val="1"/>
        <w:rPr>
          <w:rFonts w:ascii="仿宋" w:hAnsi="仿宋" w:eastAsia="仿宋" w:cs="仿宋"/>
          <w:b/>
          <w:bCs/>
          <w:sz w:val="28"/>
          <w:szCs w:val="28"/>
        </w:rPr>
      </w:pPr>
      <w:r>
        <w:rPr>
          <w:rFonts w:hint="eastAsia" w:ascii="仿宋" w:hAnsi="仿宋" w:eastAsia="仿宋" w:cs="仿宋"/>
          <w:b/>
          <w:bCs/>
          <w:sz w:val="28"/>
          <w:szCs w:val="28"/>
        </w:rPr>
        <w:t>三、报价人资格要求</w:t>
      </w:r>
    </w:p>
    <w:p>
      <w:pPr>
        <w:adjustRightInd w:val="0"/>
        <w:snapToGrid w:val="0"/>
        <w:spacing w:line="300" w:lineRule="auto"/>
        <w:ind w:firstLine="560" w:firstLineChars="200"/>
        <w:rPr>
          <w:rFonts w:ascii="仿宋" w:hAnsi="仿宋" w:eastAsia="仿宋"/>
          <w:sz w:val="28"/>
          <w:szCs w:val="28"/>
        </w:rPr>
      </w:pPr>
      <w:r>
        <w:rPr>
          <w:rFonts w:hint="eastAsia" w:ascii="仿宋" w:hAnsi="仿宋" w:eastAsia="仿宋" w:cs="仿宋"/>
          <w:sz w:val="28"/>
          <w:szCs w:val="28"/>
        </w:rPr>
        <w:t>1、</w:t>
      </w:r>
      <w:r>
        <w:rPr>
          <w:rFonts w:hint="eastAsia" w:ascii="仿宋" w:hAnsi="仿宋" w:eastAsia="仿宋"/>
          <w:sz w:val="28"/>
          <w:szCs w:val="28"/>
        </w:rPr>
        <w:t>报价人必须是具有独立承担民事责任能力的企业或事业单位法人或其它组织【提供《营业执照》复印件（加盖公章）或《事业单位法人证书》复印件（加盖公章）或其他主体证书复印件（加盖公章）】。</w:t>
      </w:r>
    </w:p>
    <w:p>
      <w:pPr>
        <w:adjustRightInd w:val="0"/>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、报价人必须具有监控设备安装经验【提供2019年1月1日（以合同签订时间为准）至今</w:t>
      </w:r>
      <w:r>
        <w:rPr>
          <w:rFonts w:hint="eastAsia" w:ascii="仿宋" w:hAnsi="仿宋" w:eastAsia="仿宋" w:cs="仿宋"/>
          <w:sz w:val="28"/>
          <w:szCs w:val="28"/>
          <w:lang w:val="en-US" w:eastAsia="zh-CN"/>
        </w:rPr>
        <w:t>1</w:t>
      </w:r>
      <w:r>
        <w:rPr>
          <w:rFonts w:hint="eastAsia" w:ascii="仿宋" w:hAnsi="仿宋" w:eastAsia="仿宋" w:cs="仿宋"/>
          <w:sz w:val="28"/>
          <w:szCs w:val="28"/>
        </w:rPr>
        <w:t>个或以上业绩合同主要页复印件（包含但不限于合同首页、合同金额页、合同签字页等）及该合同期内任意一期已开具的发票复印件加盖公章】。</w:t>
      </w:r>
    </w:p>
    <w:p>
      <w:pPr>
        <w:adjustRightInd w:val="0"/>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spacing w:val="4"/>
          <w:sz w:val="28"/>
          <w:szCs w:val="28"/>
        </w:rPr>
        <w:t>信誉要求：报价人未被列入“信用中国”网站(www、creditchina、gov、cn)“记录失信被执行人或重大税收违法案当事人名单或政府采购严重违法失信行为”记录名单（以采购人于报价截止日当天在“信用中国”网站（www、creditchina、gov、cn）查询结果为准，如相关失信记录已失效，报价人需提供相关证明资料。</w:t>
      </w:r>
    </w:p>
    <w:p>
      <w:pPr>
        <w:adjustRightInd w:val="0"/>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、本项目不接受联合体报价。报价人单位负责人为同一人或者存在直接控股、管理关系的不同供应商，不得同时参加本采购项目报价。</w:t>
      </w:r>
    </w:p>
    <w:p>
      <w:pPr>
        <w:pStyle w:val="32"/>
        <w:snapToGrid w:val="0"/>
        <w:spacing w:line="300" w:lineRule="auto"/>
        <w:ind w:firstLine="562"/>
        <w:outlineLvl w:val="1"/>
        <w:rPr>
          <w:rFonts w:ascii="仿宋" w:hAnsi="仿宋" w:eastAsia="仿宋" w:cs="仿宋"/>
          <w:b/>
          <w:bCs/>
          <w:sz w:val="28"/>
          <w:szCs w:val="28"/>
        </w:rPr>
      </w:pPr>
      <w:r>
        <w:rPr>
          <w:rFonts w:hint="eastAsia" w:ascii="仿宋" w:hAnsi="仿宋" w:eastAsia="仿宋" w:cs="仿宋"/>
          <w:b/>
          <w:bCs/>
          <w:sz w:val="28"/>
          <w:szCs w:val="28"/>
        </w:rPr>
        <w:t>四、工程内容及要求</w:t>
      </w:r>
    </w:p>
    <w:p>
      <w:pPr>
        <w:snapToGrid w:val="0"/>
        <w:spacing w:line="300" w:lineRule="auto"/>
        <w:ind w:firstLine="560" w:firstLineChars="200"/>
        <w:outlineLvl w:val="3"/>
        <w:rPr>
          <w:rFonts w:ascii="仿宋" w:hAnsi="仿宋" w:eastAsia="仿宋" w:cs="仿宋"/>
          <w:sz w:val="28"/>
          <w:szCs w:val="28"/>
        </w:rPr>
      </w:pPr>
      <w:r>
        <w:rPr>
          <w:rFonts w:hint="eastAsia" w:ascii="仿宋" w:hAnsi="仿宋" w:eastAsia="仿宋" w:cs="仿宋"/>
          <w:sz w:val="28"/>
          <w:szCs w:val="28"/>
        </w:rPr>
        <w:t>（一）工程范围</w:t>
      </w:r>
    </w:p>
    <w:p>
      <w:pPr>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在东莞滨海湾新区沙头垃圾填埋场综合整治项目周边、出入口、生活区、生产车间设置30个400万像素高清监控系统，监控中心设置在中控室，门卫室设第二监控室，要求录像时间不少于30天。其中在离该填埋场大约750米左右的民用建筑顶楼安装一台400万像素低照度53倍激光球机监看整个场地运行情况。主干采用光纤敷设，由于周边没有高建筑物，对场地监控需做好防雷措施。</w:t>
      </w:r>
    </w:p>
    <w:p>
      <w:pPr>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在进入填埋场生产作业区设置一套人脸识别门禁系统，场内人员可通过人脸识别或刷卡方式进出，来访人员需通过场区管理人员授权进入。</w:t>
      </w:r>
    </w:p>
    <w:p>
      <w:pPr>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（二）工程量清单</w:t>
      </w:r>
    </w:p>
    <w:tbl>
      <w:tblPr>
        <w:tblStyle w:val="16"/>
        <w:tblW w:w="8677" w:type="dxa"/>
        <w:jc w:val="center"/>
        <w:tblLayout w:type="fixed"/>
        <w:tblCellMar>
          <w:top w:w="0" w:type="dxa"/>
          <w:left w:w="108" w:type="dxa"/>
          <w:bottom w:w="0" w:type="dxa"/>
          <w:right w:w="108" w:type="dxa"/>
        </w:tblCellMar>
      </w:tblPr>
      <w:tblGrid>
        <w:gridCol w:w="765"/>
        <w:gridCol w:w="1432"/>
        <w:gridCol w:w="5146"/>
        <w:gridCol w:w="665"/>
        <w:gridCol w:w="669"/>
      </w:tblGrid>
      <w:tr>
        <w:tblPrEx>
          <w:tblCellMar>
            <w:top w:w="0" w:type="dxa"/>
            <w:left w:w="108" w:type="dxa"/>
            <w:bottom w:w="0" w:type="dxa"/>
            <w:right w:w="108" w:type="dxa"/>
          </w:tblCellMar>
        </w:tblPrEx>
        <w:trPr>
          <w:cantSplit/>
          <w:trHeight w:val="412" w:hRule="atLeast"/>
          <w:tblHeader/>
          <w:jc w:val="center"/>
        </w:trPr>
        <w:tc>
          <w:tcPr>
            <w:tcW w:w="765" w:type="dxa"/>
            <w:tcBorders>
              <w:top w:val="single" w:color="auto" w:sz="4" w:space="0"/>
              <w:left w:val="single" w:color="auto" w:sz="4" w:space="0"/>
              <w:bottom w:val="nil"/>
              <w:right w:val="single" w:color="auto" w:sz="4" w:space="0"/>
            </w:tcBorders>
            <w:shd w:val="clear" w:color="auto" w:fill="BFBFBF"/>
            <w:vAlign w:val="center"/>
          </w:tcPr>
          <w:p>
            <w:pPr>
              <w:snapToGrid w:val="0"/>
              <w:jc w:val="center"/>
              <w:rPr>
                <w:rFonts w:ascii="仿宋" w:hAnsi="仿宋" w:eastAsia="仿宋" w:cs="仿宋"/>
                <w:b/>
                <w:bCs/>
              </w:rPr>
            </w:pPr>
            <w:r>
              <w:rPr>
                <w:rFonts w:hint="eastAsia" w:ascii="仿宋" w:hAnsi="仿宋" w:eastAsia="仿宋" w:cs="仿宋"/>
                <w:b/>
                <w:bCs/>
              </w:rPr>
              <w:t>序号</w:t>
            </w:r>
          </w:p>
        </w:tc>
        <w:tc>
          <w:tcPr>
            <w:tcW w:w="1432" w:type="dxa"/>
            <w:tcBorders>
              <w:top w:val="single" w:color="auto" w:sz="4" w:space="0"/>
              <w:left w:val="nil"/>
              <w:bottom w:val="nil"/>
              <w:right w:val="single" w:color="auto" w:sz="4" w:space="0"/>
            </w:tcBorders>
            <w:shd w:val="clear" w:color="auto" w:fill="BFBFBF"/>
            <w:vAlign w:val="center"/>
          </w:tcPr>
          <w:p>
            <w:pPr>
              <w:snapToGrid w:val="0"/>
              <w:jc w:val="center"/>
              <w:rPr>
                <w:rFonts w:ascii="仿宋" w:hAnsi="仿宋" w:eastAsia="仿宋" w:cs="仿宋"/>
                <w:b/>
                <w:bCs/>
              </w:rPr>
            </w:pPr>
            <w:r>
              <w:rPr>
                <w:rFonts w:hint="eastAsia" w:ascii="仿宋" w:hAnsi="仿宋" w:eastAsia="仿宋" w:cs="仿宋"/>
                <w:b/>
                <w:bCs/>
              </w:rPr>
              <w:t>设备名称</w:t>
            </w:r>
          </w:p>
        </w:tc>
        <w:tc>
          <w:tcPr>
            <w:tcW w:w="5146" w:type="dxa"/>
            <w:tcBorders>
              <w:top w:val="single" w:color="auto" w:sz="4" w:space="0"/>
              <w:left w:val="nil"/>
              <w:bottom w:val="nil"/>
              <w:right w:val="single" w:color="auto" w:sz="4" w:space="0"/>
            </w:tcBorders>
            <w:shd w:val="clear" w:color="auto" w:fill="BFBFBF"/>
            <w:vAlign w:val="center"/>
          </w:tcPr>
          <w:p>
            <w:pPr>
              <w:snapToGrid w:val="0"/>
              <w:jc w:val="center"/>
              <w:rPr>
                <w:rFonts w:ascii="仿宋" w:hAnsi="仿宋" w:eastAsia="仿宋" w:cs="仿宋"/>
                <w:b/>
                <w:bCs/>
              </w:rPr>
            </w:pPr>
            <w:r>
              <w:rPr>
                <w:rFonts w:hint="eastAsia" w:ascii="仿宋" w:hAnsi="仿宋" w:eastAsia="仿宋" w:cs="仿宋"/>
                <w:b/>
                <w:bCs/>
              </w:rPr>
              <w:t>详细描述</w:t>
            </w:r>
          </w:p>
        </w:tc>
        <w:tc>
          <w:tcPr>
            <w:tcW w:w="665" w:type="dxa"/>
            <w:tcBorders>
              <w:top w:val="single" w:color="auto" w:sz="4" w:space="0"/>
              <w:left w:val="nil"/>
              <w:bottom w:val="nil"/>
              <w:right w:val="single" w:color="auto" w:sz="4" w:space="0"/>
            </w:tcBorders>
            <w:shd w:val="clear" w:color="auto" w:fill="BFBFBF"/>
            <w:vAlign w:val="center"/>
          </w:tcPr>
          <w:p>
            <w:pPr>
              <w:snapToGrid w:val="0"/>
              <w:jc w:val="center"/>
              <w:rPr>
                <w:rFonts w:ascii="仿宋" w:hAnsi="仿宋" w:eastAsia="仿宋" w:cs="仿宋"/>
                <w:b/>
                <w:bCs/>
              </w:rPr>
            </w:pPr>
            <w:r>
              <w:rPr>
                <w:rFonts w:hint="eastAsia" w:ascii="仿宋" w:hAnsi="仿宋" w:eastAsia="仿宋" w:cs="仿宋"/>
                <w:b/>
                <w:bCs/>
              </w:rPr>
              <w:t>数量</w:t>
            </w:r>
          </w:p>
        </w:tc>
        <w:tc>
          <w:tcPr>
            <w:tcW w:w="669" w:type="dxa"/>
            <w:tcBorders>
              <w:top w:val="single" w:color="auto" w:sz="4" w:space="0"/>
              <w:left w:val="nil"/>
              <w:bottom w:val="nil"/>
              <w:right w:val="single" w:color="auto" w:sz="4" w:space="0"/>
            </w:tcBorders>
            <w:shd w:val="clear" w:color="auto" w:fill="BFBFBF"/>
            <w:vAlign w:val="center"/>
          </w:tcPr>
          <w:p>
            <w:pPr>
              <w:snapToGrid w:val="0"/>
              <w:jc w:val="center"/>
              <w:rPr>
                <w:rFonts w:ascii="仿宋" w:hAnsi="仿宋" w:eastAsia="仿宋" w:cs="仿宋"/>
                <w:b/>
                <w:bCs/>
              </w:rPr>
            </w:pPr>
            <w:r>
              <w:rPr>
                <w:rFonts w:hint="eastAsia" w:ascii="仿宋" w:hAnsi="仿宋" w:eastAsia="仿宋" w:cs="仿宋"/>
                <w:b/>
                <w:bCs/>
              </w:rPr>
              <w:t>单位</w:t>
            </w:r>
          </w:p>
        </w:tc>
      </w:tr>
      <w:tr>
        <w:tblPrEx>
          <w:tblCellMar>
            <w:top w:w="0" w:type="dxa"/>
            <w:left w:w="108" w:type="dxa"/>
            <w:bottom w:w="0" w:type="dxa"/>
            <w:right w:w="108" w:type="dxa"/>
          </w:tblCellMar>
        </w:tblPrEx>
        <w:trPr>
          <w:trHeight w:val="405" w:hRule="atLeast"/>
          <w:jc w:val="center"/>
        </w:trPr>
        <w:tc>
          <w:tcPr>
            <w:tcW w:w="2197" w:type="dxa"/>
            <w:gridSpan w:val="2"/>
            <w:tcBorders>
              <w:top w:val="single" w:color="auto" w:sz="4" w:space="0"/>
              <w:left w:val="single" w:color="auto" w:sz="4" w:space="0"/>
              <w:bottom w:val="single" w:color="auto" w:sz="4" w:space="0"/>
              <w:right w:val="nil"/>
            </w:tcBorders>
            <w:noWrap/>
            <w:vAlign w:val="center"/>
          </w:tcPr>
          <w:p>
            <w:pPr>
              <w:snapToGrid w:val="0"/>
              <w:rPr>
                <w:rFonts w:ascii="仿宋" w:hAnsi="仿宋" w:eastAsia="仿宋" w:cs="仿宋"/>
              </w:rPr>
            </w:pPr>
            <w:r>
              <w:rPr>
                <w:rFonts w:hint="eastAsia" w:ascii="仿宋" w:hAnsi="仿宋" w:eastAsia="仿宋" w:cs="仿宋"/>
              </w:rPr>
              <w:t>1、视频监控系统</w:t>
            </w:r>
          </w:p>
        </w:tc>
        <w:tc>
          <w:tcPr>
            <w:tcW w:w="5146" w:type="dxa"/>
            <w:tcBorders>
              <w:top w:val="single" w:color="auto" w:sz="4" w:space="0"/>
              <w:left w:val="nil"/>
              <w:bottom w:val="single" w:color="auto" w:sz="4" w:space="0"/>
              <w:right w:val="nil"/>
            </w:tcBorders>
            <w:vAlign w:val="center"/>
          </w:tcPr>
          <w:p>
            <w:pPr>
              <w:snapToGrid w:val="0"/>
              <w:rPr>
                <w:rFonts w:ascii="仿宋" w:hAnsi="仿宋" w:eastAsia="仿宋" w:cs="仿宋"/>
              </w:rPr>
            </w:pPr>
          </w:p>
        </w:tc>
        <w:tc>
          <w:tcPr>
            <w:tcW w:w="665" w:type="dxa"/>
            <w:tcBorders>
              <w:top w:val="single" w:color="auto" w:sz="4" w:space="0"/>
              <w:left w:val="nil"/>
              <w:bottom w:val="single" w:color="auto" w:sz="4" w:space="0"/>
              <w:right w:val="nil"/>
            </w:tcBorders>
            <w:vAlign w:val="center"/>
          </w:tcPr>
          <w:p>
            <w:pPr>
              <w:snapToGrid w:val="0"/>
              <w:rPr>
                <w:rFonts w:ascii="仿宋" w:hAnsi="仿宋" w:eastAsia="仿宋" w:cs="仿宋"/>
              </w:rPr>
            </w:pPr>
          </w:p>
        </w:tc>
        <w:tc>
          <w:tcPr>
            <w:tcW w:w="669" w:type="dxa"/>
            <w:tcBorders>
              <w:top w:val="single" w:color="auto" w:sz="4" w:space="0"/>
              <w:left w:val="nil"/>
              <w:bottom w:val="single" w:color="auto" w:sz="4" w:space="0"/>
              <w:right w:val="single" w:color="auto" w:sz="4" w:space="0"/>
            </w:tcBorders>
            <w:vAlign w:val="center"/>
          </w:tcPr>
          <w:p>
            <w:pPr>
              <w:snapToGrid w:val="0"/>
              <w:rPr>
                <w:rFonts w:ascii="仿宋" w:hAnsi="仿宋" w:eastAsia="仿宋" w:cs="仿宋"/>
              </w:rPr>
            </w:pPr>
          </w:p>
        </w:tc>
      </w:tr>
      <w:tr>
        <w:tblPrEx>
          <w:tblCellMar>
            <w:top w:w="0" w:type="dxa"/>
            <w:left w:w="108" w:type="dxa"/>
            <w:bottom w:w="0" w:type="dxa"/>
            <w:right w:w="108" w:type="dxa"/>
          </w:tblCellMar>
        </w:tblPrEx>
        <w:trPr>
          <w:trHeight w:val="3842" w:hRule="atLeast"/>
          <w:jc w:val="center"/>
        </w:trPr>
        <w:tc>
          <w:tcPr>
            <w:tcW w:w="765" w:type="dxa"/>
            <w:tcBorders>
              <w:top w:val="nil"/>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w:t>
            </w:r>
          </w:p>
        </w:tc>
        <w:tc>
          <w:tcPr>
            <w:tcW w:w="1432"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400万全彩筒型摄像机</w:t>
            </w:r>
          </w:p>
        </w:tc>
        <w:tc>
          <w:tcPr>
            <w:tcW w:w="5146"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400万 1/3" CMOS ICR红外阵列筒型网络摄像机</w:t>
            </w:r>
            <w:r>
              <w:rPr>
                <w:rFonts w:hint="eastAsia" w:ascii="仿宋" w:hAnsi="仿宋" w:eastAsia="仿宋" w:cs="仿宋"/>
              </w:rPr>
              <w:br w:type="textWrapping"/>
            </w:r>
            <w:r>
              <w:rPr>
                <w:rFonts w:hint="eastAsia" w:ascii="仿宋" w:hAnsi="仿宋" w:eastAsia="仿宋" w:cs="仿宋"/>
              </w:rPr>
              <w:t>最低照度：彩色：0.005 Lux＠（F1.2, AGC ON），0 Lux with IR</w:t>
            </w:r>
            <w:r>
              <w:rPr>
                <w:rFonts w:hint="eastAsia" w:ascii="仿宋" w:hAnsi="仿宋" w:eastAsia="仿宋" w:cs="仿宋"/>
              </w:rPr>
              <w:br w:type="textWrapping"/>
            </w:r>
            <w:r>
              <w:rPr>
                <w:rFonts w:hint="eastAsia" w:ascii="仿宋" w:hAnsi="仿宋" w:eastAsia="仿宋" w:cs="仿宋"/>
              </w:rPr>
              <w:t>宽动态：数字宽动态，防补光过曝：支持</w:t>
            </w:r>
            <w:r>
              <w:rPr>
                <w:rFonts w:hint="eastAsia" w:ascii="仿宋" w:hAnsi="仿宋" w:eastAsia="仿宋" w:cs="仿宋"/>
              </w:rPr>
              <w:br w:type="textWrapping"/>
            </w:r>
            <w:r>
              <w:rPr>
                <w:rFonts w:hint="eastAsia" w:ascii="仿宋" w:hAnsi="仿宋" w:eastAsia="仿宋" w:cs="仿宋"/>
              </w:rPr>
              <w:t>补光灯类型：红外灯，补光距离：最远可达50 m</w:t>
            </w:r>
            <w:r>
              <w:rPr>
                <w:rFonts w:hint="eastAsia" w:ascii="仿宋" w:hAnsi="仿宋" w:eastAsia="仿宋" w:cs="仿宋"/>
              </w:rPr>
              <w:br w:type="textWrapping"/>
            </w:r>
            <w:r>
              <w:rPr>
                <w:rFonts w:hint="eastAsia" w:ascii="仿宋" w:hAnsi="仿宋" w:eastAsia="仿宋" w:cs="仿宋"/>
              </w:rPr>
              <w:t>最大图像尺寸：2560 X 1440</w:t>
            </w:r>
            <w:r>
              <w:rPr>
                <w:rFonts w:hint="eastAsia" w:ascii="仿宋" w:hAnsi="仿宋" w:eastAsia="仿宋" w:cs="仿宋"/>
              </w:rPr>
              <w:br w:type="textWrapping"/>
            </w:r>
            <w:r>
              <w:rPr>
                <w:rFonts w:hint="eastAsia" w:ascii="仿宋" w:hAnsi="仿宋" w:eastAsia="仿宋" w:cs="仿宋"/>
              </w:rPr>
              <w:t>视频压缩标准：主码流：H.265/H.264</w:t>
            </w:r>
            <w:r>
              <w:rPr>
                <w:rFonts w:hint="eastAsia" w:ascii="仿宋" w:hAnsi="仿宋" w:eastAsia="仿宋" w:cs="仿宋"/>
              </w:rPr>
              <w:br w:type="textWrapping"/>
            </w:r>
            <w:r>
              <w:rPr>
                <w:rFonts w:hint="eastAsia" w:ascii="仿宋" w:hAnsi="仿宋" w:eastAsia="仿宋" w:cs="仿宋"/>
              </w:rPr>
              <w:t xml:space="preserve">音频：1个内置麦克风，PoE： 802. 3afjClass 3 </w:t>
            </w:r>
          </w:p>
        </w:tc>
        <w:tc>
          <w:tcPr>
            <w:tcW w:w="665"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28</w:t>
            </w:r>
          </w:p>
        </w:tc>
        <w:tc>
          <w:tcPr>
            <w:tcW w:w="669"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个</w:t>
            </w:r>
          </w:p>
        </w:tc>
      </w:tr>
      <w:tr>
        <w:tblPrEx>
          <w:tblCellMar>
            <w:top w:w="0" w:type="dxa"/>
            <w:left w:w="108" w:type="dxa"/>
            <w:bottom w:w="0" w:type="dxa"/>
            <w:right w:w="108" w:type="dxa"/>
          </w:tblCellMar>
        </w:tblPrEx>
        <w:trPr>
          <w:trHeight w:val="4634" w:hRule="atLeast"/>
          <w:jc w:val="center"/>
        </w:trPr>
        <w:tc>
          <w:tcPr>
            <w:tcW w:w="765" w:type="dxa"/>
            <w:tcBorders>
              <w:top w:val="nil"/>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（2）</w:t>
            </w:r>
          </w:p>
        </w:tc>
        <w:tc>
          <w:tcPr>
            <w:tcW w:w="1432"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400万全彩智能球机</w:t>
            </w:r>
          </w:p>
        </w:tc>
        <w:tc>
          <w:tcPr>
            <w:tcW w:w="5146"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支持深度学习算发，提供精准的人车分类侦测、报警、联动跟踪；</w:t>
            </w:r>
            <w:r>
              <w:rPr>
                <w:rFonts w:hint="eastAsia" w:ascii="仿宋" w:hAnsi="仿宋" w:eastAsia="仿宋" w:cs="仿宋"/>
              </w:rPr>
              <w:br w:type="textWrapping"/>
            </w:r>
            <w:r>
              <w:rPr>
                <w:rFonts w:hint="eastAsia" w:ascii="仿宋" w:hAnsi="仿宋" w:eastAsia="仿宋" w:cs="仿宋"/>
              </w:rPr>
              <w:t>支持越界侦测、进入区域侦测和离开区域侦测等智能侦测并联动跟踪；</w:t>
            </w:r>
            <w:r>
              <w:rPr>
                <w:rFonts w:hint="eastAsia" w:ascii="仿宋" w:hAnsi="仿宋" w:eastAsia="仿宋" w:cs="仿宋"/>
              </w:rPr>
              <w:br w:type="textWrapping"/>
            </w:r>
            <w:r>
              <w:rPr>
                <w:rFonts w:hint="eastAsia" w:ascii="仿宋" w:hAnsi="仿宋" w:eastAsia="仿宋" w:cs="仿宋"/>
              </w:rPr>
              <w:t>支持切换人脸抓拍模式，最大同时抓拍5张人脸；</w:t>
            </w:r>
            <w:r>
              <w:rPr>
                <w:rFonts w:hint="eastAsia" w:ascii="仿宋" w:hAnsi="仿宋" w:eastAsia="仿宋" w:cs="仿宋"/>
              </w:rPr>
              <w:br w:type="textWrapping"/>
            </w:r>
            <w:r>
              <w:rPr>
                <w:rFonts w:hint="eastAsia" w:ascii="仿宋" w:hAnsi="仿宋" w:eastAsia="仿宋" w:cs="仿宋"/>
              </w:rPr>
              <w:t>采用可见光补光30米，同时高效红外阵列，低功耗，照射距离最远可达150米；内置加热玻璃，有效除雾；</w:t>
            </w:r>
            <w:r>
              <w:rPr>
                <w:rFonts w:hint="eastAsia" w:ascii="仿宋" w:hAnsi="仿宋" w:eastAsia="仿宋" w:cs="仿宋"/>
              </w:rPr>
              <w:br w:type="textWrapping"/>
            </w:r>
            <w:r>
              <w:rPr>
                <w:rFonts w:hint="eastAsia" w:ascii="仿宋" w:hAnsi="仿宋" w:eastAsia="仿宋" w:cs="仿宋"/>
              </w:rPr>
              <w:t>支持最大2560*1440@30fps高清画面输出；</w:t>
            </w:r>
            <w:r>
              <w:rPr>
                <w:rFonts w:hint="eastAsia" w:ascii="仿宋" w:hAnsi="仿宋" w:eastAsia="仿宋" w:cs="仿宋"/>
              </w:rPr>
              <w:br w:type="textWrapping"/>
            </w:r>
            <w:r>
              <w:rPr>
                <w:rFonts w:hint="eastAsia" w:ascii="仿宋" w:hAnsi="仿宋" w:eastAsia="仿宋" w:cs="仿宋"/>
              </w:rPr>
              <w:t>支持超低照度0.005lux/F1.2(彩色），0.001lux/F1.2(黑白），0.lux with IR；支持23倍光学变焦，16倍数字变焦；</w:t>
            </w:r>
            <w:r>
              <w:rPr>
                <w:rFonts w:hint="eastAsia" w:ascii="仿宋" w:hAnsi="仿宋" w:eastAsia="仿宋" w:cs="仿宋"/>
              </w:rPr>
              <w:br w:type="textWrapping"/>
            </w:r>
            <w:r>
              <w:rPr>
                <w:rFonts w:hint="eastAsia" w:ascii="仿宋" w:hAnsi="仿宋" w:eastAsia="仿宋" w:cs="仿宋"/>
              </w:rPr>
              <w:t>支持定时抓图及事件抓图功能；支持定时任务、一键守望、一键巡航功能；</w:t>
            </w:r>
            <w:r>
              <w:rPr>
                <w:rFonts w:hint="eastAsia" w:ascii="仿宋" w:hAnsi="仿宋" w:eastAsia="仿宋" w:cs="仿宋"/>
              </w:rPr>
              <w:br w:type="textWrapping"/>
            </w:r>
            <w:r>
              <w:rPr>
                <w:rFonts w:hint="eastAsia" w:ascii="仿宋" w:hAnsi="仿宋" w:eastAsia="仿宋" w:cs="仿宋"/>
              </w:rPr>
              <w:t>支持海康SDK、ONVIF、ISAPI、GB/T28181、ISUP、萤石；</w:t>
            </w:r>
            <w:r>
              <w:rPr>
                <w:rFonts w:hint="eastAsia" w:ascii="仿宋" w:hAnsi="仿宋" w:eastAsia="仿宋" w:cs="仿宋"/>
              </w:rPr>
              <w:br w:type="textWrapping"/>
            </w:r>
            <w:r>
              <w:rPr>
                <w:rFonts w:hint="eastAsia" w:ascii="仿宋" w:hAnsi="仿宋" w:eastAsia="仿宋" w:cs="仿宋"/>
              </w:rPr>
              <w:t>支持一进一出音频，最大支持256G microSD卡存储；</w:t>
            </w:r>
            <w:r>
              <w:rPr>
                <w:rFonts w:hint="eastAsia" w:ascii="仿宋" w:hAnsi="仿宋" w:eastAsia="仿宋" w:cs="仿宋"/>
              </w:rPr>
              <w:br w:type="textWrapping"/>
            </w:r>
            <w:r>
              <w:rPr>
                <w:rFonts w:hint="eastAsia" w:ascii="仿宋" w:hAnsi="仿宋" w:eastAsia="仿宋" w:cs="仿宋"/>
              </w:rPr>
              <w:t xml:space="preserve">IP66 抗干扰能力强，适用于严酷的电磁环境， </w:t>
            </w:r>
          </w:p>
        </w:tc>
        <w:tc>
          <w:tcPr>
            <w:tcW w:w="665"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w:t>
            </w:r>
          </w:p>
        </w:tc>
        <w:tc>
          <w:tcPr>
            <w:tcW w:w="669"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个</w:t>
            </w:r>
          </w:p>
        </w:tc>
      </w:tr>
      <w:tr>
        <w:tblPrEx>
          <w:tblCellMar>
            <w:top w:w="0" w:type="dxa"/>
            <w:left w:w="108" w:type="dxa"/>
            <w:bottom w:w="0" w:type="dxa"/>
            <w:right w:w="108" w:type="dxa"/>
          </w:tblCellMar>
        </w:tblPrEx>
        <w:trPr>
          <w:trHeight w:val="5178" w:hRule="atLeast"/>
          <w:jc w:val="center"/>
        </w:trPr>
        <w:tc>
          <w:tcPr>
            <w:tcW w:w="765" w:type="dxa"/>
            <w:tcBorders>
              <w:top w:val="nil"/>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（3）</w:t>
            </w:r>
          </w:p>
        </w:tc>
        <w:tc>
          <w:tcPr>
            <w:tcW w:w="1432"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400万53倍激光智能球机</w:t>
            </w:r>
          </w:p>
        </w:tc>
        <w:tc>
          <w:tcPr>
            <w:tcW w:w="5146"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具备人脸、人体抓拍并关联输出功能，多场景轮巡抓拍、远距离卡口抓拍模式，支持人脸人体车辆同时抓拍，人脸人体关联输出，并实现对人脸、车辆结构化属性特征信息提取，支持防破坏预警功能</w:t>
            </w:r>
            <w:r>
              <w:rPr>
                <w:rFonts w:hint="eastAsia" w:ascii="仿宋" w:hAnsi="仿宋" w:eastAsia="仿宋" w:cs="仿宋"/>
              </w:rPr>
              <w:br w:type="textWrapping"/>
            </w:r>
            <w:r>
              <w:rPr>
                <w:rFonts w:hint="eastAsia" w:ascii="仿宋" w:hAnsi="仿宋" w:eastAsia="仿宋" w:cs="仿宋"/>
              </w:rPr>
              <w:t>传感器类型: 1/1.8＂ progressive scan CMOS</w:t>
            </w:r>
            <w:r>
              <w:rPr>
                <w:rFonts w:hint="eastAsia" w:ascii="仿宋" w:hAnsi="仿宋" w:eastAsia="仿宋" w:cs="仿宋"/>
              </w:rPr>
              <w:br w:type="textWrapping"/>
            </w:r>
            <w:r>
              <w:rPr>
                <w:rFonts w:hint="eastAsia" w:ascii="仿宋" w:hAnsi="仿宋" w:eastAsia="仿宋" w:cs="仿宋"/>
              </w:rPr>
              <w:t>低照度: 彩色：0.0005Lux @ (F1.5，AGC ON)；黑白：0.0001Lux @ (F1.5，AGC ON)；0 Lux with IR</w:t>
            </w:r>
            <w:r>
              <w:rPr>
                <w:rFonts w:hint="eastAsia" w:ascii="仿宋" w:hAnsi="仿宋" w:eastAsia="仿宋" w:cs="仿宋"/>
              </w:rPr>
              <w:br w:type="textWrapping"/>
            </w:r>
            <w:r>
              <w:rPr>
                <w:rFonts w:hint="eastAsia" w:ascii="仿宋" w:hAnsi="仿宋" w:eastAsia="仿宋" w:cs="仿宋"/>
              </w:rPr>
              <w:t>焦距: 7.1 -320mm，53倍光学变倍</w:t>
            </w:r>
            <w:r>
              <w:rPr>
                <w:rFonts w:hint="eastAsia" w:ascii="仿宋" w:hAnsi="仿宋" w:eastAsia="仿宋" w:cs="仿宋"/>
              </w:rPr>
              <w:br w:type="textWrapping"/>
            </w:r>
            <w:r>
              <w:rPr>
                <w:rFonts w:hint="eastAsia" w:ascii="仿宋" w:hAnsi="仿宋" w:eastAsia="仿宋" w:cs="仿宋"/>
              </w:rPr>
              <w:t>水平范围: 360°，垂直范围: -20°-90°(自动翻转)</w:t>
            </w:r>
            <w:r>
              <w:rPr>
                <w:rFonts w:hint="eastAsia" w:ascii="仿宋" w:hAnsi="仿宋" w:eastAsia="仿宋" w:cs="仿宋"/>
              </w:rPr>
              <w:br w:type="textWrapping"/>
            </w:r>
            <w:r>
              <w:rPr>
                <w:rFonts w:hint="eastAsia" w:ascii="仿宋" w:hAnsi="仿宋" w:eastAsia="仿宋" w:cs="仿宋"/>
              </w:rPr>
              <w:t>水平速度: 水平键控速度：0.1°-210°/s,速度可设;水平预置点速度：280°/s，垂直速度: 垂直键控速度：0.1°-150°/s,速度可设;垂直预置点速度：250°/s，主码流帧率分辨率: 50Hz:25fps(2560×1440)；60Hz:30fps(2560×1440)，报警输入: 7路报警输入，报警输出: 2路报警输出，具有RS485接口</w:t>
            </w:r>
            <w:r>
              <w:rPr>
                <w:rFonts w:hint="eastAsia" w:ascii="仿宋" w:hAnsi="仿宋" w:eastAsia="仿宋" w:cs="仿宋"/>
              </w:rPr>
              <w:br w:type="textWrapping"/>
            </w:r>
            <w:r>
              <w:rPr>
                <w:rFonts w:hint="eastAsia" w:ascii="仿宋" w:hAnsi="仿宋" w:eastAsia="仿宋" w:cs="仿宋"/>
              </w:rPr>
              <w:t>激光照射距离: 500m，供电方式: AC24V</w:t>
            </w:r>
            <w:r>
              <w:rPr>
                <w:rFonts w:hint="eastAsia" w:ascii="仿宋" w:hAnsi="仿宋" w:eastAsia="仿宋" w:cs="仿宋"/>
              </w:rPr>
              <w:br w:type="textWrapping"/>
            </w:r>
            <w:r>
              <w:rPr>
                <w:rFonts w:hint="eastAsia" w:ascii="仿宋" w:hAnsi="仿宋" w:eastAsia="仿宋" w:cs="仿宋"/>
              </w:rPr>
              <w:t>电流及功耗: 62W max（其中加热8Wmax，红外灯12W max）</w:t>
            </w:r>
            <w:r>
              <w:rPr>
                <w:rFonts w:hint="eastAsia" w:ascii="仿宋" w:hAnsi="仿宋" w:eastAsia="仿宋" w:cs="仿宋"/>
              </w:rPr>
              <w:br w:type="textWrapping"/>
            </w:r>
            <w:r>
              <w:rPr>
                <w:rFonts w:hint="eastAsia" w:ascii="仿宋" w:hAnsi="仿宋" w:eastAsia="仿宋" w:cs="仿宋"/>
              </w:rPr>
              <w:t>重量: 9.6Kg</w:t>
            </w:r>
          </w:p>
        </w:tc>
        <w:tc>
          <w:tcPr>
            <w:tcW w:w="665"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w:t>
            </w:r>
          </w:p>
        </w:tc>
        <w:tc>
          <w:tcPr>
            <w:tcW w:w="669"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项</w:t>
            </w:r>
          </w:p>
        </w:tc>
      </w:tr>
      <w:tr>
        <w:tblPrEx>
          <w:tblCellMar>
            <w:top w:w="0" w:type="dxa"/>
            <w:left w:w="108" w:type="dxa"/>
            <w:bottom w:w="0" w:type="dxa"/>
            <w:right w:w="108" w:type="dxa"/>
          </w:tblCellMar>
        </w:tblPrEx>
        <w:trPr>
          <w:trHeight w:val="1116" w:hRule="atLeast"/>
          <w:jc w:val="center"/>
        </w:trPr>
        <w:tc>
          <w:tcPr>
            <w:tcW w:w="765" w:type="dxa"/>
            <w:tcBorders>
              <w:top w:val="nil"/>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（4）</w:t>
            </w:r>
          </w:p>
        </w:tc>
        <w:tc>
          <w:tcPr>
            <w:tcW w:w="1432"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摄像机安装支架</w:t>
            </w:r>
          </w:p>
        </w:tc>
        <w:tc>
          <w:tcPr>
            <w:tcW w:w="5146"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室外铝合金壁装支架</w:t>
            </w:r>
          </w:p>
        </w:tc>
        <w:tc>
          <w:tcPr>
            <w:tcW w:w="665"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28</w:t>
            </w:r>
          </w:p>
        </w:tc>
        <w:tc>
          <w:tcPr>
            <w:tcW w:w="669"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个</w:t>
            </w:r>
          </w:p>
        </w:tc>
      </w:tr>
      <w:tr>
        <w:tblPrEx>
          <w:tblCellMar>
            <w:top w:w="0" w:type="dxa"/>
            <w:left w:w="108" w:type="dxa"/>
            <w:bottom w:w="0" w:type="dxa"/>
            <w:right w:w="108" w:type="dxa"/>
          </w:tblCellMar>
        </w:tblPrEx>
        <w:trPr>
          <w:trHeight w:val="1116" w:hRule="atLeast"/>
          <w:jc w:val="center"/>
        </w:trPr>
        <w:tc>
          <w:tcPr>
            <w:tcW w:w="765" w:type="dxa"/>
            <w:tcBorders>
              <w:top w:val="nil"/>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（5）</w:t>
            </w:r>
          </w:p>
        </w:tc>
        <w:tc>
          <w:tcPr>
            <w:tcW w:w="1432"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智能球机安装支架</w:t>
            </w:r>
          </w:p>
        </w:tc>
        <w:tc>
          <w:tcPr>
            <w:tcW w:w="5146" w:type="dxa"/>
            <w:tcBorders>
              <w:top w:val="nil"/>
              <w:left w:val="nil"/>
              <w:bottom w:val="single" w:color="auto" w:sz="4" w:space="0"/>
              <w:right w:val="single" w:color="auto" w:sz="4" w:space="0"/>
            </w:tcBorders>
            <w:vAlign w:val="center"/>
          </w:tcPr>
          <w:p>
            <w:pPr>
              <w:snapToGrid w:val="0"/>
              <w:rPr>
                <w:rFonts w:ascii="仿宋" w:hAnsi="仿宋" w:eastAsia="仿宋" w:cs="仿宋"/>
              </w:rPr>
            </w:pPr>
          </w:p>
        </w:tc>
        <w:tc>
          <w:tcPr>
            <w:tcW w:w="665"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2</w:t>
            </w:r>
          </w:p>
        </w:tc>
        <w:tc>
          <w:tcPr>
            <w:tcW w:w="669"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个</w:t>
            </w:r>
          </w:p>
        </w:tc>
      </w:tr>
      <w:tr>
        <w:tblPrEx>
          <w:tblCellMar>
            <w:top w:w="0" w:type="dxa"/>
            <w:left w:w="108" w:type="dxa"/>
            <w:bottom w:w="0" w:type="dxa"/>
            <w:right w:w="108" w:type="dxa"/>
          </w:tblCellMar>
        </w:tblPrEx>
        <w:trPr>
          <w:trHeight w:val="1116" w:hRule="atLeast"/>
          <w:jc w:val="center"/>
        </w:trPr>
        <w:tc>
          <w:tcPr>
            <w:tcW w:w="765" w:type="dxa"/>
            <w:tcBorders>
              <w:top w:val="nil"/>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（6）</w:t>
            </w:r>
          </w:p>
        </w:tc>
        <w:tc>
          <w:tcPr>
            <w:tcW w:w="1432"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监控立杆</w:t>
            </w:r>
          </w:p>
        </w:tc>
        <w:tc>
          <w:tcPr>
            <w:tcW w:w="5146"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3.5米立杆，下杆直径120mm，上杆直径80mm，表面烤漆，配防水箱、含基础笼，水泥浇筑</w:t>
            </w:r>
          </w:p>
        </w:tc>
        <w:tc>
          <w:tcPr>
            <w:tcW w:w="665"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14</w:t>
            </w:r>
          </w:p>
        </w:tc>
        <w:tc>
          <w:tcPr>
            <w:tcW w:w="669"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根</w:t>
            </w:r>
          </w:p>
        </w:tc>
      </w:tr>
      <w:tr>
        <w:tblPrEx>
          <w:tblCellMar>
            <w:top w:w="0" w:type="dxa"/>
            <w:left w:w="108" w:type="dxa"/>
            <w:bottom w:w="0" w:type="dxa"/>
            <w:right w:w="108" w:type="dxa"/>
          </w:tblCellMar>
        </w:tblPrEx>
        <w:trPr>
          <w:trHeight w:val="4634" w:hRule="atLeast"/>
          <w:jc w:val="center"/>
        </w:trPr>
        <w:tc>
          <w:tcPr>
            <w:tcW w:w="765" w:type="dxa"/>
            <w:tcBorders>
              <w:top w:val="nil"/>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（7）</w:t>
            </w:r>
          </w:p>
        </w:tc>
        <w:tc>
          <w:tcPr>
            <w:tcW w:w="1432"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32路16盘位</w:t>
            </w:r>
            <w:r>
              <w:rPr>
                <w:rFonts w:hint="eastAsia" w:ascii="仿宋" w:hAnsi="仿宋" w:eastAsia="仿宋" w:cs="仿宋"/>
              </w:rPr>
              <w:br w:type="textWrapping"/>
            </w:r>
            <w:r>
              <w:rPr>
                <w:rFonts w:hint="eastAsia" w:ascii="仿宋" w:hAnsi="仿宋" w:eastAsia="仿宋" w:cs="仿宋"/>
              </w:rPr>
              <w:t>NVR</w:t>
            </w:r>
          </w:p>
        </w:tc>
        <w:tc>
          <w:tcPr>
            <w:tcW w:w="5146"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硬件规格：</w:t>
            </w:r>
            <w:r>
              <w:rPr>
                <w:rFonts w:hint="eastAsia" w:ascii="仿宋" w:hAnsi="仿宋" w:eastAsia="仿宋" w:cs="仿宋"/>
              </w:rPr>
              <w:br w:type="textWrapping"/>
            </w:r>
            <w:r>
              <w:rPr>
                <w:rFonts w:hint="eastAsia" w:ascii="仿宋" w:hAnsi="仿宋" w:eastAsia="仿宋" w:cs="仿宋"/>
              </w:rPr>
              <w:t>3U标准机架式</w:t>
            </w:r>
            <w:r>
              <w:rPr>
                <w:rFonts w:hint="eastAsia" w:ascii="仿宋" w:hAnsi="仿宋" w:eastAsia="仿宋" w:cs="仿宋"/>
              </w:rPr>
              <w:br w:type="textWrapping"/>
            </w:r>
            <w:r>
              <w:rPr>
                <w:rFonts w:hint="eastAsia" w:ascii="仿宋" w:hAnsi="仿宋" w:eastAsia="仿宋" w:cs="仿宋"/>
              </w:rPr>
              <w:t>2 个 HDMI，2 个 VGA, HDMI+VGA 组内同源</w:t>
            </w:r>
            <w:r>
              <w:rPr>
                <w:rFonts w:hint="eastAsia" w:ascii="仿宋" w:hAnsi="仿宋" w:eastAsia="仿宋" w:cs="仿宋"/>
              </w:rPr>
              <w:br w:type="textWrapping"/>
            </w:r>
            <w:r>
              <w:rPr>
                <w:rFonts w:hint="eastAsia" w:ascii="仿宋" w:hAnsi="仿宋" w:eastAsia="仿宋" w:cs="仿宋"/>
              </w:rPr>
              <w:t>16盘位，可满配8T、10T硬盘</w:t>
            </w:r>
            <w:r>
              <w:rPr>
                <w:rFonts w:hint="eastAsia" w:ascii="仿宋" w:hAnsi="仿宋" w:eastAsia="仿宋" w:cs="仿宋"/>
              </w:rPr>
              <w:br w:type="textWrapping"/>
            </w:r>
            <w:r>
              <w:rPr>
                <w:rFonts w:hint="eastAsia" w:ascii="仿宋" w:hAnsi="仿宋" w:eastAsia="仿宋" w:cs="仿宋"/>
              </w:rPr>
              <w:t>2个千兆网口</w:t>
            </w:r>
            <w:r>
              <w:rPr>
                <w:rFonts w:hint="eastAsia" w:ascii="仿宋" w:hAnsi="仿宋" w:eastAsia="仿宋" w:cs="仿宋"/>
              </w:rPr>
              <w:br w:type="textWrapping"/>
            </w:r>
            <w:r>
              <w:rPr>
                <w:rFonts w:hint="eastAsia" w:ascii="仿宋" w:hAnsi="仿宋" w:eastAsia="仿宋" w:cs="仿宋"/>
              </w:rPr>
              <w:t>2 个 USB2.0接口、 1 个 USB3.0接口</w:t>
            </w:r>
            <w:r>
              <w:rPr>
                <w:rFonts w:hint="eastAsia" w:ascii="仿宋" w:hAnsi="仿宋" w:eastAsia="仿宋" w:cs="仿宋"/>
              </w:rPr>
              <w:br w:type="textWrapping"/>
            </w:r>
            <w:r>
              <w:rPr>
                <w:rFonts w:hint="eastAsia" w:ascii="仿宋" w:hAnsi="仿宋" w:eastAsia="仿宋" w:cs="仿宋"/>
              </w:rPr>
              <w:t>1个eSATA接口、16个SATA接口</w:t>
            </w:r>
            <w:r>
              <w:rPr>
                <w:rFonts w:hint="eastAsia" w:ascii="仿宋" w:hAnsi="仿宋" w:eastAsia="仿宋" w:cs="仿宋"/>
              </w:rPr>
              <w:br w:type="textWrapping"/>
            </w:r>
            <w:r>
              <w:rPr>
                <w:rFonts w:hint="eastAsia" w:ascii="仿宋" w:hAnsi="仿宋" w:eastAsia="仿宋" w:cs="仿宋"/>
              </w:rPr>
              <w:t>报警I0： 16进8出</w:t>
            </w:r>
            <w:r>
              <w:rPr>
                <w:rFonts w:hint="eastAsia" w:ascii="仿宋" w:hAnsi="仿宋" w:eastAsia="仿宋" w:cs="仿宋"/>
              </w:rPr>
              <w:br w:type="textWrapping"/>
            </w:r>
            <w:r>
              <w:rPr>
                <w:rFonts w:hint="eastAsia" w:ascii="仿宋" w:hAnsi="仿宋" w:eastAsia="仿宋" w:cs="仿宋"/>
              </w:rPr>
              <w:t>支持RAID0、1、5、10，支持全局热备盘</w:t>
            </w:r>
            <w:r>
              <w:rPr>
                <w:rFonts w:hint="eastAsia" w:ascii="仿宋" w:hAnsi="仿宋" w:eastAsia="仿宋" w:cs="仿宋"/>
              </w:rPr>
              <w:br w:type="textWrapping"/>
            </w:r>
            <w:r>
              <w:rPr>
                <w:rFonts w:hint="eastAsia" w:ascii="仿宋" w:hAnsi="仿宋" w:eastAsia="仿宋" w:cs="仿宋"/>
              </w:rPr>
              <w:t>软件性能：</w:t>
            </w:r>
            <w:r>
              <w:rPr>
                <w:rFonts w:hint="eastAsia" w:ascii="仿宋" w:hAnsi="仿宋" w:eastAsia="仿宋" w:cs="仿宋"/>
              </w:rPr>
              <w:br w:type="textWrapping"/>
            </w:r>
            <w:r>
              <w:rPr>
                <w:rFonts w:hint="eastAsia" w:ascii="仿宋" w:hAnsi="仿宋" w:eastAsia="仿宋" w:cs="仿宋"/>
              </w:rPr>
              <w:t>输入带宽：320M</w:t>
            </w:r>
            <w:r>
              <w:rPr>
                <w:rFonts w:hint="eastAsia" w:ascii="仿宋" w:hAnsi="仿宋" w:eastAsia="仿宋" w:cs="仿宋"/>
              </w:rPr>
              <w:br w:type="textWrapping"/>
            </w:r>
            <w:r>
              <w:rPr>
                <w:rFonts w:hint="eastAsia" w:ascii="仿宋" w:hAnsi="仿宋" w:eastAsia="仿宋" w:cs="仿宋"/>
              </w:rPr>
              <w:t>32路H. 264. H. 265混合接入</w:t>
            </w:r>
            <w:r>
              <w:rPr>
                <w:rFonts w:hint="eastAsia" w:ascii="仿宋" w:hAnsi="仿宋" w:eastAsia="仿宋" w:cs="仿宋"/>
              </w:rPr>
              <w:br w:type="textWrapping"/>
            </w:r>
            <w:r>
              <w:rPr>
                <w:rFonts w:hint="eastAsia" w:ascii="仿宋" w:hAnsi="仿宋" w:eastAsia="仿宋" w:cs="仿宋"/>
              </w:rPr>
              <w:t>最大支持16×108OP解码</w:t>
            </w:r>
            <w:r>
              <w:rPr>
                <w:rFonts w:hint="eastAsia" w:ascii="仿宋" w:hAnsi="仿宋" w:eastAsia="仿宋" w:cs="仿宋"/>
              </w:rPr>
              <w:br w:type="textWrapping"/>
            </w:r>
            <w:r>
              <w:rPr>
                <w:rFonts w:hint="eastAsia" w:ascii="仿宋" w:hAnsi="仿宋" w:eastAsia="仿宋" w:cs="仿宋"/>
              </w:rPr>
              <w:t>支持H. 265 、 H. 264解码</w:t>
            </w:r>
            <w:r>
              <w:rPr>
                <w:rFonts w:hint="eastAsia" w:ascii="仿宋" w:hAnsi="仿宋" w:eastAsia="仿宋" w:cs="仿宋"/>
              </w:rPr>
              <w:br w:type="textWrapping"/>
            </w:r>
            <w:r>
              <w:rPr>
                <w:rFonts w:hint="eastAsia" w:ascii="仿宋" w:hAnsi="仿宋" w:eastAsia="仿宋" w:cs="仿宋"/>
              </w:rPr>
              <w:t>Smart 2.0/整机热备/ANR/智能检索/智能回放/车牌检索/人脸检索/热度图/客 流量统计/分时段回放/超高倍速回放/双系统备份</w:t>
            </w:r>
          </w:p>
        </w:tc>
        <w:tc>
          <w:tcPr>
            <w:tcW w:w="665" w:type="dxa"/>
            <w:tcBorders>
              <w:top w:val="nil"/>
              <w:left w:val="nil"/>
              <w:bottom w:val="single" w:color="auto" w:sz="4" w:space="0"/>
              <w:right w:val="single" w:color="auto" w:sz="4" w:space="0"/>
            </w:tcBorders>
            <w:noWrap/>
            <w:vAlign w:val="center"/>
          </w:tcPr>
          <w:p>
            <w:pPr>
              <w:snapToGrid w:val="0"/>
              <w:rPr>
                <w:rFonts w:ascii="仿宋" w:hAnsi="仿宋" w:eastAsia="仿宋" w:cs="仿宋"/>
              </w:rPr>
            </w:pPr>
            <w:r>
              <w:rPr>
                <w:rFonts w:hint="eastAsia" w:ascii="仿宋" w:hAnsi="仿宋" w:eastAsia="仿宋" w:cs="仿宋"/>
              </w:rPr>
              <w:t>1</w:t>
            </w:r>
          </w:p>
        </w:tc>
        <w:tc>
          <w:tcPr>
            <w:tcW w:w="669" w:type="dxa"/>
            <w:tcBorders>
              <w:top w:val="nil"/>
              <w:left w:val="nil"/>
              <w:bottom w:val="single" w:color="auto" w:sz="4" w:space="0"/>
              <w:right w:val="single" w:color="auto" w:sz="4" w:space="0"/>
            </w:tcBorders>
            <w:noWrap/>
            <w:vAlign w:val="center"/>
          </w:tcPr>
          <w:p>
            <w:pPr>
              <w:snapToGrid w:val="0"/>
              <w:rPr>
                <w:rFonts w:ascii="仿宋" w:hAnsi="仿宋" w:eastAsia="仿宋" w:cs="仿宋"/>
              </w:rPr>
            </w:pPr>
            <w:r>
              <w:rPr>
                <w:rFonts w:hint="eastAsia" w:ascii="仿宋" w:hAnsi="仿宋" w:eastAsia="仿宋" w:cs="仿宋"/>
              </w:rPr>
              <w:t>台</w:t>
            </w:r>
          </w:p>
        </w:tc>
      </w:tr>
      <w:tr>
        <w:tblPrEx>
          <w:tblCellMar>
            <w:top w:w="0" w:type="dxa"/>
            <w:left w:w="108" w:type="dxa"/>
            <w:bottom w:w="0" w:type="dxa"/>
            <w:right w:w="108" w:type="dxa"/>
          </w:tblCellMar>
        </w:tblPrEx>
        <w:trPr>
          <w:trHeight w:val="561" w:hRule="atLeast"/>
          <w:jc w:val="center"/>
        </w:trPr>
        <w:tc>
          <w:tcPr>
            <w:tcW w:w="765" w:type="dxa"/>
            <w:tcBorders>
              <w:top w:val="nil"/>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（8）</w:t>
            </w:r>
          </w:p>
        </w:tc>
        <w:tc>
          <w:tcPr>
            <w:tcW w:w="1432"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监控专用级硬盘</w:t>
            </w:r>
          </w:p>
        </w:tc>
        <w:tc>
          <w:tcPr>
            <w:tcW w:w="5146"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3. 5 HDD, 8TB, 7200RPM, 256MB, SATA 6Gb/s</w:t>
            </w:r>
          </w:p>
        </w:tc>
        <w:tc>
          <w:tcPr>
            <w:tcW w:w="665"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14</w:t>
            </w:r>
          </w:p>
        </w:tc>
        <w:tc>
          <w:tcPr>
            <w:tcW w:w="669"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块</w:t>
            </w:r>
          </w:p>
        </w:tc>
      </w:tr>
      <w:tr>
        <w:tblPrEx>
          <w:tblCellMar>
            <w:top w:w="0" w:type="dxa"/>
            <w:left w:w="108" w:type="dxa"/>
            <w:bottom w:w="0" w:type="dxa"/>
            <w:right w:w="108" w:type="dxa"/>
          </w:tblCellMar>
        </w:tblPrEx>
        <w:trPr>
          <w:trHeight w:val="1914" w:hRule="atLeast"/>
          <w:jc w:val="center"/>
        </w:trPr>
        <w:tc>
          <w:tcPr>
            <w:tcW w:w="765" w:type="dxa"/>
            <w:tcBorders>
              <w:top w:val="nil"/>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（9）</w:t>
            </w:r>
          </w:p>
        </w:tc>
        <w:tc>
          <w:tcPr>
            <w:tcW w:w="1432"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32路2盘位</w:t>
            </w:r>
            <w:r>
              <w:rPr>
                <w:rFonts w:hint="eastAsia" w:ascii="仿宋" w:hAnsi="仿宋" w:eastAsia="仿宋" w:cs="仿宋"/>
              </w:rPr>
              <w:br w:type="textWrapping"/>
            </w:r>
            <w:r>
              <w:rPr>
                <w:rFonts w:hint="eastAsia" w:ascii="仿宋" w:hAnsi="仿宋" w:eastAsia="仿宋" w:cs="仿宋"/>
              </w:rPr>
              <w:t>NVR</w:t>
            </w:r>
          </w:p>
        </w:tc>
        <w:tc>
          <w:tcPr>
            <w:tcW w:w="5146"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2U标准机架式</w:t>
            </w:r>
            <w:r>
              <w:rPr>
                <w:rFonts w:hint="eastAsia" w:ascii="仿宋" w:hAnsi="仿宋" w:eastAsia="仿宋" w:cs="仿宋"/>
              </w:rPr>
              <w:br w:type="textWrapping"/>
            </w:r>
            <w:r>
              <w:rPr>
                <w:rFonts w:hint="eastAsia" w:ascii="仿宋" w:hAnsi="仿宋" w:eastAsia="仿宋" w:cs="仿宋"/>
              </w:rPr>
              <w:t>2 个 HDMI，2 个 VGA, HDMI+VGA 组内同源</w:t>
            </w:r>
            <w:r>
              <w:rPr>
                <w:rFonts w:hint="eastAsia" w:ascii="仿宋" w:hAnsi="仿宋" w:eastAsia="仿宋" w:cs="仿宋"/>
              </w:rPr>
              <w:br w:type="textWrapping"/>
            </w:r>
            <w:r>
              <w:rPr>
                <w:rFonts w:hint="eastAsia" w:ascii="仿宋" w:hAnsi="仿宋" w:eastAsia="仿宋" w:cs="仿宋"/>
              </w:rPr>
              <w:t>2盘位，2个千兆网口、2 个 USB2.0接口、 1 个 USB3.0接口</w:t>
            </w:r>
            <w:r>
              <w:rPr>
                <w:rFonts w:hint="eastAsia" w:ascii="仿宋" w:hAnsi="仿宋" w:eastAsia="仿宋" w:cs="仿宋"/>
              </w:rPr>
              <w:br w:type="textWrapping"/>
            </w:r>
            <w:r>
              <w:rPr>
                <w:rFonts w:hint="eastAsia" w:ascii="仿宋" w:hAnsi="仿宋" w:eastAsia="仿宋" w:cs="仿宋"/>
              </w:rPr>
              <w:t>支持RAID0、1、5、10，支持全局热备盘</w:t>
            </w:r>
            <w:r>
              <w:rPr>
                <w:rFonts w:hint="eastAsia" w:ascii="仿宋" w:hAnsi="仿宋" w:eastAsia="仿宋" w:cs="仿宋"/>
              </w:rPr>
              <w:br w:type="textWrapping"/>
            </w:r>
            <w:r>
              <w:rPr>
                <w:rFonts w:hint="eastAsia" w:ascii="仿宋" w:hAnsi="仿宋" w:eastAsia="仿宋" w:cs="仿宋"/>
              </w:rPr>
              <w:t>32路H. 264. H. 265混合接入</w:t>
            </w:r>
            <w:r>
              <w:rPr>
                <w:rFonts w:hint="eastAsia" w:ascii="仿宋" w:hAnsi="仿宋" w:eastAsia="仿宋" w:cs="仿宋"/>
              </w:rPr>
              <w:br w:type="textWrapping"/>
            </w:r>
            <w:r>
              <w:rPr>
                <w:rFonts w:hint="eastAsia" w:ascii="仿宋" w:hAnsi="仿宋" w:eastAsia="仿宋" w:cs="仿宋"/>
              </w:rPr>
              <w:t>最大支持16×108OP解码</w:t>
            </w:r>
          </w:p>
        </w:tc>
        <w:tc>
          <w:tcPr>
            <w:tcW w:w="665" w:type="dxa"/>
            <w:tcBorders>
              <w:top w:val="nil"/>
              <w:left w:val="nil"/>
              <w:bottom w:val="single" w:color="auto" w:sz="4" w:space="0"/>
              <w:right w:val="single" w:color="auto" w:sz="4" w:space="0"/>
            </w:tcBorders>
            <w:noWrap/>
            <w:vAlign w:val="center"/>
          </w:tcPr>
          <w:p>
            <w:pPr>
              <w:snapToGrid w:val="0"/>
              <w:rPr>
                <w:rFonts w:ascii="仿宋" w:hAnsi="仿宋" w:eastAsia="仿宋" w:cs="仿宋"/>
              </w:rPr>
            </w:pPr>
            <w:r>
              <w:rPr>
                <w:rFonts w:hint="eastAsia" w:ascii="仿宋" w:hAnsi="仿宋" w:eastAsia="仿宋" w:cs="仿宋"/>
              </w:rPr>
              <w:t>1</w:t>
            </w:r>
          </w:p>
        </w:tc>
        <w:tc>
          <w:tcPr>
            <w:tcW w:w="669" w:type="dxa"/>
            <w:tcBorders>
              <w:top w:val="nil"/>
              <w:left w:val="nil"/>
              <w:bottom w:val="single" w:color="auto" w:sz="4" w:space="0"/>
              <w:right w:val="single" w:color="auto" w:sz="4" w:space="0"/>
            </w:tcBorders>
            <w:noWrap/>
            <w:vAlign w:val="center"/>
          </w:tcPr>
          <w:p>
            <w:pPr>
              <w:snapToGrid w:val="0"/>
              <w:rPr>
                <w:rFonts w:ascii="仿宋" w:hAnsi="仿宋" w:eastAsia="仿宋" w:cs="仿宋"/>
              </w:rPr>
            </w:pPr>
            <w:r>
              <w:rPr>
                <w:rFonts w:hint="eastAsia" w:ascii="仿宋" w:hAnsi="仿宋" w:eastAsia="仿宋" w:cs="仿宋"/>
              </w:rPr>
              <w:t>台</w:t>
            </w:r>
          </w:p>
        </w:tc>
      </w:tr>
      <w:tr>
        <w:tblPrEx>
          <w:tblCellMar>
            <w:top w:w="0" w:type="dxa"/>
            <w:left w:w="108" w:type="dxa"/>
            <w:bottom w:w="0" w:type="dxa"/>
            <w:right w:w="108" w:type="dxa"/>
          </w:tblCellMar>
        </w:tblPrEx>
        <w:trPr>
          <w:trHeight w:val="652" w:hRule="atLeast"/>
          <w:jc w:val="center"/>
        </w:trPr>
        <w:tc>
          <w:tcPr>
            <w:tcW w:w="765" w:type="dxa"/>
            <w:tcBorders>
              <w:top w:val="nil"/>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（10）</w:t>
            </w:r>
          </w:p>
        </w:tc>
        <w:tc>
          <w:tcPr>
            <w:tcW w:w="1432"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55寸液晶监视器</w:t>
            </w:r>
          </w:p>
        </w:tc>
        <w:tc>
          <w:tcPr>
            <w:tcW w:w="5146"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55寸监控专用高清4K监视器</w:t>
            </w:r>
          </w:p>
        </w:tc>
        <w:tc>
          <w:tcPr>
            <w:tcW w:w="665"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w:t>
            </w:r>
          </w:p>
        </w:tc>
        <w:tc>
          <w:tcPr>
            <w:tcW w:w="669"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台</w:t>
            </w:r>
          </w:p>
        </w:tc>
      </w:tr>
      <w:tr>
        <w:tblPrEx>
          <w:tblCellMar>
            <w:top w:w="0" w:type="dxa"/>
            <w:left w:w="108" w:type="dxa"/>
            <w:bottom w:w="0" w:type="dxa"/>
            <w:right w:w="108" w:type="dxa"/>
          </w:tblCellMar>
        </w:tblPrEx>
        <w:trPr>
          <w:trHeight w:val="780" w:hRule="atLeast"/>
          <w:jc w:val="center"/>
        </w:trPr>
        <w:tc>
          <w:tcPr>
            <w:tcW w:w="765" w:type="dxa"/>
            <w:tcBorders>
              <w:top w:val="nil"/>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（11）</w:t>
            </w:r>
          </w:p>
        </w:tc>
        <w:tc>
          <w:tcPr>
            <w:tcW w:w="1432"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23寸液晶监视器</w:t>
            </w:r>
          </w:p>
        </w:tc>
        <w:tc>
          <w:tcPr>
            <w:tcW w:w="5146"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23寸监控专用高清4K监视器</w:t>
            </w:r>
          </w:p>
        </w:tc>
        <w:tc>
          <w:tcPr>
            <w:tcW w:w="665"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w:t>
            </w:r>
          </w:p>
        </w:tc>
        <w:tc>
          <w:tcPr>
            <w:tcW w:w="669"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台</w:t>
            </w:r>
          </w:p>
        </w:tc>
      </w:tr>
      <w:tr>
        <w:tblPrEx>
          <w:tblCellMar>
            <w:top w:w="0" w:type="dxa"/>
            <w:left w:w="108" w:type="dxa"/>
            <w:bottom w:w="0" w:type="dxa"/>
            <w:right w:w="108" w:type="dxa"/>
          </w:tblCellMar>
        </w:tblPrEx>
        <w:trPr>
          <w:trHeight w:val="1070" w:hRule="atLeast"/>
          <w:jc w:val="center"/>
        </w:trPr>
        <w:tc>
          <w:tcPr>
            <w:tcW w:w="765" w:type="dxa"/>
            <w:tcBorders>
              <w:top w:val="nil"/>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（12）</w:t>
            </w:r>
          </w:p>
        </w:tc>
        <w:tc>
          <w:tcPr>
            <w:tcW w:w="1432"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无线网桥</w:t>
            </w:r>
          </w:p>
        </w:tc>
        <w:tc>
          <w:tcPr>
            <w:tcW w:w="5146"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无线传输标准: 802.11ac，有线传输率: 10/100Mbps，无线网络支持频率: 5g，传输速率: 450Mbps，防尘性能: IP6X，传输距离:3km</w:t>
            </w:r>
          </w:p>
        </w:tc>
        <w:tc>
          <w:tcPr>
            <w:tcW w:w="665"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2</w:t>
            </w:r>
          </w:p>
        </w:tc>
        <w:tc>
          <w:tcPr>
            <w:tcW w:w="669"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台</w:t>
            </w:r>
          </w:p>
        </w:tc>
      </w:tr>
      <w:tr>
        <w:tblPrEx>
          <w:tblCellMar>
            <w:top w:w="0" w:type="dxa"/>
            <w:left w:w="108" w:type="dxa"/>
            <w:bottom w:w="0" w:type="dxa"/>
            <w:right w:w="108" w:type="dxa"/>
          </w:tblCellMar>
        </w:tblPrEx>
        <w:trPr>
          <w:trHeight w:val="741" w:hRule="atLeast"/>
          <w:jc w:val="center"/>
        </w:trPr>
        <w:tc>
          <w:tcPr>
            <w:tcW w:w="765" w:type="dxa"/>
            <w:tcBorders>
              <w:top w:val="nil"/>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（13）</w:t>
            </w:r>
          </w:p>
        </w:tc>
        <w:tc>
          <w:tcPr>
            <w:tcW w:w="1432"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设备安装箱</w:t>
            </w:r>
          </w:p>
        </w:tc>
        <w:tc>
          <w:tcPr>
            <w:tcW w:w="5146"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室外不锈钢防水箱600*500*200mm</w:t>
            </w:r>
          </w:p>
        </w:tc>
        <w:tc>
          <w:tcPr>
            <w:tcW w:w="665"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5</w:t>
            </w:r>
          </w:p>
        </w:tc>
        <w:tc>
          <w:tcPr>
            <w:tcW w:w="669"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套</w:t>
            </w:r>
          </w:p>
        </w:tc>
      </w:tr>
      <w:tr>
        <w:tblPrEx>
          <w:tblCellMar>
            <w:top w:w="0" w:type="dxa"/>
            <w:left w:w="108" w:type="dxa"/>
            <w:bottom w:w="0" w:type="dxa"/>
            <w:right w:w="108" w:type="dxa"/>
          </w:tblCellMar>
        </w:tblPrEx>
        <w:trPr>
          <w:trHeight w:val="741" w:hRule="atLeast"/>
          <w:jc w:val="center"/>
        </w:trPr>
        <w:tc>
          <w:tcPr>
            <w:tcW w:w="765" w:type="dxa"/>
            <w:tcBorders>
              <w:top w:val="nil"/>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（14）</w:t>
            </w:r>
          </w:p>
        </w:tc>
        <w:tc>
          <w:tcPr>
            <w:tcW w:w="1432"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网络机柜</w:t>
            </w:r>
          </w:p>
        </w:tc>
        <w:tc>
          <w:tcPr>
            <w:tcW w:w="5146"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壁装机柜6U</w:t>
            </w:r>
          </w:p>
        </w:tc>
        <w:tc>
          <w:tcPr>
            <w:tcW w:w="665"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2</w:t>
            </w:r>
          </w:p>
        </w:tc>
        <w:tc>
          <w:tcPr>
            <w:tcW w:w="669"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台</w:t>
            </w:r>
          </w:p>
        </w:tc>
      </w:tr>
      <w:tr>
        <w:tblPrEx>
          <w:tblCellMar>
            <w:top w:w="0" w:type="dxa"/>
            <w:left w:w="108" w:type="dxa"/>
            <w:bottom w:w="0" w:type="dxa"/>
            <w:right w:w="108" w:type="dxa"/>
          </w:tblCellMar>
        </w:tblPrEx>
        <w:trPr>
          <w:trHeight w:val="741" w:hRule="atLeast"/>
          <w:jc w:val="center"/>
        </w:trPr>
        <w:tc>
          <w:tcPr>
            <w:tcW w:w="765" w:type="dxa"/>
            <w:tcBorders>
              <w:top w:val="nil"/>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（15）</w:t>
            </w:r>
          </w:p>
        </w:tc>
        <w:tc>
          <w:tcPr>
            <w:tcW w:w="1432"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网络机柜</w:t>
            </w:r>
          </w:p>
        </w:tc>
        <w:tc>
          <w:tcPr>
            <w:tcW w:w="5146"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机柜600*800*1165（ 42U)</w:t>
            </w:r>
          </w:p>
        </w:tc>
        <w:tc>
          <w:tcPr>
            <w:tcW w:w="665"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w:t>
            </w:r>
          </w:p>
        </w:tc>
        <w:tc>
          <w:tcPr>
            <w:tcW w:w="669"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台</w:t>
            </w:r>
          </w:p>
        </w:tc>
      </w:tr>
      <w:tr>
        <w:tblPrEx>
          <w:tblCellMar>
            <w:top w:w="0" w:type="dxa"/>
            <w:left w:w="108" w:type="dxa"/>
            <w:bottom w:w="0" w:type="dxa"/>
            <w:right w:w="108" w:type="dxa"/>
          </w:tblCellMar>
        </w:tblPrEx>
        <w:trPr>
          <w:trHeight w:val="741" w:hRule="atLeast"/>
          <w:jc w:val="center"/>
        </w:trPr>
        <w:tc>
          <w:tcPr>
            <w:tcW w:w="765" w:type="dxa"/>
            <w:tcBorders>
              <w:top w:val="nil"/>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（16）</w:t>
            </w:r>
          </w:p>
        </w:tc>
        <w:tc>
          <w:tcPr>
            <w:tcW w:w="1432"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理线架</w:t>
            </w:r>
          </w:p>
        </w:tc>
        <w:tc>
          <w:tcPr>
            <w:tcW w:w="5146"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网络理线架24口1U</w:t>
            </w:r>
          </w:p>
        </w:tc>
        <w:tc>
          <w:tcPr>
            <w:tcW w:w="665"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w:t>
            </w:r>
          </w:p>
        </w:tc>
        <w:tc>
          <w:tcPr>
            <w:tcW w:w="669"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个</w:t>
            </w:r>
          </w:p>
        </w:tc>
      </w:tr>
      <w:tr>
        <w:tblPrEx>
          <w:tblCellMar>
            <w:top w:w="0" w:type="dxa"/>
            <w:left w:w="108" w:type="dxa"/>
            <w:bottom w:w="0" w:type="dxa"/>
            <w:right w:w="108" w:type="dxa"/>
          </w:tblCellMar>
        </w:tblPrEx>
        <w:trPr>
          <w:trHeight w:val="741" w:hRule="atLeast"/>
          <w:jc w:val="center"/>
        </w:trPr>
        <w:tc>
          <w:tcPr>
            <w:tcW w:w="765" w:type="dxa"/>
            <w:tcBorders>
              <w:top w:val="nil"/>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（17）</w:t>
            </w:r>
          </w:p>
        </w:tc>
        <w:tc>
          <w:tcPr>
            <w:tcW w:w="1432"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机柜PDU</w:t>
            </w:r>
          </w:p>
        </w:tc>
        <w:tc>
          <w:tcPr>
            <w:tcW w:w="5146"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8插位，10A-2500W，线长1.8米</w:t>
            </w:r>
          </w:p>
        </w:tc>
        <w:tc>
          <w:tcPr>
            <w:tcW w:w="665"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w:t>
            </w:r>
          </w:p>
        </w:tc>
        <w:tc>
          <w:tcPr>
            <w:tcW w:w="669"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台</w:t>
            </w:r>
          </w:p>
        </w:tc>
      </w:tr>
      <w:tr>
        <w:tblPrEx>
          <w:tblCellMar>
            <w:top w:w="0" w:type="dxa"/>
            <w:left w:w="108" w:type="dxa"/>
            <w:bottom w:w="0" w:type="dxa"/>
            <w:right w:w="108" w:type="dxa"/>
          </w:tblCellMar>
        </w:tblPrEx>
        <w:trPr>
          <w:trHeight w:val="405" w:hRule="atLeast"/>
          <w:jc w:val="center"/>
        </w:trPr>
        <w:tc>
          <w:tcPr>
            <w:tcW w:w="2197" w:type="dxa"/>
            <w:gridSpan w:val="2"/>
            <w:tcBorders>
              <w:top w:val="single" w:color="auto" w:sz="4" w:space="0"/>
              <w:left w:val="single" w:color="auto" w:sz="4" w:space="0"/>
              <w:bottom w:val="single" w:color="auto" w:sz="4" w:space="0"/>
              <w:right w:val="nil"/>
            </w:tcBorders>
            <w:noWrap/>
            <w:vAlign w:val="center"/>
          </w:tcPr>
          <w:p>
            <w:pPr>
              <w:snapToGrid w:val="0"/>
              <w:rPr>
                <w:rFonts w:ascii="仿宋" w:hAnsi="仿宋" w:eastAsia="仿宋" w:cs="仿宋"/>
              </w:rPr>
            </w:pPr>
            <w:r>
              <w:rPr>
                <w:rFonts w:hint="eastAsia" w:ascii="仿宋" w:hAnsi="仿宋" w:eastAsia="仿宋" w:cs="仿宋"/>
              </w:rPr>
              <w:t>2、人行通道闸系统</w:t>
            </w:r>
          </w:p>
        </w:tc>
        <w:tc>
          <w:tcPr>
            <w:tcW w:w="5146" w:type="dxa"/>
            <w:tcBorders>
              <w:top w:val="nil"/>
              <w:left w:val="nil"/>
              <w:bottom w:val="single" w:color="auto" w:sz="4" w:space="0"/>
              <w:right w:val="nil"/>
            </w:tcBorders>
            <w:vAlign w:val="center"/>
          </w:tcPr>
          <w:p>
            <w:pPr>
              <w:snapToGrid w:val="0"/>
              <w:rPr>
                <w:rFonts w:ascii="仿宋" w:hAnsi="仿宋" w:eastAsia="仿宋" w:cs="仿宋"/>
              </w:rPr>
            </w:pPr>
          </w:p>
        </w:tc>
        <w:tc>
          <w:tcPr>
            <w:tcW w:w="665" w:type="dxa"/>
            <w:tcBorders>
              <w:top w:val="nil"/>
              <w:left w:val="nil"/>
              <w:bottom w:val="single" w:color="auto" w:sz="4" w:space="0"/>
              <w:right w:val="nil"/>
            </w:tcBorders>
            <w:vAlign w:val="center"/>
          </w:tcPr>
          <w:p>
            <w:pPr>
              <w:snapToGrid w:val="0"/>
              <w:rPr>
                <w:rFonts w:ascii="仿宋" w:hAnsi="仿宋" w:eastAsia="仿宋" w:cs="仿宋"/>
              </w:rPr>
            </w:pPr>
            <w:r>
              <w:rPr>
                <w:rFonts w:hint="eastAsia" w:ascii="仿宋" w:hAnsi="仿宋" w:eastAsia="仿宋" w:cs="仿宋"/>
              </w:rPr>
              <w:t>　</w:t>
            </w:r>
          </w:p>
        </w:tc>
        <w:tc>
          <w:tcPr>
            <w:tcW w:w="669"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　</w:t>
            </w:r>
          </w:p>
        </w:tc>
      </w:tr>
      <w:tr>
        <w:tblPrEx>
          <w:tblCellMar>
            <w:top w:w="0" w:type="dxa"/>
            <w:left w:w="108" w:type="dxa"/>
            <w:bottom w:w="0" w:type="dxa"/>
            <w:right w:w="108" w:type="dxa"/>
          </w:tblCellMar>
        </w:tblPrEx>
        <w:trPr>
          <w:trHeight w:val="4896" w:hRule="atLeast"/>
          <w:jc w:val="center"/>
        </w:trPr>
        <w:tc>
          <w:tcPr>
            <w:tcW w:w="765" w:type="dxa"/>
            <w:tcBorders>
              <w:top w:val="nil"/>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w:t>
            </w:r>
          </w:p>
        </w:tc>
        <w:tc>
          <w:tcPr>
            <w:tcW w:w="1432"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无刷通用摆闸</w:t>
            </w:r>
            <w:r>
              <w:rPr>
                <w:rFonts w:hint="eastAsia" w:ascii="仿宋" w:hAnsi="仿宋" w:eastAsia="仿宋" w:cs="仿宋"/>
              </w:rPr>
              <w:br w:type="textWrapping"/>
            </w:r>
            <w:r>
              <w:rPr>
                <w:rFonts w:hint="eastAsia" w:ascii="仿宋" w:hAnsi="仿宋" w:eastAsia="仿宋" w:cs="仿宋"/>
              </w:rPr>
              <w:t>（单机芯）</w:t>
            </w:r>
          </w:p>
        </w:tc>
        <w:tc>
          <w:tcPr>
            <w:tcW w:w="5146"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1.产品尺寸：1400*300*990mm</w:t>
            </w:r>
            <w:r>
              <w:rPr>
                <w:rFonts w:hint="eastAsia" w:ascii="仿宋" w:hAnsi="仿宋" w:eastAsia="仿宋" w:cs="仿宋"/>
              </w:rPr>
              <w:br w:type="textWrapping"/>
            </w:r>
            <w:r>
              <w:rPr>
                <w:rFonts w:hint="eastAsia" w:ascii="仿宋" w:hAnsi="仿宋" w:eastAsia="仿宋" w:cs="仿宋"/>
              </w:rPr>
              <w:t>2. 通道宽度：550~900mm使用不锈钢门板</w:t>
            </w:r>
            <w:r>
              <w:rPr>
                <w:rFonts w:hint="eastAsia" w:ascii="仿宋" w:hAnsi="仿宋" w:eastAsia="仿宋" w:cs="仿宋"/>
              </w:rPr>
              <w:br w:type="textWrapping"/>
            </w:r>
            <w:r>
              <w:rPr>
                <w:rFonts w:hint="eastAsia" w:ascii="仿宋" w:hAnsi="仿宋" w:eastAsia="仿宋" w:cs="仿宋"/>
              </w:rPr>
              <w:t>3.箱体材质：SUS304拉丝不锈钢，1. 2± 0.12mm</w:t>
            </w:r>
            <w:r>
              <w:rPr>
                <w:rFonts w:hint="eastAsia" w:ascii="仿宋" w:hAnsi="仿宋" w:eastAsia="仿宋" w:cs="仿宋"/>
              </w:rPr>
              <w:br w:type="textWrapping"/>
            </w:r>
            <w:r>
              <w:rPr>
                <w:rFonts w:hint="eastAsia" w:ascii="仿宋" w:hAnsi="仿宋" w:eastAsia="仿宋" w:cs="仿宋"/>
              </w:rPr>
              <w:t>4.门翼材质：不锈钢、亚克力可选</w:t>
            </w:r>
            <w:r>
              <w:rPr>
                <w:rFonts w:hint="eastAsia" w:ascii="仿宋" w:hAnsi="仿宋" w:eastAsia="仿宋" w:cs="仿宋"/>
              </w:rPr>
              <w:br w:type="textWrapping"/>
            </w:r>
            <w:r>
              <w:rPr>
                <w:rFonts w:hint="eastAsia" w:ascii="仿宋" w:hAnsi="仿宋" w:eastAsia="仿宋" w:cs="仿宋"/>
              </w:rPr>
              <w:t>5.电机类型：直流无刷伺服电机</w:t>
            </w:r>
            <w:r>
              <w:rPr>
                <w:rFonts w:hint="eastAsia" w:ascii="仿宋" w:hAnsi="仿宋" w:eastAsia="仿宋" w:cs="仿宋"/>
              </w:rPr>
              <w:br w:type="textWrapping"/>
            </w:r>
            <w:r>
              <w:rPr>
                <w:rFonts w:hint="eastAsia" w:ascii="仿宋" w:hAnsi="仿宋" w:eastAsia="仿宋" w:cs="仿宋"/>
              </w:rPr>
              <w:t>6.红外对数：标配4对，</w:t>
            </w:r>
            <w:r>
              <w:rPr>
                <w:rFonts w:hint="eastAsia" w:ascii="仿宋" w:hAnsi="仿宋" w:eastAsia="仿宋" w:cs="仿宋"/>
              </w:rPr>
              <w:br w:type="textWrapping"/>
            </w:r>
            <w:r>
              <w:rPr>
                <w:rFonts w:hint="eastAsia" w:ascii="仿宋" w:hAnsi="仿宋" w:eastAsia="仿宋" w:cs="仿宋"/>
              </w:rPr>
              <w:t>7.使用环境：室内外</w:t>
            </w:r>
            <w:r>
              <w:rPr>
                <w:rFonts w:hint="eastAsia" w:ascii="仿宋" w:hAnsi="仿宋" w:eastAsia="仿宋" w:cs="仿宋"/>
              </w:rPr>
              <w:br w:type="textWrapping"/>
            </w:r>
            <w:r>
              <w:rPr>
                <w:rFonts w:hint="eastAsia" w:ascii="仿宋" w:hAnsi="仿宋" w:eastAsia="仿宋" w:cs="仿宋"/>
              </w:rPr>
              <w:t>8.超级电容：闸机标配超级电容，断电后门翼自动打开（符合消防要求）</w:t>
            </w:r>
            <w:r>
              <w:rPr>
                <w:rFonts w:hint="eastAsia" w:ascii="仿宋" w:hAnsi="仿宋" w:eastAsia="仿宋" w:cs="仿宋"/>
              </w:rPr>
              <w:br w:type="textWrapping"/>
            </w:r>
            <w:r>
              <w:rPr>
                <w:rFonts w:hint="eastAsia" w:ascii="仿宋" w:hAnsi="仿宋" w:eastAsia="仿宋" w:cs="仿宋"/>
              </w:rPr>
              <w:t>9.通行速度：20-60人每分钟，受人员情况和通行模式影响</w:t>
            </w:r>
            <w:r>
              <w:rPr>
                <w:rFonts w:hint="eastAsia" w:ascii="仿宋" w:hAnsi="仿宋" w:eastAsia="仿宋" w:cs="仿宋"/>
              </w:rPr>
              <w:br w:type="textWrapping"/>
            </w:r>
            <w:r>
              <w:rPr>
                <w:rFonts w:hint="eastAsia" w:ascii="仿宋" w:hAnsi="仿宋" w:eastAsia="仿宋" w:cs="仿宋"/>
              </w:rPr>
              <w:t>10 .电压功率：AC 100"240V/50"60HZ/单通道（—组通道）额定功率：320W</w:t>
            </w:r>
            <w:r>
              <w:rPr>
                <w:rFonts w:hint="eastAsia" w:ascii="仿宋" w:hAnsi="仿宋" w:eastAsia="仿宋" w:cs="仿宋"/>
              </w:rPr>
              <w:br w:type="textWrapping"/>
            </w:r>
            <w:r>
              <w:rPr>
                <w:rFonts w:hint="eastAsia" w:ascii="仿宋" w:hAnsi="仿宋" w:eastAsia="仿宋" w:cs="仿宋"/>
              </w:rPr>
              <w:t>11. 工作温度：-20 ℃"70 ℃</w:t>
            </w:r>
            <w:r>
              <w:rPr>
                <w:rFonts w:hint="eastAsia" w:ascii="仿宋" w:hAnsi="仿宋" w:eastAsia="仿宋" w:cs="仿宋"/>
              </w:rPr>
              <w:br w:type="textWrapping"/>
            </w:r>
            <w:r>
              <w:rPr>
                <w:rFonts w:hint="eastAsia" w:ascii="仿宋" w:hAnsi="仿宋" w:eastAsia="仿宋" w:cs="仿宋"/>
              </w:rPr>
              <w:t>12. 物理接口： TCP/IP, I/O,RS232,RS485S</w:t>
            </w:r>
            <w:r>
              <w:rPr>
                <w:rFonts w:hint="eastAsia" w:ascii="仿宋" w:hAnsi="仿宋" w:eastAsia="仿宋" w:cs="仿宋"/>
              </w:rPr>
              <w:br w:type="textWrapping"/>
            </w:r>
            <w:r>
              <w:rPr>
                <w:rFonts w:hint="eastAsia" w:ascii="仿宋" w:hAnsi="仿宋" w:eastAsia="仿宋" w:cs="仿宋"/>
              </w:rPr>
              <w:t>13.高级功能：翻越报警；分时段管控，最多支持8个时段常开，常闭模式设定；反潜回功能，单通道反潜回，多通道跨主机反潜回</w:t>
            </w:r>
          </w:p>
        </w:tc>
        <w:tc>
          <w:tcPr>
            <w:tcW w:w="665"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2</w:t>
            </w:r>
          </w:p>
        </w:tc>
        <w:tc>
          <w:tcPr>
            <w:tcW w:w="669"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台</w:t>
            </w:r>
          </w:p>
        </w:tc>
      </w:tr>
      <w:tr>
        <w:tblPrEx>
          <w:tblCellMar>
            <w:top w:w="0" w:type="dxa"/>
            <w:left w:w="108" w:type="dxa"/>
            <w:bottom w:w="0" w:type="dxa"/>
            <w:right w:w="108" w:type="dxa"/>
          </w:tblCellMar>
        </w:tblPrEx>
        <w:trPr>
          <w:trHeight w:val="4906" w:hRule="atLeast"/>
          <w:jc w:val="center"/>
        </w:trPr>
        <w:tc>
          <w:tcPr>
            <w:tcW w:w="765" w:type="dxa"/>
            <w:tcBorders>
              <w:top w:val="nil"/>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（2）</w:t>
            </w:r>
          </w:p>
        </w:tc>
        <w:tc>
          <w:tcPr>
            <w:tcW w:w="1432"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无刷通用摆闸</w:t>
            </w:r>
            <w:r>
              <w:rPr>
                <w:rFonts w:hint="eastAsia" w:ascii="仿宋" w:hAnsi="仿宋" w:eastAsia="仿宋" w:cs="仿宋"/>
              </w:rPr>
              <w:br w:type="textWrapping"/>
            </w:r>
            <w:r>
              <w:rPr>
                <w:rFonts w:hint="eastAsia" w:ascii="仿宋" w:hAnsi="仿宋" w:eastAsia="仿宋" w:cs="仿宋"/>
              </w:rPr>
              <w:t>（双机芯）</w:t>
            </w:r>
          </w:p>
        </w:tc>
        <w:tc>
          <w:tcPr>
            <w:tcW w:w="5146"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1.产品尺寸：1400*300*990mm</w:t>
            </w:r>
            <w:r>
              <w:rPr>
                <w:rFonts w:hint="eastAsia" w:ascii="仿宋" w:hAnsi="仿宋" w:eastAsia="仿宋" w:cs="仿宋"/>
              </w:rPr>
              <w:br w:type="textWrapping"/>
            </w:r>
            <w:r>
              <w:rPr>
                <w:rFonts w:hint="eastAsia" w:ascii="仿宋" w:hAnsi="仿宋" w:eastAsia="仿宋" w:cs="仿宋"/>
              </w:rPr>
              <w:t>2. 通道宽度：550~900mm使用不锈钢门板</w:t>
            </w:r>
            <w:r>
              <w:rPr>
                <w:rFonts w:hint="eastAsia" w:ascii="仿宋" w:hAnsi="仿宋" w:eastAsia="仿宋" w:cs="仿宋"/>
              </w:rPr>
              <w:br w:type="textWrapping"/>
            </w:r>
            <w:r>
              <w:rPr>
                <w:rFonts w:hint="eastAsia" w:ascii="仿宋" w:hAnsi="仿宋" w:eastAsia="仿宋" w:cs="仿宋"/>
              </w:rPr>
              <w:t>3.箱体材质：SUS304拉丝不锈钢，1. 2± 0.12mm</w:t>
            </w:r>
            <w:r>
              <w:rPr>
                <w:rFonts w:hint="eastAsia" w:ascii="仿宋" w:hAnsi="仿宋" w:eastAsia="仿宋" w:cs="仿宋"/>
              </w:rPr>
              <w:br w:type="textWrapping"/>
            </w:r>
            <w:r>
              <w:rPr>
                <w:rFonts w:hint="eastAsia" w:ascii="仿宋" w:hAnsi="仿宋" w:eastAsia="仿宋" w:cs="仿宋"/>
              </w:rPr>
              <w:t>4.门翼材质：不锈钢、亚克力可选</w:t>
            </w:r>
            <w:r>
              <w:rPr>
                <w:rFonts w:hint="eastAsia" w:ascii="仿宋" w:hAnsi="仿宋" w:eastAsia="仿宋" w:cs="仿宋"/>
              </w:rPr>
              <w:br w:type="textWrapping"/>
            </w:r>
            <w:r>
              <w:rPr>
                <w:rFonts w:hint="eastAsia" w:ascii="仿宋" w:hAnsi="仿宋" w:eastAsia="仿宋" w:cs="仿宋"/>
              </w:rPr>
              <w:t>5.电机类型：直流无刷伺服电机</w:t>
            </w:r>
            <w:r>
              <w:rPr>
                <w:rFonts w:hint="eastAsia" w:ascii="仿宋" w:hAnsi="仿宋" w:eastAsia="仿宋" w:cs="仿宋"/>
              </w:rPr>
              <w:br w:type="textWrapping"/>
            </w:r>
            <w:r>
              <w:rPr>
                <w:rFonts w:hint="eastAsia" w:ascii="仿宋" w:hAnsi="仿宋" w:eastAsia="仿宋" w:cs="仿宋"/>
              </w:rPr>
              <w:t>6.红外对数：标配4对，</w:t>
            </w:r>
            <w:r>
              <w:rPr>
                <w:rFonts w:hint="eastAsia" w:ascii="仿宋" w:hAnsi="仿宋" w:eastAsia="仿宋" w:cs="仿宋"/>
              </w:rPr>
              <w:br w:type="textWrapping"/>
            </w:r>
            <w:r>
              <w:rPr>
                <w:rFonts w:hint="eastAsia" w:ascii="仿宋" w:hAnsi="仿宋" w:eastAsia="仿宋" w:cs="仿宋"/>
              </w:rPr>
              <w:t>7.使用环境：室内外</w:t>
            </w:r>
            <w:r>
              <w:rPr>
                <w:rFonts w:hint="eastAsia" w:ascii="仿宋" w:hAnsi="仿宋" w:eastAsia="仿宋" w:cs="仿宋"/>
              </w:rPr>
              <w:br w:type="textWrapping"/>
            </w:r>
            <w:r>
              <w:rPr>
                <w:rFonts w:hint="eastAsia" w:ascii="仿宋" w:hAnsi="仿宋" w:eastAsia="仿宋" w:cs="仿宋"/>
              </w:rPr>
              <w:t>8.超级电容：闸机标配超级电容，断电后门翼自动打开（符合消防要求）</w:t>
            </w:r>
            <w:r>
              <w:rPr>
                <w:rFonts w:hint="eastAsia" w:ascii="仿宋" w:hAnsi="仿宋" w:eastAsia="仿宋" w:cs="仿宋"/>
              </w:rPr>
              <w:br w:type="textWrapping"/>
            </w:r>
            <w:r>
              <w:rPr>
                <w:rFonts w:hint="eastAsia" w:ascii="仿宋" w:hAnsi="仿宋" w:eastAsia="仿宋" w:cs="仿宋"/>
              </w:rPr>
              <w:t>9.通行速度：20-60人每分钟，受人员情况和通行模式影响</w:t>
            </w:r>
            <w:r>
              <w:rPr>
                <w:rFonts w:hint="eastAsia" w:ascii="仿宋" w:hAnsi="仿宋" w:eastAsia="仿宋" w:cs="仿宋"/>
              </w:rPr>
              <w:br w:type="textWrapping"/>
            </w:r>
            <w:r>
              <w:rPr>
                <w:rFonts w:hint="eastAsia" w:ascii="仿宋" w:hAnsi="仿宋" w:eastAsia="仿宋" w:cs="仿宋"/>
              </w:rPr>
              <w:t>10 .电压功率：AC 100"240V/50"60HZ/单通道（—组通道）额定功率：320W</w:t>
            </w:r>
            <w:r>
              <w:rPr>
                <w:rFonts w:hint="eastAsia" w:ascii="仿宋" w:hAnsi="仿宋" w:eastAsia="仿宋" w:cs="仿宋"/>
              </w:rPr>
              <w:br w:type="textWrapping"/>
            </w:r>
            <w:r>
              <w:rPr>
                <w:rFonts w:hint="eastAsia" w:ascii="仿宋" w:hAnsi="仿宋" w:eastAsia="仿宋" w:cs="仿宋"/>
              </w:rPr>
              <w:t>11. 工作温度：-20 ℃"70 ℃</w:t>
            </w:r>
            <w:r>
              <w:rPr>
                <w:rFonts w:hint="eastAsia" w:ascii="仿宋" w:hAnsi="仿宋" w:eastAsia="仿宋" w:cs="仿宋"/>
              </w:rPr>
              <w:br w:type="textWrapping"/>
            </w:r>
            <w:r>
              <w:rPr>
                <w:rFonts w:hint="eastAsia" w:ascii="仿宋" w:hAnsi="仿宋" w:eastAsia="仿宋" w:cs="仿宋"/>
              </w:rPr>
              <w:t>12. 物理接口： TCP/IP, I/O,RS232,RS485S</w:t>
            </w:r>
            <w:r>
              <w:rPr>
                <w:rFonts w:hint="eastAsia" w:ascii="仿宋" w:hAnsi="仿宋" w:eastAsia="仿宋" w:cs="仿宋"/>
              </w:rPr>
              <w:br w:type="textWrapping"/>
            </w:r>
            <w:r>
              <w:rPr>
                <w:rFonts w:hint="eastAsia" w:ascii="仿宋" w:hAnsi="仿宋" w:eastAsia="仿宋" w:cs="仿宋"/>
              </w:rPr>
              <w:t>13.高级功能：翻越报警；分时段管控，最多支持8个时段常开，常闭模式设定；反潜回功能，单通道反潜回，多通道跨主机反潜回</w:t>
            </w:r>
          </w:p>
        </w:tc>
        <w:tc>
          <w:tcPr>
            <w:tcW w:w="665"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w:t>
            </w:r>
          </w:p>
        </w:tc>
        <w:tc>
          <w:tcPr>
            <w:tcW w:w="669"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台</w:t>
            </w:r>
          </w:p>
        </w:tc>
      </w:tr>
      <w:tr>
        <w:tblPrEx>
          <w:tblCellMar>
            <w:top w:w="0" w:type="dxa"/>
            <w:left w:w="108" w:type="dxa"/>
            <w:bottom w:w="0" w:type="dxa"/>
            <w:right w:w="108" w:type="dxa"/>
          </w:tblCellMar>
        </w:tblPrEx>
        <w:trPr>
          <w:trHeight w:val="2767" w:hRule="atLeast"/>
          <w:jc w:val="center"/>
        </w:trPr>
        <w:tc>
          <w:tcPr>
            <w:tcW w:w="765" w:type="dxa"/>
            <w:tcBorders>
              <w:top w:val="nil"/>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（3）</w:t>
            </w:r>
          </w:p>
        </w:tc>
        <w:tc>
          <w:tcPr>
            <w:tcW w:w="1432" w:type="dxa"/>
            <w:tcBorders>
              <w:top w:val="nil"/>
              <w:left w:val="nil"/>
              <w:bottom w:val="single" w:color="auto" w:sz="4" w:space="0"/>
              <w:right w:val="single" w:color="auto" w:sz="4" w:space="0"/>
            </w:tcBorders>
            <w:noWrap/>
            <w:vAlign w:val="center"/>
          </w:tcPr>
          <w:p>
            <w:pPr>
              <w:snapToGrid w:val="0"/>
              <w:rPr>
                <w:rFonts w:ascii="仿宋" w:hAnsi="仿宋" w:eastAsia="仿宋" w:cs="仿宋"/>
              </w:rPr>
            </w:pPr>
            <w:r>
              <w:rPr>
                <w:rFonts w:hint="eastAsia" w:ascii="仿宋" w:hAnsi="仿宋" w:eastAsia="仿宋" w:cs="仿宋"/>
              </w:rPr>
              <w:t>通道人脸组件</w:t>
            </w:r>
          </w:p>
        </w:tc>
        <w:tc>
          <w:tcPr>
            <w:tcW w:w="5146"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可见光人脸识别终端，拥有7寸触摸大屏、高动态双目摄像头，搭配近红外和可见光双重补光灯，支持多人脸识别、口罩识别，远距离快速验证，高效便捷更安全；设备可外接打印机，直接打印考勤记录信息，方便用户查看；标配WiFi、TCP/IP通讯方式，可手动调整网络设置，满足多种环境的网络连接；兼具胁迫报警、反潜、出门开关等多种门禁功能，广泛应用于企业、社区、校园、商场等不同场所</w:t>
            </w:r>
            <w:r>
              <w:rPr>
                <w:rFonts w:hint="eastAsia" w:ascii="仿宋" w:hAnsi="仿宋" w:eastAsia="仿宋" w:cs="仿宋"/>
              </w:rPr>
              <w:br w:type="textWrapping"/>
            </w:r>
            <w:r>
              <w:rPr>
                <w:rFonts w:hint="eastAsia" w:ascii="仿宋" w:hAnsi="仿宋" w:eastAsia="仿宋" w:cs="仿宋"/>
              </w:rPr>
              <w:t>1.用户容量：10000个；</w:t>
            </w:r>
            <w:r>
              <w:rPr>
                <w:rFonts w:hint="eastAsia" w:ascii="仿宋" w:hAnsi="仿宋" w:eastAsia="仿宋" w:cs="仿宋"/>
              </w:rPr>
              <w:br w:type="textWrapping"/>
            </w:r>
            <w:r>
              <w:rPr>
                <w:rFonts w:hint="eastAsia" w:ascii="仿宋" w:hAnsi="仿宋" w:eastAsia="仿宋" w:cs="仿宋"/>
              </w:rPr>
              <w:t>2.面部容量：10000张；</w:t>
            </w:r>
            <w:r>
              <w:rPr>
                <w:rFonts w:hint="eastAsia" w:ascii="仿宋" w:hAnsi="仿宋" w:eastAsia="仿宋" w:cs="仿宋"/>
              </w:rPr>
              <w:br w:type="textWrapping"/>
            </w:r>
            <w:r>
              <w:rPr>
                <w:rFonts w:hint="eastAsia" w:ascii="仿宋" w:hAnsi="仿宋" w:eastAsia="仿宋" w:cs="仿宋"/>
              </w:rPr>
              <w:t>3.记录容量：20万条；</w:t>
            </w:r>
            <w:r>
              <w:rPr>
                <w:rFonts w:hint="eastAsia" w:ascii="仿宋" w:hAnsi="仿宋" w:eastAsia="仿宋" w:cs="仿宋"/>
              </w:rPr>
              <w:br w:type="textWrapping"/>
            </w:r>
            <w:r>
              <w:rPr>
                <w:rFonts w:hint="eastAsia" w:ascii="仿宋" w:hAnsi="仿宋" w:eastAsia="仿宋" w:cs="仿宋"/>
              </w:rPr>
              <w:t>4.显示屏：7寸触摸屏；</w:t>
            </w:r>
            <w:r>
              <w:rPr>
                <w:rFonts w:hint="eastAsia" w:ascii="仿宋" w:hAnsi="仿宋" w:eastAsia="仿宋" w:cs="仿宋"/>
              </w:rPr>
              <w:br w:type="textWrapping"/>
            </w:r>
            <w:r>
              <w:rPr>
                <w:rFonts w:hint="eastAsia" w:ascii="仿宋" w:hAnsi="仿宋" w:eastAsia="仿宋" w:cs="仿宋"/>
              </w:rPr>
              <w:t>5.通讯方式：WIFI、TCP/IP；</w:t>
            </w:r>
            <w:r>
              <w:rPr>
                <w:rFonts w:hint="eastAsia" w:ascii="仿宋" w:hAnsi="仿宋" w:eastAsia="仿宋" w:cs="仿宋"/>
              </w:rPr>
              <w:br w:type="textWrapping"/>
            </w:r>
            <w:r>
              <w:rPr>
                <w:rFonts w:hint="eastAsia" w:ascii="仿宋" w:hAnsi="仿宋" w:eastAsia="仿宋" w:cs="仿宋"/>
              </w:rPr>
              <w:t>6.基础功能 ：口罩检测、多人脸识别、外接打印、喇叭响铃、定时状态转换、韦根输入输出；</w:t>
            </w:r>
            <w:r>
              <w:rPr>
                <w:rFonts w:hint="eastAsia" w:ascii="仿宋" w:hAnsi="仿宋" w:eastAsia="仿宋" w:cs="仿宋"/>
              </w:rPr>
              <w:br w:type="textWrapping"/>
            </w:r>
            <w:r>
              <w:rPr>
                <w:rFonts w:hint="eastAsia" w:ascii="仿宋" w:hAnsi="仿宋" w:eastAsia="仿宋" w:cs="仿宋"/>
              </w:rPr>
              <w:t>7.工作电压：DC 12V/3A，需独立供电；</w:t>
            </w:r>
            <w:r>
              <w:rPr>
                <w:rFonts w:hint="eastAsia" w:ascii="仿宋" w:hAnsi="仿宋" w:eastAsia="仿宋" w:cs="仿宋"/>
              </w:rPr>
              <w:br w:type="textWrapping"/>
            </w:r>
            <w:r>
              <w:rPr>
                <w:rFonts w:hint="eastAsia" w:ascii="仿宋" w:hAnsi="仿宋" w:eastAsia="仿宋" w:cs="仿宋"/>
              </w:rPr>
              <w:t>8.门禁功能：防潜、门磁延时、出门开关、胁迫报警等；</w:t>
            </w:r>
            <w:r>
              <w:rPr>
                <w:rFonts w:hint="eastAsia" w:ascii="仿宋" w:hAnsi="仿宋" w:eastAsia="仿宋" w:cs="仿宋"/>
              </w:rPr>
              <w:br w:type="textWrapping"/>
            </w:r>
            <w:r>
              <w:rPr>
                <w:rFonts w:hint="eastAsia" w:ascii="仿宋" w:hAnsi="仿宋" w:eastAsia="仿宋" w:cs="仿宋"/>
              </w:rPr>
              <w:t>9.使用温度：-20℃~45℃；</w:t>
            </w:r>
            <w:r>
              <w:rPr>
                <w:rFonts w:hint="eastAsia" w:ascii="仿宋" w:hAnsi="仿宋" w:eastAsia="仿宋" w:cs="仿宋"/>
              </w:rPr>
              <w:br w:type="textWrapping"/>
            </w:r>
            <w:r>
              <w:rPr>
                <w:rFonts w:hint="eastAsia" w:ascii="仿宋" w:hAnsi="仿宋" w:eastAsia="仿宋" w:cs="仿宋"/>
              </w:rPr>
              <w:t>10.使用湿度：0%~90%RH；</w:t>
            </w:r>
            <w:r>
              <w:rPr>
                <w:rFonts w:hint="eastAsia" w:ascii="仿宋" w:hAnsi="仿宋" w:eastAsia="仿宋" w:cs="仿宋"/>
              </w:rPr>
              <w:br w:type="textWrapping"/>
            </w:r>
            <w:r>
              <w:rPr>
                <w:rFonts w:hint="eastAsia" w:ascii="仿宋" w:hAnsi="仿宋" w:eastAsia="仿宋" w:cs="仿宋"/>
              </w:rPr>
              <w:t xml:space="preserve">11.产品尺寸：226.55mm *119.95mm *31mm （不含立式支架的设备本身尺寸）； </w:t>
            </w:r>
            <w:r>
              <w:rPr>
                <w:rFonts w:hint="eastAsia" w:ascii="仿宋" w:hAnsi="仿宋" w:eastAsia="仿宋" w:cs="仿宋"/>
              </w:rPr>
              <w:br w:type="textWrapping"/>
            </w:r>
            <w:r>
              <w:rPr>
                <w:rFonts w:hint="eastAsia" w:ascii="仿宋" w:hAnsi="仿宋" w:eastAsia="仿宋" w:cs="仿宋"/>
              </w:rPr>
              <w:t>12.电源规格：DC12V/3A</w:t>
            </w:r>
          </w:p>
        </w:tc>
        <w:tc>
          <w:tcPr>
            <w:tcW w:w="665" w:type="dxa"/>
            <w:tcBorders>
              <w:top w:val="nil"/>
              <w:left w:val="nil"/>
              <w:bottom w:val="single" w:color="auto" w:sz="4" w:space="0"/>
              <w:right w:val="single" w:color="auto" w:sz="4" w:space="0"/>
            </w:tcBorders>
            <w:noWrap/>
            <w:vAlign w:val="center"/>
          </w:tcPr>
          <w:p>
            <w:pPr>
              <w:snapToGrid w:val="0"/>
              <w:rPr>
                <w:rFonts w:ascii="仿宋" w:hAnsi="仿宋" w:eastAsia="仿宋" w:cs="仿宋"/>
              </w:rPr>
            </w:pPr>
            <w:r>
              <w:rPr>
                <w:rFonts w:hint="eastAsia" w:ascii="仿宋" w:hAnsi="仿宋" w:eastAsia="仿宋" w:cs="仿宋"/>
              </w:rPr>
              <w:t>1</w:t>
            </w:r>
          </w:p>
        </w:tc>
        <w:tc>
          <w:tcPr>
            <w:tcW w:w="669" w:type="dxa"/>
            <w:tcBorders>
              <w:top w:val="nil"/>
              <w:left w:val="nil"/>
              <w:bottom w:val="single" w:color="auto" w:sz="4" w:space="0"/>
              <w:right w:val="single" w:color="auto" w:sz="4" w:space="0"/>
            </w:tcBorders>
            <w:noWrap/>
            <w:vAlign w:val="center"/>
          </w:tcPr>
          <w:p>
            <w:pPr>
              <w:snapToGrid w:val="0"/>
              <w:rPr>
                <w:rFonts w:ascii="仿宋" w:hAnsi="仿宋" w:eastAsia="仿宋" w:cs="仿宋"/>
              </w:rPr>
            </w:pPr>
            <w:r>
              <w:rPr>
                <w:rFonts w:hint="eastAsia" w:ascii="仿宋" w:hAnsi="仿宋" w:eastAsia="仿宋" w:cs="仿宋"/>
              </w:rPr>
              <w:t>台</w:t>
            </w:r>
          </w:p>
        </w:tc>
      </w:tr>
      <w:tr>
        <w:tblPrEx>
          <w:tblCellMar>
            <w:top w:w="0" w:type="dxa"/>
            <w:left w:w="108" w:type="dxa"/>
            <w:bottom w:w="0" w:type="dxa"/>
            <w:right w:w="108" w:type="dxa"/>
          </w:tblCellMar>
        </w:tblPrEx>
        <w:trPr>
          <w:trHeight w:val="561" w:hRule="atLeast"/>
          <w:jc w:val="center"/>
        </w:trPr>
        <w:tc>
          <w:tcPr>
            <w:tcW w:w="765" w:type="dxa"/>
            <w:tcBorders>
              <w:top w:val="nil"/>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（4）</w:t>
            </w:r>
          </w:p>
        </w:tc>
        <w:tc>
          <w:tcPr>
            <w:tcW w:w="1432"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人脸组件遮阳置</w:t>
            </w:r>
          </w:p>
        </w:tc>
        <w:tc>
          <w:tcPr>
            <w:tcW w:w="5146"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人员通道人脸组件使用，室外使用需要加配该遮阳置</w:t>
            </w:r>
          </w:p>
        </w:tc>
        <w:tc>
          <w:tcPr>
            <w:tcW w:w="665"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w:t>
            </w:r>
          </w:p>
        </w:tc>
        <w:tc>
          <w:tcPr>
            <w:tcW w:w="669"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台</w:t>
            </w:r>
          </w:p>
        </w:tc>
      </w:tr>
      <w:tr>
        <w:tblPrEx>
          <w:tblCellMar>
            <w:top w:w="0" w:type="dxa"/>
            <w:left w:w="108" w:type="dxa"/>
            <w:bottom w:w="0" w:type="dxa"/>
            <w:right w:w="108" w:type="dxa"/>
          </w:tblCellMar>
        </w:tblPrEx>
        <w:trPr>
          <w:trHeight w:val="1914" w:hRule="atLeast"/>
          <w:jc w:val="center"/>
        </w:trPr>
        <w:tc>
          <w:tcPr>
            <w:tcW w:w="765" w:type="dxa"/>
            <w:tcBorders>
              <w:top w:val="nil"/>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（5）</w:t>
            </w:r>
          </w:p>
        </w:tc>
        <w:tc>
          <w:tcPr>
            <w:tcW w:w="1432"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人行通道遥控器</w:t>
            </w:r>
          </w:p>
        </w:tc>
        <w:tc>
          <w:tcPr>
            <w:tcW w:w="5146"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1.遥控器支持一对多：一个遥控器同时控制最多6个通道，空旷条件下遥控距 离可达30m</w:t>
            </w:r>
            <w:r>
              <w:rPr>
                <w:rFonts w:hint="eastAsia" w:ascii="仿宋" w:hAnsi="仿宋" w:eastAsia="仿宋" w:cs="仿宋"/>
              </w:rPr>
              <w:br w:type="textWrapping"/>
            </w:r>
            <w:r>
              <w:rPr>
                <w:rFonts w:hint="eastAsia" w:ascii="仿宋" w:hAnsi="仿宋" w:eastAsia="仿宋" w:cs="仿宋"/>
              </w:rPr>
              <w:t>2.遥控器包含4个按键（自上而下顺序）：进开门，关门，出开门，常开</w:t>
            </w:r>
            <w:r>
              <w:rPr>
                <w:rFonts w:hint="eastAsia" w:ascii="仿宋" w:hAnsi="仿宋" w:eastAsia="仿宋" w:cs="仿宋"/>
              </w:rPr>
              <w:br w:type="textWrapping"/>
            </w:r>
            <w:r>
              <w:rPr>
                <w:rFonts w:hint="eastAsia" w:ascii="仿宋" w:hAnsi="仿宋" w:eastAsia="仿宋" w:cs="仿宋"/>
              </w:rPr>
              <w:t>3.发射频率：868MHz；</w:t>
            </w:r>
            <w:r>
              <w:rPr>
                <w:rFonts w:hint="eastAsia" w:ascii="仿宋" w:hAnsi="仿宋" w:eastAsia="仿宋" w:cs="仿宋"/>
              </w:rPr>
              <w:br w:type="textWrapping"/>
            </w:r>
            <w:r>
              <w:rPr>
                <w:rFonts w:hint="eastAsia" w:ascii="仿宋" w:hAnsi="仿宋" w:eastAsia="仿宋" w:cs="仿宋"/>
              </w:rPr>
              <w:t>4.尺寸：80mm*36mm*20mm；</w:t>
            </w:r>
            <w:r>
              <w:rPr>
                <w:rFonts w:hint="eastAsia" w:ascii="仿宋" w:hAnsi="仿宋" w:eastAsia="仿宋" w:cs="仿宋"/>
              </w:rPr>
              <w:br w:type="textWrapping"/>
            </w:r>
            <w:r>
              <w:rPr>
                <w:rFonts w:hint="eastAsia" w:ascii="仿宋" w:hAnsi="仿宋" w:eastAsia="仿宋" w:cs="仿宋"/>
              </w:rPr>
              <w:t>5.供电方式：碱性锌锰层叠电池23A12V；</w:t>
            </w:r>
          </w:p>
        </w:tc>
        <w:tc>
          <w:tcPr>
            <w:tcW w:w="665"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2</w:t>
            </w:r>
          </w:p>
        </w:tc>
        <w:tc>
          <w:tcPr>
            <w:tcW w:w="669"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个</w:t>
            </w:r>
          </w:p>
        </w:tc>
      </w:tr>
      <w:tr>
        <w:tblPrEx>
          <w:tblCellMar>
            <w:top w:w="0" w:type="dxa"/>
            <w:left w:w="108" w:type="dxa"/>
            <w:bottom w:w="0" w:type="dxa"/>
            <w:right w:w="108" w:type="dxa"/>
          </w:tblCellMar>
        </w:tblPrEx>
        <w:trPr>
          <w:trHeight w:val="405" w:hRule="atLeast"/>
          <w:jc w:val="center"/>
        </w:trPr>
        <w:tc>
          <w:tcPr>
            <w:tcW w:w="765" w:type="dxa"/>
            <w:tcBorders>
              <w:top w:val="nil"/>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（6）</w:t>
            </w:r>
          </w:p>
        </w:tc>
        <w:tc>
          <w:tcPr>
            <w:tcW w:w="1432"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管理工作站</w:t>
            </w:r>
          </w:p>
        </w:tc>
        <w:tc>
          <w:tcPr>
            <w:tcW w:w="5146"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　</w:t>
            </w:r>
          </w:p>
        </w:tc>
        <w:tc>
          <w:tcPr>
            <w:tcW w:w="665"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w:t>
            </w:r>
          </w:p>
        </w:tc>
        <w:tc>
          <w:tcPr>
            <w:tcW w:w="669"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台</w:t>
            </w:r>
          </w:p>
        </w:tc>
      </w:tr>
      <w:tr>
        <w:tblPrEx>
          <w:tblCellMar>
            <w:top w:w="0" w:type="dxa"/>
            <w:left w:w="108" w:type="dxa"/>
            <w:bottom w:w="0" w:type="dxa"/>
            <w:right w:w="108" w:type="dxa"/>
          </w:tblCellMar>
        </w:tblPrEx>
        <w:trPr>
          <w:trHeight w:val="376" w:hRule="atLeast"/>
          <w:jc w:val="center"/>
        </w:trPr>
        <w:tc>
          <w:tcPr>
            <w:tcW w:w="8677" w:type="dxa"/>
            <w:gridSpan w:val="5"/>
            <w:tcBorders>
              <w:top w:val="single" w:color="auto" w:sz="4" w:space="0"/>
              <w:left w:val="single" w:color="auto" w:sz="4" w:space="0"/>
              <w:bottom w:val="single" w:color="auto" w:sz="4" w:space="0"/>
              <w:right w:val="single" w:color="000000" w:sz="4" w:space="0"/>
            </w:tcBorders>
            <w:noWrap/>
            <w:vAlign w:val="center"/>
          </w:tcPr>
          <w:p>
            <w:pPr>
              <w:snapToGrid w:val="0"/>
              <w:rPr>
                <w:rFonts w:ascii="仿宋" w:hAnsi="仿宋" w:eastAsia="仿宋" w:cs="仿宋"/>
              </w:rPr>
            </w:pPr>
            <w:r>
              <w:rPr>
                <w:rFonts w:hint="eastAsia" w:ascii="仿宋" w:hAnsi="仿宋" w:eastAsia="仿宋" w:cs="仿宋"/>
              </w:rPr>
              <w:t>3、安装材料及设备</w:t>
            </w:r>
          </w:p>
        </w:tc>
      </w:tr>
      <w:tr>
        <w:tblPrEx>
          <w:tblCellMar>
            <w:top w:w="0" w:type="dxa"/>
            <w:left w:w="108" w:type="dxa"/>
            <w:bottom w:w="0" w:type="dxa"/>
            <w:right w:w="108" w:type="dxa"/>
          </w:tblCellMar>
        </w:tblPrEx>
        <w:trPr>
          <w:trHeight w:val="561" w:hRule="atLeast"/>
          <w:jc w:val="center"/>
        </w:trPr>
        <w:tc>
          <w:tcPr>
            <w:tcW w:w="765" w:type="dxa"/>
            <w:tcBorders>
              <w:top w:val="nil"/>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w:t>
            </w:r>
          </w:p>
        </w:tc>
        <w:tc>
          <w:tcPr>
            <w:tcW w:w="1432"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POE千兆交换机</w:t>
            </w:r>
          </w:p>
        </w:tc>
        <w:tc>
          <w:tcPr>
            <w:tcW w:w="5146"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8个千兆POE端口，1个千兆电口，1个千兆光口， 110W PoE 交流供电</w:t>
            </w:r>
          </w:p>
        </w:tc>
        <w:tc>
          <w:tcPr>
            <w:tcW w:w="665"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8</w:t>
            </w:r>
          </w:p>
        </w:tc>
        <w:tc>
          <w:tcPr>
            <w:tcW w:w="669"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台</w:t>
            </w:r>
          </w:p>
        </w:tc>
      </w:tr>
      <w:tr>
        <w:tblPrEx>
          <w:tblCellMar>
            <w:top w:w="0" w:type="dxa"/>
            <w:left w:w="108" w:type="dxa"/>
            <w:bottom w:w="0" w:type="dxa"/>
            <w:right w:w="108" w:type="dxa"/>
          </w:tblCellMar>
        </w:tblPrEx>
        <w:trPr>
          <w:trHeight w:val="346" w:hRule="atLeast"/>
          <w:jc w:val="center"/>
        </w:trPr>
        <w:tc>
          <w:tcPr>
            <w:tcW w:w="765" w:type="dxa"/>
            <w:tcBorders>
              <w:top w:val="nil"/>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（2）</w:t>
            </w:r>
          </w:p>
        </w:tc>
        <w:tc>
          <w:tcPr>
            <w:tcW w:w="1432"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核心交换机</w:t>
            </w:r>
          </w:p>
        </w:tc>
        <w:tc>
          <w:tcPr>
            <w:tcW w:w="5146"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24个千兆网口</w:t>
            </w:r>
          </w:p>
        </w:tc>
        <w:tc>
          <w:tcPr>
            <w:tcW w:w="665"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w:t>
            </w:r>
          </w:p>
        </w:tc>
        <w:tc>
          <w:tcPr>
            <w:tcW w:w="669"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台</w:t>
            </w:r>
          </w:p>
        </w:tc>
      </w:tr>
      <w:tr>
        <w:tblPrEx>
          <w:tblCellMar>
            <w:top w:w="0" w:type="dxa"/>
            <w:left w:w="108" w:type="dxa"/>
            <w:bottom w:w="0" w:type="dxa"/>
            <w:right w:w="108" w:type="dxa"/>
          </w:tblCellMar>
        </w:tblPrEx>
        <w:trPr>
          <w:trHeight w:val="405" w:hRule="atLeast"/>
          <w:jc w:val="center"/>
        </w:trPr>
        <w:tc>
          <w:tcPr>
            <w:tcW w:w="765" w:type="dxa"/>
            <w:tcBorders>
              <w:top w:val="nil"/>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（3）</w:t>
            </w:r>
          </w:p>
        </w:tc>
        <w:tc>
          <w:tcPr>
            <w:tcW w:w="1432"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光纤收发器</w:t>
            </w:r>
          </w:p>
        </w:tc>
        <w:tc>
          <w:tcPr>
            <w:tcW w:w="5146"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千兆 一光一电单模</w:t>
            </w:r>
          </w:p>
        </w:tc>
        <w:tc>
          <w:tcPr>
            <w:tcW w:w="665"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7</w:t>
            </w:r>
          </w:p>
        </w:tc>
        <w:tc>
          <w:tcPr>
            <w:tcW w:w="669"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对</w:t>
            </w:r>
          </w:p>
        </w:tc>
      </w:tr>
      <w:tr>
        <w:tblPrEx>
          <w:tblCellMar>
            <w:top w:w="0" w:type="dxa"/>
            <w:left w:w="108" w:type="dxa"/>
            <w:bottom w:w="0" w:type="dxa"/>
            <w:right w:w="108" w:type="dxa"/>
          </w:tblCellMar>
        </w:tblPrEx>
        <w:trPr>
          <w:trHeight w:val="561" w:hRule="atLeast"/>
          <w:jc w:val="center"/>
        </w:trPr>
        <w:tc>
          <w:tcPr>
            <w:tcW w:w="765" w:type="dxa"/>
            <w:tcBorders>
              <w:top w:val="nil"/>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（4）</w:t>
            </w:r>
          </w:p>
        </w:tc>
        <w:tc>
          <w:tcPr>
            <w:tcW w:w="1432"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光纤收发器机框</w:t>
            </w:r>
          </w:p>
        </w:tc>
        <w:tc>
          <w:tcPr>
            <w:tcW w:w="5146"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14槽 双电源机框</w:t>
            </w:r>
          </w:p>
        </w:tc>
        <w:tc>
          <w:tcPr>
            <w:tcW w:w="665"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w:t>
            </w:r>
          </w:p>
        </w:tc>
        <w:tc>
          <w:tcPr>
            <w:tcW w:w="669"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台</w:t>
            </w:r>
          </w:p>
        </w:tc>
      </w:tr>
      <w:tr>
        <w:tblPrEx>
          <w:tblCellMar>
            <w:top w:w="0" w:type="dxa"/>
            <w:left w:w="108" w:type="dxa"/>
            <w:bottom w:w="0" w:type="dxa"/>
            <w:right w:w="108" w:type="dxa"/>
          </w:tblCellMar>
        </w:tblPrEx>
        <w:trPr>
          <w:trHeight w:val="561" w:hRule="atLeast"/>
          <w:jc w:val="center"/>
        </w:trPr>
        <w:tc>
          <w:tcPr>
            <w:tcW w:w="765" w:type="dxa"/>
            <w:tcBorders>
              <w:top w:val="nil"/>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（5）</w:t>
            </w:r>
          </w:p>
        </w:tc>
        <w:tc>
          <w:tcPr>
            <w:tcW w:w="1432"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24口光纤配线机</w:t>
            </w:r>
          </w:p>
        </w:tc>
        <w:tc>
          <w:tcPr>
            <w:tcW w:w="5146"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24口满配FC耦合器 尾纤</w:t>
            </w:r>
          </w:p>
        </w:tc>
        <w:tc>
          <w:tcPr>
            <w:tcW w:w="665"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w:t>
            </w:r>
          </w:p>
        </w:tc>
        <w:tc>
          <w:tcPr>
            <w:tcW w:w="669"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套</w:t>
            </w:r>
          </w:p>
        </w:tc>
      </w:tr>
      <w:tr>
        <w:tblPrEx>
          <w:tblCellMar>
            <w:top w:w="0" w:type="dxa"/>
            <w:left w:w="108" w:type="dxa"/>
            <w:bottom w:w="0" w:type="dxa"/>
            <w:right w:w="108" w:type="dxa"/>
          </w:tblCellMar>
        </w:tblPrEx>
        <w:trPr>
          <w:trHeight w:val="561" w:hRule="atLeast"/>
          <w:jc w:val="center"/>
        </w:trPr>
        <w:tc>
          <w:tcPr>
            <w:tcW w:w="765" w:type="dxa"/>
            <w:tcBorders>
              <w:top w:val="nil"/>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（6）</w:t>
            </w:r>
          </w:p>
        </w:tc>
        <w:tc>
          <w:tcPr>
            <w:tcW w:w="1432"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24芯光纤接续盒</w:t>
            </w:r>
          </w:p>
        </w:tc>
        <w:tc>
          <w:tcPr>
            <w:tcW w:w="5146"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室外防水24芯接续盒 帽式</w:t>
            </w:r>
          </w:p>
        </w:tc>
        <w:tc>
          <w:tcPr>
            <w:tcW w:w="665"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w:t>
            </w:r>
          </w:p>
        </w:tc>
        <w:tc>
          <w:tcPr>
            <w:tcW w:w="669"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套</w:t>
            </w:r>
          </w:p>
        </w:tc>
      </w:tr>
      <w:tr>
        <w:tblPrEx>
          <w:tblCellMar>
            <w:top w:w="0" w:type="dxa"/>
            <w:left w:w="108" w:type="dxa"/>
            <w:bottom w:w="0" w:type="dxa"/>
            <w:right w:w="108" w:type="dxa"/>
          </w:tblCellMar>
        </w:tblPrEx>
        <w:trPr>
          <w:trHeight w:val="561" w:hRule="atLeast"/>
          <w:jc w:val="center"/>
        </w:trPr>
        <w:tc>
          <w:tcPr>
            <w:tcW w:w="765" w:type="dxa"/>
            <w:tcBorders>
              <w:top w:val="nil"/>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（7）</w:t>
            </w:r>
          </w:p>
        </w:tc>
        <w:tc>
          <w:tcPr>
            <w:tcW w:w="1432"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12口光纤终端盒</w:t>
            </w:r>
          </w:p>
        </w:tc>
        <w:tc>
          <w:tcPr>
            <w:tcW w:w="5146"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12口满配FC耦合器 尾纤</w:t>
            </w:r>
          </w:p>
        </w:tc>
        <w:tc>
          <w:tcPr>
            <w:tcW w:w="665"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7</w:t>
            </w:r>
          </w:p>
        </w:tc>
        <w:tc>
          <w:tcPr>
            <w:tcW w:w="669"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套</w:t>
            </w:r>
          </w:p>
        </w:tc>
      </w:tr>
      <w:tr>
        <w:tblPrEx>
          <w:tblCellMar>
            <w:top w:w="0" w:type="dxa"/>
            <w:left w:w="108" w:type="dxa"/>
            <w:bottom w:w="0" w:type="dxa"/>
            <w:right w:w="108" w:type="dxa"/>
          </w:tblCellMar>
        </w:tblPrEx>
        <w:trPr>
          <w:trHeight w:val="405" w:hRule="atLeast"/>
          <w:jc w:val="center"/>
        </w:trPr>
        <w:tc>
          <w:tcPr>
            <w:tcW w:w="765" w:type="dxa"/>
            <w:tcBorders>
              <w:top w:val="nil"/>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（8）</w:t>
            </w:r>
          </w:p>
        </w:tc>
        <w:tc>
          <w:tcPr>
            <w:tcW w:w="1432"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光纤跳纤</w:t>
            </w:r>
          </w:p>
        </w:tc>
        <w:tc>
          <w:tcPr>
            <w:tcW w:w="5146"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单模单芯FC/SC 2米</w:t>
            </w:r>
          </w:p>
        </w:tc>
        <w:tc>
          <w:tcPr>
            <w:tcW w:w="665"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14</w:t>
            </w:r>
          </w:p>
        </w:tc>
        <w:tc>
          <w:tcPr>
            <w:tcW w:w="669"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条</w:t>
            </w:r>
          </w:p>
        </w:tc>
      </w:tr>
      <w:tr>
        <w:tblPrEx>
          <w:tblCellMar>
            <w:top w:w="0" w:type="dxa"/>
            <w:left w:w="108" w:type="dxa"/>
            <w:bottom w:w="0" w:type="dxa"/>
            <w:right w:w="108" w:type="dxa"/>
          </w:tblCellMar>
        </w:tblPrEx>
        <w:trPr>
          <w:trHeight w:val="405" w:hRule="atLeast"/>
          <w:jc w:val="center"/>
        </w:trPr>
        <w:tc>
          <w:tcPr>
            <w:tcW w:w="765" w:type="dxa"/>
            <w:tcBorders>
              <w:top w:val="nil"/>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（9）</w:t>
            </w:r>
          </w:p>
        </w:tc>
        <w:tc>
          <w:tcPr>
            <w:tcW w:w="1432"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光纤熔接</w:t>
            </w:r>
          </w:p>
        </w:tc>
        <w:tc>
          <w:tcPr>
            <w:tcW w:w="5146"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光纤整理，绑扎，纤芯熔接，标签贴注</w:t>
            </w:r>
          </w:p>
        </w:tc>
        <w:tc>
          <w:tcPr>
            <w:tcW w:w="665"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64</w:t>
            </w:r>
          </w:p>
        </w:tc>
        <w:tc>
          <w:tcPr>
            <w:tcW w:w="669"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芯</w:t>
            </w:r>
          </w:p>
        </w:tc>
      </w:tr>
      <w:tr>
        <w:tblPrEx>
          <w:tblCellMar>
            <w:top w:w="0" w:type="dxa"/>
            <w:left w:w="108" w:type="dxa"/>
            <w:bottom w:w="0" w:type="dxa"/>
            <w:right w:w="108" w:type="dxa"/>
          </w:tblCellMar>
        </w:tblPrEx>
        <w:trPr>
          <w:trHeight w:val="554" w:hRule="atLeast"/>
          <w:jc w:val="center"/>
        </w:trPr>
        <w:tc>
          <w:tcPr>
            <w:tcW w:w="765" w:type="dxa"/>
            <w:tcBorders>
              <w:top w:val="nil"/>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（10）</w:t>
            </w:r>
          </w:p>
        </w:tc>
        <w:tc>
          <w:tcPr>
            <w:tcW w:w="1432"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HDMI连接线</w:t>
            </w:r>
          </w:p>
        </w:tc>
        <w:tc>
          <w:tcPr>
            <w:tcW w:w="5146"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HDMI2.0高清4K数据连接线 5米</w:t>
            </w:r>
          </w:p>
        </w:tc>
        <w:tc>
          <w:tcPr>
            <w:tcW w:w="665"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2</w:t>
            </w:r>
          </w:p>
        </w:tc>
        <w:tc>
          <w:tcPr>
            <w:tcW w:w="669"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条</w:t>
            </w:r>
          </w:p>
        </w:tc>
      </w:tr>
      <w:tr>
        <w:tblPrEx>
          <w:tblCellMar>
            <w:top w:w="0" w:type="dxa"/>
            <w:left w:w="108" w:type="dxa"/>
            <w:bottom w:w="0" w:type="dxa"/>
            <w:right w:w="108" w:type="dxa"/>
          </w:tblCellMar>
        </w:tblPrEx>
        <w:trPr>
          <w:trHeight w:val="405" w:hRule="atLeast"/>
          <w:jc w:val="center"/>
        </w:trPr>
        <w:tc>
          <w:tcPr>
            <w:tcW w:w="765" w:type="dxa"/>
            <w:tcBorders>
              <w:top w:val="nil"/>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（11）</w:t>
            </w:r>
          </w:p>
        </w:tc>
        <w:tc>
          <w:tcPr>
            <w:tcW w:w="1432"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电源线</w:t>
            </w:r>
          </w:p>
        </w:tc>
        <w:tc>
          <w:tcPr>
            <w:tcW w:w="5146"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RVV3*2. 5mm</w:t>
            </w:r>
            <w:r>
              <w:rPr>
                <w:rFonts w:hint="eastAsia" w:ascii="仿宋" w:hAnsi="仿宋" w:eastAsia="仿宋" w:cs="仿宋"/>
                <w:vertAlign w:val="superscript"/>
              </w:rPr>
              <w:t>2</w:t>
            </w:r>
          </w:p>
        </w:tc>
        <w:tc>
          <w:tcPr>
            <w:tcW w:w="665"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1800</w:t>
            </w:r>
          </w:p>
        </w:tc>
        <w:tc>
          <w:tcPr>
            <w:tcW w:w="669"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米</w:t>
            </w:r>
          </w:p>
        </w:tc>
      </w:tr>
      <w:tr>
        <w:tblPrEx>
          <w:tblCellMar>
            <w:top w:w="0" w:type="dxa"/>
            <w:left w:w="108" w:type="dxa"/>
            <w:bottom w:w="0" w:type="dxa"/>
            <w:right w:w="108" w:type="dxa"/>
          </w:tblCellMar>
        </w:tblPrEx>
        <w:trPr>
          <w:trHeight w:val="405" w:hRule="atLeast"/>
          <w:jc w:val="center"/>
        </w:trPr>
        <w:tc>
          <w:tcPr>
            <w:tcW w:w="765" w:type="dxa"/>
            <w:tcBorders>
              <w:top w:val="nil"/>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（12）</w:t>
            </w:r>
          </w:p>
        </w:tc>
        <w:tc>
          <w:tcPr>
            <w:tcW w:w="1432"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配电箱</w:t>
            </w:r>
          </w:p>
        </w:tc>
        <w:tc>
          <w:tcPr>
            <w:tcW w:w="5146"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16位配电箱 含漏电保护开关</w:t>
            </w:r>
          </w:p>
        </w:tc>
        <w:tc>
          <w:tcPr>
            <w:tcW w:w="665"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w:t>
            </w:r>
          </w:p>
        </w:tc>
        <w:tc>
          <w:tcPr>
            <w:tcW w:w="669"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套</w:t>
            </w:r>
          </w:p>
        </w:tc>
      </w:tr>
      <w:tr>
        <w:tblPrEx>
          <w:tblCellMar>
            <w:top w:w="0" w:type="dxa"/>
            <w:left w:w="108" w:type="dxa"/>
            <w:bottom w:w="0" w:type="dxa"/>
            <w:right w:w="108" w:type="dxa"/>
          </w:tblCellMar>
        </w:tblPrEx>
        <w:trPr>
          <w:trHeight w:val="561" w:hRule="atLeast"/>
          <w:jc w:val="center"/>
        </w:trPr>
        <w:tc>
          <w:tcPr>
            <w:tcW w:w="765" w:type="dxa"/>
            <w:tcBorders>
              <w:top w:val="nil"/>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（13）</w:t>
            </w:r>
          </w:p>
        </w:tc>
        <w:tc>
          <w:tcPr>
            <w:tcW w:w="1432"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6KVA不间断电源</w:t>
            </w:r>
          </w:p>
        </w:tc>
        <w:tc>
          <w:tcPr>
            <w:tcW w:w="5146"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6KVA，延时30分钟</w:t>
            </w:r>
          </w:p>
        </w:tc>
        <w:tc>
          <w:tcPr>
            <w:tcW w:w="665"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w:t>
            </w:r>
          </w:p>
        </w:tc>
        <w:tc>
          <w:tcPr>
            <w:tcW w:w="669"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套</w:t>
            </w:r>
          </w:p>
        </w:tc>
      </w:tr>
      <w:tr>
        <w:tblPrEx>
          <w:tblCellMar>
            <w:top w:w="0" w:type="dxa"/>
            <w:left w:w="108" w:type="dxa"/>
            <w:bottom w:w="0" w:type="dxa"/>
            <w:right w:w="108" w:type="dxa"/>
          </w:tblCellMar>
        </w:tblPrEx>
        <w:trPr>
          <w:trHeight w:val="405" w:hRule="atLeast"/>
          <w:jc w:val="center"/>
        </w:trPr>
        <w:tc>
          <w:tcPr>
            <w:tcW w:w="765" w:type="dxa"/>
            <w:tcBorders>
              <w:top w:val="nil"/>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（14）</w:t>
            </w:r>
          </w:p>
        </w:tc>
        <w:tc>
          <w:tcPr>
            <w:tcW w:w="1432"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4芯单模光缆</w:t>
            </w:r>
          </w:p>
        </w:tc>
        <w:tc>
          <w:tcPr>
            <w:tcW w:w="5146"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4芯室外单模轻凯，电信级</w:t>
            </w:r>
          </w:p>
        </w:tc>
        <w:tc>
          <w:tcPr>
            <w:tcW w:w="665"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1300</w:t>
            </w:r>
          </w:p>
        </w:tc>
        <w:tc>
          <w:tcPr>
            <w:tcW w:w="669"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米</w:t>
            </w:r>
          </w:p>
        </w:tc>
      </w:tr>
      <w:tr>
        <w:tblPrEx>
          <w:tblCellMar>
            <w:top w:w="0" w:type="dxa"/>
            <w:left w:w="108" w:type="dxa"/>
            <w:bottom w:w="0" w:type="dxa"/>
            <w:right w:w="108" w:type="dxa"/>
          </w:tblCellMar>
        </w:tblPrEx>
        <w:trPr>
          <w:trHeight w:val="395" w:hRule="atLeast"/>
          <w:jc w:val="center"/>
        </w:trPr>
        <w:tc>
          <w:tcPr>
            <w:tcW w:w="765" w:type="dxa"/>
            <w:tcBorders>
              <w:top w:val="nil"/>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（15）</w:t>
            </w:r>
          </w:p>
        </w:tc>
        <w:tc>
          <w:tcPr>
            <w:tcW w:w="1432"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8芯单模光缆</w:t>
            </w:r>
          </w:p>
        </w:tc>
        <w:tc>
          <w:tcPr>
            <w:tcW w:w="5146"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8芯室外单模轻凯，电信级</w:t>
            </w:r>
          </w:p>
        </w:tc>
        <w:tc>
          <w:tcPr>
            <w:tcW w:w="665"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150</w:t>
            </w:r>
          </w:p>
        </w:tc>
        <w:tc>
          <w:tcPr>
            <w:tcW w:w="669"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米</w:t>
            </w:r>
          </w:p>
        </w:tc>
      </w:tr>
      <w:tr>
        <w:tblPrEx>
          <w:tblCellMar>
            <w:top w:w="0" w:type="dxa"/>
            <w:left w:w="108" w:type="dxa"/>
            <w:bottom w:w="0" w:type="dxa"/>
            <w:right w:w="108" w:type="dxa"/>
          </w:tblCellMar>
        </w:tblPrEx>
        <w:trPr>
          <w:trHeight w:val="554" w:hRule="atLeast"/>
          <w:jc w:val="center"/>
        </w:trPr>
        <w:tc>
          <w:tcPr>
            <w:tcW w:w="765" w:type="dxa"/>
            <w:tcBorders>
              <w:top w:val="nil"/>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（16）</w:t>
            </w:r>
          </w:p>
        </w:tc>
        <w:tc>
          <w:tcPr>
            <w:tcW w:w="1432"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12芯单模光缆</w:t>
            </w:r>
          </w:p>
        </w:tc>
        <w:tc>
          <w:tcPr>
            <w:tcW w:w="5146"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12芯室外单模轻凯，电信级</w:t>
            </w:r>
          </w:p>
        </w:tc>
        <w:tc>
          <w:tcPr>
            <w:tcW w:w="665"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350</w:t>
            </w:r>
          </w:p>
        </w:tc>
        <w:tc>
          <w:tcPr>
            <w:tcW w:w="669"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米</w:t>
            </w:r>
          </w:p>
        </w:tc>
      </w:tr>
      <w:tr>
        <w:tblPrEx>
          <w:tblCellMar>
            <w:top w:w="0" w:type="dxa"/>
            <w:left w:w="108" w:type="dxa"/>
            <w:bottom w:w="0" w:type="dxa"/>
            <w:right w:w="108" w:type="dxa"/>
          </w:tblCellMar>
        </w:tblPrEx>
        <w:trPr>
          <w:trHeight w:val="561" w:hRule="atLeast"/>
          <w:jc w:val="center"/>
        </w:trPr>
        <w:tc>
          <w:tcPr>
            <w:tcW w:w="765" w:type="dxa"/>
            <w:tcBorders>
              <w:top w:val="nil"/>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（17）</w:t>
            </w:r>
          </w:p>
        </w:tc>
        <w:tc>
          <w:tcPr>
            <w:tcW w:w="1432"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24芯单模光缆</w:t>
            </w:r>
          </w:p>
        </w:tc>
        <w:tc>
          <w:tcPr>
            <w:tcW w:w="5146"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24芯室外单模轻凯，电信级</w:t>
            </w:r>
          </w:p>
        </w:tc>
        <w:tc>
          <w:tcPr>
            <w:tcW w:w="665"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500</w:t>
            </w:r>
          </w:p>
        </w:tc>
        <w:tc>
          <w:tcPr>
            <w:tcW w:w="669"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米</w:t>
            </w:r>
          </w:p>
        </w:tc>
      </w:tr>
      <w:tr>
        <w:tblPrEx>
          <w:tblCellMar>
            <w:top w:w="0" w:type="dxa"/>
            <w:left w:w="108" w:type="dxa"/>
            <w:bottom w:w="0" w:type="dxa"/>
            <w:right w:w="108" w:type="dxa"/>
          </w:tblCellMar>
        </w:tblPrEx>
        <w:trPr>
          <w:trHeight w:val="561" w:hRule="atLeast"/>
          <w:jc w:val="center"/>
        </w:trPr>
        <w:tc>
          <w:tcPr>
            <w:tcW w:w="765" w:type="dxa"/>
            <w:tcBorders>
              <w:top w:val="nil"/>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（18）</w:t>
            </w:r>
          </w:p>
        </w:tc>
        <w:tc>
          <w:tcPr>
            <w:tcW w:w="1432"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6类非屏蔽网线</w:t>
            </w:r>
          </w:p>
        </w:tc>
        <w:tc>
          <w:tcPr>
            <w:tcW w:w="5146"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六类非屏蔽双绞线</w:t>
            </w:r>
          </w:p>
        </w:tc>
        <w:tc>
          <w:tcPr>
            <w:tcW w:w="665"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1900</w:t>
            </w:r>
          </w:p>
        </w:tc>
        <w:tc>
          <w:tcPr>
            <w:tcW w:w="669"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米</w:t>
            </w:r>
          </w:p>
        </w:tc>
      </w:tr>
      <w:tr>
        <w:tblPrEx>
          <w:tblCellMar>
            <w:top w:w="0" w:type="dxa"/>
            <w:left w:w="108" w:type="dxa"/>
            <w:bottom w:w="0" w:type="dxa"/>
            <w:right w:w="108" w:type="dxa"/>
          </w:tblCellMar>
        </w:tblPrEx>
        <w:trPr>
          <w:trHeight w:val="405" w:hRule="atLeast"/>
          <w:jc w:val="center"/>
        </w:trPr>
        <w:tc>
          <w:tcPr>
            <w:tcW w:w="765" w:type="dxa"/>
            <w:tcBorders>
              <w:top w:val="nil"/>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（19）</w:t>
            </w:r>
          </w:p>
        </w:tc>
        <w:tc>
          <w:tcPr>
            <w:tcW w:w="1432"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PVC线管</w:t>
            </w:r>
          </w:p>
        </w:tc>
        <w:tc>
          <w:tcPr>
            <w:tcW w:w="5146"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PVC32含配件</w:t>
            </w:r>
          </w:p>
        </w:tc>
        <w:tc>
          <w:tcPr>
            <w:tcW w:w="665"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2200</w:t>
            </w:r>
          </w:p>
        </w:tc>
        <w:tc>
          <w:tcPr>
            <w:tcW w:w="669"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米</w:t>
            </w:r>
          </w:p>
        </w:tc>
      </w:tr>
      <w:tr>
        <w:tblPrEx>
          <w:tblCellMar>
            <w:top w:w="0" w:type="dxa"/>
            <w:left w:w="108" w:type="dxa"/>
            <w:bottom w:w="0" w:type="dxa"/>
            <w:right w:w="108" w:type="dxa"/>
          </w:tblCellMar>
        </w:tblPrEx>
        <w:trPr>
          <w:trHeight w:val="405" w:hRule="atLeast"/>
          <w:jc w:val="center"/>
        </w:trPr>
        <w:tc>
          <w:tcPr>
            <w:tcW w:w="765" w:type="dxa"/>
            <w:tcBorders>
              <w:top w:val="nil"/>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（20）</w:t>
            </w:r>
          </w:p>
        </w:tc>
        <w:tc>
          <w:tcPr>
            <w:tcW w:w="1432"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PVC线管</w:t>
            </w:r>
          </w:p>
        </w:tc>
        <w:tc>
          <w:tcPr>
            <w:tcW w:w="5146"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PVC25含配件</w:t>
            </w:r>
          </w:p>
        </w:tc>
        <w:tc>
          <w:tcPr>
            <w:tcW w:w="665"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1800</w:t>
            </w:r>
          </w:p>
        </w:tc>
        <w:tc>
          <w:tcPr>
            <w:tcW w:w="669"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米</w:t>
            </w:r>
          </w:p>
        </w:tc>
      </w:tr>
      <w:tr>
        <w:tblPrEx>
          <w:tblCellMar>
            <w:top w:w="0" w:type="dxa"/>
            <w:left w:w="108" w:type="dxa"/>
            <w:bottom w:w="0" w:type="dxa"/>
            <w:right w:w="108" w:type="dxa"/>
          </w:tblCellMar>
        </w:tblPrEx>
        <w:trPr>
          <w:trHeight w:val="405" w:hRule="atLeast"/>
          <w:jc w:val="center"/>
        </w:trPr>
        <w:tc>
          <w:tcPr>
            <w:tcW w:w="765" w:type="dxa"/>
            <w:tcBorders>
              <w:top w:val="nil"/>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（21）</w:t>
            </w:r>
          </w:p>
        </w:tc>
        <w:tc>
          <w:tcPr>
            <w:tcW w:w="1432"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空气开关</w:t>
            </w:r>
          </w:p>
        </w:tc>
        <w:tc>
          <w:tcPr>
            <w:tcW w:w="5146"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10A/2P</w:t>
            </w:r>
          </w:p>
        </w:tc>
        <w:tc>
          <w:tcPr>
            <w:tcW w:w="665"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8</w:t>
            </w:r>
          </w:p>
        </w:tc>
        <w:tc>
          <w:tcPr>
            <w:tcW w:w="669"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个</w:t>
            </w:r>
          </w:p>
        </w:tc>
      </w:tr>
      <w:tr>
        <w:tblPrEx>
          <w:tblCellMar>
            <w:top w:w="0" w:type="dxa"/>
            <w:left w:w="108" w:type="dxa"/>
            <w:bottom w:w="0" w:type="dxa"/>
            <w:right w:w="108" w:type="dxa"/>
          </w:tblCellMar>
        </w:tblPrEx>
        <w:trPr>
          <w:trHeight w:val="405" w:hRule="atLeast"/>
          <w:jc w:val="center"/>
        </w:trPr>
        <w:tc>
          <w:tcPr>
            <w:tcW w:w="765" w:type="dxa"/>
            <w:tcBorders>
              <w:top w:val="nil"/>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（22）</w:t>
            </w:r>
          </w:p>
        </w:tc>
        <w:tc>
          <w:tcPr>
            <w:tcW w:w="1432"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导轨插座</w:t>
            </w:r>
          </w:p>
        </w:tc>
        <w:tc>
          <w:tcPr>
            <w:tcW w:w="5146"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10A/5孔插座</w:t>
            </w:r>
          </w:p>
        </w:tc>
        <w:tc>
          <w:tcPr>
            <w:tcW w:w="665"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10</w:t>
            </w:r>
          </w:p>
        </w:tc>
        <w:tc>
          <w:tcPr>
            <w:tcW w:w="669"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个</w:t>
            </w:r>
          </w:p>
        </w:tc>
      </w:tr>
      <w:tr>
        <w:tblPrEx>
          <w:tblCellMar>
            <w:top w:w="0" w:type="dxa"/>
            <w:left w:w="108" w:type="dxa"/>
            <w:bottom w:w="0" w:type="dxa"/>
            <w:right w:w="108" w:type="dxa"/>
          </w:tblCellMar>
        </w:tblPrEx>
        <w:trPr>
          <w:trHeight w:val="561" w:hRule="atLeast"/>
          <w:jc w:val="center"/>
        </w:trPr>
        <w:tc>
          <w:tcPr>
            <w:tcW w:w="765" w:type="dxa"/>
            <w:tcBorders>
              <w:top w:val="nil"/>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（23）</w:t>
            </w:r>
          </w:p>
        </w:tc>
        <w:tc>
          <w:tcPr>
            <w:tcW w:w="1432"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安装辅材</w:t>
            </w:r>
          </w:p>
        </w:tc>
        <w:tc>
          <w:tcPr>
            <w:tcW w:w="5146"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线管接头、软管、底盒、螺丝、水晶头、胶布、扎带、标签纸等</w:t>
            </w:r>
          </w:p>
        </w:tc>
        <w:tc>
          <w:tcPr>
            <w:tcW w:w="665"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w:t>
            </w:r>
          </w:p>
        </w:tc>
        <w:tc>
          <w:tcPr>
            <w:tcW w:w="669"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项</w:t>
            </w:r>
          </w:p>
        </w:tc>
      </w:tr>
      <w:tr>
        <w:tblPrEx>
          <w:tblCellMar>
            <w:top w:w="0" w:type="dxa"/>
            <w:left w:w="108" w:type="dxa"/>
            <w:bottom w:w="0" w:type="dxa"/>
            <w:right w:w="108" w:type="dxa"/>
          </w:tblCellMar>
        </w:tblPrEx>
        <w:trPr>
          <w:trHeight w:val="405" w:hRule="atLeast"/>
          <w:jc w:val="center"/>
        </w:trPr>
        <w:tc>
          <w:tcPr>
            <w:tcW w:w="765" w:type="dxa"/>
            <w:tcBorders>
              <w:top w:val="nil"/>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（24）</w:t>
            </w:r>
          </w:p>
        </w:tc>
        <w:tc>
          <w:tcPr>
            <w:tcW w:w="1432"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防雷接地</w:t>
            </w:r>
          </w:p>
        </w:tc>
        <w:tc>
          <w:tcPr>
            <w:tcW w:w="5146"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30个摄像机电源信号防雷，主电源防雷</w:t>
            </w:r>
          </w:p>
        </w:tc>
        <w:tc>
          <w:tcPr>
            <w:tcW w:w="665"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w:t>
            </w:r>
          </w:p>
        </w:tc>
        <w:tc>
          <w:tcPr>
            <w:tcW w:w="669"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项</w:t>
            </w:r>
          </w:p>
        </w:tc>
      </w:tr>
      <w:tr>
        <w:tblPrEx>
          <w:tblCellMar>
            <w:top w:w="0" w:type="dxa"/>
            <w:left w:w="108" w:type="dxa"/>
            <w:bottom w:w="0" w:type="dxa"/>
            <w:right w:w="108" w:type="dxa"/>
          </w:tblCellMar>
        </w:tblPrEx>
        <w:trPr>
          <w:trHeight w:val="581" w:hRule="atLeast"/>
          <w:jc w:val="center"/>
        </w:trPr>
        <w:tc>
          <w:tcPr>
            <w:tcW w:w="765" w:type="dxa"/>
            <w:tcBorders>
              <w:top w:val="nil"/>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（25）</w:t>
            </w:r>
          </w:p>
        </w:tc>
        <w:tc>
          <w:tcPr>
            <w:tcW w:w="1432"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路线开挖，回填等</w:t>
            </w:r>
          </w:p>
        </w:tc>
        <w:tc>
          <w:tcPr>
            <w:tcW w:w="5146"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路面开挖，泥土回填</w:t>
            </w:r>
          </w:p>
        </w:tc>
        <w:tc>
          <w:tcPr>
            <w:tcW w:w="665"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1100</w:t>
            </w:r>
          </w:p>
        </w:tc>
        <w:tc>
          <w:tcPr>
            <w:tcW w:w="669" w:type="dxa"/>
            <w:tcBorders>
              <w:top w:val="nil"/>
              <w:left w:val="nil"/>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米</w:t>
            </w:r>
          </w:p>
        </w:tc>
      </w:tr>
    </w:tbl>
    <w:p>
      <w:pPr>
        <w:snapToGrid w:val="0"/>
        <w:spacing w:line="300" w:lineRule="auto"/>
        <w:ind w:firstLine="560" w:firstLineChars="200"/>
        <w:outlineLvl w:val="3"/>
        <w:rPr>
          <w:rFonts w:ascii="仿宋" w:hAnsi="仿宋" w:eastAsia="仿宋" w:cs="仿宋"/>
          <w:sz w:val="28"/>
          <w:szCs w:val="28"/>
        </w:rPr>
      </w:pPr>
      <w:r>
        <w:rPr>
          <w:rFonts w:hint="eastAsia" w:ascii="微软雅黑" w:hAnsi="微软雅黑" w:eastAsia="微软雅黑" w:cs="微软雅黑"/>
          <w:sz w:val="28"/>
          <w:szCs w:val="28"/>
        </w:rPr>
        <w:t>★</w:t>
      </w:r>
      <w:r>
        <w:rPr>
          <w:rFonts w:hint="eastAsia" w:ascii="仿宋" w:hAnsi="仿宋" w:eastAsia="仿宋" w:cs="仿宋"/>
          <w:b/>
          <w:bCs/>
          <w:sz w:val="28"/>
          <w:szCs w:val="28"/>
        </w:rPr>
        <w:t>设备技术参数及要求详见询价公告附件七“用户需求书”，因未详细了解本用户需求书内容而造成报价项目遗漏，由报价人自行负责。</w:t>
      </w:r>
    </w:p>
    <w:p>
      <w:pPr>
        <w:snapToGrid w:val="0"/>
        <w:spacing w:line="300" w:lineRule="auto"/>
        <w:ind w:firstLine="560" w:firstLineChars="200"/>
        <w:outlineLvl w:val="3"/>
        <w:rPr>
          <w:rFonts w:ascii="仿宋" w:hAnsi="仿宋" w:eastAsia="仿宋" w:cs="仿宋"/>
          <w:sz w:val="28"/>
          <w:szCs w:val="28"/>
        </w:rPr>
      </w:pPr>
      <w:r>
        <w:rPr>
          <w:rFonts w:hint="eastAsia" w:ascii="仿宋" w:hAnsi="仿宋" w:eastAsia="仿宋" w:cs="仿宋"/>
          <w:sz w:val="28"/>
          <w:szCs w:val="28"/>
        </w:rPr>
        <w:t>（三）执行标准</w:t>
      </w:r>
    </w:p>
    <w:p>
      <w:pPr>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《工业电视系统工程设计规范》（GBJ115-87）</w:t>
      </w:r>
    </w:p>
    <w:p>
      <w:pPr>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《远动设备终端通用技术条件》GB/T16435-1996</w:t>
      </w:r>
    </w:p>
    <w:p>
      <w:pPr>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《中华人民国安全行业管理规范》</w:t>
      </w:r>
    </w:p>
    <w:p>
      <w:pPr>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《软件工程国家标准》</w:t>
      </w:r>
    </w:p>
    <w:p>
      <w:pPr>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《邮电通信网光纤数据传输系统工程施工及验收暂行技术规范》</w:t>
      </w:r>
    </w:p>
    <w:p>
      <w:pPr>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《中国电气安装工程施工及验收规范》</w:t>
      </w:r>
    </w:p>
    <w:p>
      <w:pPr>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《安全防系统验收规则》（GA308-2001）</w:t>
      </w:r>
    </w:p>
    <w:p>
      <w:pPr>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《安全检查防系统通用图形符号》GA/T74-94</w:t>
      </w:r>
    </w:p>
    <w:p>
      <w:pPr>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《社会公共场所安全防工种设计规范》公安部、公安厅技防办有关文件规定。</w:t>
      </w:r>
    </w:p>
    <w:p>
      <w:pPr>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《视频安防系统技术要求》（GB/T367-2001）</w:t>
      </w:r>
    </w:p>
    <w:p>
      <w:pPr>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《雷电电磁脉冲的防护》IEC61312</w:t>
      </w:r>
    </w:p>
    <w:p>
      <w:pPr>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《系统接地的型式及安全技术要求》GB14050-93</w:t>
      </w:r>
    </w:p>
    <w:p>
      <w:pPr>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《安全防工程费用概预算编制办法》GA/T70-94</w:t>
      </w:r>
    </w:p>
    <w:p>
      <w:pPr>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《防盗报警中心控制台设计规范》（GB/TI6572-1996）</w:t>
      </w:r>
    </w:p>
    <w:p>
      <w:pPr>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《中华人民国公共行业标准》（GA/T70-94）</w:t>
      </w:r>
    </w:p>
    <w:p>
      <w:pPr>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《安全防工程程序与要求》（GA/T75-94）</w:t>
      </w:r>
    </w:p>
    <w:p>
      <w:pPr>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《民用闭路监视电视系统工程技术规范》（GB50198-94）</w:t>
      </w:r>
    </w:p>
    <w:p>
      <w:pPr>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《民用工业建筑电气设计规范》（GJT16-92）</w:t>
      </w:r>
    </w:p>
    <w:p>
      <w:pPr>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《电视系统视频指标》（CCTR RECOMMENDATION 472-3）</w:t>
      </w:r>
    </w:p>
    <w:p>
      <w:pPr>
        <w:snapToGrid w:val="0"/>
        <w:spacing w:line="300" w:lineRule="auto"/>
        <w:ind w:firstLine="560" w:firstLineChars="200"/>
        <w:outlineLvl w:val="3"/>
        <w:rPr>
          <w:rFonts w:ascii="仿宋" w:hAnsi="仿宋" w:eastAsia="仿宋" w:cs="仿宋"/>
          <w:sz w:val="28"/>
          <w:szCs w:val="28"/>
        </w:rPr>
      </w:pPr>
      <w:r>
        <w:rPr>
          <w:rFonts w:hint="eastAsia" w:ascii="仿宋" w:hAnsi="仿宋" w:eastAsia="仿宋" w:cs="仿宋"/>
          <w:sz w:val="28"/>
          <w:szCs w:val="28"/>
        </w:rPr>
        <w:t>（四）安装要求</w:t>
      </w:r>
    </w:p>
    <w:p>
      <w:pPr>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采购人不提供设备安装所需的食宿场地，临时办公及材料加工场地由采购人现场指定。</w:t>
      </w:r>
    </w:p>
    <w:p>
      <w:pPr>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成交人必须服从采购人的项目安全管理要求，配备必要的安全文明施工设施，未能按项目管理要求落实执行，造成一切责任后果由成交人负责。</w:t>
      </w:r>
    </w:p>
    <w:p>
      <w:pPr>
        <w:snapToGrid w:val="0"/>
        <w:spacing w:line="300" w:lineRule="auto"/>
        <w:ind w:firstLine="560" w:firstLineChars="200"/>
        <w:outlineLvl w:val="3"/>
        <w:rPr>
          <w:rFonts w:ascii="仿宋" w:hAnsi="仿宋" w:eastAsia="仿宋" w:cs="仿宋"/>
          <w:sz w:val="28"/>
          <w:szCs w:val="28"/>
        </w:rPr>
      </w:pPr>
      <w:r>
        <w:rPr>
          <w:rFonts w:hint="eastAsia" w:ascii="仿宋" w:hAnsi="仿宋" w:eastAsia="仿宋" w:cs="仿宋"/>
          <w:sz w:val="28"/>
          <w:szCs w:val="28"/>
        </w:rPr>
        <w:t>（五）验收要求</w:t>
      </w:r>
    </w:p>
    <w:p>
      <w:pPr>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验收标准及方法：按相关法律法规和本项目用户需求书内相关执行标准要求。</w:t>
      </w:r>
    </w:p>
    <w:p>
      <w:pPr>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成交人按合同约定完成全部合同内容后并自检、调试合格后向采购人提出验收申请，由采购人组织验收，经双方验收合格后，签署设备调试、检测合格报告。</w:t>
      </w:r>
    </w:p>
    <w:p>
      <w:pPr>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成交人应按国家相关法律法规和本项目用户需求书的技术标准的要求，在设备进场时及安装完成后提交相应的质量证明文件（</w:t>
      </w:r>
      <w:r>
        <w:rPr>
          <w:rFonts w:hint="eastAsia" w:ascii="仿宋" w:hAnsi="仿宋" w:eastAsia="仿宋" w:cs="仿宋"/>
          <w:sz w:val="28"/>
          <w:szCs w:val="28"/>
          <w:u w:val="single"/>
        </w:rPr>
        <w:t>1</w:t>
      </w:r>
      <w:r>
        <w:rPr>
          <w:rFonts w:hint="eastAsia" w:ascii="仿宋" w:hAnsi="仿宋" w:eastAsia="仿宋" w:cs="仿宋"/>
          <w:sz w:val="28"/>
          <w:szCs w:val="28"/>
        </w:rPr>
        <w:t>份原件）、第三方检测报告（</w:t>
      </w:r>
      <w:r>
        <w:rPr>
          <w:rFonts w:hint="eastAsia" w:ascii="仿宋" w:hAnsi="仿宋" w:eastAsia="仿宋" w:cs="仿宋"/>
          <w:sz w:val="28"/>
          <w:szCs w:val="28"/>
          <w:u w:val="single"/>
        </w:rPr>
        <w:t>1</w:t>
      </w:r>
      <w:r>
        <w:rPr>
          <w:rFonts w:hint="eastAsia" w:ascii="仿宋" w:hAnsi="仿宋" w:eastAsia="仿宋" w:cs="仿宋"/>
          <w:sz w:val="28"/>
          <w:szCs w:val="28"/>
        </w:rPr>
        <w:t>份原件），并对文件的准确性、真实性负责。</w:t>
      </w:r>
    </w:p>
    <w:p>
      <w:pPr>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必要时采购人有权聘请有资质的第三方检测单位检测，检测不合格时，检测费用由成交人承担。</w:t>
      </w:r>
    </w:p>
    <w:p>
      <w:pPr>
        <w:pStyle w:val="2"/>
        <w:snapToGrid w:val="0"/>
        <w:spacing w:line="300" w:lineRule="auto"/>
        <w:ind w:firstLine="576"/>
        <w:rPr>
          <w:rFonts w:eastAsia="仿宋"/>
        </w:rPr>
      </w:pPr>
      <w:r>
        <w:rPr>
          <w:rFonts w:hint="eastAsia" w:ascii="仿宋" w:hAnsi="仿宋" w:eastAsia="仿宋" w:cs="仿宋"/>
          <w:sz w:val="28"/>
          <w:szCs w:val="28"/>
        </w:rPr>
        <w:t>（六）其他要求</w:t>
      </w:r>
    </w:p>
    <w:p>
      <w:pPr>
        <w:keepNext w:val="0"/>
        <w:keepLines w:val="0"/>
        <w:pageBreakBefore w:val="0"/>
        <w:widowControl w:val="0"/>
        <w:numPr>
          <w:ilvl w:val="255"/>
          <w:numId w:val="0"/>
        </w:numPr>
        <w:kinsoku/>
        <w:wordWrap/>
        <w:overflowPunct/>
        <w:topLinePunct w:val="0"/>
        <w:autoSpaceDE/>
        <w:autoSpaceDN/>
        <w:bidi w:val="0"/>
        <w:adjustRightInd/>
        <w:snapToGrid w:val="0"/>
        <w:spacing w:line="360" w:lineRule="auto"/>
        <w:ind w:firstLine="560" w:firstLineChars="200"/>
        <w:textAlignment w:val="auto"/>
        <w:outlineLvl w:val="3"/>
        <w:rPr>
          <w:rFonts w:ascii="仿宋" w:hAnsi="仿宋" w:eastAsia="仿宋" w:cs="仿宋"/>
          <w:sz w:val="28"/>
          <w:szCs w:val="28"/>
        </w:rPr>
      </w:pPr>
      <w:r>
        <w:rPr>
          <w:rFonts w:hint="eastAsia" w:ascii="仿宋" w:hAnsi="仿宋" w:eastAsia="仿宋" w:cs="仿宋"/>
          <w:sz w:val="28"/>
          <w:szCs w:val="28"/>
        </w:rPr>
        <w:t>1、报价人所供的设备须是全新、无缺陷的整套设备，设备功能要求须符合本项目《用户需求书》要求，并且满足国家安全、环保等方面的强制性标准。报价人所供设备的设计、制造须符合国家或行业现行的技术标准，保证在各种状态下均能实现其功能并长期、连续和安全的运行，否则视为无效报价。</w:t>
      </w:r>
    </w:p>
    <w:p>
      <w:pPr>
        <w:keepNext w:val="0"/>
        <w:keepLines w:val="0"/>
        <w:pageBreakBefore w:val="0"/>
        <w:widowControl w:val="0"/>
        <w:numPr>
          <w:ilvl w:val="255"/>
          <w:numId w:val="0"/>
        </w:numPr>
        <w:kinsoku/>
        <w:wordWrap/>
        <w:overflowPunct/>
        <w:topLinePunct w:val="0"/>
        <w:autoSpaceDE/>
        <w:autoSpaceDN/>
        <w:bidi w:val="0"/>
        <w:adjustRightInd/>
        <w:snapToGrid w:val="0"/>
        <w:spacing w:line="360" w:lineRule="auto"/>
        <w:ind w:firstLine="560" w:firstLineChars="200"/>
        <w:textAlignment w:val="auto"/>
        <w:outlineLvl w:val="3"/>
        <w:rPr>
          <w:rFonts w:ascii="仿宋" w:hAnsi="仿宋" w:eastAsia="仿宋" w:cs="仿宋"/>
          <w:sz w:val="28"/>
          <w:szCs w:val="28"/>
        </w:rPr>
      </w:pPr>
      <w:r>
        <w:rPr>
          <w:rFonts w:hint="eastAsia" w:ascii="仿宋" w:hAnsi="仿宋" w:eastAsia="仿宋" w:cs="仿宋"/>
          <w:sz w:val="28"/>
          <w:szCs w:val="28"/>
        </w:rPr>
        <w:t>2、本工程质量保修期为</w:t>
      </w:r>
      <w:r>
        <w:rPr>
          <w:rFonts w:hint="eastAsia" w:ascii="仿宋" w:hAnsi="仿宋" w:eastAsia="仿宋" w:cs="仿宋"/>
          <w:sz w:val="28"/>
          <w:szCs w:val="28"/>
          <w:lang w:val="en-US" w:eastAsia="zh-CN"/>
        </w:rPr>
        <w:t>1</w:t>
      </w:r>
      <w:r>
        <w:rPr>
          <w:rFonts w:hint="eastAsia" w:ascii="仿宋" w:hAnsi="仿宋" w:eastAsia="仿宋" w:cs="仿宋"/>
          <w:sz w:val="28"/>
          <w:szCs w:val="28"/>
        </w:rPr>
        <w:t>年（自项目验收合格之日起算）。</w:t>
      </w:r>
    </w:p>
    <w:p>
      <w:pPr>
        <w:keepNext w:val="0"/>
        <w:keepLines w:val="0"/>
        <w:pageBreakBefore w:val="0"/>
        <w:widowControl w:val="0"/>
        <w:numPr>
          <w:ilvl w:val="255"/>
          <w:numId w:val="0"/>
        </w:numPr>
        <w:kinsoku/>
        <w:wordWrap/>
        <w:overflowPunct/>
        <w:topLinePunct w:val="0"/>
        <w:autoSpaceDE/>
        <w:autoSpaceDN/>
        <w:bidi w:val="0"/>
        <w:adjustRightInd/>
        <w:snapToGrid w:val="0"/>
        <w:spacing w:line="360" w:lineRule="auto"/>
        <w:ind w:firstLine="562" w:firstLineChars="200"/>
        <w:textAlignment w:val="auto"/>
        <w:outlineLvl w:val="3"/>
        <w:rPr>
          <w:rFonts w:hint="eastAsia" w:ascii="仿宋" w:hAnsi="仿宋" w:eastAsia="仿宋" w:cs="仿宋"/>
          <w:b/>
          <w:bCs/>
          <w:sz w:val="28"/>
          <w:szCs w:val="28"/>
          <w:highlight w:val="none"/>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w:t>
      </w:r>
      <w:r>
        <w:rPr>
          <w:rFonts w:hint="eastAsia" w:ascii="仿宋" w:hAnsi="仿宋" w:eastAsia="仿宋" w:cs="仿宋"/>
          <w:b/>
          <w:bCs/>
          <w:sz w:val="28"/>
          <w:szCs w:val="28"/>
          <w:highlight w:val="none"/>
        </w:rPr>
        <w:t>3、报价人须在其报价文件中明确本项目负责人</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提供身份证、公司为其购买</w:t>
      </w:r>
      <w:r>
        <w:rPr>
          <w:rFonts w:hint="eastAsia" w:ascii="仿宋" w:hAnsi="仿宋" w:eastAsia="仿宋" w:cs="仿宋"/>
          <w:b/>
          <w:bCs/>
          <w:sz w:val="28"/>
          <w:szCs w:val="28"/>
          <w:highlight w:val="none"/>
          <w:lang w:val="en-US" w:eastAsia="zh-CN"/>
        </w:rPr>
        <w:t>的</w:t>
      </w:r>
      <w:r>
        <w:rPr>
          <w:rFonts w:hint="eastAsia" w:ascii="仿宋" w:hAnsi="仿宋" w:eastAsia="仿宋" w:cs="仿宋"/>
          <w:b/>
          <w:bCs/>
          <w:sz w:val="28"/>
          <w:szCs w:val="28"/>
          <w:highlight w:val="none"/>
        </w:rPr>
        <w:t>近</w:t>
      </w:r>
      <w:r>
        <w:rPr>
          <w:rFonts w:hint="eastAsia" w:ascii="仿宋" w:hAnsi="仿宋" w:eastAsia="仿宋" w:cs="仿宋"/>
          <w:b/>
          <w:bCs/>
          <w:sz w:val="28"/>
          <w:szCs w:val="28"/>
          <w:highlight w:val="none"/>
          <w:lang w:val="en-US" w:eastAsia="zh-CN"/>
        </w:rPr>
        <w:t>半年内连续三个月的</w:t>
      </w:r>
      <w:r>
        <w:rPr>
          <w:rFonts w:hint="eastAsia" w:ascii="仿宋" w:hAnsi="仿宋" w:eastAsia="仿宋" w:cs="仿宋"/>
          <w:b/>
          <w:bCs/>
          <w:sz w:val="28"/>
          <w:szCs w:val="28"/>
          <w:highlight w:val="none"/>
        </w:rPr>
        <w:t>社保证明</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w:t>
      </w:r>
    </w:p>
    <w:p>
      <w:pPr>
        <w:pStyle w:val="2"/>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eastAsia="仿宋"/>
          <w:b/>
          <w:bCs/>
          <w:color w:val="000000" w:themeColor="text1"/>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4、成交人须预留并开放与政府部门（城管局、环保局、政数局等）、东莞市东实新能源有限公司监控系统的端口及协议，具备联网传输手机实时监控功能，并配合采购人做好联网的对接工作，完成联网的物理接入。</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3"/>
        <w:rPr>
          <w:rFonts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、本工程项目不安排集中勘察现场，报价人如有需要可自行前往，所含的费用自付。对项目要求及现场有疑问，可咨询项目负责人</w:t>
      </w:r>
      <w:r>
        <w:rPr>
          <w:rFonts w:hint="eastAsia" w:ascii="仿宋" w:hAnsi="仿宋" w:eastAsia="仿宋" w:cs="仿宋"/>
          <w:sz w:val="28"/>
          <w:szCs w:val="28"/>
          <w:u w:val="single"/>
        </w:rPr>
        <w:t>李工</w:t>
      </w:r>
      <w:r>
        <w:rPr>
          <w:rFonts w:hint="eastAsia" w:ascii="仿宋" w:hAnsi="仿宋" w:eastAsia="仿宋" w:cs="仿宋"/>
          <w:sz w:val="28"/>
          <w:szCs w:val="28"/>
        </w:rPr>
        <w:t>：电话号码：</w:t>
      </w:r>
      <w:r>
        <w:rPr>
          <w:rFonts w:hint="eastAsia" w:ascii="仿宋" w:hAnsi="仿宋" w:eastAsia="仿宋" w:cs="仿宋"/>
          <w:sz w:val="28"/>
          <w:szCs w:val="28"/>
          <w:u w:val="single"/>
        </w:rPr>
        <w:t>13423415580</w:t>
      </w:r>
      <w:r>
        <w:rPr>
          <w:rFonts w:hint="eastAsia" w:ascii="仿宋" w:hAnsi="仿宋" w:eastAsia="仿宋" w:cs="仿宋"/>
          <w:sz w:val="28"/>
          <w:szCs w:val="28"/>
        </w:rPr>
        <w:t>。</w:t>
      </w:r>
    </w:p>
    <w:p>
      <w:pPr>
        <w:pStyle w:val="32"/>
        <w:snapToGrid w:val="0"/>
        <w:spacing w:line="300" w:lineRule="auto"/>
        <w:ind w:firstLine="562"/>
        <w:outlineLvl w:val="1"/>
        <w:rPr>
          <w:rFonts w:ascii="仿宋" w:hAnsi="仿宋" w:eastAsia="仿宋" w:cs="仿宋"/>
          <w:b/>
          <w:bCs/>
          <w:sz w:val="28"/>
          <w:szCs w:val="28"/>
        </w:rPr>
      </w:pPr>
      <w:r>
        <w:rPr>
          <w:rFonts w:hint="eastAsia" w:ascii="仿宋" w:hAnsi="仿宋" w:eastAsia="仿宋" w:cs="仿宋"/>
          <w:b/>
          <w:bCs/>
          <w:sz w:val="28"/>
          <w:szCs w:val="28"/>
        </w:rPr>
        <w:t>五、工期</w:t>
      </w:r>
    </w:p>
    <w:p>
      <w:pPr>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自结果确认函发出之日起：生活区在7个日历天内完成安装并</w:t>
      </w:r>
      <w:r>
        <w:rPr>
          <w:rFonts w:hint="eastAsia" w:ascii="仿宋" w:hAnsi="仿宋" w:eastAsia="仿宋" w:cs="仿宋"/>
          <w:sz w:val="28"/>
          <w:szCs w:val="28"/>
          <w:lang w:val="en-US" w:eastAsia="zh-CN"/>
        </w:rPr>
        <w:t>交付采购人使用</w:t>
      </w:r>
      <w:r>
        <w:rPr>
          <w:rFonts w:hint="eastAsia" w:ascii="仿宋" w:hAnsi="仿宋" w:eastAsia="仿宋" w:cs="仿宋"/>
          <w:sz w:val="28"/>
          <w:szCs w:val="28"/>
        </w:rPr>
        <w:t>；项目周边、出入口、生产车间在15个日历天内完成安装并</w:t>
      </w:r>
      <w:r>
        <w:rPr>
          <w:rFonts w:hint="eastAsia" w:ascii="仿宋" w:hAnsi="仿宋" w:eastAsia="仿宋" w:cs="仿宋"/>
          <w:sz w:val="28"/>
          <w:szCs w:val="28"/>
          <w:lang w:val="en-US" w:eastAsia="zh-CN"/>
        </w:rPr>
        <w:t>交付采购人使用</w:t>
      </w:r>
      <w:r>
        <w:rPr>
          <w:rFonts w:hint="eastAsia" w:ascii="仿宋" w:hAnsi="仿宋" w:eastAsia="仿宋" w:cs="仿宋"/>
          <w:sz w:val="28"/>
          <w:szCs w:val="28"/>
        </w:rPr>
        <w:t>。</w:t>
      </w:r>
    </w:p>
    <w:p>
      <w:pPr>
        <w:pStyle w:val="32"/>
        <w:snapToGrid w:val="0"/>
        <w:spacing w:line="300" w:lineRule="auto"/>
        <w:ind w:firstLine="562"/>
        <w:outlineLvl w:val="1"/>
        <w:rPr>
          <w:rFonts w:ascii="仿宋" w:hAnsi="仿宋" w:eastAsia="仿宋" w:cs="仿宋"/>
          <w:b/>
          <w:bCs/>
          <w:sz w:val="28"/>
          <w:szCs w:val="28"/>
        </w:rPr>
      </w:pPr>
      <w:r>
        <w:rPr>
          <w:rFonts w:hint="eastAsia" w:ascii="仿宋" w:hAnsi="仿宋" w:eastAsia="仿宋" w:cs="仿宋"/>
          <w:b/>
          <w:bCs/>
          <w:sz w:val="28"/>
          <w:szCs w:val="28"/>
        </w:rPr>
        <w:t>六、支付方式</w:t>
      </w:r>
    </w:p>
    <w:p>
      <w:pPr>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第一期：全部设备完成安装并经采购人验收合格后，向采购人提交合同金额100%的有效增值税专用发票及请款资料，采购人在收到前述有效资料的30个工作日内向成交人支付至合同总价的97%。</w:t>
      </w:r>
    </w:p>
    <w:p>
      <w:pPr>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第二期：剩余合同总价的3%为质保金，质保期满且无任何质量问题，成交人提交请款资料，采购人在收到前述有效资料的30个工作日内一次性支付。</w:t>
      </w:r>
    </w:p>
    <w:p>
      <w:pPr>
        <w:pStyle w:val="32"/>
        <w:snapToGrid w:val="0"/>
        <w:spacing w:line="300" w:lineRule="auto"/>
        <w:ind w:firstLine="560"/>
        <w:outlineLvl w:val="1"/>
        <w:rPr>
          <w:rFonts w:ascii="仿宋" w:hAnsi="仿宋" w:eastAsia="仿宋" w:cs="仿宋"/>
          <w:sz w:val="28"/>
          <w:szCs w:val="28"/>
        </w:rPr>
      </w:pPr>
      <w:r>
        <w:rPr>
          <w:rFonts w:hint="eastAsia" w:ascii="仿宋" w:hAnsi="仿宋" w:eastAsia="仿宋"/>
          <w:color w:val="000000" w:themeColor="text1"/>
          <w:sz w:val="28"/>
          <w:szCs w:val="28"/>
          <w14:textFill>
            <w14:solidFill>
              <w14:schemeClr w14:val="tx1"/>
            </w14:solidFill>
          </w14:textFill>
        </w:rPr>
        <w:t>注：成交人缴存的履约保证金在采购人验收合格后，成交人没有任何违约的情况下由成交人提交退款申请，采购人在收到退款申请后30个日历日内一次性无息退回</w:t>
      </w:r>
      <w:r>
        <w:rPr>
          <w:rFonts w:hint="eastAsia" w:ascii="仿宋" w:hAnsi="仿宋" w:eastAsia="仿宋" w:cs="仿宋"/>
          <w:sz w:val="28"/>
          <w:szCs w:val="28"/>
        </w:rPr>
        <w:t>。</w:t>
      </w:r>
    </w:p>
    <w:p>
      <w:pPr>
        <w:pStyle w:val="32"/>
        <w:snapToGrid w:val="0"/>
        <w:spacing w:line="300" w:lineRule="auto"/>
        <w:ind w:firstLine="562"/>
        <w:outlineLvl w:val="1"/>
        <w:rPr>
          <w:rFonts w:ascii="仿宋" w:hAnsi="仿宋" w:eastAsia="仿宋" w:cs="仿宋"/>
          <w:b/>
          <w:bCs/>
          <w:sz w:val="28"/>
          <w:szCs w:val="28"/>
        </w:rPr>
      </w:pPr>
      <w:r>
        <w:rPr>
          <w:rFonts w:hint="eastAsia" w:ascii="仿宋" w:hAnsi="仿宋" w:eastAsia="仿宋" w:cs="仿宋"/>
          <w:b/>
          <w:bCs/>
          <w:sz w:val="28"/>
          <w:szCs w:val="28"/>
        </w:rPr>
        <w:t>七、报价</w:t>
      </w:r>
    </w:p>
    <w:p>
      <w:pPr>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1、最高限价：</w:t>
      </w:r>
      <w:r>
        <w:rPr>
          <w:rFonts w:hint="eastAsia" w:ascii="仿宋" w:hAnsi="仿宋" w:eastAsia="仿宋" w:cs="仿宋"/>
          <w:sz w:val="28"/>
          <w:szCs w:val="28"/>
          <w:u w:val="single"/>
        </w:rPr>
        <w:t>￥281,981.04元</w:t>
      </w:r>
      <w:r>
        <w:rPr>
          <w:rFonts w:hint="eastAsia" w:ascii="仿宋" w:hAnsi="仿宋" w:eastAsia="仿宋" w:cs="仿宋"/>
          <w:sz w:val="28"/>
          <w:szCs w:val="28"/>
        </w:rPr>
        <w:t>（含税）。</w:t>
      </w:r>
    </w:p>
    <w:p>
      <w:pPr>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2、本工程实行固定价格报价，合同为固定总价包干。报价包含设备费、税费、保险费（如有）、包装费（含防护）、人工费、耗材费、运输费、装卸费等一切为满足项目实施可能产生的费用。要求报价人提供总价及分项报价（如有），分项包括报价人认为需要列出的其他分项。报价人所报价格总和不得高于最高限价。</w:t>
      </w:r>
    </w:p>
    <w:p>
      <w:pPr>
        <w:pStyle w:val="32"/>
        <w:snapToGrid w:val="0"/>
        <w:spacing w:line="300" w:lineRule="auto"/>
        <w:ind w:firstLine="562"/>
        <w:outlineLvl w:val="1"/>
        <w:rPr>
          <w:rFonts w:ascii="仿宋" w:hAnsi="仿宋" w:eastAsia="仿宋" w:cs="仿宋"/>
          <w:b/>
          <w:bCs/>
          <w:sz w:val="28"/>
          <w:szCs w:val="28"/>
        </w:rPr>
      </w:pPr>
      <w:r>
        <w:rPr>
          <w:rFonts w:hint="eastAsia" w:ascii="仿宋" w:hAnsi="仿宋" w:eastAsia="仿宋" w:cs="仿宋"/>
          <w:b/>
          <w:bCs/>
          <w:sz w:val="28"/>
          <w:szCs w:val="28"/>
        </w:rPr>
        <w:t>八、定标</w:t>
      </w:r>
    </w:p>
    <w:p>
      <w:pPr>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本次项目采用询价方式进行采购，原则上以含税总价的最低报价的报价人为成交人。</w:t>
      </w:r>
    </w:p>
    <w:p>
      <w:pPr>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开标结束后由采购人招标成本部将相关询价情况报采购人招标采购工作小组审定，由采购人招标采购工作小组定标。</w:t>
      </w:r>
    </w:p>
    <w:p>
      <w:pPr>
        <w:pStyle w:val="32"/>
        <w:snapToGrid w:val="0"/>
        <w:spacing w:line="300" w:lineRule="auto"/>
        <w:ind w:firstLine="562"/>
        <w:outlineLvl w:val="1"/>
        <w:rPr>
          <w:rFonts w:ascii="仿宋" w:hAnsi="仿宋" w:eastAsia="仿宋" w:cs="仿宋"/>
          <w:b/>
          <w:bCs/>
          <w:sz w:val="28"/>
          <w:szCs w:val="28"/>
        </w:rPr>
      </w:pPr>
      <w:r>
        <w:rPr>
          <w:rFonts w:hint="eastAsia" w:ascii="仿宋" w:hAnsi="仿宋" w:eastAsia="仿宋" w:cs="仿宋"/>
          <w:b/>
          <w:bCs/>
          <w:sz w:val="28"/>
          <w:szCs w:val="28"/>
        </w:rPr>
        <w:t>九、采取的合同文本</w:t>
      </w:r>
    </w:p>
    <w:p>
      <w:pPr>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合同签订的依据为询价函、报价文件及补充说明等。确定成交人后，成交人在</w:t>
      </w:r>
      <w:r>
        <w:rPr>
          <w:rFonts w:hint="eastAsia" w:ascii="仿宋" w:hAnsi="仿宋" w:eastAsia="仿宋" w:cs="仿宋"/>
          <w:sz w:val="28"/>
          <w:szCs w:val="28"/>
          <w:u w:val="single"/>
        </w:rPr>
        <w:t>10</w:t>
      </w:r>
      <w:r>
        <w:rPr>
          <w:rFonts w:hint="eastAsia" w:ascii="仿宋" w:hAnsi="仿宋" w:eastAsia="仿宋" w:cs="仿宋"/>
          <w:sz w:val="28"/>
          <w:szCs w:val="28"/>
        </w:rPr>
        <w:t>个工作日内与采购人签订合同（详见附件合同模板）。</w:t>
      </w:r>
    </w:p>
    <w:p>
      <w:pPr>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报价人收款前需向采购人提供请款材料和开具合法有效等额的增值税专用发票，否则采购人有权拒绝付款。</w:t>
      </w:r>
    </w:p>
    <w:p>
      <w:pPr>
        <w:pStyle w:val="32"/>
        <w:snapToGrid w:val="0"/>
        <w:spacing w:line="300" w:lineRule="auto"/>
        <w:ind w:firstLine="560"/>
        <w:outlineLvl w:val="1"/>
        <w:rPr>
          <w:rFonts w:ascii="仿宋" w:hAnsi="仿宋" w:eastAsia="仿宋" w:cs="仿宋"/>
          <w:b/>
          <w:bCs/>
          <w:sz w:val="28"/>
          <w:szCs w:val="28"/>
        </w:rPr>
      </w:pPr>
      <w:r>
        <w:rPr>
          <w:rFonts w:hint="eastAsia" w:ascii="仿宋" w:hAnsi="仿宋" w:eastAsia="仿宋" w:cs="仿宋"/>
          <w:sz w:val="28"/>
          <w:szCs w:val="28"/>
          <w:lang w:bidi="ar"/>
        </w:rPr>
        <w:sym w:font="Wingdings" w:char="00AB"/>
      </w:r>
      <w:r>
        <w:rPr>
          <w:rFonts w:hint="eastAsia" w:ascii="仿宋" w:hAnsi="仿宋" w:eastAsia="仿宋" w:cs="仿宋"/>
          <w:b/>
          <w:bCs/>
          <w:sz w:val="28"/>
          <w:szCs w:val="28"/>
        </w:rPr>
        <w:t>十、报价文件的组成部分（报价人如未按本项要求提供资料，则作无效报价处理）</w:t>
      </w:r>
    </w:p>
    <w:p>
      <w:pPr>
        <w:pStyle w:val="32"/>
        <w:snapToGrid w:val="0"/>
        <w:spacing w:line="300" w:lineRule="auto"/>
        <w:ind w:firstLine="560"/>
        <w:outlineLvl w:val="1"/>
        <w:rPr>
          <w:rFonts w:ascii="仿宋" w:hAnsi="仿宋" w:eastAsia="仿宋" w:cs="仿宋"/>
          <w:sz w:val="28"/>
          <w:szCs w:val="28"/>
        </w:rPr>
      </w:pPr>
      <w:r>
        <w:rPr>
          <w:rFonts w:hint="eastAsia" w:ascii="仿宋" w:hAnsi="仿宋" w:eastAsia="仿宋" w:cs="仿宋"/>
          <w:sz w:val="28"/>
          <w:szCs w:val="28"/>
        </w:rPr>
        <w:t>1、报价函（模板，详见附件）及报价清单（</w:t>
      </w:r>
      <w:r>
        <w:rPr>
          <w:rFonts w:hint="eastAsia" w:ascii="仿宋" w:hAnsi="仿宋" w:eastAsia="仿宋" w:cs="仿宋"/>
          <w:sz w:val="28"/>
          <w:szCs w:val="28"/>
          <w:lang w:val="en-US" w:eastAsia="zh-CN"/>
        </w:rPr>
        <w:t>参照招标控制价及工程量清单格式</w:t>
      </w:r>
      <w:r>
        <w:rPr>
          <w:rFonts w:hint="eastAsia" w:ascii="仿宋" w:hAnsi="仿宋" w:eastAsia="仿宋" w:cs="仿宋"/>
          <w:sz w:val="28"/>
          <w:szCs w:val="28"/>
        </w:rPr>
        <w:t>）【加盖公章】；</w:t>
      </w:r>
    </w:p>
    <w:p>
      <w:pPr>
        <w:pStyle w:val="32"/>
        <w:snapToGrid w:val="0"/>
        <w:spacing w:line="300" w:lineRule="auto"/>
        <w:ind w:firstLine="560"/>
        <w:outlineLvl w:val="1"/>
        <w:rPr>
          <w:rFonts w:ascii="仿宋" w:hAnsi="仿宋" w:eastAsia="仿宋" w:cs="仿宋"/>
          <w:sz w:val="28"/>
          <w:szCs w:val="28"/>
        </w:rPr>
      </w:pPr>
      <w:r>
        <w:rPr>
          <w:rFonts w:hint="eastAsia" w:ascii="仿宋" w:hAnsi="仿宋" w:eastAsia="仿宋" w:cs="仿宋"/>
          <w:sz w:val="28"/>
          <w:szCs w:val="28"/>
        </w:rPr>
        <w:t>2、法人证明（模板，详见附件）以及法人身份证复印件【加盖公章】；</w:t>
      </w:r>
    </w:p>
    <w:p>
      <w:pPr>
        <w:pStyle w:val="32"/>
        <w:snapToGrid w:val="0"/>
        <w:spacing w:line="300" w:lineRule="auto"/>
        <w:ind w:firstLine="560"/>
        <w:outlineLvl w:val="1"/>
        <w:rPr>
          <w:rFonts w:ascii="仿宋" w:hAnsi="仿宋" w:eastAsia="仿宋" w:cs="仿宋"/>
          <w:sz w:val="28"/>
          <w:szCs w:val="28"/>
        </w:rPr>
      </w:pPr>
      <w:r>
        <w:rPr>
          <w:rFonts w:hint="eastAsia" w:ascii="仿宋" w:hAnsi="仿宋" w:eastAsia="仿宋" w:cs="仿宋"/>
          <w:sz w:val="28"/>
          <w:szCs w:val="28"/>
        </w:rPr>
        <w:t>3、法人授权书（模板，详见附件）及被委托人身份证复印件【加盖公章】；</w:t>
      </w:r>
    </w:p>
    <w:p>
      <w:pPr>
        <w:pStyle w:val="32"/>
        <w:snapToGrid w:val="0"/>
        <w:spacing w:line="300" w:lineRule="auto"/>
        <w:ind w:firstLine="560"/>
        <w:outlineLvl w:val="1"/>
        <w:rPr>
          <w:rFonts w:ascii="仿宋" w:hAnsi="仿宋" w:eastAsia="仿宋" w:cs="仿宋"/>
          <w:sz w:val="28"/>
          <w:szCs w:val="28"/>
        </w:rPr>
      </w:pPr>
      <w:r>
        <w:rPr>
          <w:rFonts w:hint="eastAsia" w:ascii="仿宋" w:hAnsi="仿宋" w:eastAsia="仿宋" w:cs="仿宋"/>
          <w:sz w:val="28"/>
          <w:szCs w:val="28"/>
        </w:rPr>
        <w:t>4、本询价文件中第三条资格条件中要求提供证明材料【加盖公章】；</w:t>
      </w:r>
    </w:p>
    <w:p>
      <w:pPr>
        <w:pStyle w:val="32"/>
        <w:snapToGrid w:val="0"/>
        <w:spacing w:line="300" w:lineRule="auto"/>
        <w:ind w:firstLine="560"/>
        <w:outlineLvl w:val="1"/>
        <w:rPr>
          <w:rFonts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、报价人未到场声明（邮寄报价必须提供，模板，详见附件）【加盖公章】；</w:t>
      </w:r>
    </w:p>
    <w:p>
      <w:pPr>
        <w:pStyle w:val="32"/>
        <w:snapToGrid w:val="0"/>
        <w:spacing w:line="300" w:lineRule="auto"/>
        <w:ind w:firstLine="560"/>
        <w:outlineLvl w:val="1"/>
        <w:rPr>
          <w:rFonts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、报价保证金汇入情况说明【加盖公章】；</w:t>
      </w:r>
    </w:p>
    <w:p>
      <w:pPr>
        <w:pStyle w:val="32"/>
        <w:snapToGrid w:val="0"/>
        <w:spacing w:line="300" w:lineRule="auto"/>
        <w:ind w:firstLine="560"/>
        <w:outlineLvl w:val="1"/>
        <w:rPr>
          <w:rFonts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、报价人为本项目负责人购买的近半年内连续三个月的社保证明【加盖公章】；</w:t>
      </w:r>
    </w:p>
    <w:p>
      <w:pPr>
        <w:pStyle w:val="32"/>
        <w:snapToGrid w:val="0"/>
        <w:spacing w:line="300" w:lineRule="auto"/>
        <w:ind w:firstLine="560"/>
        <w:outlineLvl w:val="1"/>
        <w:rPr>
          <w:rFonts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w:t>
      </w:r>
      <w:r>
        <w:rPr>
          <w:rFonts w:ascii="仿宋" w:hAnsi="仿宋" w:eastAsia="仿宋" w:cs="仿宋"/>
          <w:sz w:val="28"/>
          <w:szCs w:val="28"/>
        </w:rPr>
        <w:t>本项目询价文件要求的其他资料</w:t>
      </w:r>
      <w:r>
        <w:rPr>
          <w:rFonts w:hint="eastAsia" w:ascii="仿宋" w:hAnsi="仿宋" w:eastAsia="仿宋" w:cs="仿宋"/>
          <w:sz w:val="28"/>
          <w:szCs w:val="28"/>
        </w:rPr>
        <w:t>（如有</w:t>
      </w:r>
      <w:bookmarkStart w:id="12" w:name="_GoBack"/>
      <w:bookmarkEnd w:id="12"/>
      <w:r>
        <w:rPr>
          <w:rFonts w:hint="eastAsia" w:ascii="仿宋" w:hAnsi="仿宋" w:eastAsia="仿宋" w:cs="仿宋"/>
          <w:sz w:val="28"/>
          <w:szCs w:val="28"/>
        </w:rPr>
        <w:t>）【加盖公章】。</w:t>
      </w:r>
    </w:p>
    <w:p>
      <w:pPr>
        <w:pStyle w:val="32"/>
        <w:snapToGrid w:val="0"/>
        <w:spacing w:line="300" w:lineRule="auto"/>
        <w:ind w:firstLine="562"/>
        <w:outlineLvl w:val="1"/>
        <w:rPr>
          <w:rFonts w:ascii="仿宋" w:hAnsi="仿宋" w:eastAsia="仿宋" w:cs="仿宋"/>
          <w:b/>
          <w:bCs/>
          <w:sz w:val="28"/>
          <w:szCs w:val="28"/>
        </w:rPr>
      </w:pPr>
      <w:r>
        <w:rPr>
          <w:rFonts w:hint="eastAsia" w:ascii="仿宋" w:hAnsi="仿宋" w:eastAsia="仿宋" w:cs="仿宋"/>
          <w:b/>
          <w:bCs/>
          <w:sz w:val="28"/>
          <w:szCs w:val="28"/>
        </w:rPr>
        <w:t>十一、响应文件份数</w:t>
      </w:r>
      <w:bookmarkStart w:id="2" w:name="_Hlk90414502"/>
      <w:r>
        <w:rPr>
          <w:rFonts w:hint="eastAsia" w:ascii="仿宋" w:hAnsi="仿宋" w:eastAsia="仿宋" w:cs="仿宋"/>
          <w:b/>
          <w:bCs/>
          <w:sz w:val="28"/>
          <w:szCs w:val="28"/>
        </w:rPr>
        <w:t>及要求</w:t>
      </w:r>
      <w:bookmarkEnd w:id="2"/>
    </w:p>
    <w:p>
      <w:pPr>
        <w:snapToGrid w:val="0"/>
        <w:spacing w:line="30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1、正本一份、副本一份。</w:t>
      </w:r>
    </w:p>
    <w:p>
      <w:pPr>
        <w:snapToGrid w:val="0"/>
        <w:spacing w:line="30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2、报价人须严格按照采购人提供的表单格式及要求报价，响应文件必须装订或胶装成册，正本必须每页加盖公章，副本可使用正本复印件并于封面及骑缝处加盖公章。</w:t>
      </w:r>
    </w:p>
    <w:p>
      <w:pPr>
        <w:snapToGrid w:val="0"/>
        <w:spacing w:line="30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3、响应文件必须密封完好，装有响应文件的文件袋须贴有密封条，于骑缝处加盖企业公章。不得以快递文件袋作为密封。</w:t>
      </w:r>
    </w:p>
    <w:p>
      <w:pPr>
        <w:snapToGrid w:val="0"/>
        <w:spacing w:line="30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4、报价人所递交的响应文件必须为盖章原件，公章、私章或签字不得为彩色/黑白的打印件/复印件。</w:t>
      </w:r>
    </w:p>
    <w:p>
      <w:pPr>
        <w:snapToGrid w:val="0"/>
        <w:spacing w:line="30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5、报价人需将本项目密封文件袋封面（附件一）粘贴于响应文件密封袋上。</w:t>
      </w:r>
    </w:p>
    <w:p>
      <w:pPr>
        <w:snapToGrid w:val="0"/>
        <w:spacing w:line="30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6、不符合本项要求的响应文件为无效报价。</w:t>
      </w:r>
    </w:p>
    <w:p>
      <w:pPr>
        <w:snapToGrid w:val="0"/>
        <w:spacing w:line="30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7、须提供电子版报价文件（报价文件正本加盖公章的PDF版本，u盘随正本一起密封）。</w:t>
      </w:r>
    </w:p>
    <w:p>
      <w:pPr>
        <w:pStyle w:val="32"/>
        <w:snapToGrid w:val="0"/>
        <w:spacing w:line="300" w:lineRule="auto"/>
        <w:ind w:firstLine="562"/>
        <w:outlineLvl w:val="1"/>
        <w:rPr>
          <w:rFonts w:ascii="仿宋" w:hAnsi="仿宋" w:eastAsia="仿宋" w:cs="仿宋"/>
          <w:b/>
          <w:bCs/>
          <w:sz w:val="28"/>
          <w:szCs w:val="28"/>
        </w:rPr>
      </w:pPr>
      <w:r>
        <w:rPr>
          <w:rFonts w:hint="eastAsia" w:ascii="仿宋" w:hAnsi="仿宋" w:eastAsia="仿宋" w:cs="仿宋"/>
          <w:b/>
          <w:bCs/>
          <w:sz w:val="28"/>
          <w:szCs w:val="28"/>
        </w:rPr>
        <w:t>十二、保证金</w:t>
      </w:r>
    </w:p>
    <w:p>
      <w:pPr>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1、各报价人应按询价文件规定的金额（限价</w:t>
      </w:r>
      <w:r>
        <w:rPr>
          <w:rFonts w:hint="eastAsia" w:ascii="仿宋" w:hAnsi="仿宋" w:eastAsia="仿宋" w:cs="仿宋"/>
          <w:sz w:val="28"/>
          <w:szCs w:val="28"/>
          <w:u w:val="single"/>
        </w:rPr>
        <w:t>2%</w:t>
      </w:r>
      <w:r>
        <w:rPr>
          <w:rFonts w:hint="eastAsia" w:ascii="仿宋" w:hAnsi="仿宋" w:eastAsia="仿宋" w:cs="仿宋"/>
          <w:sz w:val="28"/>
          <w:szCs w:val="28"/>
        </w:rPr>
        <w:t>）在</w:t>
      </w:r>
      <w:r>
        <w:rPr>
          <w:rFonts w:hint="eastAsia" w:ascii="仿宋" w:hAnsi="仿宋" w:eastAsia="仿宋" w:cs="仿宋"/>
          <w:b/>
          <w:bCs/>
          <w:sz w:val="28"/>
          <w:szCs w:val="28"/>
        </w:rPr>
        <w:t>项目开标前</w:t>
      </w:r>
      <w:r>
        <w:rPr>
          <w:rFonts w:hint="eastAsia" w:ascii="仿宋" w:hAnsi="仿宋" w:eastAsia="仿宋" w:cs="仿宋"/>
          <w:sz w:val="28"/>
          <w:szCs w:val="28"/>
        </w:rPr>
        <w:t>交纳报价保证金到东莞市新东湾环保投资有限公司（银行转账，不接受第三方担保及现金），未成交的报价人报价保证金在开标结束后无息退还。</w:t>
      </w:r>
    </w:p>
    <w:p>
      <w:pPr>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成交人缴纳的报价保证金在双方签订合同且成交人提交履约保证金</w:t>
      </w:r>
      <w:r>
        <w:rPr>
          <w:rFonts w:hint="eastAsia" w:ascii="仿宋" w:hAnsi="仿宋" w:eastAsia="仿宋" w:cs="仿宋"/>
          <w:sz w:val="28"/>
          <w:szCs w:val="28"/>
          <w:highlight w:val="none"/>
        </w:rPr>
        <w:t>（成交金额的5%）</w:t>
      </w:r>
      <w:r>
        <w:rPr>
          <w:rFonts w:hint="eastAsia" w:ascii="仿宋" w:hAnsi="仿宋" w:eastAsia="仿宋" w:cs="仿宋"/>
          <w:sz w:val="28"/>
          <w:szCs w:val="28"/>
        </w:rPr>
        <w:t>后（银行转账，不接受第三方担保及现金），由采购人一次性无息退回。</w:t>
      </w:r>
    </w:p>
    <w:p>
      <w:pPr>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履约保证金申请返还时间为采购人</w:t>
      </w:r>
      <w:r>
        <w:rPr>
          <w:rFonts w:hint="eastAsia" w:ascii="仿宋" w:hAnsi="仿宋" w:eastAsia="仿宋" w:cs="仿宋"/>
          <w:sz w:val="28"/>
          <w:szCs w:val="28"/>
          <w:lang w:val="en-US" w:eastAsia="zh-CN"/>
        </w:rPr>
        <w:t>验收</w:t>
      </w:r>
      <w:r>
        <w:rPr>
          <w:rFonts w:hint="eastAsia" w:ascii="仿宋" w:hAnsi="仿宋" w:eastAsia="仿宋" w:cs="仿宋"/>
          <w:sz w:val="28"/>
          <w:szCs w:val="28"/>
        </w:rPr>
        <w:t>合格之日，成交人没有任何违约的情况下由成交人提交退款申请，收到成交人申请后</w:t>
      </w:r>
      <w:r>
        <w:rPr>
          <w:rFonts w:hint="eastAsia" w:ascii="仿宋" w:hAnsi="仿宋" w:eastAsia="仿宋" w:cs="仿宋"/>
          <w:sz w:val="28"/>
          <w:szCs w:val="28"/>
          <w:u w:val="single"/>
        </w:rPr>
        <w:t>30</w:t>
      </w:r>
      <w:r>
        <w:rPr>
          <w:rFonts w:hint="eastAsia" w:ascii="仿宋" w:hAnsi="仿宋" w:eastAsia="仿宋" w:cs="仿宋"/>
          <w:sz w:val="28"/>
          <w:szCs w:val="28"/>
        </w:rPr>
        <w:t>个日历天内，采购人一次性无息退回。</w:t>
      </w:r>
      <w:bookmarkStart w:id="3" w:name="_Hlk80275625"/>
    </w:p>
    <w:bookmarkEnd w:id="3"/>
    <w:p>
      <w:pPr>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2、报价人与交款人名称必须一致，非报价人缴纳的报价保证金无效。</w:t>
      </w:r>
    </w:p>
    <w:p>
      <w:pPr>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3、报价保证金金额：¥</w:t>
      </w:r>
      <w:r>
        <w:rPr>
          <w:rFonts w:hint="eastAsia" w:ascii="仿宋" w:hAnsi="仿宋" w:eastAsia="仿宋" w:cs="仿宋"/>
          <w:sz w:val="28"/>
          <w:szCs w:val="28"/>
          <w:u w:val="single"/>
          <w:lang w:val="en-US" w:eastAsia="zh-CN"/>
        </w:rPr>
        <w:t>5600.00</w:t>
      </w:r>
      <w:r>
        <w:rPr>
          <w:rFonts w:hint="eastAsia" w:ascii="仿宋" w:hAnsi="仿宋" w:eastAsia="仿宋" w:cs="仿宋"/>
          <w:sz w:val="28"/>
          <w:szCs w:val="28"/>
        </w:rPr>
        <w:t>元（大写：</w:t>
      </w:r>
      <w:r>
        <w:rPr>
          <w:rFonts w:hint="eastAsia" w:ascii="仿宋" w:hAnsi="仿宋" w:eastAsia="仿宋" w:cs="仿宋"/>
          <w:sz w:val="28"/>
          <w:szCs w:val="28"/>
          <w:u w:val="single"/>
          <w:lang w:val="en-US" w:eastAsia="zh-CN"/>
        </w:rPr>
        <w:t>伍仟陆佰元整</w:t>
      </w:r>
      <w:r>
        <w:rPr>
          <w:rFonts w:hint="eastAsia" w:ascii="仿宋" w:hAnsi="仿宋" w:eastAsia="仿宋" w:cs="仿宋"/>
          <w:sz w:val="28"/>
          <w:szCs w:val="28"/>
        </w:rPr>
        <w:t>）。</w:t>
      </w:r>
    </w:p>
    <w:p>
      <w:pPr>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4、报价保证金收款账户信息：</w:t>
      </w:r>
    </w:p>
    <w:p>
      <w:pPr>
        <w:snapToGrid w:val="0"/>
        <w:spacing w:line="300" w:lineRule="auto"/>
        <w:ind w:firstLine="560" w:firstLineChars="200"/>
        <w:rPr>
          <w:rFonts w:ascii="仿宋" w:hAnsi="仿宋" w:eastAsia="仿宋"/>
          <w:sz w:val="28"/>
          <w:szCs w:val="28"/>
        </w:rPr>
      </w:pPr>
      <w:r>
        <w:rPr>
          <w:rFonts w:ascii="仿宋" w:hAnsi="仿宋" w:eastAsia="仿宋"/>
          <w:sz w:val="28"/>
          <w:szCs w:val="28"/>
        </w:rPr>
        <w:t>帐户名称：</w:t>
      </w:r>
      <w:r>
        <w:rPr>
          <w:rFonts w:hint="eastAsia" w:ascii="仿宋" w:hAnsi="仿宋" w:eastAsia="仿宋"/>
          <w:sz w:val="28"/>
          <w:szCs w:val="28"/>
          <w:u w:val="single"/>
        </w:rPr>
        <w:t>东莞市新东湾环保投资有限公司</w:t>
      </w:r>
    </w:p>
    <w:p>
      <w:pPr>
        <w:snapToGrid w:val="0"/>
        <w:spacing w:line="300" w:lineRule="auto"/>
        <w:ind w:firstLine="560" w:firstLineChars="200"/>
        <w:rPr>
          <w:rFonts w:ascii="仿宋" w:hAnsi="仿宋" w:eastAsia="仿宋"/>
          <w:sz w:val="28"/>
          <w:szCs w:val="28"/>
        </w:rPr>
      </w:pPr>
      <w:r>
        <w:rPr>
          <w:rFonts w:ascii="仿宋" w:hAnsi="仿宋" w:eastAsia="仿宋"/>
          <w:sz w:val="28"/>
          <w:szCs w:val="28"/>
        </w:rPr>
        <w:t>开户银行：</w:t>
      </w:r>
      <w:r>
        <w:rPr>
          <w:rFonts w:hint="eastAsia" w:ascii="仿宋" w:hAnsi="仿宋" w:eastAsia="仿宋"/>
          <w:sz w:val="28"/>
          <w:szCs w:val="28"/>
          <w:u w:val="single"/>
        </w:rPr>
        <w:t>招商银行股份有限公司东莞滨海湾新区支行</w:t>
      </w:r>
    </w:p>
    <w:p>
      <w:pPr>
        <w:snapToGrid w:val="0"/>
        <w:spacing w:line="300" w:lineRule="auto"/>
        <w:ind w:firstLine="560" w:firstLineChars="200"/>
        <w:rPr>
          <w:rFonts w:ascii="仿宋" w:hAnsi="仿宋" w:eastAsia="仿宋"/>
          <w:sz w:val="28"/>
          <w:szCs w:val="28"/>
          <w:u w:val="single"/>
        </w:rPr>
      </w:pPr>
      <w:r>
        <w:rPr>
          <w:rFonts w:ascii="仿宋" w:hAnsi="仿宋" w:eastAsia="仿宋"/>
          <w:sz w:val="28"/>
          <w:szCs w:val="28"/>
        </w:rPr>
        <w:t>银行帐号：</w:t>
      </w:r>
      <w:r>
        <w:rPr>
          <w:rFonts w:ascii="仿宋" w:hAnsi="仿宋" w:eastAsia="仿宋"/>
          <w:sz w:val="28"/>
          <w:szCs w:val="28"/>
          <w:u w:val="single"/>
        </w:rPr>
        <w:t>769910275410988</w:t>
      </w:r>
    </w:p>
    <w:p>
      <w:pPr>
        <w:pStyle w:val="32"/>
        <w:snapToGrid w:val="0"/>
        <w:spacing w:line="300" w:lineRule="auto"/>
        <w:ind w:firstLine="562"/>
        <w:outlineLvl w:val="1"/>
        <w:rPr>
          <w:rFonts w:ascii="仿宋" w:hAnsi="仿宋" w:eastAsia="仿宋" w:cs="仿宋"/>
          <w:b/>
          <w:bCs/>
          <w:sz w:val="28"/>
          <w:szCs w:val="28"/>
        </w:rPr>
      </w:pPr>
      <w:r>
        <w:rPr>
          <w:rFonts w:hint="eastAsia" w:ascii="仿宋" w:hAnsi="仿宋" w:eastAsia="仿宋" w:cs="仿宋"/>
          <w:b/>
          <w:bCs/>
          <w:sz w:val="28"/>
          <w:szCs w:val="28"/>
        </w:rPr>
        <w:t>十三、开标时间及地址</w:t>
      </w:r>
    </w:p>
    <w:p>
      <w:pPr>
        <w:snapToGrid w:val="0"/>
        <w:spacing w:line="30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开标时间：</w:t>
      </w:r>
      <w:r>
        <w:rPr>
          <w:rFonts w:hint="eastAsia" w:ascii="仿宋" w:hAnsi="仿宋" w:eastAsia="仿宋" w:cs="仿宋"/>
          <w:color w:val="000000" w:themeColor="text1"/>
          <w:sz w:val="28"/>
          <w:szCs w:val="28"/>
          <w:u w:val="single"/>
          <w:lang w:val="en-US" w:eastAsia="zh-CN"/>
          <w14:textFill>
            <w14:solidFill>
              <w14:schemeClr w14:val="tx1"/>
            </w14:solidFill>
          </w14:textFill>
        </w:rPr>
        <w:t>2022</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日（星期</w:t>
      </w:r>
      <w:r>
        <w:rPr>
          <w:rFonts w:hint="eastAsia" w:ascii="仿宋" w:hAnsi="仿宋" w:eastAsia="仿宋" w:cs="仿宋"/>
          <w:color w:val="000000" w:themeColor="text1"/>
          <w:sz w:val="28"/>
          <w:szCs w:val="28"/>
          <w:u w:val="single"/>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上午</w:t>
      </w:r>
      <w:r>
        <w:rPr>
          <w:rFonts w:hint="eastAsia" w:ascii="仿宋" w:hAnsi="仿宋" w:eastAsia="仿宋" w:cs="仿宋"/>
          <w:color w:val="000000" w:themeColor="text1"/>
          <w:sz w:val="28"/>
          <w:szCs w:val="28"/>
          <w:u w:val="single"/>
          <w:lang w:val="en-US" w:eastAsia="zh-CN"/>
          <w14:textFill>
            <w14:solidFill>
              <w14:schemeClr w14:val="tx1"/>
            </w14:solidFill>
          </w14:textFill>
        </w:rPr>
        <w:t>11</w:t>
      </w:r>
      <w:r>
        <w:rPr>
          <w:rFonts w:hint="eastAsia" w:ascii="仿宋" w:hAnsi="仿宋" w:eastAsia="仿宋" w:cs="仿宋"/>
          <w:color w:val="000000" w:themeColor="text1"/>
          <w:sz w:val="28"/>
          <w:szCs w:val="28"/>
          <w:u w:val="single"/>
          <w14:textFill>
            <w14:solidFill>
              <w14:schemeClr w14:val="tx1"/>
            </w14:solidFill>
          </w14:textFill>
        </w:rPr>
        <w:t>：</w:t>
      </w:r>
      <w:r>
        <w:rPr>
          <w:rFonts w:hint="eastAsia" w:ascii="仿宋" w:hAnsi="仿宋" w:eastAsia="仿宋" w:cs="仿宋"/>
          <w:color w:val="000000" w:themeColor="text1"/>
          <w:sz w:val="28"/>
          <w:szCs w:val="28"/>
          <w:u w:val="single"/>
          <w:lang w:val="en-US" w:eastAsia="zh-CN"/>
          <w14:textFill>
            <w14:solidFill>
              <w14:schemeClr w14:val="tx1"/>
            </w14:solidFill>
          </w14:textFill>
        </w:rPr>
        <w:t>00</w:t>
      </w:r>
      <w:r>
        <w:rPr>
          <w:rFonts w:hint="eastAsia" w:ascii="仿宋" w:hAnsi="仿宋" w:eastAsia="仿宋" w:cs="仿宋"/>
          <w:color w:val="000000" w:themeColor="text1"/>
          <w:sz w:val="28"/>
          <w:szCs w:val="28"/>
          <w14:textFill>
            <w14:solidFill>
              <w14:schemeClr w14:val="tx1"/>
            </w14:solidFill>
          </w14:textFill>
        </w:rPr>
        <w:t>。</w:t>
      </w:r>
    </w:p>
    <w:p>
      <w:pPr>
        <w:snapToGrid w:val="0"/>
        <w:spacing w:line="30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为响应新型冠状病毒肺炎防疫工作，本项目报价人仅可邮寄递交报价文件。</w:t>
      </w:r>
    </w:p>
    <w:p>
      <w:pPr>
        <w:snapToGrid w:val="0"/>
        <w:spacing w:line="30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报价人必须确保报价文件密封完好，在开标截止时间前一日送达采购人处，须使用顺丰速运提前寄送（运费自理，采购人拒收到付件），因邮寄造成报价文件破损无效或文件丢失的责任由报价人自负，因快递派件人员无工作证等原因（如顺丰即日达）造成快递派件问题的责任由报价人自负，开标时间后送达的报价文件无效。</w:t>
      </w:r>
    </w:p>
    <w:p>
      <w:pPr>
        <w:snapToGrid w:val="0"/>
        <w:spacing w:line="30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收件地址：</w:t>
      </w:r>
      <w:r>
        <w:rPr>
          <w:rFonts w:hint="eastAsia" w:ascii="仿宋" w:hAnsi="仿宋" w:eastAsia="仿宋" w:cs="仿宋"/>
          <w:b/>
          <w:bCs/>
          <w:sz w:val="28"/>
          <w:szCs w:val="28"/>
          <w:u w:val="single"/>
        </w:rPr>
        <w:t>东莞市麻涌镇大步村海心沙岛东莞市东实新能源有限公司管理中心6楼招标成本部</w:t>
      </w:r>
    </w:p>
    <w:p>
      <w:pPr>
        <w:snapToGrid w:val="0"/>
        <w:spacing w:line="30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联系人：</w:t>
      </w:r>
      <w:r>
        <w:rPr>
          <w:rFonts w:hint="eastAsia" w:ascii="仿宋" w:hAnsi="仿宋" w:eastAsia="仿宋" w:cs="仿宋"/>
          <w:b/>
          <w:bCs/>
          <w:sz w:val="28"/>
          <w:szCs w:val="28"/>
          <w:u w:val="single"/>
        </w:rPr>
        <w:t>罗小姐</w:t>
      </w:r>
    </w:p>
    <w:p>
      <w:pPr>
        <w:snapToGrid w:val="0"/>
        <w:spacing w:line="300" w:lineRule="auto"/>
        <w:ind w:firstLine="562" w:firstLineChars="200"/>
        <w:rPr>
          <w:rFonts w:ascii="仿宋" w:hAnsi="仿宋" w:eastAsia="仿宋" w:cs="仿宋"/>
          <w:b/>
          <w:bCs/>
          <w:sz w:val="28"/>
          <w:szCs w:val="28"/>
          <w:u w:val="single"/>
        </w:rPr>
      </w:pPr>
      <w:r>
        <w:rPr>
          <w:rFonts w:hint="eastAsia" w:ascii="仿宋" w:hAnsi="仿宋" w:eastAsia="仿宋" w:cs="仿宋"/>
          <w:b/>
          <w:bCs/>
          <w:sz w:val="28"/>
          <w:szCs w:val="28"/>
        </w:rPr>
        <w:t>联系电话：</w:t>
      </w:r>
      <w:r>
        <w:rPr>
          <w:rFonts w:hint="eastAsia" w:ascii="仿宋" w:hAnsi="仿宋" w:eastAsia="仿宋" w:cs="仿宋"/>
          <w:b/>
          <w:bCs/>
          <w:sz w:val="28"/>
          <w:szCs w:val="28"/>
          <w:u w:val="single"/>
        </w:rPr>
        <w:t>15818313909</w:t>
      </w:r>
    </w:p>
    <w:p>
      <w:pPr>
        <w:pStyle w:val="32"/>
        <w:snapToGrid w:val="0"/>
        <w:spacing w:line="300" w:lineRule="auto"/>
        <w:ind w:firstLine="562"/>
        <w:outlineLvl w:val="1"/>
        <w:rPr>
          <w:rFonts w:ascii="仿宋" w:hAnsi="仿宋" w:eastAsia="仿宋" w:cs="仿宋"/>
          <w:b/>
          <w:bCs/>
          <w:sz w:val="28"/>
          <w:szCs w:val="28"/>
        </w:rPr>
      </w:pPr>
      <w:r>
        <w:rPr>
          <w:rFonts w:hint="eastAsia" w:ascii="仿宋" w:hAnsi="仿宋" w:eastAsia="仿宋" w:cs="仿宋"/>
          <w:b/>
          <w:bCs/>
          <w:sz w:val="28"/>
          <w:szCs w:val="28"/>
        </w:rPr>
        <w:t>十四、注意事项</w:t>
      </w:r>
    </w:p>
    <w:p>
      <w:pPr>
        <w:snapToGrid w:val="0"/>
        <w:spacing w:line="300" w:lineRule="auto"/>
        <w:ind w:firstLine="560" w:firstLineChars="200"/>
        <w:rPr>
          <w:rFonts w:ascii="仿宋" w:hAnsi="仿宋" w:eastAsia="仿宋" w:cs="仿宋"/>
          <w:color w:val="000000" w:themeColor="text1"/>
          <w:sz w:val="28"/>
          <w:szCs w:val="28"/>
          <w14:textFill>
            <w14:solidFill>
              <w14:schemeClr w14:val="tx1"/>
            </w14:solidFill>
          </w14:textFill>
        </w:rPr>
      </w:pPr>
      <w:bookmarkStart w:id="4" w:name="_Hlk517879660"/>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sz w:val="28"/>
          <w:szCs w:val="28"/>
        </w:rPr>
        <w:t>若报价人未按规定时间递交响应文件，视为放弃报价资格。</w:t>
      </w:r>
    </w:p>
    <w:p>
      <w:pPr>
        <w:snapToGrid w:val="0"/>
        <w:spacing w:line="300" w:lineRule="auto"/>
        <w:ind w:left="105" w:leftChars="50" w:firstLine="420" w:firstLineChars="1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2、报价人如未按要求交纳保证金，则视为放弃报价/成交资格。</w:t>
      </w:r>
    </w:p>
    <w:p>
      <w:pPr>
        <w:widowControl/>
        <w:snapToGrid w:val="0"/>
        <w:spacing w:line="30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3、采购人向报价人提供的有关资料和数据，是采购人现有的能使报价人利用的资料，采购人对报价人由此而做出的推论、理解和结论概不负责。</w:t>
      </w:r>
    </w:p>
    <w:p>
      <w:pPr>
        <w:widowControl/>
        <w:snapToGrid w:val="0"/>
        <w:spacing w:line="30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4、本项目执行过程中将遵循国家、省、市有关法律、法规、标准、技术规范和规范性文件的最新规定。</w:t>
      </w:r>
    </w:p>
    <w:p>
      <w:pPr>
        <w:widowControl/>
        <w:snapToGrid w:val="0"/>
        <w:spacing w:line="30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5、本项目仅可提交一个报价方案，提交两个或以上报价方案的报价人视为无效报价。</w:t>
      </w:r>
    </w:p>
    <w:p>
      <w:pPr>
        <w:widowControl/>
        <w:snapToGrid w:val="0"/>
        <w:spacing w:line="30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6、本项目不接受报价人其他附加条件。</w:t>
      </w:r>
    </w:p>
    <w:p>
      <w:pPr>
        <w:widowControl/>
        <w:snapToGrid w:val="0"/>
        <w:spacing w:line="30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7、有下列情形之一的，报价保证金将被没收，并纳入采购人供应商黑名单：</w:t>
      </w:r>
    </w:p>
    <w:p>
      <w:pPr>
        <w:widowControl/>
        <w:snapToGrid w:val="0"/>
        <w:spacing w:line="30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1）中标后无正当理由放弃中标或不与采购人签订合同。</w:t>
      </w:r>
    </w:p>
    <w:p>
      <w:pPr>
        <w:widowControl/>
        <w:snapToGrid w:val="0"/>
        <w:spacing w:line="30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2）成交人将本项目转让给他人，或者在报价文件中未说明，且未经采购人同意，将中标项目分包给他人。</w:t>
      </w:r>
    </w:p>
    <w:p>
      <w:pPr>
        <w:widowControl/>
        <w:snapToGrid w:val="0"/>
        <w:spacing w:line="30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3）报价人提供虚假报价文件或虚假补充文件。</w:t>
      </w:r>
    </w:p>
    <w:p>
      <w:pPr>
        <w:widowControl/>
        <w:snapToGrid w:val="0"/>
        <w:spacing w:line="30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8、有下列情形之一的，视为报价人串通询价，其响应无效：</w:t>
      </w:r>
    </w:p>
    <w:p>
      <w:pPr>
        <w:widowControl/>
        <w:snapToGrid w:val="0"/>
        <w:spacing w:line="30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（1）不同报价人的响应文件由同一单位或者个人编制；</w:t>
      </w:r>
    </w:p>
    <w:p>
      <w:pPr>
        <w:widowControl/>
        <w:snapToGrid w:val="0"/>
        <w:spacing w:line="30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（2）不同报价人委托同一单位或者个人办理响应事宜；</w:t>
      </w:r>
    </w:p>
    <w:p>
      <w:pPr>
        <w:widowControl/>
        <w:snapToGrid w:val="0"/>
        <w:spacing w:line="30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（3）不同报价人的响应文件载明的项目管理成员或者联系人员为同一人；</w:t>
      </w:r>
    </w:p>
    <w:p>
      <w:pPr>
        <w:widowControl/>
        <w:snapToGrid w:val="0"/>
        <w:spacing w:line="30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（4）不同报价人的响应文件异常一致或者响应报价呈规律性差异；</w:t>
      </w:r>
    </w:p>
    <w:p>
      <w:pPr>
        <w:widowControl/>
        <w:snapToGrid w:val="0"/>
        <w:spacing w:line="30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（5）不同报价人的响应文件相互混装；</w:t>
      </w:r>
    </w:p>
    <w:p>
      <w:pPr>
        <w:widowControl/>
        <w:snapToGrid w:val="0"/>
        <w:spacing w:line="30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（6）不同报价人的响应保证金从同一单位或者个人的账户转出。</w:t>
      </w:r>
    </w:p>
    <w:p>
      <w:pPr>
        <w:widowControl/>
        <w:snapToGrid w:val="0"/>
        <w:spacing w:line="30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9、已列入采购人及其上级部门单位黑名单的报价人视为无效报价。</w:t>
      </w:r>
    </w:p>
    <w:p>
      <w:pPr>
        <w:snapToGrid w:val="0"/>
        <w:spacing w:line="300" w:lineRule="auto"/>
        <w:ind w:firstLine="560" w:firstLineChars="200"/>
        <w:jc w:val="right"/>
        <w:rPr>
          <w:rFonts w:ascii="仿宋" w:hAnsi="仿宋" w:eastAsia="仿宋" w:cs="仿宋"/>
          <w:color w:val="000000" w:themeColor="text1"/>
          <w:sz w:val="28"/>
          <w:szCs w:val="28"/>
          <w14:textFill>
            <w14:solidFill>
              <w14:schemeClr w14:val="tx1"/>
            </w14:solidFill>
          </w14:textFill>
        </w:rPr>
      </w:pPr>
    </w:p>
    <w:p>
      <w:pPr>
        <w:snapToGrid w:val="0"/>
        <w:spacing w:line="300" w:lineRule="auto"/>
        <w:ind w:firstLine="560" w:firstLineChars="200"/>
        <w:jc w:val="right"/>
        <w:rPr>
          <w:rFonts w:ascii="仿宋" w:hAnsi="仿宋" w:eastAsia="仿宋" w:cs="仿宋"/>
          <w:color w:val="000000" w:themeColor="text1"/>
          <w:sz w:val="28"/>
          <w:szCs w:val="28"/>
          <w14:textFill>
            <w14:solidFill>
              <w14:schemeClr w14:val="tx1"/>
            </w14:solidFill>
          </w14:textFill>
        </w:rPr>
      </w:pPr>
    </w:p>
    <w:p>
      <w:pPr>
        <w:snapToGrid w:val="0"/>
        <w:spacing w:line="300" w:lineRule="auto"/>
        <w:ind w:firstLine="560" w:firstLineChars="200"/>
        <w:jc w:val="righ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东莞市新东湾环保投资有限公司</w:t>
      </w:r>
    </w:p>
    <w:p>
      <w:pPr>
        <w:snapToGrid w:val="0"/>
        <w:spacing w:line="300" w:lineRule="auto"/>
        <w:ind w:firstLine="560" w:firstLineChars="200"/>
        <w:jc w:val="right"/>
        <w:rPr>
          <w:rFonts w:ascii="仿宋" w:hAnsi="仿宋" w:eastAsia="仿宋" w:cs="仿宋"/>
          <w:color w:val="000000" w:themeColor="text1"/>
          <w:sz w:val="28"/>
          <w:szCs w:val="28"/>
          <w14:textFill>
            <w14:solidFill>
              <w14:schemeClr w14:val="tx1"/>
            </w14:solidFill>
          </w14:textFill>
        </w:rPr>
        <w:sectPr>
          <w:footerReference r:id="rId4" w:type="first"/>
          <w:footerReference r:id="rId3" w:type="default"/>
          <w:pgSz w:w="11906" w:h="16838"/>
          <w:pgMar w:top="1440" w:right="1800" w:bottom="1440" w:left="1800" w:header="851" w:footer="992" w:gutter="0"/>
          <w:pgNumType w:start="1"/>
          <w:cols w:space="720" w:num="1"/>
          <w:titlePg/>
          <w:docGrid w:type="lines" w:linePitch="312" w:charSpace="0"/>
        </w:sectPr>
      </w:pPr>
      <w:r>
        <w:rPr>
          <w:rFonts w:hint="eastAsia" w:ascii="仿宋" w:hAnsi="仿宋" w:eastAsia="仿宋" w:cs="仿宋"/>
          <w:color w:val="000000" w:themeColor="text1"/>
          <w:sz w:val="28"/>
          <w:szCs w:val="28"/>
          <w14:textFill>
            <w14:solidFill>
              <w14:schemeClr w14:val="tx1"/>
            </w14:solidFill>
          </w14:textFill>
        </w:rPr>
        <w:t>2022年</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31</w:t>
      </w:r>
      <w:r>
        <w:rPr>
          <w:rFonts w:hint="eastAsia" w:ascii="仿宋" w:hAnsi="仿宋" w:eastAsia="仿宋" w:cs="仿宋"/>
          <w:color w:val="000000" w:themeColor="text1"/>
          <w:sz w:val="28"/>
          <w:szCs w:val="28"/>
          <w14:textFill>
            <w14:solidFill>
              <w14:schemeClr w14:val="tx1"/>
            </w14:solidFill>
          </w14:textFill>
        </w:rPr>
        <w:t>日</w:t>
      </w:r>
    </w:p>
    <w:bookmarkEnd w:id="0"/>
    <w:bookmarkEnd w:id="4"/>
    <w:p>
      <w:pPr>
        <w:spacing w:line="360" w:lineRule="auto"/>
        <w:outlineLvl w:val="2"/>
        <w:rPr>
          <w:rFonts w:ascii="仿宋" w:hAnsi="仿宋" w:eastAsia="仿宋"/>
          <w:b/>
          <w:bCs/>
          <w:sz w:val="28"/>
          <w:szCs w:val="44"/>
        </w:rPr>
      </w:pPr>
      <w:bookmarkStart w:id="5" w:name="_Hlk524442005"/>
      <w:r>
        <w:rPr>
          <w:rFonts w:hint="eastAsia" w:ascii="仿宋" w:hAnsi="仿宋" w:eastAsia="仿宋"/>
          <w:b/>
          <w:bCs/>
          <w:sz w:val="28"/>
          <w:szCs w:val="44"/>
        </w:rPr>
        <w:t>附件一 密封文件袋封面</w:t>
      </w:r>
    </w:p>
    <w:p>
      <w:pPr>
        <w:spacing w:line="360" w:lineRule="auto"/>
        <w:ind w:firstLine="562" w:firstLineChars="200"/>
        <w:rPr>
          <w:rFonts w:ascii="仿宋" w:hAnsi="仿宋" w:eastAsia="仿宋"/>
          <w:b/>
          <w:bCs/>
          <w:sz w:val="28"/>
          <w:szCs w:val="44"/>
        </w:rPr>
      </w:pPr>
    </w:p>
    <w:p>
      <w:pPr>
        <w:spacing w:line="360" w:lineRule="auto"/>
        <w:jc w:val="center"/>
        <w:rPr>
          <w:rFonts w:ascii="仿宋" w:hAnsi="仿宋" w:eastAsia="仿宋"/>
          <w:b/>
          <w:bCs/>
          <w:sz w:val="52"/>
          <w:szCs w:val="52"/>
        </w:rPr>
      </w:pPr>
    </w:p>
    <w:p>
      <w:pPr>
        <w:spacing w:line="360" w:lineRule="auto"/>
        <w:jc w:val="center"/>
        <w:rPr>
          <w:rFonts w:ascii="仿宋" w:hAnsi="仿宋" w:eastAsia="仿宋"/>
          <w:b/>
          <w:bCs/>
          <w:sz w:val="52"/>
          <w:szCs w:val="52"/>
        </w:rPr>
      </w:pPr>
    </w:p>
    <w:p>
      <w:pPr>
        <w:spacing w:line="360" w:lineRule="auto"/>
        <w:jc w:val="center"/>
        <w:rPr>
          <w:rFonts w:hint="eastAsia" w:ascii="仿宋" w:hAnsi="仿宋" w:eastAsia="仿宋"/>
          <w:sz w:val="32"/>
          <w:szCs w:val="32"/>
          <w:lang w:eastAsia="zh-CN"/>
        </w:rPr>
      </w:pPr>
      <w:r>
        <w:rPr>
          <w:rFonts w:hint="eastAsia" w:ascii="仿宋" w:hAnsi="仿宋" w:eastAsia="仿宋"/>
          <w:b/>
          <w:bCs/>
          <w:sz w:val="52"/>
          <w:szCs w:val="52"/>
          <w:lang w:eastAsia="zh-CN"/>
        </w:rPr>
        <w:t>东莞滨海湾新区沙头垃圾填埋场综合整治项目-安防监控系统安装工程项目（重新采购）</w:t>
      </w: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ind w:firstLine="566" w:firstLineChars="177"/>
        <w:rPr>
          <w:rFonts w:ascii="仿宋" w:hAnsi="仿宋" w:eastAsia="仿宋"/>
          <w:sz w:val="32"/>
          <w:szCs w:val="32"/>
        </w:rPr>
      </w:pPr>
      <w:r>
        <w:rPr>
          <w:rFonts w:hint="eastAsia" w:ascii="仿宋" w:hAnsi="仿宋" w:eastAsia="仿宋"/>
          <w:sz w:val="32"/>
          <w:szCs w:val="32"/>
        </w:rPr>
        <w:t>报价人名称（加盖公章）：</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spacing w:line="360" w:lineRule="auto"/>
        <w:ind w:firstLine="566" w:firstLineChars="177"/>
        <w:rPr>
          <w:rFonts w:ascii="仿宋" w:hAnsi="仿宋" w:eastAsia="仿宋"/>
          <w:sz w:val="32"/>
          <w:szCs w:val="32"/>
        </w:rPr>
      </w:pPr>
      <w:r>
        <w:rPr>
          <w:rFonts w:hint="eastAsia" w:ascii="仿宋" w:hAnsi="仿宋" w:eastAsia="仿宋"/>
          <w:sz w:val="32"/>
          <w:szCs w:val="32"/>
        </w:rPr>
        <w:t>联系人：</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spacing w:line="360" w:lineRule="auto"/>
        <w:ind w:firstLine="566" w:firstLineChars="177"/>
        <w:rPr>
          <w:rFonts w:ascii="仿宋" w:hAnsi="仿宋" w:eastAsia="仿宋"/>
          <w:sz w:val="32"/>
          <w:szCs w:val="32"/>
        </w:rPr>
      </w:pPr>
      <w:r>
        <w:rPr>
          <w:rFonts w:hint="eastAsia" w:ascii="仿宋" w:hAnsi="仿宋" w:eastAsia="仿宋"/>
          <w:sz w:val="32"/>
          <w:szCs w:val="32"/>
        </w:rPr>
        <w:t>联系电话：</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spacing w:line="360" w:lineRule="auto"/>
        <w:ind w:firstLine="566" w:firstLineChars="177"/>
        <w:rPr>
          <w:rFonts w:ascii="仿宋" w:hAnsi="仿宋" w:eastAsia="仿宋"/>
          <w:sz w:val="32"/>
          <w:szCs w:val="32"/>
          <w:u w:val="single"/>
        </w:rPr>
      </w:pPr>
      <w:r>
        <w:rPr>
          <w:rFonts w:hint="eastAsia" w:ascii="仿宋" w:hAnsi="仿宋" w:eastAsia="仿宋"/>
          <w:sz w:val="32"/>
          <w:szCs w:val="32"/>
        </w:rPr>
        <w:t>日期：</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widowControl/>
        <w:jc w:val="left"/>
        <w:rPr>
          <w:rFonts w:ascii="仿宋" w:hAnsi="仿宋" w:eastAsia="仿宋"/>
          <w:sz w:val="32"/>
          <w:szCs w:val="32"/>
        </w:rPr>
      </w:pPr>
      <w:r>
        <w:rPr>
          <w:rFonts w:ascii="仿宋" w:hAnsi="仿宋" w:eastAsia="仿宋"/>
          <w:sz w:val="32"/>
          <w:szCs w:val="32"/>
        </w:rPr>
        <w:br w:type="page"/>
      </w:r>
    </w:p>
    <w:p>
      <w:pPr>
        <w:spacing w:line="360" w:lineRule="auto"/>
        <w:outlineLvl w:val="2"/>
        <w:rPr>
          <w:rFonts w:ascii="仿宋" w:hAnsi="仿宋" w:eastAsia="仿宋" w:cs="仿宋"/>
          <w:b/>
          <w:bCs/>
          <w:sz w:val="28"/>
          <w:szCs w:val="28"/>
        </w:rPr>
      </w:pPr>
      <w:r>
        <w:rPr>
          <w:rFonts w:hint="eastAsia" w:ascii="仿宋" w:hAnsi="仿宋" w:eastAsia="仿宋" w:cs="仿宋"/>
          <w:b/>
          <w:bCs/>
          <w:sz w:val="28"/>
          <w:szCs w:val="28"/>
        </w:rPr>
        <w:t>附件二 报价函</w:t>
      </w:r>
    </w:p>
    <w:p>
      <w:pPr>
        <w:spacing w:line="360" w:lineRule="auto"/>
        <w:jc w:val="center"/>
        <w:rPr>
          <w:rFonts w:ascii="仿宋" w:hAnsi="仿宋" w:eastAsia="仿宋" w:cs="仿宋"/>
          <w:sz w:val="28"/>
          <w:szCs w:val="28"/>
        </w:rPr>
      </w:pPr>
      <w:r>
        <w:rPr>
          <w:rFonts w:hint="eastAsia" w:ascii="仿宋" w:hAnsi="仿宋" w:eastAsia="仿宋" w:cs="仿宋"/>
          <w:sz w:val="28"/>
          <w:szCs w:val="28"/>
        </w:rPr>
        <w:t>报价函</w:t>
      </w:r>
    </w:p>
    <w:p>
      <w:pPr>
        <w:spacing w:line="360" w:lineRule="auto"/>
        <w:ind w:firstLine="560"/>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东莞市新东湾环保投资有限公司：</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针对贵司关于</w:t>
      </w:r>
      <w:r>
        <w:rPr>
          <w:rFonts w:hint="eastAsia" w:ascii="仿宋" w:hAnsi="仿宋" w:eastAsia="仿宋" w:cs="仿宋"/>
          <w:sz w:val="28"/>
          <w:szCs w:val="28"/>
          <w:u w:val="single"/>
          <w:lang w:eastAsia="zh-CN"/>
        </w:rPr>
        <w:t>东莞滨海湾新区沙头垃圾填埋场综合整治项目-安防监控系统安装工程项目（重新采购）</w:t>
      </w:r>
      <w:r>
        <w:rPr>
          <w:rFonts w:hint="eastAsia" w:ascii="仿宋" w:hAnsi="仿宋" w:eastAsia="仿宋" w:cs="仿宋"/>
          <w:sz w:val="28"/>
          <w:szCs w:val="28"/>
        </w:rPr>
        <w:t>，我司愿意以价税合计人民币</w:t>
      </w:r>
      <w:r>
        <w:rPr>
          <w:rFonts w:hint="eastAsia" w:ascii="仿宋" w:hAnsi="仿宋" w:eastAsia="仿宋" w:cs="仿宋"/>
          <w:sz w:val="28"/>
          <w:szCs w:val="28"/>
          <w:u w:val="single"/>
        </w:rPr>
        <w:t>xxxx元（大写）</w:t>
      </w:r>
      <w:r>
        <w:rPr>
          <w:rFonts w:hint="eastAsia" w:ascii="仿宋" w:hAnsi="仿宋" w:eastAsia="仿宋" w:cs="仿宋"/>
          <w:sz w:val="28"/>
          <w:szCs w:val="28"/>
        </w:rPr>
        <w:t>，¥</w:t>
      </w:r>
      <w:r>
        <w:rPr>
          <w:rFonts w:hint="eastAsia" w:ascii="仿宋" w:hAnsi="仿宋" w:eastAsia="仿宋" w:cs="仿宋"/>
          <w:sz w:val="28"/>
          <w:szCs w:val="28"/>
          <w:u w:val="single"/>
        </w:rPr>
        <w:t>xxx.00</w:t>
      </w:r>
      <w:r>
        <w:rPr>
          <w:rFonts w:hint="eastAsia" w:ascii="仿宋" w:hAnsi="仿宋" w:eastAsia="仿宋" w:cs="仿宋"/>
          <w:sz w:val="28"/>
          <w:szCs w:val="28"/>
        </w:rPr>
        <w:t>（小写）承接此项目的服务工作。本报价含税，开具增值税专用发票，票面税率</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（注：报价大小写金额不一致的，以大写金额为准。）</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报价人名称（加盖公章）：</w:t>
      </w:r>
    </w:p>
    <w:p>
      <w:pPr>
        <w:wordWrap w:val="0"/>
        <w:spacing w:line="360" w:lineRule="auto"/>
        <w:rPr>
          <w:rFonts w:ascii="仿宋" w:hAnsi="仿宋" w:eastAsia="仿宋" w:cs="仿宋"/>
          <w:sz w:val="28"/>
          <w:szCs w:val="28"/>
        </w:rPr>
      </w:pPr>
      <w:r>
        <w:rPr>
          <w:rFonts w:hint="eastAsia" w:ascii="仿宋" w:hAnsi="仿宋" w:eastAsia="仿宋" w:cs="仿宋"/>
          <w:sz w:val="28"/>
          <w:szCs w:val="28"/>
        </w:rPr>
        <w:t>法定代表人（签名或盖章）：</w:t>
      </w:r>
    </w:p>
    <w:p>
      <w:pPr>
        <w:wordWrap w:val="0"/>
        <w:spacing w:line="360" w:lineRule="auto"/>
        <w:rPr>
          <w:rFonts w:ascii="仿宋" w:hAnsi="仿宋" w:eastAsia="仿宋" w:cs="仿宋"/>
          <w:sz w:val="28"/>
          <w:szCs w:val="28"/>
        </w:rPr>
      </w:pPr>
      <w:r>
        <w:rPr>
          <w:rFonts w:hint="eastAsia" w:ascii="仿宋" w:hAnsi="仿宋" w:eastAsia="仿宋" w:cs="仿宋"/>
          <w:sz w:val="28"/>
          <w:szCs w:val="28"/>
        </w:rPr>
        <w:t>联系人：</w:t>
      </w:r>
    </w:p>
    <w:p>
      <w:pPr>
        <w:wordWrap w:val="0"/>
        <w:spacing w:line="360" w:lineRule="auto"/>
        <w:rPr>
          <w:rFonts w:ascii="仿宋" w:hAnsi="仿宋" w:eastAsia="仿宋" w:cs="仿宋"/>
          <w:sz w:val="28"/>
          <w:szCs w:val="28"/>
        </w:rPr>
      </w:pPr>
      <w:r>
        <w:rPr>
          <w:rFonts w:hint="eastAsia" w:ascii="仿宋" w:hAnsi="仿宋" w:eastAsia="仿宋" w:cs="仿宋"/>
          <w:sz w:val="28"/>
          <w:szCs w:val="28"/>
        </w:rPr>
        <w:t>联系电话：</w:t>
      </w:r>
    </w:p>
    <w:p>
      <w:pPr>
        <w:wordWrap w:val="0"/>
        <w:spacing w:line="360" w:lineRule="auto"/>
        <w:rPr>
          <w:rFonts w:ascii="仿宋" w:hAnsi="仿宋" w:eastAsia="仿宋" w:cs="仿宋"/>
          <w:sz w:val="28"/>
          <w:szCs w:val="28"/>
        </w:rPr>
      </w:pPr>
      <w:r>
        <w:rPr>
          <w:rFonts w:hint="eastAsia" w:ascii="仿宋" w:hAnsi="仿宋" w:eastAsia="仿宋" w:cs="仿宋"/>
          <w:sz w:val="28"/>
          <w:szCs w:val="28"/>
        </w:rPr>
        <w:t>日期：</w:t>
      </w:r>
    </w:p>
    <w:p>
      <w:pPr>
        <w:wordWrap w:val="0"/>
        <w:spacing w:line="360" w:lineRule="auto"/>
        <w:rPr>
          <w:rFonts w:ascii="仿宋" w:hAnsi="仿宋" w:eastAsia="仿宋" w:cs="仿宋"/>
          <w:sz w:val="28"/>
          <w:szCs w:val="28"/>
        </w:rPr>
      </w:pPr>
    </w:p>
    <w:p>
      <w:pPr>
        <w:wordWrap w:val="0"/>
        <w:spacing w:line="360" w:lineRule="auto"/>
        <w:rPr>
          <w:rFonts w:ascii="仿宋" w:hAnsi="仿宋" w:eastAsia="仿宋" w:cs="仿宋"/>
          <w:sz w:val="28"/>
          <w:szCs w:val="28"/>
        </w:rPr>
      </w:pPr>
    </w:p>
    <w:p>
      <w:pPr>
        <w:wordWrap w:val="0"/>
        <w:spacing w:line="360" w:lineRule="auto"/>
        <w:rPr>
          <w:rFonts w:ascii="仿宋" w:hAnsi="仿宋" w:eastAsia="仿宋" w:cs="仿宋"/>
          <w:sz w:val="28"/>
          <w:szCs w:val="28"/>
        </w:rPr>
      </w:pPr>
    </w:p>
    <w:p>
      <w:pPr>
        <w:widowControl/>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br w:type="page"/>
      </w:r>
    </w:p>
    <w:p>
      <w:pPr>
        <w:widowControl/>
        <w:spacing w:line="360" w:lineRule="auto"/>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报价清单</w:t>
      </w:r>
    </w:p>
    <w:p>
      <w:pPr>
        <w:wordWrap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注：报价人已综合考虑项目实际实施可能产生的工作量误差，以上价格为报价人的综合价格，已包含税费及一切为实施本项目可能产生的费用。</w:t>
      </w:r>
    </w:p>
    <w:p>
      <w:pPr>
        <w:wordWrap w:val="0"/>
        <w:spacing w:line="360" w:lineRule="auto"/>
        <w:rPr>
          <w:rFonts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注：参照招标控制价及工程量清单格式</w:t>
      </w:r>
      <w:r>
        <w:rPr>
          <w:rFonts w:hint="eastAsia" w:ascii="仿宋" w:hAnsi="仿宋" w:eastAsia="仿宋" w:cs="仿宋"/>
          <w:b/>
          <w:bCs/>
          <w:sz w:val="28"/>
          <w:szCs w:val="28"/>
        </w:rPr>
        <w:t>）</w:t>
      </w:r>
    </w:p>
    <w:p>
      <w:pPr>
        <w:wordWrap w:val="0"/>
        <w:spacing w:line="360" w:lineRule="auto"/>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报价人名称（加盖公章）</w:t>
      </w:r>
    </w:p>
    <w:p>
      <w:pPr>
        <w:spacing w:line="360" w:lineRule="auto"/>
        <w:rPr>
          <w:rFonts w:ascii="仿宋" w:hAnsi="仿宋" w:eastAsia="仿宋" w:cs="仿宋"/>
          <w:sz w:val="28"/>
          <w:szCs w:val="28"/>
        </w:rPr>
      </w:pPr>
      <w:r>
        <w:rPr>
          <w:rFonts w:hint="eastAsia" w:ascii="仿宋" w:hAnsi="仿宋" w:eastAsia="仿宋" w:cs="仿宋"/>
          <w:sz w:val="28"/>
          <w:szCs w:val="28"/>
        </w:rPr>
        <w:t>法定代表人（签名或盖私章）：</w:t>
      </w:r>
    </w:p>
    <w:p>
      <w:pPr>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rPr>
        <w:br w:type="page"/>
      </w:r>
    </w:p>
    <w:p>
      <w:pPr>
        <w:spacing w:line="360" w:lineRule="auto"/>
        <w:outlineLvl w:val="2"/>
        <w:rPr>
          <w:rFonts w:ascii="仿宋" w:hAnsi="仿宋" w:eastAsia="仿宋" w:cs="仿宋"/>
          <w:b/>
          <w:bCs/>
          <w:sz w:val="28"/>
          <w:szCs w:val="28"/>
        </w:rPr>
      </w:pPr>
      <w:r>
        <w:rPr>
          <w:rFonts w:hint="eastAsia" w:ascii="仿宋" w:hAnsi="仿宋" w:eastAsia="仿宋" w:cs="仿宋"/>
          <w:b/>
          <w:bCs/>
          <w:sz w:val="28"/>
          <w:szCs w:val="28"/>
        </w:rPr>
        <w:t>附件三 法人证明</w:t>
      </w:r>
    </w:p>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法定代表人身份证明书及法定代表人身份证复印件</w:t>
      </w:r>
    </w:p>
    <w:p>
      <w:pPr>
        <w:spacing w:line="360" w:lineRule="auto"/>
        <w:rPr>
          <w:rFonts w:ascii="仿宋" w:hAnsi="仿宋" w:eastAsia="仿宋" w:cs="仿宋"/>
          <w:sz w:val="28"/>
          <w:szCs w:val="28"/>
        </w:rPr>
      </w:pPr>
    </w:p>
    <w:p>
      <w:pPr>
        <w:pStyle w:val="23"/>
        <w:spacing w:line="360" w:lineRule="auto"/>
        <w:ind w:firstLine="0" w:firstLineChars="0"/>
        <w:rPr>
          <w:rFonts w:ascii="仿宋" w:hAnsi="仿宋" w:eastAsia="仿宋" w:cs="仿宋"/>
          <w:sz w:val="28"/>
          <w:szCs w:val="28"/>
        </w:rPr>
      </w:pPr>
      <w:r>
        <w:rPr>
          <w:rFonts w:hint="eastAsia" w:ascii="仿宋" w:hAnsi="仿宋" w:eastAsia="仿宋" w:cs="仿宋"/>
          <w:sz w:val="28"/>
          <w:szCs w:val="28"/>
        </w:rPr>
        <w:t>东莞市新东湾环保投资有限公司：</w:t>
      </w:r>
    </w:p>
    <w:p>
      <w:pPr>
        <w:pStyle w:val="23"/>
        <w:spacing w:line="360" w:lineRule="auto"/>
        <w:ind w:firstLine="577"/>
        <w:rPr>
          <w:rFonts w:ascii="仿宋" w:hAnsi="仿宋" w:eastAsia="仿宋" w:cs="仿宋"/>
          <w:sz w:val="28"/>
          <w:szCs w:val="28"/>
        </w:rPr>
      </w:pPr>
      <w:r>
        <w:rPr>
          <w:rFonts w:hint="eastAsia" w:ascii="仿宋" w:hAnsi="仿宋" w:eastAsia="仿宋" w:cs="仿宋"/>
          <w:sz w:val="28"/>
          <w:szCs w:val="28"/>
        </w:rPr>
        <w:t>本证明书声明：注册于</w:t>
      </w:r>
      <w:r>
        <w:rPr>
          <w:rFonts w:hint="eastAsia" w:ascii="仿宋" w:hAnsi="仿宋" w:eastAsia="仿宋" w:cs="仿宋"/>
          <w:sz w:val="28"/>
          <w:szCs w:val="28"/>
          <w:u w:val="single"/>
        </w:rPr>
        <w:t xml:space="preserve">     </w:t>
      </w:r>
      <w:r>
        <w:rPr>
          <w:rFonts w:hint="eastAsia" w:ascii="仿宋" w:hAnsi="仿宋" w:eastAsia="仿宋" w:cs="仿宋"/>
          <w:sz w:val="28"/>
          <w:szCs w:val="28"/>
        </w:rPr>
        <w:t>（国家名称）的</w:t>
      </w:r>
      <w:r>
        <w:rPr>
          <w:rFonts w:hint="eastAsia" w:ascii="仿宋" w:hAnsi="仿宋" w:eastAsia="仿宋" w:cs="仿宋"/>
          <w:sz w:val="28"/>
          <w:szCs w:val="28"/>
          <w:u w:val="single"/>
        </w:rPr>
        <w:t>　　</w:t>
      </w:r>
      <w:r>
        <w:rPr>
          <w:rFonts w:hint="eastAsia" w:ascii="仿宋" w:hAnsi="仿宋" w:eastAsia="仿宋" w:cs="仿宋"/>
          <w:sz w:val="28"/>
          <w:szCs w:val="28"/>
        </w:rPr>
        <w:t>（报价人名称）在下面签字的</w:t>
      </w:r>
      <w:r>
        <w:rPr>
          <w:rFonts w:hint="eastAsia" w:ascii="仿宋" w:hAnsi="仿宋" w:eastAsia="仿宋" w:cs="仿宋"/>
          <w:sz w:val="28"/>
          <w:szCs w:val="28"/>
          <w:u w:val="single"/>
        </w:rPr>
        <w:t>　　　　　</w:t>
      </w:r>
      <w:r>
        <w:rPr>
          <w:rFonts w:hint="eastAsia" w:ascii="仿宋" w:hAnsi="仿宋" w:eastAsia="仿宋" w:cs="仿宋"/>
          <w:sz w:val="28"/>
          <w:szCs w:val="28"/>
        </w:rPr>
        <w:t>（法定代表人姓名、职务）为本公司的合法代表人（</w:t>
      </w:r>
      <w:r>
        <w:rPr>
          <w:rFonts w:hint="eastAsia" w:ascii="仿宋" w:hAnsi="仿宋" w:eastAsia="仿宋" w:cs="仿宋"/>
          <w:b/>
          <w:bCs/>
          <w:sz w:val="28"/>
          <w:szCs w:val="28"/>
        </w:rPr>
        <w:t>须附法定代表人身份证复印件</w:t>
      </w:r>
      <w:r>
        <w:rPr>
          <w:rFonts w:hint="eastAsia" w:ascii="仿宋" w:hAnsi="仿宋" w:eastAsia="仿宋" w:cs="仿宋"/>
          <w:sz w:val="28"/>
          <w:szCs w:val="28"/>
        </w:rPr>
        <w:t>）。</w:t>
      </w:r>
    </w:p>
    <w:p>
      <w:pPr>
        <w:spacing w:line="360" w:lineRule="auto"/>
        <w:ind w:firstLine="420" w:firstLineChars="150"/>
        <w:rPr>
          <w:rFonts w:ascii="仿宋" w:hAnsi="仿宋" w:eastAsia="仿宋" w:cs="仿宋"/>
          <w:sz w:val="28"/>
          <w:szCs w:val="28"/>
        </w:rPr>
      </w:pPr>
      <w:r>
        <w:rPr>
          <w:rFonts w:hint="eastAsia" w:ascii="仿宋" w:hAnsi="仿宋" w:eastAsia="仿宋" w:cs="仿宋"/>
          <w:sz w:val="28"/>
          <w:szCs w:val="28"/>
        </w:rPr>
        <w:t>特此证明。</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报价人名称（加盖公章）：</w:t>
      </w:r>
    </w:p>
    <w:p>
      <w:pPr>
        <w:spacing w:line="360" w:lineRule="auto"/>
        <w:rPr>
          <w:rFonts w:ascii="仿宋" w:hAnsi="仿宋" w:eastAsia="仿宋" w:cs="仿宋"/>
          <w:sz w:val="28"/>
          <w:szCs w:val="28"/>
        </w:rPr>
      </w:pPr>
      <w:r>
        <w:rPr>
          <w:rFonts w:hint="eastAsia" w:ascii="仿宋" w:hAnsi="仿宋" w:eastAsia="仿宋" w:cs="仿宋"/>
          <w:sz w:val="28"/>
          <w:szCs w:val="28"/>
        </w:rPr>
        <w:t>报价人地址：</w:t>
      </w:r>
    </w:p>
    <w:p>
      <w:pPr>
        <w:spacing w:line="360" w:lineRule="auto"/>
        <w:rPr>
          <w:rFonts w:ascii="仿宋" w:hAnsi="仿宋" w:eastAsia="仿宋" w:cs="仿宋"/>
          <w:sz w:val="28"/>
          <w:szCs w:val="28"/>
        </w:rPr>
      </w:pPr>
      <w:r>
        <w:rPr>
          <w:rFonts w:hint="eastAsia" w:ascii="仿宋" w:hAnsi="仿宋" w:eastAsia="仿宋" w:cs="仿宋"/>
          <w:sz w:val="28"/>
          <w:szCs w:val="28"/>
        </w:rPr>
        <w:t>法定代表人（签名或盖私章）：</w:t>
      </w:r>
    </w:p>
    <w:p>
      <w:pPr>
        <w:spacing w:line="360" w:lineRule="auto"/>
        <w:rPr>
          <w:rFonts w:ascii="仿宋" w:hAnsi="仿宋" w:eastAsia="仿宋" w:cs="仿宋"/>
          <w:sz w:val="28"/>
          <w:szCs w:val="28"/>
        </w:rPr>
      </w:pPr>
      <w:r>
        <w:rPr>
          <w:rFonts w:hint="eastAsia" w:ascii="仿宋" w:hAnsi="仿宋" w:eastAsia="仿宋" w:cs="仿宋"/>
          <w:sz w:val="28"/>
          <w:szCs w:val="28"/>
        </w:rPr>
        <w:t>职务：</w:t>
      </w:r>
    </w:p>
    <w:p>
      <w:pPr>
        <w:spacing w:line="360" w:lineRule="auto"/>
        <w:rPr>
          <w:rFonts w:ascii="仿宋" w:hAnsi="仿宋" w:eastAsia="仿宋" w:cs="仿宋"/>
          <w:sz w:val="28"/>
          <w:szCs w:val="28"/>
        </w:rPr>
      </w:pPr>
    </w:p>
    <w:p>
      <w:pPr>
        <w:widowControl/>
        <w:spacing w:line="360" w:lineRule="auto"/>
        <w:rPr>
          <w:rFonts w:ascii="仿宋" w:hAnsi="仿宋" w:eastAsia="仿宋" w:cs="仿宋"/>
          <w:sz w:val="28"/>
          <w:szCs w:val="28"/>
        </w:rPr>
      </w:pPr>
      <w:r>
        <w:rPr>
          <w:rFonts w:hint="eastAsia" w:ascii="仿宋" w:hAnsi="仿宋" w:eastAsia="仿宋" w:cs="仿宋"/>
          <w:sz w:val="28"/>
          <w:szCs w:val="28"/>
        </w:rPr>
        <w:br w:type="page"/>
      </w:r>
    </w:p>
    <w:p>
      <w:pPr>
        <w:spacing w:line="360" w:lineRule="auto"/>
        <w:outlineLvl w:val="2"/>
        <w:rPr>
          <w:rFonts w:ascii="仿宋" w:hAnsi="仿宋" w:eastAsia="仿宋" w:cs="仿宋"/>
          <w:b/>
          <w:bCs/>
          <w:sz w:val="28"/>
          <w:szCs w:val="28"/>
        </w:rPr>
      </w:pPr>
      <w:r>
        <w:rPr>
          <w:rFonts w:hint="eastAsia" w:ascii="仿宋" w:hAnsi="仿宋" w:eastAsia="仿宋" w:cs="仿宋"/>
          <w:b/>
          <w:bCs/>
          <w:sz w:val="28"/>
          <w:szCs w:val="28"/>
        </w:rPr>
        <w:t>附件四 法人授权书</w:t>
      </w:r>
    </w:p>
    <w:p>
      <w:pPr>
        <w:widowControl/>
        <w:spacing w:line="360" w:lineRule="auto"/>
        <w:jc w:val="center"/>
        <w:rPr>
          <w:rFonts w:ascii="仿宋" w:hAnsi="仿宋" w:eastAsia="仿宋" w:cs="仿宋"/>
          <w:sz w:val="28"/>
          <w:szCs w:val="28"/>
        </w:rPr>
      </w:pPr>
      <w:r>
        <w:rPr>
          <w:rFonts w:hint="eastAsia" w:ascii="仿宋" w:hAnsi="仿宋" w:eastAsia="仿宋" w:cs="仿宋"/>
          <w:b/>
          <w:sz w:val="28"/>
          <w:szCs w:val="28"/>
        </w:rPr>
        <w:t>授权委托书</w:t>
      </w:r>
    </w:p>
    <w:p>
      <w:pPr>
        <w:pStyle w:val="23"/>
        <w:spacing w:line="360" w:lineRule="auto"/>
        <w:ind w:firstLine="0" w:firstLineChars="0"/>
        <w:rPr>
          <w:rFonts w:ascii="仿宋" w:hAnsi="仿宋" w:eastAsia="仿宋" w:cs="仿宋"/>
          <w:sz w:val="28"/>
          <w:szCs w:val="28"/>
        </w:rPr>
      </w:pPr>
    </w:p>
    <w:p>
      <w:pPr>
        <w:pStyle w:val="23"/>
        <w:spacing w:line="360" w:lineRule="auto"/>
        <w:ind w:firstLine="0" w:firstLineChars="0"/>
        <w:rPr>
          <w:rFonts w:ascii="仿宋" w:hAnsi="仿宋" w:eastAsia="仿宋" w:cs="仿宋"/>
          <w:sz w:val="28"/>
          <w:szCs w:val="28"/>
        </w:rPr>
      </w:pPr>
      <w:r>
        <w:rPr>
          <w:rFonts w:hint="eastAsia" w:ascii="仿宋" w:hAnsi="仿宋" w:eastAsia="仿宋" w:cs="仿宋"/>
          <w:sz w:val="28"/>
          <w:szCs w:val="28"/>
        </w:rPr>
        <w:t>东莞市新东湾环保投资有限公司：</w:t>
      </w:r>
    </w:p>
    <w:p>
      <w:pPr>
        <w:pStyle w:val="23"/>
        <w:spacing w:line="360" w:lineRule="auto"/>
        <w:ind w:firstLine="577"/>
        <w:rPr>
          <w:rFonts w:ascii="仿宋" w:hAnsi="仿宋" w:eastAsia="仿宋" w:cs="仿宋"/>
          <w:sz w:val="28"/>
          <w:szCs w:val="28"/>
        </w:rPr>
      </w:pPr>
      <w:r>
        <w:rPr>
          <w:rFonts w:hint="eastAsia" w:ascii="仿宋" w:hAnsi="仿宋" w:eastAsia="仿宋" w:cs="仿宋"/>
          <w:sz w:val="28"/>
          <w:szCs w:val="28"/>
        </w:rPr>
        <w:t>本委托书声明：在下面签字的</w:t>
      </w:r>
      <w:r>
        <w:rPr>
          <w:rFonts w:hint="eastAsia" w:ascii="仿宋" w:hAnsi="仿宋" w:eastAsia="仿宋" w:cs="仿宋"/>
          <w:sz w:val="28"/>
          <w:szCs w:val="28"/>
          <w:u w:val="single"/>
        </w:rPr>
        <w:t>（填写法定代表人姓名、职务）</w:t>
      </w:r>
      <w:r>
        <w:rPr>
          <w:rFonts w:hint="eastAsia" w:ascii="仿宋" w:hAnsi="仿宋" w:eastAsia="仿宋" w:cs="仿宋"/>
          <w:sz w:val="28"/>
          <w:szCs w:val="28"/>
        </w:rPr>
        <w:t>代表</w:t>
      </w:r>
      <w:r>
        <w:rPr>
          <w:rFonts w:hint="eastAsia" w:ascii="仿宋" w:hAnsi="仿宋" w:eastAsia="仿宋" w:cs="仿宋"/>
          <w:sz w:val="28"/>
          <w:szCs w:val="28"/>
          <w:u w:val="single"/>
        </w:rPr>
        <w:t>（填写报价人名称）</w:t>
      </w:r>
      <w:r>
        <w:rPr>
          <w:rFonts w:hint="eastAsia" w:ascii="仿宋" w:hAnsi="仿宋" w:eastAsia="仿宋" w:cs="仿宋"/>
          <w:sz w:val="28"/>
          <w:szCs w:val="28"/>
        </w:rPr>
        <w:t>委托在下面签字的</w:t>
      </w:r>
      <w:r>
        <w:rPr>
          <w:rFonts w:hint="eastAsia" w:ascii="仿宋" w:hAnsi="仿宋" w:eastAsia="仿宋" w:cs="仿宋"/>
          <w:sz w:val="28"/>
          <w:szCs w:val="28"/>
          <w:u w:val="single"/>
        </w:rPr>
        <w:t>（填写受委托人的姓名、职务）</w:t>
      </w:r>
      <w:r>
        <w:rPr>
          <w:rFonts w:hint="eastAsia" w:ascii="仿宋" w:hAnsi="仿宋" w:eastAsia="仿宋" w:cs="仿宋"/>
          <w:sz w:val="28"/>
          <w:szCs w:val="28"/>
        </w:rPr>
        <w:t>为本公司的合法代表人，就</w:t>
      </w:r>
      <w:r>
        <w:rPr>
          <w:rFonts w:hint="eastAsia" w:ascii="仿宋" w:hAnsi="仿宋" w:eastAsia="仿宋" w:cs="仿宋"/>
          <w:sz w:val="28"/>
          <w:szCs w:val="28"/>
          <w:u w:val="single"/>
          <w:lang w:eastAsia="zh-CN"/>
        </w:rPr>
        <w:t>东莞滨海湾新区沙头垃圾填埋场综合整治项目-安防监控系统安装工程项目（重新采购）</w:t>
      </w:r>
      <w:r>
        <w:rPr>
          <w:rFonts w:hint="eastAsia" w:ascii="仿宋" w:hAnsi="仿宋" w:eastAsia="仿宋" w:cs="仿宋"/>
          <w:sz w:val="28"/>
          <w:szCs w:val="28"/>
        </w:rPr>
        <w:t>等相关服务的谈判和合同的签订、执行，以我方的名义处理一切与之有关的事宜（相关身份证复印件须附后）。</w:t>
      </w:r>
    </w:p>
    <w:p>
      <w:pPr>
        <w:pStyle w:val="23"/>
        <w:spacing w:line="360" w:lineRule="auto"/>
        <w:ind w:firstLine="577"/>
        <w:rPr>
          <w:rFonts w:ascii="仿宋" w:hAnsi="仿宋" w:eastAsia="仿宋" w:cs="仿宋"/>
          <w:sz w:val="28"/>
          <w:szCs w:val="28"/>
        </w:rPr>
      </w:pPr>
    </w:p>
    <w:p>
      <w:pPr>
        <w:pStyle w:val="23"/>
        <w:spacing w:line="360" w:lineRule="auto"/>
        <w:ind w:left="559" w:leftChars="266" w:firstLine="11" w:firstLineChars="4"/>
        <w:rPr>
          <w:rFonts w:ascii="仿宋" w:hAnsi="仿宋" w:eastAsia="仿宋" w:cs="仿宋"/>
          <w:sz w:val="28"/>
          <w:szCs w:val="28"/>
        </w:rPr>
      </w:pPr>
      <w:r>
        <w:rPr>
          <w:rFonts w:hint="eastAsia" w:ascii="仿宋" w:hAnsi="仿宋" w:eastAsia="仿宋" w:cs="仿宋"/>
          <w:sz w:val="28"/>
          <w:szCs w:val="28"/>
        </w:rPr>
        <w:t>本委托书于</w:t>
      </w:r>
      <w:r>
        <w:rPr>
          <w:rFonts w:hint="eastAsia" w:ascii="仿宋" w:hAnsi="仿宋" w:eastAsia="仿宋" w:cs="仿宋"/>
          <w:sz w:val="28"/>
          <w:szCs w:val="28"/>
          <w:u w:val="single"/>
        </w:rPr>
        <w:t>　</w:t>
      </w:r>
      <w:r>
        <w:rPr>
          <w:rFonts w:hint="eastAsia" w:ascii="仿宋" w:hAnsi="仿宋" w:eastAsia="仿宋" w:cs="仿宋"/>
          <w:sz w:val="28"/>
          <w:szCs w:val="28"/>
        </w:rPr>
        <w:t>年</w:t>
      </w:r>
      <w:r>
        <w:rPr>
          <w:rFonts w:hint="eastAsia" w:ascii="仿宋" w:hAnsi="仿宋" w:eastAsia="仿宋" w:cs="仿宋"/>
          <w:sz w:val="28"/>
          <w:szCs w:val="28"/>
          <w:u w:val="single"/>
        </w:rPr>
        <w:t>　</w:t>
      </w:r>
      <w:r>
        <w:rPr>
          <w:rFonts w:hint="eastAsia" w:ascii="仿宋" w:hAnsi="仿宋" w:eastAsia="仿宋" w:cs="仿宋"/>
          <w:sz w:val="28"/>
          <w:szCs w:val="28"/>
        </w:rPr>
        <w:t>月</w:t>
      </w:r>
      <w:r>
        <w:rPr>
          <w:rFonts w:hint="eastAsia" w:ascii="仿宋" w:hAnsi="仿宋" w:eastAsia="仿宋" w:cs="仿宋"/>
          <w:sz w:val="28"/>
          <w:szCs w:val="28"/>
          <w:u w:val="single"/>
        </w:rPr>
        <w:t>　</w:t>
      </w:r>
      <w:r>
        <w:rPr>
          <w:rFonts w:hint="eastAsia" w:ascii="仿宋" w:hAnsi="仿宋" w:eastAsia="仿宋" w:cs="仿宋"/>
          <w:sz w:val="28"/>
          <w:szCs w:val="28"/>
        </w:rPr>
        <w:t>日至</w:t>
      </w:r>
      <w:r>
        <w:rPr>
          <w:rFonts w:hint="eastAsia" w:ascii="仿宋" w:hAnsi="仿宋" w:eastAsia="仿宋" w:cs="仿宋"/>
          <w:sz w:val="28"/>
          <w:szCs w:val="28"/>
          <w:u w:val="single"/>
        </w:rPr>
        <w:t>　</w:t>
      </w:r>
      <w:r>
        <w:rPr>
          <w:rFonts w:hint="eastAsia" w:ascii="仿宋" w:hAnsi="仿宋" w:eastAsia="仿宋" w:cs="仿宋"/>
          <w:sz w:val="28"/>
          <w:szCs w:val="28"/>
        </w:rPr>
        <w:t>年</w:t>
      </w:r>
      <w:r>
        <w:rPr>
          <w:rFonts w:hint="eastAsia" w:ascii="仿宋" w:hAnsi="仿宋" w:eastAsia="仿宋" w:cs="仿宋"/>
          <w:sz w:val="28"/>
          <w:szCs w:val="28"/>
          <w:u w:val="single"/>
        </w:rPr>
        <w:t>　</w:t>
      </w:r>
      <w:r>
        <w:rPr>
          <w:rFonts w:hint="eastAsia" w:ascii="仿宋" w:hAnsi="仿宋" w:eastAsia="仿宋" w:cs="仿宋"/>
          <w:sz w:val="28"/>
          <w:szCs w:val="28"/>
        </w:rPr>
        <w:t>月</w:t>
      </w:r>
      <w:r>
        <w:rPr>
          <w:rFonts w:hint="eastAsia" w:ascii="仿宋" w:hAnsi="仿宋" w:eastAsia="仿宋" w:cs="仿宋"/>
          <w:sz w:val="28"/>
          <w:szCs w:val="28"/>
          <w:u w:val="single"/>
        </w:rPr>
        <w:t>　</w:t>
      </w:r>
      <w:r>
        <w:rPr>
          <w:rFonts w:hint="eastAsia" w:ascii="仿宋" w:hAnsi="仿宋" w:eastAsia="仿宋" w:cs="仿宋"/>
          <w:sz w:val="28"/>
          <w:szCs w:val="28"/>
        </w:rPr>
        <w:t>日签字生效，特此声明。（注：有效期不得少于90个日历天）</w:t>
      </w:r>
    </w:p>
    <w:p>
      <w:pPr>
        <w:pStyle w:val="23"/>
        <w:spacing w:line="360" w:lineRule="auto"/>
        <w:ind w:firstLine="577"/>
        <w:rPr>
          <w:rFonts w:ascii="仿宋" w:hAnsi="仿宋" w:eastAsia="仿宋" w:cs="仿宋"/>
          <w:sz w:val="28"/>
          <w:szCs w:val="28"/>
        </w:rPr>
      </w:pPr>
    </w:p>
    <w:p>
      <w:pPr>
        <w:pStyle w:val="23"/>
        <w:spacing w:line="360" w:lineRule="auto"/>
        <w:ind w:right="160" w:firstLine="0" w:firstLineChars="0"/>
        <w:rPr>
          <w:rFonts w:ascii="仿宋" w:hAnsi="仿宋" w:eastAsia="仿宋" w:cs="仿宋"/>
          <w:sz w:val="28"/>
          <w:szCs w:val="28"/>
        </w:rPr>
      </w:pPr>
      <w:r>
        <w:rPr>
          <w:rFonts w:hint="eastAsia" w:ascii="仿宋" w:hAnsi="仿宋" w:eastAsia="仿宋" w:cs="仿宋"/>
          <w:sz w:val="28"/>
          <w:szCs w:val="28"/>
        </w:rPr>
        <w:t>报价人名称（加盖公章）：</w:t>
      </w:r>
    </w:p>
    <w:p>
      <w:pPr>
        <w:pStyle w:val="23"/>
        <w:wordWrap w:val="0"/>
        <w:spacing w:line="360" w:lineRule="auto"/>
        <w:ind w:firstLine="0" w:firstLineChars="0"/>
        <w:rPr>
          <w:rFonts w:ascii="仿宋" w:hAnsi="仿宋" w:eastAsia="仿宋" w:cs="仿宋"/>
          <w:sz w:val="28"/>
          <w:szCs w:val="28"/>
        </w:rPr>
      </w:pPr>
      <w:r>
        <w:rPr>
          <w:rFonts w:hint="eastAsia" w:ascii="仿宋" w:hAnsi="仿宋" w:eastAsia="仿宋" w:cs="仿宋"/>
          <w:sz w:val="28"/>
          <w:szCs w:val="28"/>
        </w:rPr>
        <w:t>报价人地址：</w:t>
      </w:r>
    </w:p>
    <w:p>
      <w:pPr>
        <w:pStyle w:val="23"/>
        <w:wordWrap w:val="0"/>
        <w:spacing w:line="360" w:lineRule="auto"/>
        <w:ind w:firstLine="0" w:firstLineChars="0"/>
        <w:rPr>
          <w:rFonts w:ascii="仿宋" w:hAnsi="仿宋" w:eastAsia="仿宋" w:cs="仿宋"/>
          <w:sz w:val="28"/>
          <w:szCs w:val="28"/>
        </w:rPr>
      </w:pPr>
      <w:r>
        <w:rPr>
          <w:rFonts w:hint="eastAsia" w:ascii="仿宋" w:hAnsi="仿宋" w:eastAsia="仿宋" w:cs="仿宋"/>
          <w:sz w:val="28"/>
          <w:szCs w:val="28"/>
        </w:rPr>
        <w:t>法定代表人（签字或盖章）：</w:t>
      </w:r>
    </w:p>
    <w:p>
      <w:pPr>
        <w:pStyle w:val="23"/>
        <w:wordWrap w:val="0"/>
        <w:spacing w:line="360" w:lineRule="auto"/>
        <w:ind w:firstLine="0" w:firstLineChars="0"/>
        <w:rPr>
          <w:rFonts w:ascii="仿宋" w:hAnsi="仿宋" w:eastAsia="仿宋" w:cs="仿宋"/>
          <w:sz w:val="28"/>
          <w:szCs w:val="28"/>
        </w:rPr>
      </w:pPr>
      <w:r>
        <w:rPr>
          <w:rFonts w:hint="eastAsia" w:ascii="仿宋" w:hAnsi="仿宋" w:eastAsia="仿宋" w:cs="仿宋"/>
          <w:sz w:val="28"/>
          <w:szCs w:val="28"/>
        </w:rPr>
        <w:t>职务：</w:t>
      </w:r>
    </w:p>
    <w:p>
      <w:pPr>
        <w:pStyle w:val="23"/>
        <w:wordWrap w:val="0"/>
        <w:spacing w:line="360" w:lineRule="auto"/>
        <w:ind w:firstLine="0" w:firstLineChars="0"/>
        <w:rPr>
          <w:rFonts w:ascii="仿宋" w:hAnsi="仿宋" w:eastAsia="仿宋" w:cs="仿宋"/>
          <w:sz w:val="28"/>
          <w:szCs w:val="28"/>
        </w:rPr>
      </w:pPr>
      <w:r>
        <w:rPr>
          <w:rFonts w:hint="eastAsia" w:ascii="仿宋" w:hAnsi="仿宋" w:eastAsia="仿宋" w:cs="仿宋"/>
          <w:sz w:val="28"/>
          <w:szCs w:val="28"/>
        </w:rPr>
        <w:t>受委托人（签字或盖章）：</w:t>
      </w:r>
    </w:p>
    <w:p>
      <w:pPr>
        <w:pStyle w:val="23"/>
        <w:wordWrap w:val="0"/>
        <w:spacing w:line="360" w:lineRule="auto"/>
        <w:ind w:firstLine="0" w:firstLineChars="0"/>
        <w:rPr>
          <w:rFonts w:ascii="仿宋" w:hAnsi="仿宋" w:eastAsia="仿宋" w:cs="仿宋"/>
          <w:sz w:val="28"/>
          <w:szCs w:val="28"/>
        </w:rPr>
      </w:pPr>
      <w:r>
        <w:rPr>
          <w:rFonts w:hint="eastAsia" w:ascii="仿宋" w:hAnsi="仿宋" w:eastAsia="仿宋" w:cs="仿宋"/>
          <w:sz w:val="28"/>
          <w:szCs w:val="28"/>
        </w:rPr>
        <w:t>职务：</w:t>
      </w:r>
    </w:p>
    <w:p>
      <w:pPr>
        <w:pStyle w:val="23"/>
        <w:spacing w:line="360" w:lineRule="auto"/>
        <w:ind w:firstLine="0" w:firstLineChars="0"/>
        <w:rPr>
          <w:rFonts w:ascii="仿宋" w:hAnsi="仿宋" w:eastAsia="仿宋" w:cs="仿宋"/>
          <w:b/>
          <w:bCs/>
          <w:sz w:val="28"/>
          <w:szCs w:val="28"/>
        </w:rPr>
      </w:pPr>
      <w:r>
        <w:rPr>
          <w:rFonts w:hint="eastAsia" w:ascii="仿宋" w:hAnsi="仿宋" w:eastAsia="仿宋" w:cs="仿宋"/>
          <w:sz w:val="28"/>
          <w:szCs w:val="28"/>
        </w:rPr>
        <w:t>日期：</w:t>
      </w:r>
      <w:r>
        <w:rPr>
          <w:rFonts w:hint="eastAsia" w:ascii="仿宋" w:hAnsi="仿宋" w:eastAsia="仿宋" w:cs="仿宋"/>
          <w:b/>
          <w:bCs/>
          <w:sz w:val="28"/>
          <w:szCs w:val="28"/>
        </w:rPr>
        <w:br w:type="page"/>
      </w:r>
    </w:p>
    <w:p>
      <w:pPr>
        <w:spacing w:line="360" w:lineRule="auto"/>
        <w:outlineLvl w:val="2"/>
        <w:rPr>
          <w:rFonts w:ascii="仿宋" w:hAnsi="仿宋" w:eastAsia="仿宋" w:cs="仿宋"/>
          <w:b/>
          <w:bCs/>
          <w:sz w:val="28"/>
          <w:szCs w:val="28"/>
        </w:rPr>
      </w:pPr>
      <w:r>
        <w:rPr>
          <w:rFonts w:hint="eastAsia" w:ascii="仿宋" w:hAnsi="仿宋" w:eastAsia="仿宋" w:cs="仿宋"/>
          <w:b/>
          <w:bCs/>
          <w:sz w:val="28"/>
          <w:szCs w:val="28"/>
        </w:rPr>
        <w:t>附件五 报价人未到场声明</w:t>
      </w:r>
    </w:p>
    <w:p>
      <w:pPr>
        <w:pStyle w:val="13"/>
        <w:spacing w:beforeAutospacing="0" w:afterAutospacing="0"/>
        <w:ind w:firstLine="562" w:firstLineChars="200"/>
        <w:jc w:val="center"/>
        <w:rPr>
          <w:rFonts w:ascii="仿宋" w:hAnsi="仿宋" w:eastAsia="仿宋" w:cs="仿宋"/>
          <w:b/>
          <w:sz w:val="28"/>
          <w:szCs w:val="28"/>
        </w:rPr>
      </w:pPr>
      <w:r>
        <w:rPr>
          <w:rFonts w:hint="eastAsia" w:ascii="仿宋" w:hAnsi="仿宋" w:eastAsia="仿宋" w:cs="仿宋"/>
          <w:b/>
          <w:kern w:val="2"/>
          <w:sz w:val="28"/>
          <w:szCs w:val="28"/>
          <w:lang w:bidi="ar"/>
        </w:rPr>
        <w:t>报价人未到场声明</w:t>
      </w:r>
    </w:p>
    <w:p>
      <w:pPr>
        <w:spacing w:line="360" w:lineRule="auto"/>
        <w:rPr>
          <w:rFonts w:ascii="仿宋" w:hAnsi="仿宋" w:eastAsia="仿宋" w:cs="仿宋"/>
          <w:sz w:val="28"/>
          <w:szCs w:val="28"/>
          <w:lang w:bidi="ar"/>
        </w:rPr>
      </w:pPr>
    </w:p>
    <w:p>
      <w:pPr>
        <w:spacing w:line="360" w:lineRule="auto"/>
        <w:rPr>
          <w:rFonts w:ascii="仿宋" w:hAnsi="仿宋" w:eastAsia="仿宋" w:cs="仿宋"/>
          <w:sz w:val="28"/>
          <w:szCs w:val="28"/>
        </w:rPr>
      </w:pPr>
      <w:r>
        <w:rPr>
          <w:rFonts w:hint="eastAsia" w:ascii="仿宋" w:hAnsi="仿宋" w:eastAsia="仿宋" w:cs="仿宋"/>
          <w:sz w:val="28"/>
          <w:szCs w:val="28"/>
          <w:lang w:bidi="ar"/>
        </w:rPr>
        <w:t>东莞市</w:t>
      </w:r>
      <w:r>
        <w:rPr>
          <w:rFonts w:hint="eastAsia" w:ascii="仿宋" w:hAnsi="仿宋" w:eastAsia="仿宋" w:cs="仿宋"/>
          <w:sz w:val="28"/>
          <w:szCs w:val="28"/>
          <w:lang w:val="en-US" w:eastAsia="zh-CN" w:bidi="ar"/>
        </w:rPr>
        <w:t>新东湾环保投资</w:t>
      </w:r>
      <w:r>
        <w:rPr>
          <w:rFonts w:hint="eastAsia" w:ascii="仿宋" w:hAnsi="仿宋" w:eastAsia="仿宋" w:cs="仿宋"/>
          <w:sz w:val="28"/>
          <w:szCs w:val="28"/>
          <w:lang w:bidi="ar"/>
        </w:rPr>
        <w:t>有限公司：</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bidi="ar"/>
        </w:rPr>
        <w:t>我司就参加</w:t>
      </w:r>
      <w:r>
        <w:rPr>
          <w:rFonts w:hint="eastAsia" w:ascii="仿宋" w:hAnsi="仿宋" w:eastAsia="仿宋" w:cs="仿宋"/>
          <w:sz w:val="28"/>
          <w:szCs w:val="28"/>
          <w:u w:val="single"/>
          <w:lang w:eastAsia="zh-CN" w:bidi="ar"/>
        </w:rPr>
        <w:t>东莞滨海湾新区沙头垃圾填埋场综合整治项目-安防监控系统安装工程项目（重新采购）</w:t>
      </w:r>
      <w:r>
        <w:rPr>
          <w:rFonts w:hint="eastAsia" w:ascii="仿宋" w:hAnsi="仿宋" w:eastAsia="仿宋" w:cs="仿宋"/>
          <w:sz w:val="28"/>
          <w:szCs w:val="28"/>
          <w:lang w:bidi="ar"/>
        </w:rPr>
        <w:t>报价工作，作出郑重说明：</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bidi="ar"/>
        </w:rPr>
        <w:t>我司保证投标资格审查材料及其后提供的一切材料都是真实的；</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bidi="ar"/>
        </w:rPr>
        <w:t>我司因疫情防控原因情况未能到现场参加开标工作，对开标结果不存在任何异议。</w:t>
      </w:r>
    </w:p>
    <w:p>
      <w:pPr>
        <w:spacing w:line="360" w:lineRule="auto"/>
        <w:ind w:firstLine="560" w:firstLineChars="200"/>
        <w:rPr>
          <w:rFonts w:ascii="仿宋" w:hAnsi="仿宋" w:eastAsia="仿宋" w:cs="仿宋"/>
          <w:sz w:val="28"/>
          <w:szCs w:val="28"/>
        </w:rPr>
      </w:pPr>
    </w:p>
    <w:p>
      <w:pPr>
        <w:spacing w:line="360" w:lineRule="auto"/>
        <w:ind w:firstLine="560" w:firstLineChars="200"/>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lang w:bidi="ar"/>
        </w:rPr>
        <w:t>报价人名称（加盖公章）：</w:t>
      </w:r>
    </w:p>
    <w:p>
      <w:pPr>
        <w:spacing w:line="360" w:lineRule="auto"/>
        <w:rPr>
          <w:rFonts w:ascii="仿宋" w:hAnsi="仿宋" w:eastAsia="仿宋" w:cs="仿宋"/>
          <w:sz w:val="28"/>
          <w:szCs w:val="28"/>
        </w:rPr>
      </w:pPr>
      <w:r>
        <w:rPr>
          <w:rFonts w:hint="eastAsia" w:ascii="仿宋" w:hAnsi="仿宋" w:eastAsia="仿宋" w:cs="仿宋"/>
          <w:sz w:val="28"/>
          <w:szCs w:val="28"/>
          <w:lang w:bidi="ar"/>
        </w:rPr>
        <w:t>法定代表人（签字或盖章）：</w:t>
      </w:r>
    </w:p>
    <w:p>
      <w:pPr>
        <w:rPr>
          <w:rFonts w:ascii="仿宋" w:hAnsi="仿宋" w:eastAsia="仿宋" w:cs="仿宋"/>
          <w:b/>
          <w:bCs/>
          <w:sz w:val="28"/>
          <w:szCs w:val="28"/>
        </w:rPr>
      </w:pPr>
      <w:r>
        <w:rPr>
          <w:rFonts w:hint="eastAsia" w:ascii="仿宋" w:hAnsi="仿宋" w:eastAsia="仿宋" w:cs="仿宋"/>
          <w:sz w:val="28"/>
          <w:szCs w:val="28"/>
          <w:lang w:bidi="ar"/>
        </w:rPr>
        <w:t>日期：</w:t>
      </w:r>
      <w:r>
        <w:rPr>
          <w:rFonts w:hint="eastAsia" w:ascii="仿宋" w:hAnsi="仿宋" w:eastAsia="仿宋" w:cs="仿宋"/>
          <w:b/>
          <w:bCs/>
          <w:sz w:val="28"/>
          <w:szCs w:val="28"/>
        </w:rPr>
        <w:br w:type="page"/>
      </w:r>
    </w:p>
    <w:p>
      <w:pPr>
        <w:spacing w:line="360" w:lineRule="auto"/>
        <w:outlineLvl w:val="2"/>
        <w:rPr>
          <w:rFonts w:ascii="仿宋" w:hAnsi="仿宋" w:eastAsia="仿宋"/>
          <w:b/>
          <w:bCs/>
          <w:sz w:val="28"/>
          <w:szCs w:val="44"/>
        </w:rPr>
      </w:pPr>
      <w:r>
        <w:rPr>
          <w:rFonts w:hint="eastAsia" w:ascii="仿宋" w:hAnsi="仿宋" w:eastAsia="仿宋"/>
          <w:b/>
          <w:bCs/>
          <w:sz w:val="28"/>
          <w:szCs w:val="44"/>
        </w:rPr>
        <w:t>附件六 合同模板</w:t>
      </w:r>
    </w:p>
    <w:bookmarkEnd w:id="5"/>
    <w:p>
      <w:pPr>
        <w:spacing w:line="360" w:lineRule="auto"/>
        <w:rPr>
          <w:rFonts w:ascii="宋体" w:hAnsi="宋体" w:cs="宋体"/>
          <w:sz w:val="28"/>
          <w:szCs w:val="28"/>
        </w:rPr>
      </w:pPr>
      <w:bookmarkStart w:id="6" w:name="现场签证通知单"/>
      <w:bookmarkEnd w:id="6"/>
      <w:bookmarkStart w:id="7" w:name="设计变更通知单"/>
      <w:bookmarkEnd w:id="7"/>
      <w:bookmarkStart w:id="8" w:name="_Toc276500106"/>
      <w:bookmarkStart w:id="9" w:name="_Toc309892814"/>
    </w:p>
    <w:p>
      <w:pPr>
        <w:spacing w:line="360" w:lineRule="auto"/>
        <w:rPr>
          <w:rFonts w:ascii="宋体" w:hAnsi="宋体" w:cs="宋体"/>
          <w:sz w:val="28"/>
          <w:szCs w:val="28"/>
        </w:rPr>
      </w:pPr>
      <w:r>
        <w:rPr>
          <w:rFonts w:hint="eastAsia" w:ascii="宋体" w:hAnsi="宋体" w:cs="宋体"/>
          <w:sz w:val="28"/>
          <w:szCs w:val="28"/>
          <w:lang w:bidi="ar"/>
        </w:rPr>
        <w:t xml:space="preserve">甲方合同编号： </w:t>
      </w:r>
    </w:p>
    <w:p>
      <w:pPr>
        <w:spacing w:line="360" w:lineRule="auto"/>
        <w:rPr>
          <w:rFonts w:ascii="宋体" w:hAnsi="宋体" w:cs="宋体"/>
          <w:sz w:val="28"/>
          <w:szCs w:val="28"/>
        </w:rPr>
      </w:pPr>
      <w:r>
        <w:rPr>
          <w:rFonts w:hint="eastAsia" w:ascii="宋体" w:hAnsi="宋体" w:cs="宋体"/>
          <w:sz w:val="28"/>
          <w:szCs w:val="28"/>
          <w:lang w:bidi="ar"/>
        </w:rPr>
        <w:t>乙方合同编号：</w:t>
      </w:r>
    </w:p>
    <w:p>
      <w:pPr>
        <w:pStyle w:val="13"/>
        <w:spacing w:beforeAutospacing="0" w:after="120" w:afterAutospacing="0"/>
        <w:jc w:val="both"/>
        <w:rPr>
          <w:rFonts w:ascii="宋体" w:hAnsi="宋体" w:eastAsia="宋体" w:cs="宋体"/>
          <w:sz w:val="28"/>
          <w:szCs w:val="28"/>
        </w:rPr>
      </w:pPr>
    </w:p>
    <w:p>
      <w:pPr>
        <w:pStyle w:val="13"/>
        <w:spacing w:beforeAutospacing="0" w:after="120" w:afterAutospacing="0"/>
        <w:jc w:val="both"/>
        <w:rPr>
          <w:rFonts w:ascii="宋体" w:hAnsi="宋体" w:eastAsia="宋体" w:cs="宋体"/>
          <w:sz w:val="28"/>
          <w:szCs w:val="28"/>
        </w:rPr>
      </w:pPr>
    </w:p>
    <w:p>
      <w:pPr>
        <w:jc w:val="center"/>
        <w:rPr>
          <w:rFonts w:ascii="宋体" w:hAnsi="宋体" w:cs="微软雅黑"/>
          <w:b/>
          <w:sz w:val="36"/>
          <w:szCs w:val="36"/>
        </w:rPr>
      </w:pPr>
      <w:r>
        <w:rPr>
          <w:rFonts w:hint="eastAsia" w:ascii="宋体" w:hAnsi="宋体" w:cs="微软雅黑"/>
          <w:b/>
          <w:sz w:val="36"/>
          <w:szCs w:val="36"/>
          <w:lang w:eastAsia="zh-CN" w:bidi="ar"/>
        </w:rPr>
        <w:t>东莞滨海湾新区沙头垃圾填埋场综合整治项目-安防监控系统安装工程项目（重新采购）</w:t>
      </w:r>
      <w:r>
        <w:rPr>
          <w:rFonts w:hint="eastAsia" w:ascii="宋体" w:hAnsi="宋体" w:cs="微软雅黑"/>
          <w:b/>
          <w:sz w:val="36"/>
          <w:szCs w:val="36"/>
          <w:lang w:bidi="ar"/>
        </w:rPr>
        <w:t>合同</w:t>
      </w:r>
    </w:p>
    <w:p>
      <w:pPr>
        <w:pStyle w:val="13"/>
        <w:spacing w:beforeAutospacing="0" w:after="120" w:afterAutospacing="0"/>
        <w:jc w:val="both"/>
        <w:rPr>
          <w:rFonts w:ascii="宋体" w:hAnsi="宋体" w:eastAsia="宋体" w:cs="宋体"/>
          <w:sz w:val="28"/>
          <w:szCs w:val="28"/>
        </w:rPr>
      </w:pPr>
    </w:p>
    <w:p>
      <w:pPr>
        <w:pStyle w:val="13"/>
        <w:spacing w:beforeAutospacing="0" w:after="120" w:afterAutospacing="0"/>
        <w:jc w:val="both"/>
        <w:rPr>
          <w:rFonts w:ascii="宋体" w:hAnsi="宋体" w:eastAsia="宋体" w:cs="宋体"/>
          <w:sz w:val="28"/>
          <w:szCs w:val="28"/>
        </w:rPr>
      </w:pPr>
    </w:p>
    <w:p>
      <w:pPr>
        <w:pStyle w:val="13"/>
        <w:spacing w:beforeAutospacing="0" w:after="120" w:afterAutospacing="0"/>
        <w:jc w:val="both"/>
        <w:rPr>
          <w:rFonts w:ascii="宋体" w:hAnsi="宋体" w:eastAsia="宋体" w:cs="宋体"/>
          <w:sz w:val="28"/>
          <w:szCs w:val="28"/>
        </w:rPr>
      </w:pPr>
    </w:p>
    <w:p>
      <w:pPr>
        <w:pStyle w:val="13"/>
        <w:spacing w:beforeAutospacing="0" w:after="120" w:afterAutospacing="0"/>
        <w:jc w:val="both"/>
        <w:rPr>
          <w:rFonts w:ascii="宋体" w:hAnsi="宋体" w:eastAsia="宋体" w:cs="宋体"/>
          <w:sz w:val="28"/>
          <w:szCs w:val="28"/>
        </w:rPr>
      </w:pPr>
    </w:p>
    <w:p>
      <w:pPr>
        <w:spacing w:line="640" w:lineRule="exact"/>
        <w:ind w:left="991" w:leftChars="472"/>
        <w:jc w:val="left"/>
        <w:rPr>
          <w:rFonts w:ascii="宋体" w:hAnsi="宋体" w:cs="宋体"/>
          <w:b/>
          <w:color w:val="262626"/>
          <w:sz w:val="28"/>
          <w:szCs w:val="28"/>
          <w:u w:val="single"/>
        </w:rPr>
      </w:pPr>
      <w:r>
        <w:rPr>
          <w:rFonts w:hint="eastAsia" w:ascii="宋体" w:hAnsi="宋体" w:cs="宋体"/>
          <w:b/>
          <w:color w:val="262626"/>
          <w:sz w:val="28"/>
          <w:szCs w:val="28"/>
          <w:lang w:bidi="ar"/>
        </w:rPr>
        <w:t>发包人（甲方）：</w:t>
      </w:r>
      <w:r>
        <w:rPr>
          <w:rFonts w:hint="eastAsia" w:ascii="宋体" w:hAnsi="宋体" w:cs="宋体"/>
          <w:b/>
          <w:sz w:val="28"/>
          <w:szCs w:val="28"/>
          <w:u w:val="single"/>
          <w:lang w:bidi="ar"/>
        </w:rPr>
        <w:t xml:space="preserve">                        </w:t>
      </w:r>
    </w:p>
    <w:p>
      <w:pPr>
        <w:tabs>
          <w:tab w:val="right" w:pos="8312"/>
        </w:tabs>
        <w:spacing w:line="640" w:lineRule="exact"/>
        <w:ind w:left="991" w:leftChars="472"/>
        <w:jc w:val="left"/>
        <w:rPr>
          <w:rFonts w:ascii="宋体" w:hAnsi="宋体" w:cs="宋体"/>
          <w:b/>
          <w:sz w:val="28"/>
          <w:szCs w:val="28"/>
          <w:u w:val="single"/>
        </w:rPr>
      </w:pPr>
      <w:r>
        <w:rPr>
          <w:rFonts w:hint="eastAsia" w:ascii="宋体" w:hAnsi="宋体" w:cs="宋体"/>
          <w:b/>
          <w:sz w:val="28"/>
          <w:szCs w:val="28"/>
          <w:lang w:bidi="ar"/>
        </w:rPr>
        <w:t>承包人（乙方）：</w:t>
      </w:r>
      <w:r>
        <w:rPr>
          <w:rFonts w:hint="eastAsia" w:ascii="宋体" w:hAnsi="宋体" w:cs="宋体"/>
          <w:b/>
          <w:sz w:val="28"/>
          <w:szCs w:val="28"/>
          <w:u w:val="single"/>
          <w:lang w:bidi="ar"/>
        </w:rPr>
        <w:t xml:space="preserve">                        </w:t>
      </w:r>
    </w:p>
    <w:p>
      <w:pPr>
        <w:spacing w:line="640" w:lineRule="exact"/>
        <w:ind w:left="991" w:leftChars="472"/>
        <w:jc w:val="left"/>
        <w:rPr>
          <w:rFonts w:ascii="宋体" w:hAnsi="宋体" w:cs="宋体"/>
          <w:sz w:val="28"/>
          <w:szCs w:val="28"/>
        </w:rPr>
      </w:pPr>
    </w:p>
    <w:p>
      <w:pPr>
        <w:spacing w:line="640" w:lineRule="exact"/>
        <w:ind w:left="991" w:leftChars="472"/>
        <w:jc w:val="left"/>
        <w:rPr>
          <w:rFonts w:ascii="宋体" w:hAnsi="宋体" w:cs="宋体"/>
          <w:sz w:val="28"/>
          <w:szCs w:val="28"/>
        </w:rPr>
      </w:pPr>
      <w:r>
        <w:rPr>
          <w:rFonts w:hint="eastAsia" w:ascii="宋体" w:hAnsi="宋体" w:cs="宋体"/>
          <w:sz w:val="28"/>
          <w:szCs w:val="28"/>
          <w:lang w:bidi="ar"/>
        </w:rPr>
        <w:t>签订时间：  年   月    日</w:t>
      </w:r>
    </w:p>
    <w:p>
      <w:pPr>
        <w:spacing w:line="640" w:lineRule="exact"/>
        <w:ind w:left="991" w:leftChars="472"/>
        <w:jc w:val="left"/>
        <w:rPr>
          <w:rFonts w:ascii="宋体" w:hAnsi="宋体" w:cs="宋体"/>
          <w:sz w:val="28"/>
          <w:szCs w:val="28"/>
        </w:rPr>
      </w:pPr>
      <w:r>
        <w:rPr>
          <w:rFonts w:hint="eastAsia" w:ascii="宋体" w:hAnsi="宋体" w:cs="宋体"/>
          <w:sz w:val="28"/>
          <w:szCs w:val="28"/>
          <w:lang w:bidi="ar"/>
        </w:rPr>
        <w:t xml:space="preserve">签订地点：  </w:t>
      </w:r>
    </w:p>
    <w:p>
      <w:pPr>
        <w:pStyle w:val="13"/>
        <w:spacing w:beforeAutospacing="0" w:after="120" w:afterAutospacing="0"/>
        <w:jc w:val="both"/>
        <w:rPr>
          <w:rFonts w:ascii="宋体" w:hAnsi="宋体" w:eastAsia="宋体" w:cs="宋体"/>
          <w:sz w:val="28"/>
          <w:szCs w:val="28"/>
        </w:rPr>
      </w:pPr>
    </w:p>
    <w:p>
      <w:pPr>
        <w:snapToGrid w:val="0"/>
        <w:spacing w:line="360" w:lineRule="auto"/>
        <w:ind w:firstLine="560" w:firstLineChars="200"/>
        <w:rPr>
          <w:rFonts w:ascii="宋体" w:hAnsi="宋体" w:cs="宋体"/>
          <w:color w:val="0000FF"/>
          <w:sz w:val="24"/>
          <w:szCs w:val="24"/>
        </w:rPr>
      </w:pPr>
      <w:r>
        <w:rPr>
          <w:rFonts w:hint="eastAsia" w:ascii="宋体" w:hAnsi="宋体"/>
          <w:sz w:val="28"/>
          <w:szCs w:val="28"/>
          <w:lang w:bidi="ar"/>
        </w:rPr>
        <w:br w:type="page"/>
      </w:r>
      <w:bookmarkEnd w:id="8"/>
      <w:bookmarkEnd w:id="9"/>
      <w:r>
        <w:rPr>
          <w:rFonts w:hint="eastAsia" w:ascii="宋体" w:hAnsi="宋体" w:cs="宋体"/>
          <w:b/>
          <w:bCs/>
          <w:sz w:val="24"/>
          <w:szCs w:val="24"/>
          <w:lang w:bidi="ar"/>
        </w:rPr>
        <w:t>发包人（甲方）：</w:t>
      </w:r>
      <w:r>
        <w:rPr>
          <w:rFonts w:hint="eastAsia" w:ascii="宋体" w:hAnsi="宋体" w:cs="宋体"/>
          <w:sz w:val="24"/>
          <w:szCs w:val="24"/>
          <w:u w:val="single"/>
          <w:lang w:bidi="ar"/>
        </w:rPr>
        <w:t xml:space="preserve">                         </w:t>
      </w:r>
    </w:p>
    <w:p>
      <w:pPr>
        <w:snapToGrid w:val="0"/>
        <w:spacing w:line="360" w:lineRule="auto"/>
        <w:ind w:firstLine="482" w:firstLineChars="200"/>
        <w:rPr>
          <w:rFonts w:ascii="宋体" w:hAnsi="宋体" w:cs="宋体"/>
          <w:b/>
          <w:bCs/>
          <w:sz w:val="24"/>
          <w:szCs w:val="24"/>
          <w:u w:val="single"/>
        </w:rPr>
      </w:pPr>
      <w:r>
        <w:rPr>
          <w:rFonts w:hint="eastAsia" w:ascii="宋体" w:hAnsi="宋体" w:cs="宋体"/>
          <w:b/>
          <w:bCs/>
          <w:sz w:val="24"/>
          <w:szCs w:val="24"/>
          <w:lang w:bidi="ar"/>
        </w:rPr>
        <w:t>承包人（乙方）：</w:t>
      </w:r>
      <w:r>
        <w:rPr>
          <w:rFonts w:hint="eastAsia" w:ascii="宋体" w:hAnsi="宋体" w:cs="宋体"/>
          <w:sz w:val="24"/>
          <w:szCs w:val="24"/>
          <w:u w:val="single"/>
          <w:lang w:bidi="ar"/>
        </w:rPr>
        <w:t xml:space="preserve">                         </w:t>
      </w:r>
    </w:p>
    <w:p>
      <w:pPr>
        <w:snapToGrid w:val="0"/>
        <w:spacing w:line="360" w:lineRule="auto"/>
        <w:ind w:firstLine="480" w:firstLineChars="200"/>
        <w:rPr>
          <w:rFonts w:ascii="宋体" w:hAnsi="宋体" w:cs="宋体"/>
          <w:sz w:val="24"/>
          <w:szCs w:val="24"/>
        </w:rPr>
      </w:pP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依照《中华人民共和国合同法》及其他有关法律法规，遵循平等、自愿、公平和诚实信用的原则，双方就</w:t>
      </w:r>
      <w:r>
        <w:rPr>
          <w:rFonts w:hint="eastAsia" w:ascii="宋体" w:hAnsi="宋体" w:cs="宋体"/>
          <w:sz w:val="24"/>
          <w:szCs w:val="24"/>
          <w:u w:val="single"/>
          <w:lang w:bidi="ar"/>
        </w:rPr>
        <w:t xml:space="preserve"> </w:t>
      </w:r>
      <w:r>
        <w:rPr>
          <w:rFonts w:hint="eastAsia" w:ascii="宋体" w:hAnsi="宋体" w:cs="宋体"/>
          <w:sz w:val="24"/>
          <w:szCs w:val="24"/>
          <w:u w:val="single"/>
          <w:lang w:eastAsia="zh-CN" w:bidi="ar"/>
        </w:rPr>
        <w:t>东莞滨海湾新区沙头垃圾填埋场综合整治项目-安防监控系统安装工程项目（重新采购）</w:t>
      </w:r>
      <w:r>
        <w:rPr>
          <w:rFonts w:hint="eastAsia" w:ascii="宋体" w:hAnsi="宋体" w:cs="宋体"/>
          <w:sz w:val="24"/>
          <w:szCs w:val="24"/>
          <w:lang w:bidi="ar"/>
        </w:rPr>
        <w:t>有关事项协商一致，特订立本合同，由甲乙双方共同遵守履行。</w:t>
      </w:r>
    </w:p>
    <w:p>
      <w:pPr>
        <w:snapToGrid w:val="0"/>
        <w:spacing w:line="360" w:lineRule="auto"/>
        <w:ind w:firstLine="482" w:firstLineChars="200"/>
        <w:rPr>
          <w:rFonts w:ascii="宋体" w:hAnsi="宋体" w:cs="宋体"/>
          <w:b/>
          <w:sz w:val="24"/>
          <w:szCs w:val="24"/>
        </w:rPr>
      </w:pPr>
    </w:p>
    <w:p>
      <w:pPr>
        <w:snapToGrid w:val="0"/>
        <w:spacing w:line="360" w:lineRule="auto"/>
        <w:ind w:firstLine="482" w:firstLineChars="200"/>
        <w:rPr>
          <w:rFonts w:ascii="宋体" w:hAnsi="宋体" w:cs="宋体"/>
          <w:b/>
          <w:sz w:val="24"/>
          <w:szCs w:val="24"/>
        </w:rPr>
      </w:pPr>
      <w:r>
        <w:rPr>
          <w:rFonts w:hint="eastAsia" w:ascii="宋体" w:hAnsi="宋体" w:cs="宋体"/>
          <w:b/>
          <w:sz w:val="24"/>
          <w:szCs w:val="24"/>
          <w:lang w:bidi="ar"/>
        </w:rPr>
        <w:t>一、工程概况</w:t>
      </w:r>
    </w:p>
    <w:p>
      <w:p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bidi="ar"/>
        </w:rPr>
        <w:t>1、工程名称：</w:t>
      </w:r>
      <w:r>
        <w:rPr>
          <w:rFonts w:hint="eastAsia" w:ascii="宋体" w:hAnsi="宋体" w:cs="宋体"/>
          <w:sz w:val="24"/>
          <w:szCs w:val="24"/>
          <w:lang w:eastAsia="zh-CN" w:bidi="ar"/>
        </w:rPr>
        <w:t>东莞滨海湾新区沙头垃圾填埋场综合整治项目-安防监控系统安装工程项目（重新采购）</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2、工程地点：</w:t>
      </w:r>
      <w:r>
        <w:rPr>
          <w:rFonts w:hint="eastAsia" w:ascii="宋体" w:hAnsi="宋体" w:cs="宋体"/>
          <w:sz w:val="24"/>
          <w:szCs w:val="24"/>
          <w:u w:val="single"/>
          <w:lang w:bidi="ar"/>
        </w:rPr>
        <w:t xml:space="preserve">  </w:t>
      </w:r>
      <w:r>
        <w:rPr>
          <w:rFonts w:hint="eastAsia" w:ascii="宋体" w:hAnsi="宋体" w:cs="宋体"/>
          <w:sz w:val="24"/>
          <w:szCs w:val="24"/>
          <w:lang w:bidi="ar"/>
        </w:rPr>
        <w:t>东莞滨海湾新区沙头垃圾填埋场综合整治项目现场</w:t>
      </w:r>
      <w:r>
        <w:rPr>
          <w:rFonts w:hint="eastAsia" w:ascii="宋体" w:hAnsi="宋体" w:cs="宋体"/>
          <w:sz w:val="24"/>
          <w:szCs w:val="24"/>
          <w:u w:val="single"/>
          <w:lang w:bidi="ar"/>
        </w:rPr>
        <w:t xml:space="preserve">               </w:t>
      </w:r>
    </w:p>
    <w:p>
      <w:pPr>
        <w:snapToGrid w:val="0"/>
        <w:spacing w:line="360" w:lineRule="auto"/>
        <w:ind w:firstLine="482" w:firstLineChars="200"/>
        <w:rPr>
          <w:rFonts w:ascii="宋体" w:hAnsi="宋体" w:cs="宋体"/>
          <w:b/>
          <w:sz w:val="24"/>
          <w:szCs w:val="24"/>
        </w:rPr>
      </w:pPr>
      <w:r>
        <w:rPr>
          <w:rFonts w:hint="eastAsia" w:ascii="宋体" w:hAnsi="宋体" w:cs="宋体"/>
          <w:b/>
          <w:sz w:val="24"/>
          <w:szCs w:val="24"/>
          <w:lang w:bidi="ar"/>
        </w:rPr>
        <w:t>二、承包方式</w:t>
      </w:r>
    </w:p>
    <w:p>
      <w:pPr>
        <w:pStyle w:val="13"/>
        <w:snapToGrid w:val="0"/>
        <w:spacing w:beforeAutospacing="0" w:afterAutospacing="0" w:line="360" w:lineRule="auto"/>
        <w:ind w:firstLine="480" w:firstLineChars="200"/>
        <w:jc w:val="both"/>
        <w:rPr>
          <w:rFonts w:ascii="宋体" w:hAnsi="宋体" w:eastAsia="宋体" w:cs="宋体"/>
        </w:rPr>
      </w:pPr>
      <w:bookmarkStart w:id="10" w:name="_Hlk42241426"/>
      <w:r>
        <w:rPr>
          <w:rFonts w:hint="eastAsia" w:ascii="宋体" w:hAnsi="宋体" w:eastAsia="宋体" w:cs="宋体"/>
          <w:kern w:val="2"/>
          <w:lang w:bidi="ar"/>
        </w:rPr>
        <w:t>包工包料、包质量、包安全文明</w:t>
      </w:r>
      <w:bookmarkEnd w:id="10"/>
      <w:r>
        <w:rPr>
          <w:rFonts w:hint="eastAsia" w:ascii="宋体" w:hAnsi="宋体" w:eastAsia="宋体" w:cs="宋体"/>
          <w:kern w:val="2"/>
          <w:lang w:bidi="ar"/>
        </w:rPr>
        <w:t>施工的承包方式。</w:t>
      </w:r>
    </w:p>
    <w:p>
      <w:pPr>
        <w:snapToGrid w:val="0"/>
        <w:spacing w:line="360" w:lineRule="auto"/>
        <w:ind w:firstLine="482" w:firstLineChars="200"/>
        <w:rPr>
          <w:rFonts w:ascii="宋体" w:hAnsi="宋体" w:cs="宋体"/>
          <w:b/>
          <w:sz w:val="24"/>
          <w:szCs w:val="24"/>
        </w:rPr>
      </w:pPr>
      <w:r>
        <w:rPr>
          <w:rFonts w:hint="eastAsia" w:ascii="宋体" w:hAnsi="宋体" w:cs="宋体"/>
          <w:b/>
          <w:sz w:val="24"/>
          <w:szCs w:val="24"/>
          <w:lang w:bidi="ar"/>
        </w:rPr>
        <w:t>三、合同工期</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1、工期：甲方发出结果确认函之日起：生活区在7个日历天内完成安装并验收合格；项目周边、出入口、生产车间在15个日历天内完成安装并验收合格。</w:t>
      </w:r>
    </w:p>
    <w:p>
      <w:pPr>
        <w:snapToGrid w:val="0"/>
        <w:spacing w:line="360" w:lineRule="auto"/>
        <w:ind w:firstLine="480" w:firstLineChars="200"/>
        <w:rPr>
          <w:rFonts w:ascii="宋体" w:hAnsi="宋体" w:cs="宋体"/>
          <w:sz w:val="24"/>
          <w:szCs w:val="24"/>
          <w:highlight w:val="yellow"/>
        </w:rPr>
      </w:pPr>
      <w:r>
        <w:rPr>
          <w:rFonts w:hint="eastAsia" w:ascii="宋体" w:hAnsi="宋体" w:cs="宋体"/>
          <w:sz w:val="24"/>
          <w:szCs w:val="24"/>
          <w:lang w:bidi="ar"/>
        </w:rPr>
        <w:t>2、质保期：自甲方验收合格之日起为期</w:t>
      </w:r>
      <w:r>
        <w:rPr>
          <w:rFonts w:hint="eastAsia" w:ascii="宋体" w:hAnsi="宋体" w:cs="宋体"/>
          <w:sz w:val="24"/>
          <w:szCs w:val="24"/>
          <w:lang w:val="en-US" w:eastAsia="zh-CN" w:bidi="ar"/>
        </w:rPr>
        <w:t>1</w:t>
      </w:r>
      <w:r>
        <w:rPr>
          <w:rFonts w:hint="eastAsia" w:ascii="宋体" w:hAnsi="宋体" w:cs="宋体"/>
          <w:sz w:val="24"/>
          <w:szCs w:val="24"/>
          <w:lang w:bidi="ar"/>
        </w:rPr>
        <w:t>年。</w:t>
      </w:r>
    </w:p>
    <w:p>
      <w:pPr>
        <w:snapToGrid w:val="0"/>
        <w:spacing w:line="360" w:lineRule="auto"/>
        <w:ind w:firstLine="482" w:firstLineChars="200"/>
        <w:rPr>
          <w:rFonts w:ascii="宋体" w:hAnsi="宋体" w:cs="宋体"/>
          <w:b/>
          <w:sz w:val="24"/>
          <w:szCs w:val="24"/>
          <w:lang w:bidi="ar"/>
        </w:rPr>
      </w:pPr>
      <w:r>
        <w:rPr>
          <w:rFonts w:hint="eastAsia" w:ascii="宋体" w:hAnsi="宋体" w:cs="宋体"/>
          <w:b/>
          <w:sz w:val="24"/>
          <w:szCs w:val="24"/>
          <w:lang w:bidi="ar"/>
        </w:rPr>
        <w:t>四、安装内容及要求</w:t>
      </w:r>
    </w:p>
    <w:p>
      <w:pPr>
        <w:pStyle w:val="2"/>
        <w:ind w:firstLine="496"/>
        <w:rPr>
          <w:rFonts w:hint="eastAsia"/>
          <w:lang w:bidi="ar"/>
        </w:rPr>
      </w:pPr>
      <w:r>
        <w:rPr>
          <w:rFonts w:hint="eastAsia"/>
          <w:lang w:bidi="ar"/>
        </w:rPr>
        <w:t>为加强东莞滨海湾新区沙头垃圾填埋场综合整治项目的日常管理，特在项目周边、出入口、生活区、生产车间设置30个400万像素高清监控系统，监控中心设置在中控室，门卫室设第二监控室 ，要求录像时间不少于30天。其中在离该填埋场大约750米左右的民用建筑顶楼安装一台400万像素低照度53倍激光球机监看整个场地运行情况。主干采用光纤敷设，由于周边没有高建筑物，对场地监控需做好防雷措施。</w:t>
      </w:r>
    </w:p>
    <w:p>
      <w:pPr>
        <w:pStyle w:val="2"/>
        <w:snapToGrid w:val="0"/>
        <w:spacing w:line="360" w:lineRule="auto"/>
        <w:ind w:firstLine="496" w:firstLineChars="200"/>
        <w:rPr>
          <w:rFonts w:hint="eastAsia" w:ascii="宋体" w:hAnsi="宋体" w:cs="宋体"/>
          <w:b/>
          <w:sz w:val="24"/>
          <w:szCs w:val="24"/>
          <w:lang w:bidi="ar"/>
        </w:rPr>
      </w:pPr>
      <w:r>
        <w:rPr>
          <w:rFonts w:hint="eastAsia"/>
          <w:lang w:bidi="ar"/>
        </w:rPr>
        <w:t>在进入填埋场生产作业区设置一套人脸识别门禁系统，场内人员可通过人脸识别或刷卡方式进出，来访人员需通过场区管理人员授权进入。详见附件1《用户需求书》。</w:t>
      </w:r>
    </w:p>
    <w:p>
      <w:pPr>
        <w:snapToGrid w:val="0"/>
        <w:spacing w:line="360" w:lineRule="auto"/>
        <w:ind w:firstLine="482" w:firstLineChars="200"/>
        <w:rPr>
          <w:rFonts w:ascii="宋体" w:hAnsi="宋体" w:cs="宋体"/>
          <w:b/>
          <w:sz w:val="24"/>
          <w:szCs w:val="24"/>
          <w:lang w:bidi="ar"/>
        </w:rPr>
      </w:pPr>
      <w:r>
        <w:rPr>
          <w:rFonts w:hint="eastAsia" w:ascii="宋体" w:hAnsi="宋体" w:cs="宋体"/>
          <w:b/>
          <w:sz w:val="24"/>
          <w:szCs w:val="24"/>
          <w:lang w:bidi="ar"/>
        </w:rPr>
        <w:t>五、安装清单</w:t>
      </w:r>
    </w:p>
    <w:p>
      <w:pPr>
        <w:pStyle w:val="2"/>
        <w:ind w:firstLine="496"/>
        <w:rPr>
          <w:rFonts w:hint="eastAsia"/>
          <w:lang w:bidi="ar"/>
        </w:rPr>
      </w:pPr>
      <w:r>
        <w:rPr>
          <w:rFonts w:hint="eastAsia"/>
          <w:lang w:bidi="ar"/>
        </w:rPr>
        <w:t>具体详见附件</w:t>
      </w:r>
      <w:r>
        <w:rPr>
          <w:lang w:bidi="ar"/>
        </w:rPr>
        <w:t>2</w:t>
      </w:r>
      <w:r>
        <w:rPr>
          <w:rFonts w:hint="eastAsia"/>
          <w:lang w:bidi="ar"/>
        </w:rPr>
        <w:t>报价清单</w:t>
      </w:r>
    </w:p>
    <w:p>
      <w:pPr>
        <w:snapToGrid w:val="0"/>
        <w:spacing w:line="360" w:lineRule="auto"/>
        <w:ind w:firstLine="482" w:firstLineChars="200"/>
        <w:rPr>
          <w:rFonts w:ascii="宋体" w:hAnsi="宋体" w:cs="宋体"/>
          <w:b/>
          <w:sz w:val="24"/>
          <w:szCs w:val="24"/>
        </w:rPr>
      </w:pPr>
      <w:r>
        <w:rPr>
          <w:rFonts w:hint="eastAsia" w:ascii="宋体" w:hAnsi="宋体" w:cs="宋体"/>
          <w:b/>
          <w:sz w:val="24"/>
          <w:szCs w:val="24"/>
          <w:lang w:bidi="ar"/>
        </w:rPr>
        <w:t>六、工程质量及验收</w:t>
      </w:r>
    </w:p>
    <w:p>
      <w:pPr>
        <w:pStyle w:val="13"/>
        <w:snapToGrid w:val="0"/>
        <w:spacing w:beforeAutospacing="0" w:afterAutospacing="0" w:line="360" w:lineRule="auto"/>
        <w:ind w:firstLine="480" w:firstLineChars="200"/>
        <w:jc w:val="both"/>
        <w:rPr>
          <w:rFonts w:ascii="宋体" w:hAnsi="宋体" w:eastAsia="宋体" w:cs="宋体"/>
        </w:rPr>
      </w:pPr>
      <w:r>
        <w:rPr>
          <w:rFonts w:hint="eastAsia" w:ascii="宋体" w:hAnsi="宋体" w:eastAsia="宋体" w:cs="宋体"/>
          <w:kern w:val="2"/>
          <w:lang w:bidi="ar"/>
        </w:rPr>
        <w:t>1、工程质量</w:t>
      </w:r>
    </w:p>
    <w:p>
      <w:pPr>
        <w:pStyle w:val="13"/>
        <w:snapToGrid w:val="0"/>
        <w:spacing w:beforeAutospacing="0" w:afterAutospacing="0" w:line="360" w:lineRule="auto"/>
        <w:ind w:firstLine="480" w:firstLineChars="200"/>
        <w:jc w:val="both"/>
        <w:rPr>
          <w:rFonts w:ascii="宋体" w:hAnsi="宋体" w:eastAsia="宋体" w:cs="宋体"/>
        </w:rPr>
      </w:pPr>
      <w:r>
        <w:rPr>
          <w:rFonts w:hint="eastAsia" w:ascii="宋体" w:hAnsi="宋体" w:eastAsia="宋体" w:cs="宋体"/>
          <w:kern w:val="2"/>
          <w:lang w:bidi="ar"/>
        </w:rPr>
        <w:t>1.1乙方应按照甲方要求，执行国家及附件1《用户需求书》相关的最新标准、严格按照施工规范验收标准等组织施工，质量达到合格标准。</w:t>
      </w:r>
    </w:p>
    <w:p>
      <w:pPr>
        <w:pStyle w:val="13"/>
        <w:snapToGrid w:val="0"/>
        <w:spacing w:beforeAutospacing="0" w:afterAutospacing="0" w:line="560" w:lineRule="exact"/>
        <w:ind w:firstLine="480" w:firstLineChars="200"/>
        <w:jc w:val="left"/>
        <w:rPr>
          <w:rFonts w:ascii="宋体" w:hAnsi="宋体" w:eastAsia="宋体" w:cs="宋体"/>
          <w:kern w:val="2"/>
          <w:lang w:bidi="ar"/>
        </w:rPr>
      </w:pPr>
      <w:r>
        <w:rPr>
          <w:rFonts w:hint="eastAsia" w:ascii="宋体" w:hAnsi="宋体" w:eastAsia="宋体" w:cs="宋体"/>
          <w:kern w:val="2"/>
          <w:lang w:bidi="ar"/>
        </w:rPr>
        <w:t>1.2乙方设备及施工材料进场，应经甲方人员检查验收，合格者方可用于项目中。乙方应按国家相关法律法规和技术标准的要求，在设备进场时及安装完成后提交相应的质量证文件、第三方检测报告，并对文件的准确性、真实性负责。</w:t>
      </w:r>
    </w:p>
    <w:p>
      <w:pPr>
        <w:pStyle w:val="13"/>
        <w:snapToGrid w:val="0"/>
        <w:spacing w:beforeAutospacing="0" w:afterAutospacing="0" w:line="360" w:lineRule="auto"/>
        <w:ind w:firstLine="480" w:firstLineChars="200"/>
        <w:jc w:val="both"/>
        <w:rPr>
          <w:rFonts w:ascii="宋体" w:hAnsi="宋体" w:eastAsia="宋体" w:cs="宋体"/>
          <w:kern w:val="2"/>
          <w:lang w:bidi="ar"/>
        </w:rPr>
      </w:pPr>
      <w:r>
        <w:rPr>
          <w:rFonts w:hint="eastAsia" w:ascii="宋体" w:hAnsi="宋体" w:eastAsia="宋体" w:cs="宋体"/>
          <w:kern w:val="2"/>
          <w:lang w:bidi="ar"/>
        </w:rPr>
        <w:t>1</w:t>
      </w:r>
      <w:r>
        <w:rPr>
          <w:rFonts w:ascii="宋体" w:hAnsi="宋体" w:eastAsia="宋体" w:cs="宋体"/>
          <w:kern w:val="2"/>
          <w:lang w:bidi="ar"/>
        </w:rPr>
        <w:t>.3</w:t>
      </w:r>
      <w:r>
        <w:rPr>
          <w:rFonts w:hint="eastAsia" w:ascii="宋体" w:hAnsi="宋体"/>
        </w:rPr>
        <w:t>乙方应确保设备的质量符合国家及地方有关的规定、规范、行业标准，符合</w:t>
      </w:r>
      <w:r>
        <w:rPr>
          <w:rFonts w:hint="eastAsia" w:ascii="宋体" w:hAnsi="宋体"/>
          <w:lang w:val="zh-CN"/>
        </w:rPr>
        <w:t>并且满足国家安全、环保等方面的强制性标准，</w:t>
      </w:r>
      <w:r>
        <w:rPr>
          <w:rFonts w:hint="eastAsia" w:ascii="宋体" w:hAnsi="宋体"/>
        </w:rPr>
        <w:t>符合甲方需求以及本合同相关约定（如前述标准不一致的，以较高标准为准），且</w:t>
      </w:r>
      <w:r>
        <w:rPr>
          <w:rFonts w:hint="eastAsia" w:ascii="宋体" w:hAnsi="宋体"/>
          <w:color w:val="000000"/>
        </w:rPr>
        <w:t>乙方保证所提供的产品是全新的、未使用过的、且为产品生产厂家原厂生产，保证在各种状态下均能实现其功能并长期、连续和安全的运行</w:t>
      </w:r>
      <w:r>
        <w:rPr>
          <w:rFonts w:hint="eastAsia" w:ascii="宋体" w:hAnsi="宋体" w:eastAsia="宋体" w:cs="宋体"/>
          <w:kern w:val="2"/>
          <w:lang w:bidi="ar"/>
        </w:rPr>
        <w:t>。</w:t>
      </w:r>
    </w:p>
    <w:p>
      <w:pPr>
        <w:pStyle w:val="13"/>
        <w:snapToGrid w:val="0"/>
        <w:spacing w:beforeAutospacing="0" w:afterAutospacing="0" w:line="360" w:lineRule="auto"/>
        <w:ind w:firstLine="480" w:firstLineChars="200"/>
        <w:jc w:val="both"/>
        <w:rPr>
          <w:rFonts w:ascii="宋体" w:hAnsi="宋体" w:eastAsia="宋体" w:cs="宋体"/>
        </w:rPr>
      </w:pPr>
      <w:r>
        <w:rPr>
          <w:rFonts w:hint="eastAsia" w:ascii="宋体" w:hAnsi="宋体" w:eastAsia="宋体" w:cs="宋体"/>
          <w:kern w:val="2"/>
          <w:lang w:bidi="ar"/>
        </w:rPr>
        <w:t>1</w:t>
      </w:r>
      <w:r>
        <w:rPr>
          <w:rFonts w:ascii="宋体" w:hAnsi="宋体" w:eastAsia="宋体" w:cs="宋体"/>
          <w:kern w:val="2"/>
          <w:lang w:bidi="ar"/>
        </w:rPr>
        <w:t>.4</w:t>
      </w:r>
      <w:r>
        <w:rPr>
          <w:rFonts w:hint="eastAsia" w:ascii="宋体" w:hAnsi="宋体" w:eastAsia="宋体" w:cs="宋体"/>
          <w:kern w:val="2"/>
          <w:lang w:bidi="ar"/>
        </w:rPr>
        <w:t>隐蔽工程开始前应通报甲方到现场查看，竣工后应通知甲方组织专项验收。</w:t>
      </w:r>
    </w:p>
    <w:p>
      <w:pPr>
        <w:pStyle w:val="13"/>
        <w:snapToGrid w:val="0"/>
        <w:spacing w:beforeAutospacing="0" w:afterAutospacing="0" w:line="360" w:lineRule="auto"/>
        <w:ind w:firstLine="480" w:firstLineChars="200"/>
        <w:jc w:val="both"/>
        <w:rPr>
          <w:rFonts w:ascii="宋体" w:hAnsi="宋体" w:eastAsia="宋体" w:cs="宋体"/>
        </w:rPr>
      </w:pPr>
      <w:r>
        <w:rPr>
          <w:rFonts w:hint="eastAsia" w:ascii="宋体" w:hAnsi="宋体" w:eastAsia="宋体" w:cs="宋体"/>
          <w:kern w:val="2"/>
          <w:lang w:bidi="ar"/>
        </w:rPr>
        <w:t>2、工程验收</w:t>
      </w:r>
    </w:p>
    <w:p>
      <w:pPr>
        <w:pStyle w:val="13"/>
        <w:snapToGrid w:val="0"/>
        <w:spacing w:beforeAutospacing="0" w:afterAutospacing="0" w:line="360" w:lineRule="auto"/>
        <w:ind w:firstLine="480" w:firstLineChars="200"/>
        <w:jc w:val="both"/>
        <w:rPr>
          <w:rFonts w:ascii="宋体" w:hAnsi="宋体" w:eastAsia="宋体" w:cs="宋体"/>
        </w:rPr>
      </w:pPr>
      <w:r>
        <w:rPr>
          <w:rFonts w:hint="eastAsia" w:ascii="宋体" w:hAnsi="宋体" w:eastAsia="宋体" w:cs="宋体"/>
          <w:kern w:val="2"/>
          <w:lang w:bidi="ar"/>
        </w:rPr>
        <w:t>2.1验收的依据和标准：执行国家及安装工程所在地区颁布的，现行有效的施工验收规范和相关法规、规定；以本合同约定的技术和质量要求、甲乙双方确认的施工图纸及说明、施工技术文件、有关设计变更和技术交底及相关会议纪要等为准。最终以标准较高者为准。</w:t>
      </w:r>
    </w:p>
    <w:p>
      <w:pPr>
        <w:pStyle w:val="13"/>
        <w:snapToGrid w:val="0"/>
        <w:spacing w:beforeAutospacing="0" w:afterAutospacing="0" w:line="560" w:lineRule="exact"/>
        <w:ind w:firstLine="480" w:firstLineChars="200"/>
        <w:jc w:val="both"/>
        <w:rPr>
          <w:rFonts w:ascii="宋体" w:hAnsi="宋体" w:eastAsia="宋体" w:cs="宋体"/>
        </w:rPr>
      </w:pPr>
      <w:r>
        <w:rPr>
          <w:rFonts w:hint="eastAsia" w:ascii="宋体" w:hAnsi="宋体" w:eastAsia="宋体" w:cs="宋体"/>
          <w:kern w:val="2"/>
          <w:lang w:bidi="ar"/>
        </w:rPr>
        <w:t>2.2验收方式：甲方验收合格。</w:t>
      </w:r>
    </w:p>
    <w:p>
      <w:pPr>
        <w:pStyle w:val="13"/>
        <w:snapToGrid w:val="0"/>
        <w:spacing w:beforeAutospacing="0" w:afterAutospacing="0" w:line="560" w:lineRule="exact"/>
        <w:ind w:firstLine="480" w:firstLineChars="200"/>
        <w:rPr>
          <w:rFonts w:hint="eastAsia" w:ascii="宋体" w:hAnsi="宋体" w:eastAsia="宋体" w:cs="宋体"/>
          <w:kern w:val="2"/>
          <w:lang w:bidi="ar"/>
        </w:rPr>
      </w:pPr>
      <w:r>
        <w:rPr>
          <w:rFonts w:hint="eastAsia" w:ascii="宋体" w:hAnsi="宋体" w:eastAsia="宋体" w:cs="宋体"/>
          <w:kern w:val="2"/>
          <w:lang w:bidi="ar"/>
        </w:rPr>
        <w:t>2.3乙方按合同约定完成全部合同内容后并自检、调试合格后向甲方提出验收申请，由甲方组织验收，经双方验收合格后，签署设备调试、检测合格报告。</w:t>
      </w:r>
    </w:p>
    <w:p>
      <w:pPr>
        <w:pStyle w:val="13"/>
        <w:snapToGrid w:val="0"/>
        <w:spacing w:beforeAutospacing="0" w:afterAutospacing="0" w:line="360" w:lineRule="auto"/>
        <w:ind w:firstLine="480" w:firstLineChars="200"/>
        <w:jc w:val="both"/>
        <w:rPr>
          <w:rFonts w:ascii="宋体" w:hAnsi="宋体" w:eastAsia="宋体" w:cs="宋体"/>
        </w:rPr>
      </w:pPr>
      <w:r>
        <w:rPr>
          <w:rFonts w:hint="eastAsia" w:ascii="宋体" w:hAnsi="宋体" w:eastAsia="宋体" w:cs="宋体"/>
          <w:kern w:val="2"/>
          <w:lang w:bidi="ar"/>
        </w:rPr>
        <w:t>5.4 必要时甲方有权将聘请有资质的第三方检测单位检测，检测不合规时，一切费用由乙方承担，并承担由此给甲方造成的一切损失。甲方应在竣工验收当天后5天内提出整改意见，乙方按意见整改。</w:t>
      </w:r>
    </w:p>
    <w:p>
      <w:pPr>
        <w:pStyle w:val="13"/>
        <w:snapToGrid w:val="0"/>
        <w:spacing w:beforeAutospacing="0" w:afterAutospacing="0" w:line="360" w:lineRule="auto"/>
        <w:ind w:firstLine="480" w:firstLineChars="200"/>
        <w:jc w:val="both"/>
        <w:rPr>
          <w:rFonts w:ascii="宋体" w:hAnsi="宋体" w:eastAsia="宋体" w:cs="宋体"/>
        </w:rPr>
      </w:pPr>
      <w:r>
        <w:rPr>
          <w:rFonts w:hint="eastAsia" w:ascii="宋体" w:hAnsi="宋体" w:eastAsia="宋体" w:cs="宋体"/>
          <w:kern w:val="2"/>
          <w:lang w:bidi="ar"/>
        </w:rPr>
        <w:t>2.4竣工验收参加单位为甲方、乙方，工程竣工验收文件所标示的最后日期即为实际竣工日期。</w:t>
      </w:r>
    </w:p>
    <w:p>
      <w:pPr>
        <w:pStyle w:val="13"/>
        <w:snapToGrid w:val="0"/>
        <w:spacing w:beforeAutospacing="0" w:afterAutospacing="0" w:line="360" w:lineRule="auto"/>
        <w:ind w:firstLine="480" w:firstLineChars="200"/>
        <w:jc w:val="both"/>
        <w:rPr>
          <w:rFonts w:ascii="宋体" w:hAnsi="宋体" w:eastAsia="宋体" w:cs="宋体"/>
        </w:rPr>
      </w:pPr>
      <w:r>
        <w:rPr>
          <w:rFonts w:hint="eastAsia" w:ascii="宋体" w:hAnsi="宋体" w:eastAsia="宋体" w:cs="宋体"/>
          <w:kern w:val="2"/>
          <w:lang w:bidi="ar"/>
        </w:rPr>
        <w:t>2.5双方对项目的验收，不能免除乙方提交合格工程的责任。项目验收后如发现属于乙方施工质量问题的事项，乙方仍应免费维修，否则应承担赔偿责任。</w:t>
      </w:r>
    </w:p>
    <w:p>
      <w:pPr>
        <w:pStyle w:val="13"/>
        <w:snapToGrid w:val="0"/>
        <w:spacing w:beforeAutospacing="0" w:afterAutospacing="0" w:line="360" w:lineRule="auto"/>
        <w:ind w:firstLine="480" w:firstLineChars="200"/>
        <w:jc w:val="both"/>
        <w:rPr>
          <w:rFonts w:ascii="宋体" w:hAnsi="宋体" w:eastAsia="宋体" w:cs="宋体"/>
        </w:rPr>
      </w:pPr>
      <w:r>
        <w:rPr>
          <w:rFonts w:hint="eastAsia" w:ascii="宋体" w:hAnsi="宋体" w:eastAsia="宋体" w:cs="宋体"/>
          <w:kern w:val="2"/>
          <w:lang w:bidi="ar"/>
        </w:rPr>
        <w:t>2.6因乙方工程质量而造成的瑕疵，乙方应在收到甲方通知后1个日历日内完成维修。逾期未完成，甲方有权委托第三方进行维修，因此发生的一切费用由乙方承担，甲方可从应付乙方的任何款项中扣除，若不足乙方应予补足。</w:t>
      </w:r>
    </w:p>
    <w:p>
      <w:pPr>
        <w:pStyle w:val="13"/>
        <w:widowControl/>
        <w:snapToGrid w:val="0"/>
        <w:spacing w:beforeAutospacing="0" w:afterAutospacing="0" w:line="360" w:lineRule="auto"/>
        <w:ind w:firstLine="482" w:firstLineChars="200"/>
        <w:rPr>
          <w:rFonts w:ascii="宋体" w:hAnsi="宋体" w:eastAsia="宋体" w:cs="宋体"/>
          <w:b/>
        </w:rPr>
      </w:pPr>
      <w:r>
        <w:rPr>
          <w:rFonts w:hint="eastAsia" w:ascii="宋体" w:hAnsi="宋体" w:eastAsia="宋体" w:cs="宋体"/>
          <w:b/>
        </w:rPr>
        <w:t>七、合同价款</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1、本合同总价款为：人民币大写</w:t>
      </w:r>
      <w:r>
        <w:rPr>
          <w:rFonts w:hint="eastAsia" w:ascii="宋体" w:hAnsi="宋体" w:cs="宋体"/>
          <w:sz w:val="24"/>
          <w:szCs w:val="24"/>
          <w:u w:val="single"/>
          <w:lang w:bidi="ar"/>
        </w:rPr>
        <w:t xml:space="preserve">    </w:t>
      </w:r>
      <w:r>
        <w:rPr>
          <w:rFonts w:hint="eastAsia" w:ascii="宋体" w:hAnsi="宋体" w:cs="宋体"/>
          <w:sz w:val="24"/>
          <w:szCs w:val="24"/>
          <w:lang w:bidi="ar"/>
        </w:rPr>
        <w:t>（¥</w:t>
      </w:r>
      <w:r>
        <w:rPr>
          <w:rFonts w:hint="eastAsia" w:ascii="宋体" w:hAnsi="宋体" w:cs="宋体"/>
          <w:sz w:val="24"/>
          <w:szCs w:val="24"/>
          <w:u w:val="single"/>
          <w:lang w:bidi="ar"/>
        </w:rPr>
        <w:t xml:space="preserve">    </w:t>
      </w:r>
      <w:r>
        <w:rPr>
          <w:rFonts w:hint="eastAsia" w:ascii="宋体" w:hAnsi="宋体" w:cs="宋体"/>
          <w:sz w:val="24"/>
          <w:szCs w:val="24"/>
          <w:lang w:bidi="ar"/>
        </w:rPr>
        <w:t>元），含税（开具增值税专用发票,税率为</w:t>
      </w:r>
      <w:r>
        <w:rPr>
          <w:rFonts w:hint="eastAsia" w:ascii="宋体" w:hAnsi="宋体" w:cs="宋体"/>
          <w:sz w:val="24"/>
          <w:szCs w:val="24"/>
          <w:u w:val="single"/>
          <w:lang w:bidi="ar"/>
        </w:rPr>
        <w:t xml:space="preserve">   </w:t>
      </w:r>
      <w:r>
        <w:rPr>
          <w:rFonts w:hint="eastAsia" w:ascii="宋体" w:hAnsi="宋体" w:cs="宋体"/>
          <w:sz w:val="24"/>
          <w:szCs w:val="24"/>
          <w:lang w:bidi="ar"/>
        </w:rPr>
        <w:t>%），单价包干。</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2、上述合同价款为固定综合单价，包括施工费、人工费、材料费、机械费、运输费、安装调试费等乙方履行本合同相关工作的全部费用。乙方在报价前已充分进行了现场踏勘、测量、风险评估及工期提前等所有风险，在合同固定综合单价内已充分考虑，不论是工程量的变化、所有施工措施的变化、可能存在其它各种风险及其变化发等。</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3、施工中出现扰民费用、安全文明环保费用、按政府规定应由乙方交纳的政府收费、因乙方责任造成的罚款等若有发生，不另行计取，由乙方自行承担。</w:t>
      </w:r>
    </w:p>
    <w:p>
      <w:pPr>
        <w:pStyle w:val="13"/>
        <w:snapToGrid w:val="0"/>
        <w:spacing w:beforeAutospacing="0" w:afterAutospacing="0" w:line="360" w:lineRule="auto"/>
        <w:ind w:firstLine="480" w:firstLineChars="200"/>
        <w:jc w:val="both"/>
        <w:rPr>
          <w:rFonts w:ascii="宋体" w:hAnsi="宋体" w:eastAsia="宋体" w:cs="宋体"/>
        </w:rPr>
      </w:pPr>
      <w:r>
        <w:rPr>
          <w:rFonts w:hint="eastAsia" w:ascii="宋体" w:hAnsi="宋体" w:eastAsia="宋体" w:cs="宋体"/>
        </w:rPr>
        <w:t>4、现场代表签字确认的工程变更洽商单及双方核定单价计算。</w:t>
      </w:r>
    </w:p>
    <w:p>
      <w:pPr>
        <w:pStyle w:val="13"/>
        <w:snapToGrid w:val="0"/>
        <w:spacing w:beforeAutospacing="0" w:afterAutospacing="0" w:line="360" w:lineRule="auto"/>
        <w:ind w:firstLine="480" w:firstLineChars="200"/>
        <w:jc w:val="both"/>
        <w:rPr>
          <w:rFonts w:ascii="宋体" w:hAnsi="宋体" w:eastAsia="宋体" w:cs="宋体"/>
        </w:rPr>
      </w:pPr>
      <w:r>
        <w:rPr>
          <w:rFonts w:hint="eastAsia" w:ascii="宋体" w:hAnsi="宋体" w:eastAsia="宋体" w:cs="宋体"/>
          <w:kern w:val="2"/>
          <w:lang w:bidi="ar"/>
        </w:rPr>
        <w:t>5、项目实施过程中如有变更，乙方无条件按甲方变更要求完成，</w:t>
      </w:r>
      <w:r>
        <w:rPr>
          <w:rFonts w:hint="eastAsia" w:ascii="宋体" w:hAnsi="宋体" w:eastAsia="宋体" w:cs="宋体"/>
        </w:rPr>
        <w:t>费用按甲方现场代表签字确认的工程变更现场签证及双方核定价格计算。</w:t>
      </w:r>
    </w:p>
    <w:p>
      <w:pPr>
        <w:snapToGrid w:val="0"/>
        <w:spacing w:line="360" w:lineRule="auto"/>
        <w:ind w:firstLine="482" w:firstLineChars="200"/>
        <w:rPr>
          <w:rFonts w:ascii="宋体" w:hAnsi="宋体" w:cs="宋体"/>
          <w:b/>
          <w:sz w:val="24"/>
          <w:szCs w:val="24"/>
        </w:rPr>
      </w:pPr>
      <w:r>
        <w:rPr>
          <w:rFonts w:hint="eastAsia" w:ascii="宋体" w:hAnsi="宋体" w:cs="宋体"/>
          <w:b/>
          <w:sz w:val="24"/>
          <w:szCs w:val="24"/>
          <w:lang w:bidi="ar"/>
        </w:rPr>
        <w:t>八、合同价款支付</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1、合同价款由甲方以银行对公转账方式支付乙方。</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2、乙方完成安装工程并经甲方验收合格后，乙方向甲方提交请款资料及合同金额100%的增值税专用发票。甲方在收齐相关资料后30个工作日内支付合同金额的97%。余下合同金额的3%作为质保金。</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3、质保期结束后，如无质量、服务问题的，乙方向甲方提交请款资料。甲方在收齐相关资料后30个工作日内无息退回质保金。</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4、如果因乙方原因延迟提交正规有效的增值税发票给甲方，甲方可延迟支付款项给乙方，而且不承担延迟付款的责任。</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乙方开户银行、开户名称和帐号为：</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开户银行：</w:t>
      </w:r>
      <w:r>
        <w:rPr>
          <w:rFonts w:hint="eastAsia" w:ascii="宋体" w:hAnsi="宋体" w:cs="宋体"/>
          <w:sz w:val="24"/>
          <w:szCs w:val="24"/>
          <w:u w:val="single"/>
          <w:lang w:bidi="ar"/>
        </w:rPr>
        <w:t xml:space="preserve">              </w:t>
      </w:r>
    </w:p>
    <w:p>
      <w:pPr>
        <w:snapToGrid w:val="0"/>
        <w:spacing w:line="360" w:lineRule="auto"/>
        <w:ind w:firstLine="480" w:firstLineChars="200"/>
        <w:rPr>
          <w:rFonts w:ascii="宋体" w:hAnsi="宋体" w:cs="宋体"/>
          <w:sz w:val="24"/>
          <w:szCs w:val="24"/>
          <w:u w:val="single"/>
        </w:rPr>
      </w:pPr>
      <w:r>
        <w:rPr>
          <w:rFonts w:hint="eastAsia" w:ascii="宋体" w:hAnsi="宋体" w:cs="宋体"/>
          <w:sz w:val="24"/>
          <w:szCs w:val="24"/>
          <w:lang w:bidi="ar"/>
        </w:rPr>
        <w:t>开户名称：</w:t>
      </w:r>
      <w:r>
        <w:rPr>
          <w:rFonts w:hint="eastAsia" w:ascii="宋体" w:hAnsi="宋体" w:cs="宋体"/>
          <w:sz w:val="24"/>
          <w:szCs w:val="24"/>
          <w:u w:val="single"/>
          <w:lang w:bidi="ar"/>
        </w:rPr>
        <w:t xml:space="preserve">           </w:t>
      </w:r>
    </w:p>
    <w:p>
      <w:pPr>
        <w:snapToGrid w:val="0"/>
        <w:spacing w:line="360" w:lineRule="auto"/>
        <w:ind w:firstLine="480" w:firstLineChars="200"/>
        <w:rPr>
          <w:rFonts w:ascii="宋体" w:hAnsi="宋体" w:cs="宋体"/>
          <w:sz w:val="24"/>
          <w:szCs w:val="24"/>
          <w:u w:val="single"/>
        </w:rPr>
      </w:pPr>
      <w:r>
        <w:rPr>
          <w:rFonts w:hint="eastAsia" w:ascii="宋体" w:hAnsi="宋体" w:cs="宋体"/>
          <w:sz w:val="24"/>
          <w:szCs w:val="24"/>
          <w:lang w:bidi="ar"/>
        </w:rPr>
        <w:t>帐    号：</w:t>
      </w:r>
      <w:r>
        <w:rPr>
          <w:rFonts w:hint="eastAsia" w:ascii="宋体" w:hAnsi="宋体" w:cs="宋体"/>
          <w:sz w:val="24"/>
          <w:szCs w:val="24"/>
          <w:u w:val="single"/>
          <w:lang w:bidi="ar"/>
        </w:rPr>
        <w:t xml:space="preserve">          </w:t>
      </w:r>
    </w:p>
    <w:p>
      <w:pPr>
        <w:snapToGrid w:val="0"/>
        <w:spacing w:line="360" w:lineRule="auto"/>
        <w:ind w:firstLine="482" w:firstLineChars="200"/>
        <w:rPr>
          <w:rFonts w:ascii="宋体" w:hAnsi="宋体" w:cs="宋体"/>
          <w:b/>
          <w:sz w:val="24"/>
          <w:szCs w:val="24"/>
        </w:rPr>
      </w:pPr>
      <w:r>
        <w:rPr>
          <w:rFonts w:hint="eastAsia" w:ascii="宋体" w:hAnsi="宋体" w:cs="宋体"/>
          <w:b/>
          <w:sz w:val="24"/>
          <w:szCs w:val="24"/>
          <w:lang w:bidi="ar"/>
        </w:rPr>
        <w:t>九、现场签证及合理化建议</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1、乙方可发挥施工单位优势，就施工方案、工程管理、成本控制、施工工序等提出合理化建议供甲方参考。若甲方对乙方合理化建议书面批准或认可，可作为本合同项下工程施工依据。</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2、甲乙双方在现场商定施工方案后，乙方应按该施工方案进行施工，甲乙双方根据施工进度、隐蔽工程施工等工程实际需要进行现场签证。</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3、甲方若提出对已完成的工程进行变更，甲方应就变更部分给总价造成的影响按合同相应条款计价给乙方。</w:t>
      </w:r>
    </w:p>
    <w:p>
      <w:pPr>
        <w:snapToGrid w:val="0"/>
        <w:spacing w:line="360" w:lineRule="auto"/>
        <w:ind w:firstLine="482" w:firstLineChars="200"/>
        <w:rPr>
          <w:rFonts w:ascii="宋体" w:hAnsi="宋体" w:cs="宋体"/>
          <w:b/>
          <w:sz w:val="24"/>
          <w:szCs w:val="24"/>
        </w:rPr>
      </w:pPr>
      <w:r>
        <w:rPr>
          <w:rFonts w:hint="eastAsia" w:ascii="宋体" w:hAnsi="宋体" w:cs="宋体"/>
          <w:b/>
          <w:sz w:val="24"/>
          <w:szCs w:val="24"/>
          <w:lang w:bidi="ar"/>
        </w:rPr>
        <w:t>十、甲方义务</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1、委派现场代表</w:t>
      </w:r>
      <w:r>
        <w:rPr>
          <w:rFonts w:hint="eastAsia" w:ascii="宋体" w:hAnsi="宋体" w:cs="宋体"/>
          <w:sz w:val="24"/>
          <w:szCs w:val="24"/>
          <w:u w:val="single"/>
          <w:lang w:bidi="ar"/>
        </w:rPr>
        <w:t xml:space="preserve">       </w:t>
      </w:r>
      <w:r>
        <w:rPr>
          <w:rFonts w:hint="eastAsia" w:ascii="宋体" w:hAnsi="宋体" w:cs="宋体"/>
          <w:sz w:val="24"/>
          <w:szCs w:val="24"/>
          <w:lang w:bidi="ar"/>
        </w:rPr>
        <w:t>负责对工程建设进行全面管理，解决施工过程中出现的需要甲方协调的相关问题，并参与工程的初验、各种验收和签证工作。如变更现场代表应及时通知乙方。</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2、协助乙方做好改造前现场准备工作，及时与乙方沟通协调，为乙方的施工提供必要条件。</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3、乙方改造工作完成后，及时做好验收交接工作。</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4、按合同约定的付款、结算方式及时支付合同款，积极协助乙方做好合同款项支付手续流程工作。</w:t>
      </w:r>
    </w:p>
    <w:p>
      <w:pPr>
        <w:snapToGrid w:val="0"/>
        <w:spacing w:line="360" w:lineRule="auto"/>
        <w:ind w:firstLine="482" w:firstLineChars="200"/>
        <w:rPr>
          <w:rFonts w:ascii="宋体" w:hAnsi="宋体" w:cs="宋体"/>
          <w:b/>
          <w:sz w:val="24"/>
          <w:szCs w:val="24"/>
        </w:rPr>
      </w:pPr>
      <w:r>
        <w:rPr>
          <w:rFonts w:hint="eastAsia" w:ascii="宋体" w:hAnsi="宋体" w:cs="宋体"/>
          <w:b/>
          <w:sz w:val="24"/>
          <w:szCs w:val="24"/>
          <w:lang w:bidi="ar"/>
        </w:rPr>
        <w:t>十一、乙方义务</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1、委派现场代表</w:t>
      </w:r>
      <w:r>
        <w:rPr>
          <w:rFonts w:hint="eastAsia" w:ascii="宋体" w:hAnsi="宋体" w:cs="宋体"/>
          <w:sz w:val="24"/>
          <w:szCs w:val="24"/>
          <w:u w:val="single"/>
          <w:lang w:bidi="ar"/>
        </w:rPr>
        <w:t xml:space="preserve">         </w:t>
      </w:r>
      <w:r>
        <w:rPr>
          <w:rFonts w:hint="eastAsia" w:ascii="宋体" w:hAnsi="宋体" w:cs="宋体"/>
          <w:sz w:val="24"/>
          <w:szCs w:val="24"/>
          <w:lang w:bidi="ar"/>
        </w:rPr>
        <w:t>负责施工期间的全面管理，如变更现场代表应提前三天通知甲方并经甲方书面同意。</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2、及时主动与甲方现场人员沟通好改造前准备工作，认真按照合同内容及技术要求，按时按质完成承包范围内的施工工作，并按甲方要求的格式书面提请办理验收和确认手续。</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3、及时提供施工需要的施工图纸及相关资料。</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4、做好安装后的调试、验收</w:t>
      </w:r>
      <w:r>
        <w:rPr>
          <w:rFonts w:hint="eastAsia" w:ascii="宋体" w:hAnsi="宋体" w:cs="宋体"/>
          <w:sz w:val="24"/>
          <w:szCs w:val="24"/>
        </w:rPr>
        <w:t>工作。</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5、按相关国家相关法律法规、安全规范进行安全施工，项目实施过程中一切安全责任均由乙方负责。</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6、乙方在甲方现场内施工时，应遵守甲方各项安全及其他相关制度，如有违反，按甲方相关制度规定进行处罚。</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7、乙方须保证施工场地的清洁卫生符合相关环境卫生、环境保护及整治管理的规定，防止扬尘及保持场地出入口及场外周边道路的清洁卫生，做到工完场清。</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8、对于已完工的工程，在甲方验收前，乙方应做好保护工作。</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9、图纸内或外（现场变更、临时工程等）的工程签证，属于隐蔽工程的应于隐蔽前办理签证，非隐蔽工程应于完成后两个工作日内办理签证。签证时，乙方应至少提前4个工作小时通知甲方，经甲方代表及乙方代表共同现场验收签证方有效。验收签证原件甲方、乙方双方各执2份，作为工程结算依据。</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10、乙方应在竣工验收后两周内向甲方提交竣工结算书及竣工结算资料，甲方应于收到竣工结算书及竣工结算资料之日起一周内与乙方核对工程价款，对于甲方有异议部分乙方应当按照甲方意见进行修改。</w:t>
      </w:r>
    </w:p>
    <w:p>
      <w:pPr>
        <w:autoSpaceDE w:val="0"/>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11、甲方不提供设备安装所需的食宿场地，临时办公及材料加工场地由甲方现场指定。</w:t>
      </w:r>
    </w:p>
    <w:p>
      <w:pPr>
        <w:autoSpaceDE w:val="0"/>
        <w:snapToGrid w:val="0"/>
        <w:spacing w:line="360" w:lineRule="auto"/>
        <w:ind w:firstLine="480" w:firstLineChars="200"/>
        <w:rPr>
          <w:rFonts w:hint="eastAsia" w:ascii="宋体" w:hAnsi="宋体" w:cs="宋体"/>
          <w:sz w:val="24"/>
          <w:szCs w:val="24"/>
          <w:lang w:bidi="ar"/>
        </w:rPr>
      </w:pPr>
      <w:r>
        <w:rPr>
          <w:rFonts w:hint="eastAsia" w:ascii="宋体" w:hAnsi="宋体" w:cs="宋体"/>
          <w:sz w:val="24"/>
          <w:szCs w:val="24"/>
          <w:lang w:bidi="ar"/>
        </w:rPr>
        <w:t>12、乙方必须服从甲方的项目安全管理要求，配备必要的安全文明施工设施，未能按项目管理要求落实执行，造成一切责任后果由乙方负责。</w:t>
      </w:r>
    </w:p>
    <w:p>
      <w:pPr>
        <w:pStyle w:val="2"/>
        <w:rPr>
          <w:rFonts w:hint="default" w:eastAsia="宋体"/>
          <w:highlight w:val="none"/>
          <w:lang w:val="en-US" w:eastAsia="zh-CN"/>
        </w:rPr>
      </w:pPr>
      <w:r>
        <w:rPr>
          <w:rFonts w:hint="eastAsia" w:hAnsi="宋体" w:cs="宋体"/>
          <w:sz w:val="24"/>
          <w:szCs w:val="24"/>
          <w:highlight w:val="none"/>
          <w:lang w:val="en-US" w:eastAsia="zh-CN" w:bidi="ar"/>
        </w:rPr>
        <w:t>13、乙方须预留并开放与政府部门（城管局、环保局、政数局等）、东莞市东实新能源有限公司监控系统的端口及协议，具备联网传输手机实时监控功能，并配合甲方做好联网的对接工作，完成联网的物理接入。</w:t>
      </w:r>
    </w:p>
    <w:p>
      <w:pPr>
        <w:snapToGrid w:val="0"/>
        <w:spacing w:line="360" w:lineRule="auto"/>
        <w:ind w:firstLine="482" w:firstLineChars="200"/>
        <w:rPr>
          <w:rFonts w:ascii="宋体" w:hAnsi="宋体" w:cs="宋体"/>
          <w:b/>
          <w:sz w:val="24"/>
          <w:szCs w:val="24"/>
        </w:rPr>
      </w:pPr>
      <w:r>
        <w:rPr>
          <w:rFonts w:hint="eastAsia" w:ascii="宋体" w:hAnsi="宋体" w:cs="宋体"/>
          <w:b/>
          <w:sz w:val="24"/>
          <w:szCs w:val="24"/>
          <w:lang w:bidi="ar"/>
        </w:rPr>
        <w:t>十二、违约责任</w:t>
      </w:r>
    </w:p>
    <w:p>
      <w:pPr>
        <w:pStyle w:val="13"/>
        <w:snapToGrid w:val="0"/>
        <w:spacing w:beforeAutospacing="0" w:afterAutospacing="0" w:line="360" w:lineRule="auto"/>
        <w:ind w:firstLine="480" w:firstLineChars="200"/>
        <w:jc w:val="both"/>
        <w:rPr>
          <w:rFonts w:ascii="宋体" w:hAnsi="宋体" w:eastAsia="宋体" w:cs="宋体"/>
        </w:rPr>
      </w:pPr>
      <w:r>
        <w:rPr>
          <w:rFonts w:hint="eastAsia" w:ascii="宋体" w:hAnsi="宋体" w:eastAsia="宋体" w:cs="宋体"/>
          <w:kern w:val="2"/>
          <w:lang w:bidi="ar"/>
        </w:rPr>
        <w:t>1、质量违约</w:t>
      </w:r>
    </w:p>
    <w:p>
      <w:pPr>
        <w:pStyle w:val="13"/>
        <w:snapToGrid w:val="0"/>
        <w:spacing w:beforeAutospacing="0" w:afterAutospacing="0" w:line="360" w:lineRule="auto"/>
        <w:ind w:firstLine="480" w:firstLineChars="200"/>
        <w:jc w:val="both"/>
        <w:rPr>
          <w:rFonts w:ascii="宋体" w:hAnsi="宋体" w:eastAsia="宋体" w:cs="宋体"/>
        </w:rPr>
      </w:pPr>
      <w:r>
        <w:rPr>
          <w:rFonts w:hint="eastAsia" w:ascii="宋体" w:hAnsi="宋体" w:eastAsia="宋体" w:cs="宋体"/>
          <w:kern w:val="2"/>
          <w:lang w:bidi="ar"/>
        </w:rPr>
        <w:t>1.1本合同项目经验收质量不符合要求的，甲方有权解除合同，且无需支付项目款，乙方应按合同价款之30%向甲方支付违约金。因乙方工程不合格造成甲方损失的，乙方应予按实赔偿。</w:t>
      </w:r>
    </w:p>
    <w:p>
      <w:pPr>
        <w:pStyle w:val="13"/>
        <w:snapToGrid w:val="0"/>
        <w:spacing w:beforeAutospacing="0" w:afterAutospacing="0" w:line="360" w:lineRule="auto"/>
        <w:ind w:firstLine="480" w:firstLineChars="200"/>
        <w:jc w:val="both"/>
        <w:rPr>
          <w:rFonts w:ascii="宋体" w:hAnsi="宋体" w:eastAsia="宋体" w:cs="宋体"/>
        </w:rPr>
      </w:pPr>
      <w:r>
        <w:rPr>
          <w:rFonts w:hint="eastAsia" w:ascii="宋体" w:hAnsi="宋体" w:eastAsia="宋体" w:cs="宋体"/>
          <w:kern w:val="2"/>
          <w:lang w:bidi="ar"/>
        </w:rPr>
        <w:t>1.2凡属乙方工程质量问题，不管何时发现，乙方均应于收到甲方通知之日起1个日历日内按本合同质保条款规定组织维修，并按实赔偿甲方一切损失。</w:t>
      </w:r>
    </w:p>
    <w:p>
      <w:pPr>
        <w:pStyle w:val="13"/>
        <w:snapToGrid w:val="0"/>
        <w:spacing w:beforeAutospacing="0" w:afterAutospacing="0" w:line="360" w:lineRule="auto"/>
        <w:ind w:firstLine="480" w:firstLineChars="200"/>
        <w:jc w:val="both"/>
        <w:rPr>
          <w:rFonts w:ascii="宋体" w:hAnsi="宋体" w:eastAsia="宋体" w:cs="宋体"/>
        </w:rPr>
      </w:pPr>
      <w:r>
        <w:rPr>
          <w:rFonts w:hint="eastAsia" w:ascii="宋体" w:hAnsi="宋体" w:eastAsia="宋体" w:cs="宋体"/>
          <w:kern w:val="2"/>
          <w:lang w:bidi="ar"/>
        </w:rPr>
        <w:t>1.3若双方对本合同项目是否符合合同约定的质量标准无法达成一致意见，双方可共同委托有鉴定资质的第三方进行鉴定，鉴定费用由责任方承担；若乙方在接到甲方通知之日起三日内未与甲方共同选定鉴定机构的，甲方有权自行委托，鉴定结论对双方均有效力。</w:t>
      </w:r>
    </w:p>
    <w:p>
      <w:pPr>
        <w:pStyle w:val="13"/>
        <w:snapToGrid w:val="0"/>
        <w:spacing w:beforeAutospacing="0" w:afterAutospacing="0" w:line="360" w:lineRule="auto"/>
        <w:ind w:firstLine="480" w:firstLineChars="200"/>
        <w:jc w:val="both"/>
        <w:rPr>
          <w:rFonts w:ascii="宋体" w:hAnsi="宋体" w:eastAsia="宋体" w:cs="宋体"/>
        </w:rPr>
      </w:pPr>
      <w:r>
        <w:rPr>
          <w:rFonts w:hint="eastAsia" w:ascii="宋体" w:hAnsi="宋体" w:eastAsia="宋体" w:cs="宋体"/>
          <w:kern w:val="2"/>
          <w:lang w:bidi="ar"/>
        </w:rPr>
        <w:t>2、工期违约</w:t>
      </w:r>
    </w:p>
    <w:p>
      <w:pPr>
        <w:pStyle w:val="13"/>
        <w:snapToGrid w:val="0"/>
        <w:spacing w:beforeAutospacing="0" w:afterAutospacing="0" w:line="360" w:lineRule="auto"/>
        <w:ind w:firstLine="480" w:firstLineChars="200"/>
        <w:jc w:val="both"/>
        <w:rPr>
          <w:rFonts w:ascii="宋体" w:hAnsi="宋体" w:eastAsia="宋体" w:cs="宋体"/>
        </w:rPr>
      </w:pPr>
      <w:r>
        <w:rPr>
          <w:rFonts w:hint="eastAsia" w:ascii="宋体" w:hAnsi="宋体" w:eastAsia="宋体" w:cs="宋体"/>
          <w:kern w:val="2"/>
          <w:lang w:bidi="ar"/>
        </w:rPr>
        <w:t>2.1甲方因自身原因未能按本合同约定进行工程竣工验收的，由甲方承担工程保管及风险责任。</w:t>
      </w:r>
    </w:p>
    <w:p>
      <w:pPr>
        <w:pStyle w:val="13"/>
        <w:snapToGrid w:val="0"/>
        <w:spacing w:beforeAutospacing="0" w:afterAutospacing="0" w:line="360" w:lineRule="auto"/>
        <w:ind w:firstLine="480" w:firstLineChars="200"/>
        <w:jc w:val="both"/>
        <w:rPr>
          <w:rFonts w:ascii="宋体" w:hAnsi="宋体" w:eastAsia="宋体" w:cs="宋体"/>
        </w:rPr>
      </w:pPr>
      <w:r>
        <w:rPr>
          <w:rFonts w:hint="eastAsia" w:ascii="宋体" w:hAnsi="宋体" w:eastAsia="宋体" w:cs="宋体"/>
          <w:kern w:val="2"/>
          <w:lang w:bidi="ar"/>
        </w:rPr>
        <w:t>2.2乙方因自身原因未能在合同约定时间内完成修复的，工期违约按</w:t>
      </w:r>
      <w:r>
        <w:rPr>
          <w:rFonts w:hint="eastAsia" w:ascii="宋体" w:hAnsi="宋体" w:eastAsia="宋体" w:cs="宋体"/>
          <w:kern w:val="2"/>
          <w:u w:val="single"/>
          <w:lang w:bidi="ar"/>
        </w:rPr>
        <w:t xml:space="preserve"> 合同金额5%/天 </w:t>
      </w:r>
      <w:r>
        <w:rPr>
          <w:rFonts w:hint="eastAsia" w:ascii="宋体" w:hAnsi="宋体" w:eastAsia="宋体" w:cs="宋体"/>
          <w:kern w:val="2"/>
          <w:lang w:bidi="ar"/>
        </w:rPr>
        <w:t>的标准赔偿，如违约金不足以弥补甲方损失的，乙方须继续赔偿甲方因此造成的全部损失。若逾期超过</w:t>
      </w:r>
      <w:r>
        <w:rPr>
          <w:rFonts w:hint="eastAsia" w:ascii="宋体" w:hAnsi="宋体" w:eastAsia="宋体" w:cs="宋体"/>
          <w:kern w:val="2"/>
          <w:u w:val="single"/>
          <w:lang w:bidi="ar"/>
        </w:rPr>
        <w:t>5天</w:t>
      </w:r>
      <w:r>
        <w:rPr>
          <w:rFonts w:hint="eastAsia" w:ascii="宋体" w:hAnsi="宋体" w:eastAsia="宋体" w:cs="宋体"/>
          <w:kern w:val="2"/>
          <w:lang w:bidi="ar"/>
        </w:rPr>
        <w:t>的，甲方有权解除合同，无需支付项目款，且乙方应按合同价款之</w:t>
      </w:r>
      <w:r>
        <w:rPr>
          <w:rFonts w:hint="eastAsia" w:ascii="宋体" w:hAnsi="宋体" w:eastAsia="宋体" w:cs="宋体"/>
          <w:kern w:val="2"/>
          <w:u w:val="single"/>
          <w:lang w:bidi="ar"/>
        </w:rPr>
        <w:t>30%</w:t>
      </w:r>
      <w:r>
        <w:rPr>
          <w:rFonts w:hint="eastAsia" w:ascii="宋体" w:hAnsi="宋体" w:eastAsia="宋体" w:cs="宋体"/>
          <w:kern w:val="2"/>
          <w:lang w:bidi="ar"/>
        </w:rPr>
        <w:t>向甲方支付违约金。</w:t>
      </w:r>
    </w:p>
    <w:p>
      <w:pPr>
        <w:pStyle w:val="13"/>
        <w:snapToGrid w:val="0"/>
        <w:spacing w:beforeAutospacing="0" w:afterAutospacing="0" w:line="360" w:lineRule="auto"/>
        <w:ind w:firstLine="480" w:firstLineChars="200"/>
        <w:jc w:val="both"/>
        <w:rPr>
          <w:rFonts w:ascii="宋体" w:hAnsi="宋体" w:eastAsia="宋体" w:cs="宋体"/>
        </w:rPr>
      </w:pPr>
      <w:r>
        <w:rPr>
          <w:rFonts w:hint="eastAsia" w:ascii="宋体" w:hAnsi="宋体" w:eastAsia="宋体" w:cs="宋体"/>
          <w:kern w:val="2"/>
          <w:lang w:bidi="ar"/>
        </w:rPr>
        <w:t>以上乙方应支付的一切费用（赔偿金、违约金等），甲方可从应支付给乙方的任何款项中扣除。</w:t>
      </w:r>
    </w:p>
    <w:p>
      <w:pPr>
        <w:pStyle w:val="13"/>
        <w:snapToGrid w:val="0"/>
        <w:spacing w:beforeAutospacing="0" w:afterAutospacing="0" w:line="360" w:lineRule="auto"/>
        <w:ind w:firstLine="480" w:firstLineChars="200"/>
        <w:jc w:val="both"/>
        <w:rPr>
          <w:rFonts w:ascii="宋体" w:hAnsi="宋体" w:eastAsia="宋体" w:cs="宋体"/>
        </w:rPr>
      </w:pPr>
      <w:r>
        <w:rPr>
          <w:rFonts w:hint="eastAsia" w:ascii="宋体" w:hAnsi="宋体" w:eastAsia="宋体" w:cs="宋体"/>
          <w:kern w:val="2"/>
          <w:lang w:bidi="ar"/>
        </w:rPr>
        <w:t>3、付款违约</w:t>
      </w:r>
    </w:p>
    <w:p>
      <w:pPr>
        <w:pStyle w:val="13"/>
        <w:snapToGrid w:val="0"/>
        <w:spacing w:beforeAutospacing="0" w:afterAutospacing="0" w:line="360" w:lineRule="auto"/>
        <w:ind w:firstLine="480" w:firstLineChars="200"/>
        <w:jc w:val="both"/>
        <w:rPr>
          <w:rFonts w:ascii="宋体" w:hAnsi="宋体" w:eastAsia="宋体" w:cs="宋体"/>
        </w:rPr>
      </w:pPr>
      <w:r>
        <w:rPr>
          <w:rFonts w:hint="eastAsia" w:ascii="宋体" w:hAnsi="宋体" w:eastAsia="宋体" w:cs="宋体"/>
          <w:kern w:val="2"/>
          <w:lang w:bidi="ar"/>
        </w:rPr>
        <w:t>3.1如果甲方未能在约定的时间内付款，按</w:t>
      </w:r>
      <w:r>
        <w:rPr>
          <w:rFonts w:hint="eastAsia" w:ascii="宋体" w:hAnsi="宋体" w:eastAsia="宋体" w:cs="宋体"/>
          <w:kern w:val="2"/>
          <w:u w:val="single"/>
          <w:lang w:bidi="ar"/>
        </w:rPr>
        <w:t>合同金额1‰/天</w:t>
      </w:r>
      <w:r>
        <w:rPr>
          <w:rFonts w:hint="eastAsia" w:ascii="宋体" w:hAnsi="宋体" w:eastAsia="宋体" w:cs="宋体"/>
          <w:kern w:val="2"/>
          <w:lang w:bidi="ar"/>
        </w:rPr>
        <w:t>向乙方支付违约金。</w:t>
      </w:r>
    </w:p>
    <w:p>
      <w:pPr>
        <w:pStyle w:val="13"/>
        <w:snapToGrid w:val="0"/>
        <w:spacing w:beforeAutospacing="0" w:afterAutospacing="0" w:line="360" w:lineRule="auto"/>
        <w:ind w:firstLine="482" w:firstLineChars="200"/>
        <w:jc w:val="both"/>
        <w:rPr>
          <w:rFonts w:ascii="宋体" w:hAnsi="宋体" w:eastAsia="宋体" w:cs="宋体"/>
          <w:b/>
        </w:rPr>
      </w:pPr>
      <w:r>
        <w:rPr>
          <w:rFonts w:hint="eastAsia" w:ascii="宋体" w:hAnsi="宋体" w:eastAsia="宋体" w:cs="宋体"/>
          <w:b/>
          <w:kern w:val="2"/>
          <w:lang w:bidi="ar"/>
        </w:rPr>
        <w:t>十三、工程质保维修和验收</w:t>
      </w:r>
    </w:p>
    <w:p>
      <w:pPr>
        <w:pStyle w:val="13"/>
        <w:snapToGrid w:val="0"/>
        <w:spacing w:beforeAutospacing="0" w:afterAutospacing="0" w:line="360" w:lineRule="auto"/>
        <w:ind w:firstLine="480" w:firstLineChars="200"/>
        <w:jc w:val="both"/>
        <w:rPr>
          <w:rFonts w:ascii="宋体" w:hAnsi="宋体" w:eastAsia="宋体" w:cs="宋体"/>
        </w:rPr>
      </w:pPr>
      <w:r>
        <w:rPr>
          <w:rFonts w:hint="eastAsia" w:ascii="宋体" w:hAnsi="宋体" w:eastAsia="宋体" w:cs="宋体"/>
          <w:kern w:val="2"/>
          <w:lang w:bidi="ar"/>
        </w:rPr>
        <w:t>1、质保期：自甲方验收合格之日起为期</w:t>
      </w:r>
      <w:r>
        <w:rPr>
          <w:rFonts w:hint="eastAsia" w:ascii="宋体" w:hAnsi="宋体" w:eastAsia="宋体" w:cs="宋体"/>
          <w:kern w:val="2"/>
          <w:lang w:val="en-US" w:eastAsia="zh-CN" w:bidi="ar"/>
        </w:rPr>
        <w:t>1</w:t>
      </w:r>
      <w:r>
        <w:rPr>
          <w:rFonts w:hint="eastAsia" w:ascii="宋体" w:hAnsi="宋体" w:eastAsia="宋体" w:cs="宋体"/>
          <w:kern w:val="2"/>
          <w:lang w:bidi="ar"/>
        </w:rPr>
        <w:t>年。</w:t>
      </w:r>
    </w:p>
    <w:p>
      <w:pPr>
        <w:pStyle w:val="13"/>
        <w:snapToGrid w:val="0"/>
        <w:spacing w:beforeAutospacing="0" w:afterAutospacing="0" w:line="360" w:lineRule="auto"/>
        <w:ind w:firstLine="480" w:firstLineChars="200"/>
        <w:jc w:val="both"/>
        <w:rPr>
          <w:rFonts w:ascii="宋体" w:hAnsi="宋体" w:eastAsia="宋体" w:cs="宋体"/>
        </w:rPr>
      </w:pPr>
      <w:r>
        <w:rPr>
          <w:rFonts w:hint="eastAsia" w:ascii="宋体" w:hAnsi="宋体" w:eastAsia="宋体" w:cs="宋体"/>
          <w:kern w:val="2"/>
          <w:lang w:bidi="ar"/>
        </w:rPr>
        <w:t>2、质保维修范围和内容：承包范围内的全部工程内容。</w:t>
      </w:r>
    </w:p>
    <w:p>
      <w:pPr>
        <w:pStyle w:val="13"/>
        <w:snapToGrid w:val="0"/>
        <w:spacing w:beforeAutospacing="0" w:afterAutospacing="0" w:line="360" w:lineRule="auto"/>
        <w:ind w:firstLine="480" w:firstLineChars="200"/>
        <w:jc w:val="both"/>
        <w:rPr>
          <w:rFonts w:ascii="宋体" w:hAnsi="宋体" w:eastAsia="宋体" w:cs="宋体"/>
        </w:rPr>
      </w:pPr>
      <w:r>
        <w:rPr>
          <w:rFonts w:hint="eastAsia" w:ascii="宋体" w:hAnsi="宋体" w:eastAsia="宋体" w:cs="宋体"/>
          <w:kern w:val="2"/>
          <w:lang w:bidi="ar"/>
        </w:rPr>
        <w:t>3、质保责任：发生质量问题时，乙方须保证在保修期内遇到突发质量问题时，在接到采购人报修通知后，维修人员应在1小时内响应，8小时内到达现场，24小时内完成故障排除，乙方不得有异议，一切因保修引起的费用由乙方自行承担。逾期不至或未完成维修，甲方有权委托第三方进行维修，因此发生的一切费用由乙方承担，甲方可从应付乙方的任何款项中扣除，若不足乙方应予补足。质量保修完成后，由甲方组织验收，若相应产生费用亦应由乙方承担。</w:t>
      </w:r>
    </w:p>
    <w:p>
      <w:pPr>
        <w:snapToGrid w:val="0"/>
        <w:spacing w:line="360" w:lineRule="auto"/>
        <w:ind w:firstLine="482" w:firstLineChars="200"/>
        <w:rPr>
          <w:rFonts w:ascii="宋体" w:hAnsi="宋体" w:cs="宋体"/>
          <w:b/>
          <w:sz w:val="24"/>
          <w:szCs w:val="24"/>
        </w:rPr>
      </w:pPr>
      <w:r>
        <w:rPr>
          <w:rFonts w:hint="eastAsia" w:ascii="宋体" w:hAnsi="宋体" w:cs="宋体"/>
          <w:b/>
          <w:sz w:val="24"/>
          <w:szCs w:val="24"/>
          <w:lang w:bidi="ar"/>
        </w:rPr>
        <w:t>十四、合同终止和争议解决</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1、合同终止：</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1.1乙方不得转包工程，否则甲方有权解除合同，乙方按合同价款30%支付违约金。</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1.2由乙方原因造成的质量事故或未达到合同中的质量标准的，甲方视情节轻重有权选择是否终止合同，由此造成的损失由乙方承担。</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2、在履行本合同的过程中发生争议，双方应当友好协商解决，也可以请求有关部门进行调解。双方当事人和解或调解不成，可采取以下第1种方式解决。</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（1）双方同意由广州市仲裁委员会东莞分会按中国法律及该会仲裁规则仲裁。</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（2）双方约定向工程所在地人民法院起诉。</w:t>
      </w:r>
    </w:p>
    <w:p>
      <w:pPr>
        <w:snapToGrid w:val="0"/>
        <w:spacing w:line="360" w:lineRule="auto"/>
        <w:ind w:firstLine="482" w:firstLineChars="200"/>
        <w:rPr>
          <w:rFonts w:ascii="宋体" w:hAnsi="宋体" w:cs="宋体"/>
          <w:b/>
          <w:sz w:val="24"/>
          <w:szCs w:val="24"/>
        </w:rPr>
      </w:pPr>
      <w:r>
        <w:rPr>
          <w:rFonts w:hint="eastAsia" w:ascii="宋体" w:hAnsi="宋体" w:cs="宋体"/>
          <w:b/>
          <w:sz w:val="24"/>
          <w:szCs w:val="24"/>
          <w:lang w:bidi="ar"/>
        </w:rPr>
        <w:t>十五、其他</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1、对本合同任何条款的修改、补充或变更，双方必须签订书面协议并签字盖章后方可生效。</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2、本合同经双方签字盖章后生效，一式</w:t>
      </w:r>
      <w:r>
        <w:rPr>
          <w:rFonts w:hint="eastAsia" w:ascii="宋体" w:hAnsi="宋体" w:cs="宋体"/>
          <w:sz w:val="24"/>
          <w:szCs w:val="24"/>
          <w:u w:val="single"/>
          <w:lang w:bidi="ar"/>
        </w:rPr>
        <w:t>陆</w:t>
      </w:r>
      <w:r>
        <w:rPr>
          <w:rFonts w:hint="eastAsia" w:ascii="宋体" w:hAnsi="宋体" w:cs="宋体"/>
          <w:sz w:val="24"/>
          <w:szCs w:val="24"/>
          <w:lang w:bidi="ar"/>
        </w:rPr>
        <w:t>份，甲方</w:t>
      </w:r>
      <w:r>
        <w:rPr>
          <w:rFonts w:hint="eastAsia" w:ascii="宋体" w:hAnsi="宋体" w:cs="宋体"/>
          <w:sz w:val="24"/>
          <w:szCs w:val="24"/>
          <w:u w:val="single"/>
          <w:lang w:bidi="ar"/>
        </w:rPr>
        <w:t>肆</w:t>
      </w:r>
      <w:r>
        <w:rPr>
          <w:rFonts w:hint="eastAsia" w:ascii="宋体" w:hAnsi="宋体" w:cs="宋体"/>
          <w:sz w:val="24"/>
          <w:szCs w:val="24"/>
          <w:lang w:bidi="ar"/>
        </w:rPr>
        <w:t>份，乙方</w:t>
      </w:r>
      <w:r>
        <w:rPr>
          <w:rFonts w:hint="eastAsia" w:ascii="宋体" w:hAnsi="宋体" w:cs="宋体"/>
          <w:sz w:val="24"/>
          <w:szCs w:val="24"/>
          <w:u w:val="single"/>
          <w:lang w:bidi="ar"/>
        </w:rPr>
        <w:t>贰</w:t>
      </w:r>
      <w:r>
        <w:rPr>
          <w:rFonts w:hint="eastAsia" w:ascii="宋体" w:hAnsi="宋体" w:cs="宋体"/>
          <w:sz w:val="24"/>
          <w:szCs w:val="24"/>
          <w:lang w:bidi="ar"/>
        </w:rPr>
        <w:t>份，均具同等法律效力。</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3、本合同附件：</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附件1：《用户需求书》</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附件2：《报价清单》</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附件3：东莞滨海湾新区沙头垃圾填埋场综合整治项目安防监控平面图</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附件4：《阳光合作协议》</w:t>
      </w:r>
    </w:p>
    <w:p>
      <w:pPr>
        <w:snapToGrid w:val="0"/>
        <w:spacing w:line="360" w:lineRule="auto"/>
        <w:ind w:firstLine="480" w:firstLineChars="200"/>
        <w:jc w:val="center"/>
        <w:rPr>
          <w:rFonts w:ascii="宋体" w:hAnsi="宋体" w:cs="宋体"/>
          <w:sz w:val="24"/>
          <w:szCs w:val="24"/>
        </w:rPr>
      </w:pPr>
      <w:r>
        <w:rPr>
          <w:rFonts w:hint="eastAsia" w:ascii="宋体" w:hAnsi="宋体" w:cs="宋体"/>
          <w:sz w:val="24"/>
          <w:szCs w:val="24"/>
          <w:lang w:bidi="ar"/>
        </w:rPr>
        <w:t>（以下无正文）</w:t>
      </w:r>
    </w:p>
    <w:p>
      <w:pPr>
        <w:snapToGrid w:val="0"/>
        <w:spacing w:line="360" w:lineRule="auto"/>
        <w:ind w:firstLine="480" w:firstLineChars="200"/>
        <w:rPr>
          <w:rFonts w:ascii="宋体" w:hAnsi="宋体" w:cs="宋体"/>
          <w:sz w:val="24"/>
          <w:szCs w:val="24"/>
        </w:rPr>
      </w:pPr>
    </w:p>
    <w:p>
      <w:pPr>
        <w:snapToGrid w:val="0"/>
        <w:spacing w:line="360" w:lineRule="auto"/>
        <w:ind w:firstLine="480" w:firstLineChars="200"/>
        <w:jc w:val="center"/>
        <w:rPr>
          <w:rFonts w:ascii="宋体" w:hAnsi="宋体" w:cs="宋体"/>
          <w:sz w:val="24"/>
          <w:szCs w:val="24"/>
        </w:rPr>
      </w:pPr>
      <w:r>
        <w:rPr>
          <w:rFonts w:hint="eastAsia" w:ascii="宋体" w:hAnsi="宋体" w:cs="宋体"/>
          <w:color w:val="FF0000"/>
          <w:sz w:val="24"/>
          <w:szCs w:val="24"/>
          <w:lang w:bidi="ar"/>
        </w:rPr>
        <w:br w:type="page"/>
      </w:r>
      <w:r>
        <w:rPr>
          <w:rFonts w:hint="eastAsia" w:ascii="宋体" w:hAnsi="宋体" w:cs="宋体"/>
          <w:sz w:val="24"/>
          <w:szCs w:val="24"/>
          <w:lang w:bidi="ar"/>
        </w:rPr>
        <w:t>（本页为签署页）</w:t>
      </w:r>
    </w:p>
    <w:p>
      <w:pPr>
        <w:snapToGrid w:val="0"/>
        <w:spacing w:line="360" w:lineRule="auto"/>
        <w:ind w:firstLine="480" w:firstLineChars="200"/>
        <w:rPr>
          <w:rFonts w:ascii="宋体" w:hAnsi="宋体" w:cs="宋体"/>
          <w:sz w:val="24"/>
          <w:szCs w:val="24"/>
        </w:rPr>
      </w:pPr>
    </w:p>
    <w:p>
      <w:pPr>
        <w:snapToGrid w:val="0"/>
        <w:spacing w:line="360" w:lineRule="auto"/>
        <w:ind w:firstLine="480" w:firstLineChars="200"/>
        <w:rPr>
          <w:rFonts w:ascii="宋体" w:hAnsi="宋体" w:cs="宋体"/>
          <w:sz w:val="24"/>
          <w:szCs w:val="24"/>
        </w:rPr>
      </w:pPr>
    </w:p>
    <w:p>
      <w:pPr>
        <w:snapToGrid w:val="0"/>
        <w:spacing w:line="360" w:lineRule="auto"/>
        <w:ind w:firstLine="482" w:firstLineChars="200"/>
        <w:jc w:val="left"/>
        <w:rPr>
          <w:rFonts w:ascii="宋体" w:hAnsi="宋体" w:cs="宋体"/>
          <w:sz w:val="24"/>
          <w:szCs w:val="24"/>
        </w:rPr>
      </w:pPr>
      <w:r>
        <w:rPr>
          <w:rFonts w:hint="eastAsia" w:ascii="宋体" w:hAnsi="宋体" w:cs="宋体"/>
          <w:b/>
          <w:bCs/>
          <w:sz w:val="24"/>
          <w:szCs w:val="24"/>
          <w:lang w:bidi="ar"/>
        </w:rPr>
        <w:t>甲方：</w:t>
      </w:r>
      <w:r>
        <w:rPr>
          <w:rFonts w:hint="eastAsia" w:ascii="宋体" w:hAnsi="宋体" w:cs="宋体"/>
          <w:sz w:val="24"/>
          <w:szCs w:val="24"/>
          <w:u w:val="single"/>
          <w:lang w:bidi="ar"/>
        </w:rPr>
        <w:t xml:space="preserve">                     </w:t>
      </w:r>
      <w:r>
        <w:rPr>
          <w:rFonts w:hint="eastAsia" w:ascii="宋体" w:hAnsi="宋体" w:cs="宋体"/>
          <w:sz w:val="24"/>
          <w:szCs w:val="24"/>
          <w:lang w:bidi="ar"/>
        </w:rPr>
        <w:t>（盖章）</w:t>
      </w:r>
    </w:p>
    <w:p>
      <w:pPr>
        <w:snapToGrid w:val="0"/>
        <w:spacing w:line="360" w:lineRule="auto"/>
        <w:ind w:firstLine="480" w:firstLineChars="200"/>
        <w:jc w:val="left"/>
        <w:rPr>
          <w:rFonts w:ascii="宋体" w:hAnsi="宋体" w:cs="宋体"/>
          <w:sz w:val="24"/>
          <w:szCs w:val="24"/>
        </w:rPr>
      </w:pPr>
    </w:p>
    <w:p>
      <w:pPr>
        <w:snapToGrid w:val="0"/>
        <w:spacing w:line="360" w:lineRule="auto"/>
        <w:ind w:firstLine="482" w:firstLineChars="200"/>
        <w:rPr>
          <w:rFonts w:ascii="宋体" w:hAnsi="宋体" w:cs="宋体"/>
          <w:sz w:val="24"/>
          <w:szCs w:val="24"/>
        </w:rPr>
      </w:pPr>
      <w:r>
        <w:rPr>
          <w:rFonts w:hint="eastAsia" w:ascii="宋体" w:hAnsi="宋体" w:cs="宋体"/>
          <w:b/>
          <w:bCs/>
          <w:sz w:val="24"/>
          <w:szCs w:val="24"/>
          <w:lang w:bidi="ar"/>
        </w:rPr>
        <w:t>法定代表人/委托代理人：</w:t>
      </w:r>
      <w:r>
        <w:rPr>
          <w:rFonts w:hint="eastAsia" w:ascii="宋体" w:hAnsi="宋体" w:cs="宋体"/>
          <w:sz w:val="24"/>
          <w:szCs w:val="24"/>
          <w:u w:val="single"/>
          <w:lang w:bidi="ar"/>
        </w:rPr>
        <w:t xml:space="preserve">                    </w:t>
      </w:r>
      <w:r>
        <w:rPr>
          <w:rFonts w:hint="eastAsia" w:ascii="宋体" w:hAnsi="宋体" w:cs="宋体"/>
          <w:sz w:val="24"/>
          <w:szCs w:val="24"/>
          <w:lang w:bidi="ar"/>
        </w:rPr>
        <w:t>（签字/盖章）</w:t>
      </w:r>
    </w:p>
    <w:p>
      <w:pPr>
        <w:snapToGrid w:val="0"/>
        <w:spacing w:line="360" w:lineRule="auto"/>
        <w:ind w:firstLine="480" w:firstLineChars="200"/>
        <w:rPr>
          <w:rFonts w:ascii="宋体" w:hAnsi="宋体" w:cs="宋体"/>
          <w:sz w:val="24"/>
          <w:szCs w:val="24"/>
        </w:rPr>
      </w:pPr>
    </w:p>
    <w:p>
      <w:pPr>
        <w:snapToGrid w:val="0"/>
        <w:spacing w:line="360" w:lineRule="auto"/>
        <w:ind w:firstLine="480" w:firstLineChars="200"/>
        <w:jc w:val="right"/>
        <w:rPr>
          <w:rFonts w:ascii="宋体" w:hAnsi="宋体" w:cs="宋体"/>
          <w:sz w:val="24"/>
          <w:szCs w:val="24"/>
        </w:rPr>
      </w:pPr>
      <w:r>
        <w:rPr>
          <w:rFonts w:hint="eastAsia" w:ascii="宋体" w:hAnsi="宋体" w:cs="宋体"/>
          <w:sz w:val="24"/>
          <w:szCs w:val="24"/>
          <w:lang w:bidi="ar"/>
        </w:rPr>
        <w:t>年      月      日</w:t>
      </w:r>
    </w:p>
    <w:p>
      <w:pPr>
        <w:snapToGrid w:val="0"/>
        <w:spacing w:line="360" w:lineRule="auto"/>
        <w:ind w:firstLine="480" w:firstLineChars="200"/>
        <w:rPr>
          <w:rFonts w:ascii="宋体" w:hAnsi="宋体" w:cs="宋体"/>
          <w:sz w:val="24"/>
          <w:szCs w:val="24"/>
        </w:rPr>
      </w:pPr>
    </w:p>
    <w:p>
      <w:pPr>
        <w:snapToGrid w:val="0"/>
        <w:spacing w:line="360" w:lineRule="auto"/>
        <w:ind w:firstLine="480" w:firstLineChars="200"/>
        <w:rPr>
          <w:rFonts w:ascii="宋体" w:hAnsi="宋体" w:cs="宋体"/>
          <w:sz w:val="24"/>
          <w:szCs w:val="24"/>
        </w:rPr>
      </w:pPr>
    </w:p>
    <w:p>
      <w:pPr>
        <w:snapToGrid w:val="0"/>
        <w:spacing w:line="360" w:lineRule="auto"/>
        <w:ind w:firstLine="482" w:firstLineChars="200"/>
        <w:rPr>
          <w:rFonts w:ascii="宋体" w:hAnsi="宋体" w:cs="宋体"/>
          <w:b/>
          <w:bCs/>
          <w:sz w:val="24"/>
          <w:szCs w:val="24"/>
          <w:lang w:bidi="ar"/>
        </w:rPr>
      </w:pPr>
    </w:p>
    <w:p>
      <w:pPr>
        <w:snapToGrid w:val="0"/>
        <w:spacing w:line="360" w:lineRule="auto"/>
        <w:ind w:firstLine="482" w:firstLineChars="200"/>
        <w:rPr>
          <w:rFonts w:ascii="宋体" w:hAnsi="宋体" w:cs="宋体"/>
          <w:b/>
          <w:bCs/>
          <w:sz w:val="24"/>
          <w:szCs w:val="24"/>
          <w:lang w:bidi="ar"/>
        </w:rPr>
      </w:pPr>
    </w:p>
    <w:p>
      <w:pPr>
        <w:snapToGrid w:val="0"/>
        <w:spacing w:line="360" w:lineRule="auto"/>
        <w:ind w:firstLine="482" w:firstLineChars="200"/>
        <w:rPr>
          <w:rFonts w:ascii="宋体" w:hAnsi="宋体" w:cs="宋体"/>
          <w:sz w:val="24"/>
          <w:szCs w:val="24"/>
        </w:rPr>
      </w:pPr>
      <w:r>
        <w:rPr>
          <w:rFonts w:hint="eastAsia" w:ascii="宋体" w:hAnsi="宋体" w:cs="宋体"/>
          <w:b/>
          <w:bCs/>
          <w:sz w:val="24"/>
          <w:szCs w:val="24"/>
          <w:lang w:bidi="ar"/>
        </w:rPr>
        <w:t>乙方：</w:t>
      </w:r>
      <w:r>
        <w:rPr>
          <w:rFonts w:hint="eastAsia" w:ascii="宋体" w:hAnsi="宋体" w:cs="宋体"/>
          <w:sz w:val="24"/>
          <w:szCs w:val="24"/>
          <w:u w:val="single"/>
          <w:lang w:bidi="ar"/>
        </w:rPr>
        <w:t xml:space="preserve">                    </w:t>
      </w:r>
      <w:r>
        <w:rPr>
          <w:rFonts w:hint="eastAsia" w:ascii="宋体" w:hAnsi="宋体" w:cs="宋体"/>
          <w:sz w:val="24"/>
          <w:szCs w:val="24"/>
          <w:lang w:bidi="ar"/>
        </w:rPr>
        <w:t>（盖章）</w:t>
      </w:r>
    </w:p>
    <w:p>
      <w:pPr>
        <w:snapToGrid w:val="0"/>
        <w:spacing w:line="360" w:lineRule="auto"/>
        <w:ind w:firstLine="480" w:firstLineChars="200"/>
        <w:rPr>
          <w:rFonts w:ascii="宋体" w:hAnsi="宋体" w:cs="宋体"/>
          <w:sz w:val="24"/>
          <w:szCs w:val="24"/>
        </w:rPr>
      </w:pPr>
    </w:p>
    <w:p>
      <w:pPr>
        <w:snapToGrid w:val="0"/>
        <w:spacing w:line="360" w:lineRule="auto"/>
        <w:ind w:firstLine="482" w:firstLineChars="200"/>
        <w:rPr>
          <w:rFonts w:ascii="宋体" w:hAnsi="宋体" w:cs="宋体"/>
          <w:sz w:val="24"/>
          <w:szCs w:val="24"/>
        </w:rPr>
      </w:pPr>
      <w:r>
        <w:rPr>
          <w:rFonts w:hint="eastAsia" w:ascii="宋体" w:hAnsi="宋体" w:cs="宋体"/>
          <w:b/>
          <w:bCs/>
          <w:sz w:val="24"/>
          <w:szCs w:val="24"/>
          <w:lang w:bidi="ar"/>
        </w:rPr>
        <w:t>法定代表人/委托代理人：</w:t>
      </w:r>
      <w:r>
        <w:rPr>
          <w:rFonts w:hint="eastAsia" w:ascii="宋体" w:hAnsi="宋体" w:cs="宋体"/>
          <w:sz w:val="24"/>
          <w:szCs w:val="24"/>
          <w:u w:val="single"/>
          <w:lang w:bidi="ar"/>
        </w:rPr>
        <w:t xml:space="preserve">                   </w:t>
      </w:r>
      <w:r>
        <w:rPr>
          <w:rFonts w:hint="eastAsia" w:ascii="宋体" w:hAnsi="宋体" w:cs="宋体"/>
          <w:sz w:val="24"/>
          <w:szCs w:val="24"/>
          <w:lang w:bidi="ar"/>
        </w:rPr>
        <w:t>（签字/盖章）</w:t>
      </w:r>
    </w:p>
    <w:p>
      <w:pPr>
        <w:snapToGrid w:val="0"/>
        <w:spacing w:line="360" w:lineRule="auto"/>
        <w:ind w:firstLine="480" w:firstLineChars="200"/>
        <w:rPr>
          <w:rFonts w:ascii="宋体" w:hAnsi="宋体" w:cs="宋体"/>
          <w:sz w:val="24"/>
          <w:szCs w:val="24"/>
        </w:rPr>
      </w:pPr>
    </w:p>
    <w:p>
      <w:pPr>
        <w:snapToGrid w:val="0"/>
        <w:spacing w:line="360" w:lineRule="auto"/>
        <w:ind w:firstLine="480" w:firstLineChars="200"/>
        <w:jc w:val="right"/>
        <w:rPr>
          <w:rFonts w:ascii="宋体" w:hAnsi="宋体" w:cs="宋体"/>
          <w:sz w:val="24"/>
          <w:szCs w:val="24"/>
        </w:rPr>
      </w:pPr>
      <w:r>
        <w:rPr>
          <w:rFonts w:hint="eastAsia" w:ascii="宋体" w:hAnsi="宋体" w:cs="宋体"/>
          <w:sz w:val="24"/>
          <w:szCs w:val="24"/>
          <w:lang w:bidi="ar"/>
        </w:rPr>
        <w:t>年      月      日</w:t>
      </w:r>
    </w:p>
    <w:p>
      <w:pPr>
        <w:snapToGrid w:val="0"/>
        <w:spacing w:line="360" w:lineRule="auto"/>
        <w:ind w:firstLine="482" w:firstLineChars="200"/>
        <w:rPr>
          <w:rFonts w:ascii="宋体" w:hAnsi="宋体" w:cs="宋体"/>
          <w:b/>
          <w:sz w:val="24"/>
          <w:szCs w:val="24"/>
        </w:rPr>
      </w:pPr>
      <w:r>
        <w:rPr>
          <w:rFonts w:hint="eastAsia" w:ascii="宋体" w:hAnsi="宋体" w:cs="宋体"/>
          <w:b/>
          <w:sz w:val="24"/>
          <w:szCs w:val="24"/>
        </w:rPr>
        <w:br w:type="page"/>
      </w:r>
    </w:p>
    <w:p>
      <w:pPr>
        <w:snapToGrid w:val="0"/>
        <w:rPr>
          <w:rFonts w:ascii="宋体" w:hAnsi="宋体"/>
          <w:b/>
          <w:sz w:val="24"/>
          <w:szCs w:val="24"/>
        </w:rPr>
      </w:pPr>
      <w:r>
        <w:rPr>
          <w:rFonts w:hint="eastAsia" w:ascii="宋体" w:hAnsi="宋体"/>
          <w:b/>
          <w:sz w:val="24"/>
          <w:szCs w:val="24"/>
        </w:rPr>
        <w:t>附件2：《用户需求书》（签订合同后补充）</w:t>
      </w:r>
    </w:p>
    <w:p>
      <w:pPr>
        <w:snapToGrid w:val="0"/>
        <w:rPr>
          <w:rFonts w:ascii="宋体" w:hAnsi="宋体"/>
          <w:b/>
          <w:sz w:val="24"/>
          <w:szCs w:val="24"/>
        </w:rPr>
      </w:pPr>
      <w:r>
        <w:rPr>
          <w:rFonts w:hint="eastAsia" w:ascii="宋体" w:hAnsi="宋体"/>
          <w:b/>
          <w:sz w:val="24"/>
          <w:szCs w:val="24"/>
        </w:rPr>
        <w:t>附件3：《报价清单》（签订合同后补充）</w:t>
      </w:r>
    </w:p>
    <w:p>
      <w:pPr>
        <w:snapToGrid w:val="0"/>
        <w:rPr>
          <w:rFonts w:ascii="宋体" w:hAnsi="宋体"/>
          <w:b/>
          <w:sz w:val="24"/>
          <w:szCs w:val="24"/>
        </w:rPr>
      </w:pPr>
      <w:r>
        <w:rPr>
          <w:rFonts w:hint="eastAsia" w:ascii="宋体" w:hAnsi="宋体"/>
          <w:b/>
          <w:sz w:val="24"/>
          <w:szCs w:val="24"/>
        </w:rPr>
        <w:t>附件4：东莞滨海湾新区沙头垃圾填埋场综合整治项目安防监控平面图（签订合同后补充）</w:t>
      </w:r>
    </w:p>
    <w:p>
      <w:pPr>
        <w:adjustRightInd w:val="0"/>
        <w:snapToGrid w:val="0"/>
        <w:spacing w:line="360" w:lineRule="auto"/>
        <w:rPr>
          <w:rFonts w:ascii="宋体" w:hAnsi="宋体"/>
          <w:b/>
          <w:sz w:val="24"/>
          <w:szCs w:val="24"/>
        </w:rPr>
      </w:pPr>
      <w:r>
        <w:rPr>
          <w:rFonts w:hint="eastAsia" w:ascii="宋体" w:hAnsi="宋体"/>
          <w:b/>
          <w:sz w:val="24"/>
          <w:szCs w:val="24"/>
        </w:rPr>
        <w:t>附件4：阳光合作协议</w:t>
      </w:r>
    </w:p>
    <w:p>
      <w:pPr>
        <w:spacing w:before="159" w:beforeLines="50" w:after="159" w:afterLines="50" w:line="480" w:lineRule="exact"/>
        <w:ind w:left="105" w:leftChars="50" w:firstLine="37" w:firstLineChars="13"/>
        <w:contextualSpacing/>
        <w:jc w:val="center"/>
        <w:rPr>
          <w:rFonts w:ascii="宋体" w:hAnsi="宋体"/>
          <w:b/>
          <w:bCs/>
          <w:sz w:val="28"/>
          <w:szCs w:val="36"/>
        </w:rPr>
      </w:pPr>
      <w:r>
        <w:rPr>
          <w:rFonts w:hint="eastAsia" w:ascii="宋体" w:hAnsi="宋体"/>
          <w:b/>
          <w:bCs/>
          <w:sz w:val="28"/>
          <w:szCs w:val="36"/>
        </w:rPr>
        <w:t>阳光合作协议</w:t>
      </w:r>
    </w:p>
    <w:p>
      <w:pPr>
        <w:spacing w:before="159" w:beforeLines="50" w:after="159" w:afterLines="50" w:line="480" w:lineRule="exact"/>
        <w:ind w:left="105" w:leftChars="50" w:firstLine="420" w:firstLineChars="200"/>
        <w:contextualSpacing/>
        <w:rPr>
          <w:rFonts w:ascii="宋体" w:hAnsi="宋体"/>
        </w:rPr>
      </w:pPr>
    </w:p>
    <w:p>
      <w:pPr>
        <w:spacing w:before="159" w:beforeLines="50" w:after="159" w:afterLines="50" w:line="480" w:lineRule="exact"/>
        <w:ind w:left="105" w:leftChars="50" w:firstLine="420" w:firstLineChars="200"/>
        <w:contextualSpacing/>
        <w:rPr>
          <w:rFonts w:ascii="宋体" w:hAnsi="宋体"/>
        </w:rPr>
      </w:pPr>
      <w:r>
        <w:rPr>
          <w:rFonts w:hint="eastAsia" w:ascii="宋体" w:hAnsi="宋体"/>
        </w:rPr>
        <w:t>甲方（采购方全称）：</w:t>
      </w:r>
      <w:r>
        <w:rPr>
          <w:rFonts w:hint="eastAsia" w:ascii="宋体" w:hAnsi="宋体"/>
          <w:u w:val="single"/>
        </w:rPr>
        <w:t>东莞市新东湾环保投资有限公司</w:t>
      </w:r>
      <w:r>
        <w:rPr>
          <w:rFonts w:hint="eastAsia" w:ascii="宋体" w:hAnsi="宋体"/>
        </w:rPr>
        <w:t xml:space="preserve">                    </w:t>
      </w:r>
    </w:p>
    <w:p>
      <w:pPr>
        <w:spacing w:before="159" w:beforeLines="50" w:after="159" w:afterLines="50" w:line="480" w:lineRule="exact"/>
        <w:ind w:left="105" w:leftChars="50" w:firstLine="420" w:firstLineChars="200"/>
        <w:contextualSpacing/>
        <w:rPr>
          <w:rFonts w:ascii="宋体" w:hAnsi="宋体"/>
        </w:rPr>
      </w:pPr>
      <w:r>
        <w:rPr>
          <w:rFonts w:hint="eastAsia" w:ascii="宋体" w:hAnsi="宋体"/>
        </w:rPr>
        <w:t>乙方（供应方全称）：</w:t>
      </w:r>
      <w:r>
        <w:rPr>
          <w:rFonts w:hint="eastAsia" w:ascii="宋体" w:hAnsi="宋体"/>
          <w:u w:val="single"/>
        </w:rPr>
        <w:t xml:space="preserve">                            </w:t>
      </w:r>
      <w:r>
        <w:rPr>
          <w:rFonts w:hint="eastAsia" w:ascii="宋体" w:hAnsi="宋体"/>
        </w:rPr>
        <w:t xml:space="preserve">       </w:t>
      </w:r>
    </w:p>
    <w:p>
      <w:pPr>
        <w:spacing w:before="159" w:beforeLines="50" w:after="159" w:afterLines="50" w:line="480" w:lineRule="exact"/>
        <w:ind w:left="105" w:leftChars="50" w:firstLine="420" w:firstLineChars="200"/>
        <w:contextualSpacing/>
        <w:rPr>
          <w:rFonts w:ascii="宋体" w:hAnsi="宋体"/>
        </w:rPr>
      </w:pPr>
      <w:r>
        <w:rPr>
          <w:rFonts w:hint="eastAsia" w:ascii="宋体" w:hAnsi="宋体"/>
        </w:rPr>
        <w:t xml:space="preserve">    甲乙双方于</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日签署了</w:t>
      </w:r>
      <w:r>
        <w:rPr>
          <w:rFonts w:ascii="宋体" w:hAnsi="宋体"/>
          <w:u w:val="single"/>
        </w:rPr>
        <w:t xml:space="preserve"> </w:t>
      </w:r>
      <w:r>
        <w:rPr>
          <w:rFonts w:hint="eastAsia" w:ascii="宋体" w:hAnsi="宋体"/>
          <w:u w:val="single"/>
          <w:lang w:eastAsia="zh-CN"/>
        </w:rPr>
        <w:t>东莞滨海湾新区沙头垃圾填埋场综合整治项目-安防监控系统安装工程项目（重新采购）</w:t>
      </w:r>
      <w:r>
        <w:rPr>
          <w:rFonts w:ascii="宋体" w:hAnsi="宋体"/>
          <w:u w:val="single"/>
        </w:rPr>
        <w:t xml:space="preserve"> </w:t>
      </w:r>
      <w:r>
        <w:rPr>
          <w:rFonts w:hint="eastAsia" w:ascii="宋体" w:hAnsi="宋体"/>
        </w:rPr>
        <w:t>合同（以下简称原合同），为加强双方阳光合作，保证职员职业安全，甲乙双方经协商签定本协议并作为双方共同遵守的阳光合作行为准则。</w:t>
      </w:r>
    </w:p>
    <w:p>
      <w:pPr>
        <w:widowControl/>
        <w:numPr>
          <w:ilvl w:val="0"/>
          <w:numId w:val="2"/>
        </w:numPr>
        <w:spacing w:before="159" w:beforeLines="50" w:after="159" w:afterLines="50" w:line="480" w:lineRule="exact"/>
        <w:contextualSpacing/>
        <w:jc w:val="left"/>
        <w:rPr>
          <w:rFonts w:ascii="宋体" w:hAnsi="宋体"/>
          <w:b/>
        </w:rPr>
      </w:pPr>
      <w:r>
        <w:rPr>
          <w:rFonts w:hint="eastAsia" w:ascii="宋体" w:hAnsi="宋体"/>
          <w:b/>
        </w:rPr>
        <w:t>甲方责任</w:t>
      </w:r>
    </w:p>
    <w:p>
      <w:pPr>
        <w:spacing w:before="159" w:beforeLines="50" w:after="159" w:afterLines="50" w:line="480" w:lineRule="exact"/>
        <w:ind w:left="105" w:leftChars="50" w:firstLine="420" w:firstLineChars="200"/>
        <w:contextualSpacing/>
        <w:rPr>
          <w:rFonts w:ascii="宋体" w:hAnsi="宋体"/>
        </w:rPr>
      </w:pPr>
      <w:r>
        <w:rPr>
          <w:rFonts w:hint="eastAsia" w:ascii="宋体" w:hAnsi="宋体"/>
        </w:rPr>
        <w:t>1.甲方有责任向乙方介绍本单位有关采购管理通用原则和本协议的规定。</w:t>
      </w:r>
    </w:p>
    <w:p>
      <w:pPr>
        <w:spacing w:before="159" w:beforeLines="50" w:after="159" w:afterLines="50" w:line="480" w:lineRule="exact"/>
        <w:ind w:left="105" w:leftChars="50" w:firstLine="420" w:firstLineChars="200"/>
        <w:contextualSpacing/>
        <w:rPr>
          <w:rFonts w:ascii="宋体" w:hAnsi="宋体"/>
        </w:rPr>
      </w:pPr>
      <w:r>
        <w:rPr>
          <w:rFonts w:hint="eastAsia" w:ascii="宋体" w:hAnsi="宋体"/>
        </w:rPr>
        <w:t>2.甲方有责任对本单位相关人员进行阳光合作教育。</w:t>
      </w:r>
    </w:p>
    <w:p>
      <w:pPr>
        <w:spacing w:before="159" w:beforeLines="50" w:after="159" w:afterLines="50" w:line="480" w:lineRule="exact"/>
        <w:ind w:left="105" w:leftChars="50" w:firstLine="420" w:firstLineChars="200"/>
        <w:contextualSpacing/>
        <w:rPr>
          <w:rFonts w:ascii="宋体" w:hAnsi="宋体"/>
        </w:rPr>
      </w:pPr>
      <w:r>
        <w:rPr>
          <w:rFonts w:hint="eastAsia" w:ascii="宋体" w:hAnsi="宋体"/>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pPr>
        <w:spacing w:before="159" w:beforeLines="50" w:after="159" w:afterLines="50" w:line="480" w:lineRule="exact"/>
        <w:ind w:left="105" w:leftChars="50" w:firstLine="420" w:firstLineChars="200"/>
        <w:contextualSpacing/>
        <w:rPr>
          <w:rFonts w:ascii="宋体" w:hAnsi="宋体"/>
        </w:rPr>
      </w:pPr>
      <w:r>
        <w:rPr>
          <w:rFonts w:hint="eastAsia" w:ascii="宋体" w:hAnsi="宋体"/>
        </w:rPr>
        <w:t>4.甲方人员如违反阳光合作管理制度及本协议规定，甲方视情节轻重、影响大小给予行政及经济处罚。</w:t>
      </w:r>
    </w:p>
    <w:p>
      <w:pPr>
        <w:spacing w:before="159" w:beforeLines="50" w:after="159" w:afterLines="50" w:line="480" w:lineRule="exact"/>
        <w:ind w:left="105" w:leftChars="50" w:firstLine="420" w:firstLineChars="200"/>
        <w:contextualSpacing/>
        <w:rPr>
          <w:rFonts w:ascii="宋体" w:hAnsi="宋体"/>
        </w:rPr>
      </w:pPr>
      <w:r>
        <w:rPr>
          <w:rFonts w:hint="eastAsia" w:ascii="宋体" w:hAnsi="宋体"/>
        </w:rPr>
        <w:t>5．对于乙方举报甲方人员违反阳光合作规定的情况，甲方应及时进行调查，根据调查情况进行处理，并将调查结果向乙方反馈。</w:t>
      </w:r>
    </w:p>
    <w:p>
      <w:pPr>
        <w:spacing w:before="159" w:beforeLines="50" w:after="159" w:afterLines="50" w:line="480" w:lineRule="exact"/>
        <w:ind w:left="105" w:leftChars="50" w:firstLine="420" w:firstLineChars="200"/>
        <w:contextualSpacing/>
        <w:rPr>
          <w:rFonts w:ascii="宋体" w:hAnsi="宋体"/>
        </w:rPr>
      </w:pPr>
      <w:r>
        <w:rPr>
          <w:rFonts w:hint="eastAsia" w:ascii="宋体" w:hAnsi="宋体"/>
        </w:rPr>
        <w:t>6.接受举报的一方应为举报方保密，不得对举报方进行报复，对举报属实和严格遵守《阳光合作协议》的合作方，在同等条件下给予后续合作的优先权。</w:t>
      </w:r>
    </w:p>
    <w:p>
      <w:pPr>
        <w:widowControl/>
        <w:numPr>
          <w:ilvl w:val="0"/>
          <w:numId w:val="2"/>
        </w:numPr>
        <w:spacing w:before="159" w:beforeLines="50" w:after="159" w:afterLines="50" w:line="480" w:lineRule="exact"/>
        <w:contextualSpacing/>
        <w:jc w:val="left"/>
        <w:rPr>
          <w:rFonts w:ascii="宋体" w:hAnsi="宋体"/>
          <w:b/>
        </w:rPr>
      </w:pPr>
      <w:r>
        <w:rPr>
          <w:rFonts w:hint="eastAsia" w:ascii="宋体" w:hAnsi="宋体"/>
          <w:b/>
        </w:rPr>
        <w:t>乙方责任</w:t>
      </w:r>
    </w:p>
    <w:p>
      <w:pPr>
        <w:spacing w:before="159" w:beforeLines="50" w:after="159" w:afterLines="50" w:line="480" w:lineRule="exact"/>
        <w:ind w:left="105" w:leftChars="50" w:firstLine="420" w:firstLineChars="200"/>
        <w:contextualSpacing/>
        <w:rPr>
          <w:rFonts w:ascii="宋体" w:hAnsi="宋体"/>
        </w:rPr>
      </w:pPr>
      <w:r>
        <w:rPr>
          <w:rFonts w:hint="eastAsia" w:ascii="宋体" w:hAnsi="宋体"/>
        </w:rPr>
        <w:t>1.乙方应保证乙方人员了解甲方有关采购管理通用原则和及本协议的规定，并遵照执行。</w:t>
      </w:r>
    </w:p>
    <w:p>
      <w:pPr>
        <w:spacing w:before="159" w:beforeLines="50" w:after="159" w:afterLines="50" w:line="480" w:lineRule="exact"/>
        <w:ind w:left="105" w:leftChars="50" w:firstLine="420" w:firstLineChars="200"/>
        <w:contextualSpacing/>
        <w:rPr>
          <w:rFonts w:ascii="宋体" w:hAnsi="宋体"/>
        </w:rPr>
      </w:pPr>
      <w:r>
        <w:rPr>
          <w:rFonts w:hint="eastAsia" w:ascii="宋体" w:hAnsi="宋体"/>
        </w:rPr>
        <w:t>2.乙方不得以任何形式给予甲方人员回扣、赠送实物、现金、有价证券、礼券等有价物品或提供旅游等其他可能影响职务行为公正履行的活动（以下统称“财物”）。</w:t>
      </w:r>
    </w:p>
    <w:p>
      <w:pPr>
        <w:spacing w:before="159" w:beforeLines="50" w:after="159" w:afterLines="50" w:line="480" w:lineRule="exact"/>
        <w:ind w:left="105" w:leftChars="50" w:firstLine="420" w:firstLineChars="200"/>
        <w:contextualSpacing/>
        <w:rPr>
          <w:rFonts w:ascii="宋体" w:hAnsi="宋体"/>
        </w:rPr>
      </w:pPr>
      <w:r>
        <w:rPr>
          <w:rFonts w:hint="eastAsia" w:ascii="宋体" w:hAnsi="宋体"/>
        </w:rPr>
        <w:t>3.乙方有责任接受甲方对乙方在合作期间阳光合作管理执行情况的监督，并对甲方相关调查工作主动配合。</w:t>
      </w:r>
    </w:p>
    <w:p>
      <w:pPr>
        <w:spacing w:before="159" w:beforeLines="50" w:after="159" w:afterLines="50" w:line="480" w:lineRule="exact"/>
        <w:ind w:left="105" w:leftChars="50" w:firstLine="420" w:firstLineChars="200"/>
        <w:contextualSpacing/>
        <w:rPr>
          <w:rFonts w:ascii="宋体" w:hAnsi="宋体"/>
        </w:rPr>
      </w:pPr>
      <w:r>
        <w:rPr>
          <w:rFonts w:hint="eastAsia" w:ascii="宋体" w:hAnsi="宋体"/>
        </w:rPr>
        <w:t>4.乙方有义务就甲方人员任何形式的索取或收受财物行为及时向甲方（直接联系人为东莞实业投资控股集团有限公司监察审计室）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pPr>
        <w:spacing w:before="159" w:beforeLines="50" w:after="159" w:afterLines="50" w:line="480" w:lineRule="exact"/>
        <w:ind w:left="105" w:leftChars="50" w:firstLine="420" w:firstLineChars="200"/>
        <w:contextualSpacing/>
        <w:rPr>
          <w:rFonts w:ascii="宋体" w:hAnsi="宋体"/>
        </w:rPr>
      </w:pPr>
      <w:r>
        <w:rPr>
          <w:rFonts w:hint="eastAsia" w:ascii="宋体" w:hAnsi="宋体"/>
        </w:rPr>
        <w:t xml:space="preserve">5．甲方接受乙方实名或匿名举报，保证为举报者的信息保密，常设举报部门及电话： </w:t>
      </w:r>
    </w:p>
    <w:p>
      <w:pPr>
        <w:spacing w:before="159" w:beforeLines="50" w:after="159" w:afterLines="50" w:line="480" w:lineRule="exact"/>
        <w:ind w:left="105" w:leftChars="50" w:firstLine="420" w:firstLineChars="200"/>
        <w:contextualSpacing/>
        <w:rPr>
          <w:rFonts w:ascii="宋体" w:hAnsi="宋体"/>
        </w:rPr>
      </w:pPr>
      <w:r>
        <w:rPr>
          <w:rFonts w:hint="eastAsia" w:ascii="宋体" w:hAnsi="宋体"/>
        </w:rPr>
        <w:t>举报受理部门：东莞实业投资控股集团有限公司监察审计室</w:t>
      </w:r>
    </w:p>
    <w:p>
      <w:pPr>
        <w:spacing w:before="159" w:beforeLines="50" w:after="159" w:afterLines="50" w:line="480" w:lineRule="exact"/>
        <w:ind w:left="105" w:leftChars="50" w:firstLine="420" w:firstLineChars="200"/>
        <w:contextualSpacing/>
        <w:rPr>
          <w:rFonts w:ascii="宋体" w:hAnsi="宋体"/>
        </w:rPr>
      </w:pPr>
      <w:bookmarkStart w:id="11" w:name="OLE_LINK1"/>
      <w:r>
        <w:rPr>
          <w:rFonts w:hint="eastAsia" w:ascii="宋体" w:hAnsi="宋体"/>
        </w:rPr>
        <w:t>东实集团举报邮箱：dgsyjjjc@163.com</w:t>
      </w:r>
    </w:p>
    <w:p>
      <w:pPr>
        <w:spacing w:before="159" w:beforeLines="50" w:after="159" w:afterLines="50" w:line="480" w:lineRule="exact"/>
        <w:ind w:left="105" w:leftChars="50" w:firstLine="420" w:firstLineChars="200"/>
        <w:contextualSpacing/>
        <w:rPr>
          <w:rFonts w:ascii="宋体" w:hAnsi="宋体"/>
        </w:rPr>
      </w:pPr>
      <w:r>
        <w:rPr>
          <w:rFonts w:hint="eastAsia" w:ascii="宋体" w:hAnsi="宋体"/>
        </w:rPr>
        <w:t>东实集团举报电话：0769-28822331（周一至周五9:00-12:00和14:00-18:00）</w:t>
      </w:r>
    </w:p>
    <w:p>
      <w:pPr>
        <w:spacing w:before="159" w:beforeLines="50" w:after="159" w:afterLines="50" w:line="480" w:lineRule="exact"/>
        <w:ind w:left="105" w:leftChars="50" w:firstLine="420" w:firstLineChars="200"/>
        <w:contextualSpacing/>
        <w:rPr>
          <w:rFonts w:ascii="宋体" w:hAnsi="宋体"/>
        </w:rPr>
      </w:pPr>
      <w:r>
        <w:rPr>
          <w:rFonts w:hint="eastAsia" w:ascii="宋体" w:hAnsi="宋体"/>
        </w:rPr>
        <w:t>邮寄地址：东莞市东城区八一路1号机关二号大院9号楼321室，东莞实业投资控股集团有限公司监察审计室收，邮编523000。</w:t>
      </w:r>
    </w:p>
    <w:bookmarkEnd w:id="11"/>
    <w:p>
      <w:pPr>
        <w:widowControl/>
        <w:numPr>
          <w:ilvl w:val="0"/>
          <w:numId w:val="2"/>
        </w:numPr>
        <w:spacing w:before="159" w:beforeLines="50" w:after="159" w:afterLines="50" w:line="480" w:lineRule="exact"/>
        <w:contextualSpacing/>
        <w:jc w:val="left"/>
        <w:rPr>
          <w:rFonts w:ascii="宋体" w:hAnsi="宋体"/>
          <w:b/>
        </w:rPr>
      </w:pPr>
      <w:r>
        <w:rPr>
          <w:rFonts w:hint="eastAsia" w:ascii="宋体" w:hAnsi="宋体"/>
          <w:b/>
        </w:rPr>
        <w:t>其他</w:t>
      </w:r>
    </w:p>
    <w:p>
      <w:pPr>
        <w:spacing w:before="159" w:beforeLines="50" w:after="159" w:afterLines="50" w:line="480" w:lineRule="exact"/>
        <w:ind w:left="105" w:leftChars="50" w:firstLine="420" w:firstLineChars="200"/>
        <w:contextualSpacing/>
        <w:rPr>
          <w:rFonts w:ascii="宋体" w:hAnsi="宋体"/>
        </w:rPr>
      </w:pPr>
      <w:r>
        <w:rPr>
          <w:rFonts w:hint="eastAsia" w:ascii="宋体" w:hAnsi="宋体"/>
        </w:rPr>
        <w:t>1.本协议是原合同的补充协议，与原合同有同等法律效力。</w:t>
      </w:r>
    </w:p>
    <w:p>
      <w:pPr>
        <w:spacing w:before="159" w:beforeLines="50" w:after="159" w:afterLines="50" w:line="480" w:lineRule="exact"/>
        <w:ind w:left="105" w:leftChars="50" w:firstLine="420" w:firstLineChars="200"/>
        <w:contextualSpacing/>
        <w:rPr>
          <w:rFonts w:ascii="宋体" w:hAnsi="宋体"/>
        </w:rPr>
      </w:pPr>
      <w:r>
        <w:rPr>
          <w:rFonts w:hint="eastAsia" w:ascii="宋体" w:hAnsi="宋体"/>
        </w:rPr>
        <w:t>2.本协议一式陆份，甲方肆份，乙方贰份, 具有同等法律效力。</w:t>
      </w:r>
    </w:p>
    <w:p>
      <w:pPr>
        <w:spacing w:before="159" w:beforeLines="50" w:after="159" w:afterLines="50" w:line="480" w:lineRule="exact"/>
        <w:ind w:left="105" w:leftChars="50" w:firstLine="420" w:firstLineChars="200"/>
        <w:contextualSpacing/>
        <w:rPr>
          <w:rFonts w:ascii="宋体" w:hAnsi="宋体"/>
        </w:rPr>
      </w:pPr>
      <w:r>
        <w:rPr>
          <w:rFonts w:hint="eastAsia" w:ascii="宋体" w:hAnsi="宋体"/>
        </w:rPr>
        <w:t>3.本协议经双方签署后生效。</w:t>
      </w:r>
    </w:p>
    <w:p>
      <w:pPr>
        <w:spacing w:before="159" w:beforeLines="50" w:after="159" w:afterLines="50" w:line="480" w:lineRule="exact"/>
        <w:ind w:right="26"/>
        <w:contextualSpacing/>
        <w:rPr>
          <w:rFonts w:ascii="宋体" w:hAnsi="宋体"/>
          <w:color w:val="000000"/>
        </w:rPr>
      </w:pPr>
    </w:p>
    <w:p>
      <w:pPr>
        <w:spacing w:before="159" w:beforeLines="50" w:after="159" w:afterLines="50" w:line="480" w:lineRule="exact"/>
        <w:ind w:right="26" w:firstLine="315" w:firstLineChars="150"/>
        <w:contextualSpacing/>
        <w:rPr>
          <w:rFonts w:ascii="宋体"/>
          <w:color w:val="000000"/>
        </w:rPr>
      </w:pPr>
      <w:r>
        <w:rPr>
          <w:rFonts w:hint="eastAsia" w:ascii="宋体" w:hAnsi="宋体"/>
          <w:color w:val="000000"/>
        </w:rPr>
        <w:t>甲方（盖章）：</w:t>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hAnsi="宋体"/>
          <w:color w:val="000000"/>
        </w:rPr>
        <w:t xml:space="preserve">          乙方（盖章）：</w:t>
      </w:r>
    </w:p>
    <w:p>
      <w:pPr>
        <w:spacing w:before="159" w:beforeLines="50" w:after="159" w:afterLines="50" w:line="480" w:lineRule="exact"/>
        <w:ind w:right="26" w:firstLine="840" w:firstLineChars="400"/>
        <w:contextualSpacing/>
        <w:rPr>
          <w:rFonts w:ascii="宋体" w:hAnsi="宋体"/>
          <w:color w:val="000000"/>
        </w:rPr>
      </w:pPr>
    </w:p>
    <w:p>
      <w:pPr>
        <w:spacing w:before="159" w:beforeLines="50" w:after="159" w:afterLines="50" w:line="480" w:lineRule="exact"/>
        <w:ind w:right="26" w:firstLine="315" w:firstLineChars="150"/>
        <w:contextualSpacing/>
        <w:rPr>
          <w:rFonts w:ascii="宋体"/>
          <w:color w:val="000000"/>
        </w:rPr>
      </w:pPr>
      <w:r>
        <w:rPr>
          <w:rFonts w:hint="eastAsia" w:ascii="宋体" w:hAnsi="宋体"/>
          <w:color w:val="000000"/>
        </w:rPr>
        <w:t>法定代表人（授权代表）：</w:t>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 xml:space="preserve">   </w:t>
      </w:r>
      <w:r>
        <w:rPr>
          <w:rFonts w:hint="eastAsia" w:ascii="宋体" w:hAnsi="宋体"/>
          <w:color w:val="000000"/>
        </w:rPr>
        <w:t>法定代表人（授权代表）：</w:t>
      </w:r>
    </w:p>
    <w:p>
      <w:pPr>
        <w:spacing w:before="159" w:beforeLines="50" w:after="159" w:afterLines="50" w:line="480" w:lineRule="exact"/>
        <w:ind w:right="26" w:firstLine="840" w:firstLineChars="400"/>
        <w:contextualSpacing/>
        <w:rPr>
          <w:rFonts w:ascii="宋体" w:hAnsi="宋体"/>
          <w:color w:val="000000"/>
        </w:rPr>
      </w:pPr>
    </w:p>
    <w:p>
      <w:pPr>
        <w:spacing w:before="159" w:beforeLines="50" w:after="159" w:afterLines="50" w:line="480" w:lineRule="exact"/>
        <w:ind w:right="26" w:firstLine="315" w:firstLineChars="150"/>
        <w:contextualSpacing/>
        <w:rPr>
          <w:color w:val="000000"/>
        </w:rPr>
      </w:pPr>
      <w:r>
        <w:rPr>
          <w:rFonts w:hint="eastAsia" w:ascii="宋体" w:hAnsi="宋体"/>
          <w:color w:val="000000"/>
        </w:rPr>
        <w:t>签约日期：   年   月   日</w:t>
      </w:r>
      <w:r>
        <w:rPr>
          <w:color w:val="000000"/>
        </w:rPr>
        <w:tab/>
      </w:r>
      <w:r>
        <w:rPr>
          <w:color w:val="000000"/>
        </w:rPr>
        <w:t xml:space="preserve">          </w:t>
      </w:r>
      <w:r>
        <w:rPr>
          <w:rFonts w:hint="eastAsia" w:ascii="宋体" w:hAnsi="宋体"/>
          <w:color w:val="000000"/>
        </w:rPr>
        <w:t>签约日期：   年   月   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2512349"/>
    </w:sdtPr>
    <w:sdtContent>
      <w:p>
        <w:pPr>
          <w:pStyle w:val="11"/>
          <w:jc w:val="center"/>
        </w:pPr>
        <w:r>
          <w:fldChar w:fldCharType="begin"/>
        </w:r>
        <w:r>
          <w:instrText xml:space="preserve">PAGE   \* MERGEFORMAT</w:instrText>
        </w:r>
        <w:r>
          <w:fldChar w:fldCharType="separate"/>
        </w:r>
        <w:r>
          <w:rPr>
            <w:lang w:val="zh-CN"/>
          </w:rPr>
          <w:t>13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3102586"/>
    </w:sdtPr>
    <w:sdtContent>
      <w:p>
        <w:pPr>
          <w:pStyle w:val="11"/>
          <w:jc w:val="center"/>
        </w:pPr>
        <w:r>
          <w:fldChar w:fldCharType="begin"/>
        </w:r>
        <w:r>
          <w:instrText xml:space="preserve">PAGE   \* MERGEFORMAT</w:instrText>
        </w:r>
        <w:r>
          <w:fldChar w:fldCharType="separate"/>
        </w:r>
        <w:r>
          <w:rPr>
            <w:lang w:val="zh-CN"/>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after="4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after="4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after="4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4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4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4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5A82FE"/>
    <w:multiLevelType w:val="multilevel"/>
    <w:tmpl w:val="975A82FE"/>
    <w:lvl w:ilvl="0" w:tentative="0">
      <w:start w:val="1"/>
      <w:numFmt w:val="japaneseCounting"/>
      <w:lvlText w:val="%1、"/>
      <w:lvlJc w:val="left"/>
      <w:pPr>
        <w:tabs>
          <w:tab w:val="left" w:pos="720"/>
        </w:tabs>
        <w:ind w:left="720" w:hanging="720"/>
      </w:pPr>
    </w:lvl>
    <w:lvl w:ilvl="1" w:tentative="0">
      <w:start w:val="1"/>
      <w:numFmt w:val="upperLetter"/>
      <w:pStyle w:val="3"/>
      <w:lvlText w:val="%2、"/>
      <w:lvlJc w:val="left"/>
      <w:pPr>
        <w:tabs>
          <w:tab w:val="left" w:pos="1140"/>
        </w:tabs>
        <w:ind w:left="1140" w:hanging="720"/>
      </w:pPr>
    </w:lvl>
    <w:lvl w:ilvl="2" w:tentative="0">
      <w:start w:val="1"/>
      <w:numFmt w:val="decimal"/>
      <w:lvlText w:val="%3、"/>
      <w:lvlJc w:val="left"/>
      <w:pPr>
        <w:tabs>
          <w:tab w:val="left" w:pos="1560"/>
        </w:tabs>
        <w:ind w:left="1560" w:hanging="720"/>
      </w:pPr>
    </w:lvl>
    <w:lvl w:ilvl="3" w:tentative="0">
      <w:start w:val="1"/>
      <w:numFmt w:val="decimal"/>
      <w:lvlText w:val="%4."/>
      <w:lvlJc w:val="left"/>
      <w:pPr>
        <w:tabs>
          <w:tab w:val="left" w:pos="1620"/>
        </w:tabs>
        <w:ind w:left="1620" w:hanging="36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A57500B"/>
    <w:multiLevelType w:val="multilevel"/>
    <w:tmpl w:val="0A57500B"/>
    <w:lvl w:ilvl="0" w:tentative="0">
      <w:start w:val="1"/>
      <w:numFmt w:val="japaneseCounting"/>
      <w:lvlText w:val="%1、"/>
      <w:lvlJc w:val="left"/>
      <w:pPr>
        <w:ind w:left="1110" w:hanging="51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dit="readOnly"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ED0"/>
    <w:rsid w:val="000028FD"/>
    <w:rsid w:val="00005B73"/>
    <w:rsid w:val="00012BFA"/>
    <w:rsid w:val="00013A6D"/>
    <w:rsid w:val="0001425B"/>
    <w:rsid w:val="0001432B"/>
    <w:rsid w:val="0001540B"/>
    <w:rsid w:val="0002275A"/>
    <w:rsid w:val="000229C5"/>
    <w:rsid w:val="000254F0"/>
    <w:rsid w:val="000320BD"/>
    <w:rsid w:val="00033675"/>
    <w:rsid w:val="00036FE6"/>
    <w:rsid w:val="000406AF"/>
    <w:rsid w:val="00040A17"/>
    <w:rsid w:val="0004113D"/>
    <w:rsid w:val="00044BA6"/>
    <w:rsid w:val="00046302"/>
    <w:rsid w:val="00046D68"/>
    <w:rsid w:val="00046E74"/>
    <w:rsid w:val="00050C8D"/>
    <w:rsid w:val="00055419"/>
    <w:rsid w:val="0006112D"/>
    <w:rsid w:val="00063F50"/>
    <w:rsid w:val="00066EBD"/>
    <w:rsid w:val="000748F6"/>
    <w:rsid w:val="00077D01"/>
    <w:rsid w:val="000863AF"/>
    <w:rsid w:val="000901CB"/>
    <w:rsid w:val="000930FE"/>
    <w:rsid w:val="000941B8"/>
    <w:rsid w:val="00095A0F"/>
    <w:rsid w:val="0009708A"/>
    <w:rsid w:val="000A0257"/>
    <w:rsid w:val="000A0A4F"/>
    <w:rsid w:val="000A5AF5"/>
    <w:rsid w:val="000B0BD3"/>
    <w:rsid w:val="000B1954"/>
    <w:rsid w:val="000B1D86"/>
    <w:rsid w:val="000B2408"/>
    <w:rsid w:val="000B336A"/>
    <w:rsid w:val="000B4228"/>
    <w:rsid w:val="000B72CC"/>
    <w:rsid w:val="000C0834"/>
    <w:rsid w:val="000C0A53"/>
    <w:rsid w:val="000C1FBE"/>
    <w:rsid w:val="000C2B30"/>
    <w:rsid w:val="000C327D"/>
    <w:rsid w:val="000D2A43"/>
    <w:rsid w:val="000D4735"/>
    <w:rsid w:val="000D6353"/>
    <w:rsid w:val="000E1AED"/>
    <w:rsid w:val="000E4926"/>
    <w:rsid w:val="000E5384"/>
    <w:rsid w:val="000E702E"/>
    <w:rsid w:val="000F2C2E"/>
    <w:rsid w:val="000F2FC6"/>
    <w:rsid w:val="000F3A36"/>
    <w:rsid w:val="000F3CED"/>
    <w:rsid w:val="00102B2C"/>
    <w:rsid w:val="00110023"/>
    <w:rsid w:val="00110AE9"/>
    <w:rsid w:val="001134D4"/>
    <w:rsid w:val="00113773"/>
    <w:rsid w:val="001156FB"/>
    <w:rsid w:val="001174B6"/>
    <w:rsid w:val="001264A1"/>
    <w:rsid w:val="00127276"/>
    <w:rsid w:val="00131D0A"/>
    <w:rsid w:val="00132557"/>
    <w:rsid w:val="00133885"/>
    <w:rsid w:val="00135697"/>
    <w:rsid w:val="00142B6B"/>
    <w:rsid w:val="00146152"/>
    <w:rsid w:val="00152F22"/>
    <w:rsid w:val="00154167"/>
    <w:rsid w:val="001572AF"/>
    <w:rsid w:val="00157353"/>
    <w:rsid w:val="00162DA0"/>
    <w:rsid w:val="0016352B"/>
    <w:rsid w:val="00165D80"/>
    <w:rsid w:val="0016665E"/>
    <w:rsid w:val="0017142D"/>
    <w:rsid w:val="0017396E"/>
    <w:rsid w:val="00183646"/>
    <w:rsid w:val="001837EB"/>
    <w:rsid w:val="001844CB"/>
    <w:rsid w:val="0018470A"/>
    <w:rsid w:val="00191009"/>
    <w:rsid w:val="001925E5"/>
    <w:rsid w:val="00196F6D"/>
    <w:rsid w:val="00196FE0"/>
    <w:rsid w:val="001A3977"/>
    <w:rsid w:val="001A7A3B"/>
    <w:rsid w:val="001B4051"/>
    <w:rsid w:val="001C1809"/>
    <w:rsid w:val="001C22FD"/>
    <w:rsid w:val="001C279B"/>
    <w:rsid w:val="001C3C2F"/>
    <w:rsid w:val="001C4205"/>
    <w:rsid w:val="001C538B"/>
    <w:rsid w:val="001D0EAA"/>
    <w:rsid w:val="001D49F2"/>
    <w:rsid w:val="001D4F06"/>
    <w:rsid w:val="001D6D2F"/>
    <w:rsid w:val="001E5462"/>
    <w:rsid w:val="001E6968"/>
    <w:rsid w:val="001F4852"/>
    <w:rsid w:val="001F5118"/>
    <w:rsid w:val="001F7CAF"/>
    <w:rsid w:val="002000CE"/>
    <w:rsid w:val="002008CC"/>
    <w:rsid w:val="00202F6E"/>
    <w:rsid w:val="00204419"/>
    <w:rsid w:val="00204CA5"/>
    <w:rsid w:val="00205987"/>
    <w:rsid w:val="00205F12"/>
    <w:rsid w:val="0020770D"/>
    <w:rsid w:val="00210BCF"/>
    <w:rsid w:val="002117B0"/>
    <w:rsid w:val="00214FC3"/>
    <w:rsid w:val="00215784"/>
    <w:rsid w:val="00215DF7"/>
    <w:rsid w:val="002166E0"/>
    <w:rsid w:val="00217B83"/>
    <w:rsid w:val="00220762"/>
    <w:rsid w:val="00226E05"/>
    <w:rsid w:val="00227F84"/>
    <w:rsid w:val="00230F07"/>
    <w:rsid w:val="00230F3F"/>
    <w:rsid w:val="00231A14"/>
    <w:rsid w:val="00237233"/>
    <w:rsid w:val="00244C63"/>
    <w:rsid w:val="00251A8B"/>
    <w:rsid w:val="00252BFC"/>
    <w:rsid w:val="00254E0E"/>
    <w:rsid w:val="00255ACF"/>
    <w:rsid w:val="0025685B"/>
    <w:rsid w:val="002569C5"/>
    <w:rsid w:val="00263E56"/>
    <w:rsid w:val="0026670C"/>
    <w:rsid w:val="00281E22"/>
    <w:rsid w:val="00284F27"/>
    <w:rsid w:val="00294EC6"/>
    <w:rsid w:val="00297C6C"/>
    <w:rsid w:val="002A1845"/>
    <w:rsid w:val="002A40C3"/>
    <w:rsid w:val="002A5A03"/>
    <w:rsid w:val="002A736D"/>
    <w:rsid w:val="002B26A7"/>
    <w:rsid w:val="002B30E3"/>
    <w:rsid w:val="002C02EB"/>
    <w:rsid w:val="002D3568"/>
    <w:rsid w:val="002D604E"/>
    <w:rsid w:val="002D64BE"/>
    <w:rsid w:val="002D78C2"/>
    <w:rsid w:val="002E2198"/>
    <w:rsid w:val="002E319B"/>
    <w:rsid w:val="002E40BD"/>
    <w:rsid w:val="002E70A3"/>
    <w:rsid w:val="002E7B26"/>
    <w:rsid w:val="002F0008"/>
    <w:rsid w:val="002F2DE0"/>
    <w:rsid w:val="002F3728"/>
    <w:rsid w:val="002F3DE0"/>
    <w:rsid w:val="002F4199"/>
    <w:rsid w:val="002F5DC3"/>
    <w:rsid w:val="003039A2"/>
    <w:rsid w:val="003130FC"/>
    <w:rsid w:val="0031424A"/>
    <w:rsid w:val="00314845"/>
    <w:rsid w:val="00315A7E"/>
    <w:rsid w:val="00315E82"/>
    <w:rsid w:val="00316C74"/>
    <w:rsid w:val="00324101"/>
    <w:rsid w:val="00325938"/>
    <w:rsid w:val="00327066"/>
    <w:rsid w:val="00331421"/>
    <w:rsid w:val="00334365"/>
    <w:rsid w:val="00337229"/>
    <w:rsid w:val="003509A6"/>
    <w:rsid w:val="003542F4"/>
    <w:rsid w:val="00356D07"/>
    <w:rsid w:val="00362FF2"/>
    <w:rsid w:val="00365A9E"/>
    <w:rsid w:val="003741E3"/>
    <w:rsid w:val="00376CE2"/>
    <w:rsid w:val="003776A2"/>
    <w:rsid w:val="003838AA"/>
    <w:rsid w:val="003865F3"/>
    <w:rsid w:val="00393792"/>
    <w:rsid w:val="00396DB6"/>
    <w:rsid w:val="003979E5"/>
    <w:rsid w:val="003A1866"/>
    <w:rsid w:val="003B03C0"/>
    <w:rsid w:val="003B233D"/>
    <w:rsid w:val="003B5489"/>
    <w:rsid w:val="003B664F"/>
    <w:rsid w:val="003B6841"/>
    <w:rsid w:val="003C5C24"/>
    <w:rsid w:val="003C5F72"/>
    <w:rsid w:val="003C75ED"/>
    <w:rsid w:val="003D31AB"/>
    <w:rsid w:val="003D6FC9"/>
    <w:rsid w:val="003E3A3F"/>
    <w:rsid w:val="003E4DE6"/>
    <w:rsid w:val="003E7077"/>
    <w:rsid w:val="003E7F8F"/>
    <w:rsid w:val="003F1A08"/>
    <w:rsid w:val="003F4157"/>
    <w:rsid w:val="003F4F3C"/>
    <w:rsid w:val="003F7371"/>
    <w:rsid w:val="00401B6B"/>
    <w:rsid w:val="00407262"/>
    <w:rsid w:val="00412BC5"/>
    <w:rsid w:val="00416DC3"/>
    <w:rsid w:val="004202AB"/>
    <w:rsid w:val="0042236A"/>
    <w:rsid w:val="004234B9"/>
    <w:rsid w:val="00425296"/>
    <w:rsid w:val="0043055E"/>
    <w:rsid w:val="004333CD"/>
    <w:rsid w:val="0043628E"/>
    <w:rsid w:val="004407A6"/>
    <w:rsid w:val="004421F0"/>
    <w:rsid w:val="00443E79"/>
    <w:rsid w:val="0044692A"/>
    <w:rsid w:val="0044693C"/>
    <w:rsid w:val="00446E82"/>
    <w:rsid w:val="00451962"/>
    <w:rsid w:val="00452C7D"/>
    <w:rsid w:val="00455511"/>
    <w:rsid w:val="00456564"/>
    <w:rsid w:val="004623DC"/>
    <w:rsid w:val="00463B7F"/>
    <w:rsid w:val="004655CC"/>
    <w:rsid w:val="004723A3"/>
    <w:rsid w:val="00474915"/>
    <w:rsid w:val="004801A3"/>
    <w:rsid w:val="00481418"/>
    <w:rsid w:val="0048587B"/>
    <w:rsid w:val="00485FBD"/>
    <w:rsid w:val="00486C6C"/>
    <w:rsid w:val="00487CEB"/>
    <w:rsid w:val="00491E00"/>
    <w:rsid w:val="0049300C"/>
    <w:rsid w:val="00495FB1"/>
    <w:rsid w:val="00496744"/>
    <w:rsid w:val="00497138"/>
    <w:rsid w:val="004A129C"/>
    <w:rsid w:val="004A57C5"/>
    <w:rsid w:val="004A699E"/>
    <w:rsid w:val="004A6D16"/>
    <w:rsid w:val="004B1DFB"/>
    <w:rsid w:val="004B4047"/>
    <w:rsid w:val="004C1A98"/>
    <w:rsid w:val="004C5BA2"/>
    <w:rsid w:val="004D449D"/>
    <w:rsid w:val="004D4664"/>
    <w:rsid w:val="004D7BC4"/>
    <w:rsid w:val="004D7DFB"/>
    <w:rsid w:val="004E5A15"/>
    <w:rsid w:val="004E611C"/>
    <w:rsid w:val="004E790B"/>
    <w:rsid w:val="004F2DA5"/>
    <w:rsid w:val="004F344F"/>
    <w:rsid w:val="004F4463"/>
    <w:rsid w:val="004F5933"/>
    <w:rsid w:val="004F6B03"/>
    <w:rsid w:val="00500A4A"/>
    <w:rsid w:val="005027D0"/>
    <w:rsid w:val="00502C41"/>
    <w:rsid w:val="00502FEB"/>
    <w:rsid w:val="00504A13"/>
    <w:rsid w:val="00506B17"/>
    <w:rsid w:val="00510BFB"/>
    <w:rsid w:val="005172C5"/>
    <w:rsid w:val="00520138"/>
    <w:rsid w:val="00520C9B"/>
    <w:rsid w:val="00522726"/>
    <w:rsid w:val="005260B4"/>
    <w:rsid w:val="00531D40"/>
    <w:rsid w:val="00534635"/>
    <w:rsid w:val="005371FF"/>
    <w:rsid w:val="0053789A"/>
    <w:rsid w:val="00540B7D"/>
    <w:rsid w:val="00541925"/>
    <w:rsid w:val="00546A6D"/>
    <w:rsid w:val="00552739"/>
    <w:rsid w:val="00556C4D"/>
    <w:rsid w:val="005643D7"/>
    <w:rsid w:val="00565B17"/>
    <w:rsid w:val="00565EB1"/>
    <w:rsid w:val="00577E08"/>
    <w:rsid w:val="0058123D"/>
    <w:rsid w:val="00583AD2"/>
    <w:rsid w:val="00585A78"/>
    <w:rsid w:val="00590112"/>
    <w:rsid w:val="0059624F"/>
    <w:rsid w:val="00596C79"/>
    <w:rsid w:val="00596E46"/>
    <w:rsid w:val="005A6A9A"/>
    <w:rsid w:val="005A74C6"/>
    <w:rsid w:val="005B2CF0"/>
    <w:rsid w:val="005B48FC"/>
    <w:rsid w:val="005B6E97"/>
    <w:rsid w:val="005C0CE3"/>
    <w:rsid w:val="005C31F5"/>
    <w:rsid w:val="005C4CF9"/>
    <w:rsid w:val="005C6227"/>
    <w:rsid w:val="005C6EA8"/>
    <w:rsid w:val="005C7810"/>
    <w:rsid w:val="005D35AA"/>
    <w:rsid w:val="005D3E6E"/>
    <w:rsid w:val="005E0EA3"/>
    <w:rsid w:val="005E1C0B"/>
    <w:rsid w:val="005E32B9"/>
    <w:rsid w:val="005E5558"/>
    <w:rsid w:val="005E6529"/>
    <w:rsid w:val="005F1911"/>
    <w:rsid w:val="005F3BDE"/>
    <w:rsid w:val="00600AE6"/>
    <w:rsid w:val="0060116E"/>
    <w:rsid w:val="00602626"/>
    <w:rsid w:val="00610E99"/>
    <w:rsid w:val="00611986"/>
    <w:rsid w:val="006155F4"/>
    <w:rsid w:val="00622BE3"/>
    <w:rsid w:val="00622CFE"/>
    <w:rsid w:val="0063300F"/>
    <w:rsid w:val="00633DF9"/>
    <w:rsid w:val="0063550A"/>
    <w:rsid w:val="0064474D"/>
    <w:rsid w:val="006522A7"/>
    <w:rsid w:val="00664575"/>
    <w:rsid w:val="0066621E"/>
    <w:rsid w:val="006662F0"/>
    <w:rsid w:val="006817D4"/>
    <w:rsid w:val="00681EC9"/>
    <w:rsid w:val="00685E7F"/>
    <w:rsid w:val="006903E3"/>
    <w:rsid w:val="006929B7"/>
    <w:rsid w:val="0069444D"/>
    <w:rsid w:val="006A278B"/>
    <w:rsid w:val="006A33C7"/>
    <w:rsid w:val="006A736D"/>
    <w:rsid w:val="006B34AC"/>
    <w:rsid w:val="006B4C1F"/>
    <w:rsid w:val="006B4CED"/>
    <w:rsid w:val="006B507A"/>
    <w:rsid w:val="006B7469"/>
    <w:rsid w:val="006B75C4"/>
    <w:rsid w:val="006C2EC5"/>
    <w:rsid w:val="006D0011"/>
    <w:rsid w:val="006D27EF"/>
    <w:rsid w:val="006D2FC6"/>
    <w:rsid w:val="006D4357"/>
    <w:rsid w:val="006D4BC0"/>
    <w:rsid w:val="006D570E"/>
    <w:rsid w:val="006D7A45"/>
    <w:rsid w:val="006D7B9B"/>
    <w:rsid w:val="006E0C5E"/>
    <w:rsid w:val="006E2427"/>
    <w:rsid w:val="006E25F2"/>
    <w:rsid w:val="006E4796"/>
    <w:rsid w:val="006E4D47"/>
    <w:rsid w:val="006E6386"/>
    <w:rsid w:val="006E63B1"/>
    <w:rsid w:val="006F0353"/>
    <w:rsid w:val="006F1310"/>
    <w:rsid w:val="006F19D6"/>
    <w:rsid w:val="006F20F5"/>
    <w:rsid w:val="006F2C26"/>
    <w:rsid w:val="006F54BF"/>
    <w:rsid w:val="006F56D3"/>
    <w:rsid w:val="006F67D4"/>
    <w:rsid w:val="0070054D"/>
    <w:rsid w:val="007034C7"/>
    <w:rsid w:val="00703719"/>
    <w:rsid w:val="00703AD4"/>
    <w:rsid w:val="007048CE"/>
    <w:rsid w:val="00705A9F"/>
    <w:rsid w:val="00705FD2"/>
    <w:rsid w:val="0071376E"/>
    <w:rsid w:val="00715CF6"/>
    <w:rsid w:val="00716752"/>
    <w:rsid w:val="00720851"/>
    <w:rsid w:val="00721328"/>
    <w:rsid w:val="007214BF"/>
    <w:rsid w:val="00727DFA"/>
    <w:rsid w:val="0073117E"/>
    <w:rsid w:val="007316E7"/>
    <w:rsid w:val="00732A88"/>
    <w:rsid w:val="00743008"/>
    <w:rsid w:val="007436C3"/>
    <w:rsid w:val="007469CE"/>
    <w:rsid w:val="00750BD7"/>
    <w:rsid w:val="007523F5"/>
    <w:rsid w:val="00752A14"/>
    <w:rsid w:val="00754246"/>
    <w:rsid w:val="00757900"/>
    <w:rsid w:val="00770201"/>
    <w:rsid w:val="00771E48"/>
    <w:rsid w:val="0077406B"/>
    <w:rsid w:val="00782C1C"/>
    <w:rsid w:val="00784B4A"/>
    <w:rsid w:val="00786D41"/>
    <w:rsid w:val="007878BE"/>
    <w:rsid w:val="00790782"/>
    <w:rsid w:val="00791FC9"/>
    <w:rsid w:val="00792AAE"/>
    <w:rsid w:val="00797303"/>
    <w:rsid w:val="00797538"/>
    <w:rsid w:val="00797AC3"/>
    <w:rsid w:val="007A190D"/>
    <w:rsid w:val="007A460D"/>
    <w:rsid w:val="007A5A05"/>
    <w:rsid w:val="007A5BC6"/>
    <w:rsid w:val="007B1E4F"/>
    <w:rsid w:val="007B2038"/>
    <w:rsid w:val="007C518E"/>
    <w:rsid w:val="007C63A4"/>
    <w:rsid w:val="007C6D1F"/>
    <w:rsid w:val="007D218B"/>
    <w:rsid w:val="007D4967"/>
    <w:rsid w:val="007D691C"/>
    <w:rsid w:val="007E314C"/>
    <w:rsid w:val="007E31BF"/>
    <w:rsid w:val="007E4E6E"/>
    <w:rsid w:val="007F29D4"/>
    <w:rsid w:val="007F359B"/>
    <w:rsid w:val="007F6003"/>
    <w:rsid w:val="007F6810"/>
    <w:rsid w:val="007F7B00"/>
    <w:rsid w:val="008066F1"/>
    <w:rsid w:val="008107BC"/>
    <w:rsid w:val="008107C9"/>
    <w:rsid w:val="00810B53"/>
    <w:rsid w:val="00812090"/>
    <w:rsid w:val="008139B0"/>
    <w:rsid w:val="008350F5"/>
    <w:rsid w:val="00835C88"/>
    <w:rsid w:val="008405E2"/>
    <w:rsid w:val="008425E2"/>
    <w:rsid w:val="00843086"/>
    <w:rsid w:val="00844072"/>
    <w:rsid w:val="00844362"/>
    <w:rsid w:val="00844A94"/>
    <w:rsid w:val="00844DBC"/>
    <w:rsid w:val="00847E4A"/>
    <w:rsid w:val="00853482"/>
    <w:rsid w:val="00853C43"/>
    <w:rsid w:val="00854DD0"/>
    <w:rsid w:val="00854E40"/>
    <w:rsid w:val="008558E9"/>
    <w:rsid w:val="008579AB"/>
    <w:rsid w:val="008628B6"/>
    <w:rsid w:val="008649CD"/>
    <w:rsid w:val="00867BC7"/>
    <w:rsid w:val="00874C9C"/>
    <w:rsid w:val="00880193"/>
    <w:rsid w:val="00880D0D"/>
    <w:rsid w:val="0088194E"/>
    <w:rsid w:val="00883D24"/>
    <w:rsid w:val="00884B5D"/>
    <w:rsid w:val="00885FDC"/>
    <w:rsid w:val="00891391"/>
    <w:rsid w:val="008924EB"/>
    <w:rsid w:val="008950CD"/>
    <w:rsid w:val="008A17BF"/>
    <w:rsid w:val="008A308C"/>
    <w:rsid w:val="008A3D57"/>
    <w:rsid w:val="008B061B"/>
    <w:rsid w:val="008B0C71"/>
    <w:rsid w:val="008B2A74"/>
    <w:rsid w:val="008B3285"/>
    <w:rsid w:val="008B41A6"/>
    <w:rsid w:val="008B4F0A"/>
    <w:rsid w:val="008B58BB"/>
    <w:rsid w:val="008C0BA1"/>
    <w:rsid w:val="008D1332"/>
    <w:rsid w:val="008D4710"/>
    <w:rsid w:val="008D6B16"/>
    <w:rsid w:val="008E16C6"/>
    <w:rsid w:val="008E195B"/>
    <w:rsid w:val="008E4330"/>
    <w:rsid w:val="008E44E9"/>
    <w:rsid w:val="008E52AB"/>
    <w:rsid w:val="008E57B6"/>
    <w:rsid w:val="008E61B2"/>
    <w:rsid w:val="008E718F"/>
    <w:rsid w:val="008E742C"/>
    <w:rsid w:val="008F00D0"/>
    <w:rsid w:val="008F36EF"/>
    <w:rsid w:val="008F44F8"/>
    <w:rsid w:val="008F63E9"/>
    <w:rsid w:val="00902E6B"/>
    <w:rsid w:val="00904436"/>
    <w:rsid w:val="00904CD4"/>
    <w:rsid w:val="00913C1B"/>
    <w:rsid w:val="009168C2"/>
    <w:rsid w:val="00917F7A"/>
    <w:rsid w:val="00926ED4"/>
    <w:rsid w:val="00927186"/>
    <w:rsid w:val="00932C9F"/>
    <w:rsid w:val="00937EDD"/>
    <w:rsid w:val="00941A6E"/>
    <w:rsid w:val="009438E7"/>
    <w:rsid w:val="00943A2D"/>
    <w:rsid w:val="0094746A"/>
    <w:rsid w:val="00956102"/>
    <w:rsid w:val="00957B3A"/>
    <w:rsid w:val="00961439"/>
    <w:rsid w:val="009615F7"/>
    <w:rsid w:val="00970C35"/>
    <w:rsid w:val="00973B33"/>
    <w:rsid w:val="00982847"/>
    <w:rsid w:val="009833A7"/>
    <w:rsid w:val="00985E72"/>
    <w:rsid w:val="00987F9D"/>
    <w:rsid w:val="00990E62"/>
    <w:rsid w:val="00996807"/>
    <w:rsid w:val="009A09F3"/>
    <w:rsid w:val="009A10D3"/>
    <w:rsid w:val="009A2F74"/>
    <w:rsid w:val="009A5231"/>
    <w:rsid w:val="009B0DC5"/>
    <w:rsid w:val="009B38A1"/>
    <w:rsid w:val="009B3D46"/>
    <w:rsid w:val="009B5312"/>
    <w:rsid w:val="009C083C"/>
    <w:rsid w:val="009C0C2E"/>
    <w:rsid w:val="009C1868"/>
    <w:rsid w:val="009C25FB"/>
    <w:rsid w:val="009C54C5"/>
    <w:rsid w:val="009C664A"/>
    <w:rsid w:val="009C6F7D"/>
    <w:rsid w:val="009D14DA"/>
    <w:rsid w:val="009D2908"/>
    <w:rsid w:val="009D3E22"/>
    <w:rsid w:val="009E38FC"/>
    <w:rsid w:val="009E737B"/>
    <w:rsid w:val="009E7FAB"/>
    <w:rsid w:val="009F03D0"/>
    <w:rsid w:val="009F7302"/>
    <w:rsid w:val="00A057AD"/>
    <w:rsid w:val="00A067B9"/>
    <w:rsid w:val="00A0698A"/>
    <w:rsid w:val="00A07462"/>
    <w:rsid w:val="00A11CF1"/>
    <w:rsid w:val="00A1308E"/>
    <w:rsid w:val="00A133D8"/>
    <w:rsid w:val="00A13CEC"/>
    <w:rsid w:val="00A23C70"/>
    <w:rsid w:val="00A23E2D"/>
    <w:rsid w:val="00A25FAB"/>
    <w:rsid w:val="00A2618C"/>
    <w:rsid w:val="00A31649"/>
    <w:rsid w:val="00A34A4A"/>
    <w:rsid w:val="00A364D4"/>
    <w:rsid w:val="00A40E9A"/>
    <w:rsid w:val="00A46C5D"/>
    <w:rsid w:val="00A4775F"/>
    <w:rsid w:val="00A50335"/>
    <w:rsid w:val="00A6027B"/>
    <w:rsid w:val="00A6073E"/>
    <w:rsid w:val="00A637EE"/>
    <w:rsid w:val="00A63FA2"/>
    <w:rsid w:val="00A66B3C"/>
    <w:rsid w:val="00A66DD5"/>
    <w:rsid w:val="00A70DC7"/>
    <w:rsid w:val="00A75D96"/>
    <w:rsid w:val="00A8374E"/>
    <w:rsid w:val="00A85934"/>
    <w:rsid w:val="00A861A2"/>
    <w:rsid w:val="00A86C67"/>
    <w:rsid w:val="00A906DA"/>
    <w:rsid w:val="00A90C47"/>
    <w:rsid w:val="00A92FA0"/>
    <w:rsid w:val="00A95B2F"/>
    <w:rsid w:val="00A95CB0"/>
    <w:rsid w:val="00A96590"/>
    <w:rsid w:val="00AA0328"/>
    <w:rsid w:val="00AA301E"/>
    <w:rsid w:val="00AA69D6"/>
    <w:rsid w:val="00AB24A2"/>
    <w:rsid w:val="00AB4398"/>
    <w:rsid w:val="00AB52FE"/>
    <w:rsid w:val="00AB763E"/>
    <w:rsid w:val="00AC2985"/>
    <w:rsid w:val="00AC3A72"/>
    <w:rsid w:val="00AC589E"/>
    <w:rsid w:val="00AD0C68"/>
    <w:rsid w:val="00AD0D60"/>
    <w:rsid w:val="00AD1670"/>
    <w:rsid w:val="00AD2C6E"/>
    <w:rsid w:val="00AD72DD"/>
    <w:rsid w:val="00AE0880"/>
    <w:rsid w:val="00AE0DB1"/>
    <w:rsid w:val="00AF04F6"/>
    <w:rsid w:val="00AF089C"/>
    <w:rsid w:val="00AF6C25"/>
    <w:rsid w:val="00AF6D90"/>
    <w:rsid w:val="00B0168C"/>
    <w:rsid w:val="00B042D2"/>
    <w:rsid w:val="00B04A3E"/>
    <w:rsid w:val="00B07D64"/>
    <w:rsid w:val="00B132E4"/>
    <w:rsid w:val="00B13B0A"/>
    <w:rsid w:val="00B14C6E"/>
    <w:rsid w:val="00B20140"/>
    <w:rsid w:val="00B218FE"/>
    <w:rsid w:val="00B21C59"/>
    <w:rsid w:val="00B25EE6"/>
    <w:rsid w:val="00B26410"/>
    <w:rsid w:val="00B32881"/>
    <w:rsid w:val="00B3296C"/>
    <w:rsid w:val="00B41981"/>
    <w:rsid w:val="00B41A9A"/>
    <w:rsid w:val="00B4372A"/>
    <w:rsid w:val="00B43BAC"/>
    <w:rsid w:val="00B44693"/>
    <w:rsid w:val="00B507F8"/>
    <w:rsid w:val="00B57A9D"/>
    <w:rsid w:val="00B62A41"/>
    <w:rsid w:val="00B728D0"/>
    <w:rsid w:val="00B736FF"/>
    <w:rsid w:val="00B75E79"/>
    <w:rsid w:val="00B75F0E"/>
    <w:rsid w:val="00B77A5D"/>
    <w:rsid w:val="00B81FBD"/>
    <w:rsid w:val="00B83256"/>
    <w:rsid w:val="00B8447B"/>
    <w:rsid w:val="00B85ADE"/>
    <w:rsid w:val="00B86D72"/>
    <w:rsid w:val="00B87690"/>
    <w:rsid w:val="00B9040F"/>
    <w:rsid w:val="00B94B7E"/>
    <w:rsid w:val="00B97EA6"/>
    <w:rsid w:val="00BA1D82"/>
    <w:rsid w:val="00BA203C"/>
    <w:rsid w:val="00BA241E"/>
    <w:rsid w:val="00BA3EEB"/>
    <w:rsid w:val="00BB1012"/>
    <w:rsid w:val="00BB1105"/>
    <w:rsid w:val="00BB21E0"/>
    <w:rsid w:val="00BC078B"/>
    <w:rsid w:val="00BC1A2B"/>
    <w:rsid w:val="00BC2AB5"/>
    <w:rsid w:val="00BC5D73"/>
    <w:rsid w:val="00BD0D96"/>
    <w:rsid w:val="00BD3732"/>
    <w:rsid w:val="00BD492C"/>
    <w:rsid w:val="00BD4A38"/>
    <w:rsid w:val="00BD5ED0"/>
    <w:rsid w:val="00BD73A9"/>
    <w:rsid w:val="00BE62A7"/>
    <w:rsid w:val="00BE62B0"/>
    <w:rsid w:val="00BF0FB2"/>
    <w:rsid w:val="00BF1645"/>
    <w:rsid w:val="00BF1F64"/>
    <w:rsid w:val="00BF26E0"/>
    <w:rsid w:val="00BF2792"/>
    <w:rsid w:val="00BF4097"/>
    <w:rsid w:val="00BF6543"/>
    <w:rsid w:val="00BF7B3D"/>
    <w:rsid w:val="00C05659"/>
    <w:rsid w:val="00C11D94"/>
    <w:rsid w:val="00C1317C"/>
    <w:rsid w:val="00C139AD"/>
    <w:rsid w:val="00C177F2"/>
    <w:rsid w:val="00C231D2"/>
    <w:rsid w:val="00C2782C"/>
    <w:rsid w:val="00C33CF5"/>
    <w:rsid w:val="00C52C93"/>
    <w:rsid w:val="00C60158"/>
    <w:rsid w:val="00C72ECE"/>
    <w:rsid w:val="00C7518B"/>
    <w:rsid w:val="00C76611"/>
    <w:rsid w:val="00C84880"/>
    <w:rsid w:val="00C84B68"/>
    <w:rsid w:val="00C85FDF"/>
    <w:rsid w:val="00C86EDD"/>
    <w:rsid w:val="00C91551"/>
    <w:rsid w:val="00C9344C"/>
    <w:rsid w:val="00CA1E39"/>
    <w:rsid w:val="00CA2AB5"/>
    <w:rsid w:val="00CA4984"/>
    <w:rsid w:val="00CA5C70"/>
    <w:rsid w:val="00CB169A"/>
    <w:rsid w:val="00CB2203"/>
    <w:rsid w:val="00CB6556"/>
    <w:rsid w:val="00CC6B2E"/>
    <w:rsid w:val="00CD057C"/>
    <w:rsid w:val="00CD34AB"/>
    <w:rsid w:val="00CD4DD7"/>
    <w:rsid w:val="00CE2BC2"/>
    <w:rsid w:val="00CE3012"/>
    <w:rsid w:val="00CE7A9A"/>
    <w:rsid w:val="00CE7B00"/>
    <w:rsid w:val="00CF0C8F"/>
    <w:rsid w:val="00CF7AE8"/>
    <w:rsid w:val="00D0571B"/>
    <w:rsid w:val="00D139DF"/>
    <w:rsid w:val="00D2717E"/>
    <w:rsid w:val="00D30A88"/>
    <w:rsid w:val="00D30DFF"/>
    <w:rsid w:val="00D320E7"/>
    <w:rsid w:val="00D33903"/>
    <w:rsid w:val="00D37CB7"/>
    <w:rsid w:val="00D40A5E"/>
    <w:rsid w:val="00D45A27"/>
    <w:rsid w:val="00D46E62"/>
    <w:rsid w:val="00D50838"/>
    <w:rsid w:val="00D52541"/>
    <w:rsid w:val="00D57111"/>
    <w:rsid w:val="00D62CB6"/>
    <w:rsid w:val="00D701F2"/>
    <w:rsid w:val="00D706D9"/>
    <w:rsid w:val="00D745B1"/>
    <w:rsid w:val="00D808B0"/>
    <w:rsid w:val="00D814B6"/>
    <w:rsid w:val="00D828A6"/>
    <w:rsid w:val="00D8399F"/>
    <w:rsid w:val="00D84622"/>
    <w:rsid w:val="00D84940"/>
    <w:rsid w:val="00D862F8"/>
    <w:rsid w:val="00D87CFA"/>
    <w:rsid w:val="00D9132D"/>
    <w:rsid w:val="00D937D4"/>
    <w:rsid w:val="00DA15E1"/>
    <w:rsid w:val="00DA3ACB"/>
    <w:rsid w:val="00DA502E"/>
    <w:rsid w:val="00DA5E27"/>
    <w:rsid w:val="00DA773E"/>
    <w:rsid w:val="00DA7E5B"/>
    <w:rsid w:val="00DB0309"/>
    <w:rsid w:val="00DB11D7"/>
    <w:rsid w:val="00DB25FB"/>
    <w:rsid w:val="00DB3AA9"/>
    <w:rsid w:val="00DB6E4E"/>
    <w:rsid w:val="00DC2454"/>
    <w:rsid w:val="00DD2931"/>
    <w:rsid w:val="00DD2DB5"/>
    <w:rsid w:val="00DD2E0C"/>
    <w:rsid w:val="00DD3DB6"/>
    <w:rsid w:val="00DD45EA"/>
    <w:rsid w:val="00DD7E84"/>
    <w:rsid w:val="00DE3D22"/>
    <w:rsid w:val="00DE654E"/>
    <w:rsid w:val="00DE72B9"/>
    <w:rsid w:val="00DF4D1F"/>
    <w:rsid w:val="00DF4ECA"/>
    <w:rsid w:val="00DF5183"/>
    <w:rsid w:val="00DF760A"/>
    <w:rsid w:val="00E0092C"/>
    <w:rsid w:val="00E00D31"/>
    <w:rsid w:val="00E0775D"/>
    <w:rsid w:val="00E07A63"/>
    <w:rsid w:val="00E20047"/>
    <w:rsid w:val="00E201D0"/>
    <w:rsid w:val="00E20288"/>
    <w:rsid w:val="00E23760"/>
    <w:rsid w:val="00E31251"/>
    <w:rsid w:val="00E444B2"/>
    <w:rsid w:val="00E50267"/>
    <w:rsid w:val="00E55C03"/>
    <w:rsid w:val="00E55C56"/>
    <w:rsid w:val="00E6203A"/>
    <w:rsid w:val="00E678F0"/>
    <w:rsid w:val="00E706B1"/>
    <w:rsid w:val="00E727ED"/>
    <w:rsid w:val="00E74FAF"/>
    <w:rsid w:val="00E753DE"/>
    <w:rsid w:val="00E757DE"/>
    <w:rsid w:val="00E766E5"/>
    <w:rsid w:val="00E76DF9"/>
    <w:rsid w:val="00E83B51"/>
    <w:rsid w:val="00E91BC8"/>
    <w:rsid w:val="00E93B7A"/>
    <w:rsid w:val="00E97B88"/>
    <w:rsid w:val="00EA249D"/>
    <w:rsid w:val="00EA6B31"/>
    <w:rsid w:val="00EB1199"/>
    <w:rsid w:val="00EB2758"/>
    <w:rsid w:val="00EB3FB9"/>
    <w:rsid w:val="00EB5FE9"/>
    <w:rsid w:val="00EB6AAA"/>
    <w:rsid w:val="00EC0694"/>
    <w:rsid w:val="00EC0C11"/>
    <w:rsid w:val="00EC5723"/>
    <w:rsid w:val="00ED17B0"/>
    <w:rsid w:val="00ED3944"/>
    <w:rsid w:val="00ED5E73"/>
    <w:rsid w:val="00EE1E07"/>
    <w:rsid w:val="00EE5B35"/>
    <w:rsid w:val="00EE7FAE"/>
    <w:rsid w:val="00EF0968"/>
    <w:rsid w:val="00EF2F76"/>
    <w:rsid w:val="00EF416D"/>
    <w:rsid w:val="00EF7C58"/>
    <w:rsid w:val="00F00AF8"/>
    <w:rsid w:val="00F11FC6"/>
    <w:rsid w:val="00F13C21"/>
    <w:rsid w:val="00F15584"/>
    <w:rsid w:val="00F22AF7"/>
    <w:rsid w:val="00F22CC5"/>
    <w:rsid w:val="00F2303A"/>
    <w:rsid w:val="00F23660"/>
    <w:rsid w:val="00F236A2"/>
    <w:rsid w:val="00F27EC3"/>
    <w:rsid w:val="00F301A1"/>
    <w:rsid w:val="00F35D52"/>
    <w:rsid w:val="00F45042"/>
    <w:rsid w:val="00F46A70"/>
    <w:rsid w:val="00F51C97"/>
    <w:rsid w:val="00F55724"/>
    <w:rsid w:val="00F57689"/>
    <w:rsid w:val="00F608BD"/>
    <w:rsid w:val="00F64A4E"/>
    <w:rsid w:val="00F64E40"/>
    <w:rsid w:val="00F72C96"/>
    <w:rsid w:val="00F759AD"/>
    <w:rsid w:val="00F77591"/>
    <w:rsid w:val="00F81C2D"/>
    <w:rsid w:val="00F94850"/>
    <w:rsid w:val="00F97E28"/>
    <w:rsid w:val="00FA5013"/>
    <w:rsid w:val="00FB196C"/>
    <w:rsid w:val="00FB1DFB"/>
    <w:rsid w:val="00FB2D61"/>
    <w:rsid w:val="00FB2FDD"/>
    <w:rsid w:val="00FB75CE"/>
    <w:rsid w:val="00FC7D84"/>
    <w:rsid w:val="00FD326B"/>
    <w:rsid w:val="00FD5081"/>
    <w:rsid w:val="00FD50D4"/>
    <w:rsid w:val="00FD6094"/>
    <w:rsid w:val="00FE74BB"/>
    <w:rsid w:val="00FF11EC"/>
    <w:rsid w:val="00FF7756"/>
    <w:rsid w:val="0146532B"/>
    <w:rsid w:val="035D4211"/>
    <w:rsid w:val="037D5EE3"/>
    <w:rsid w:val="04095165"/>
    <w:rsid w:val="044B475D"/>
    <w:rsid w:val="04CF6E29"/>
    <w:rsid w:val="04D1302B"/>
    <w:rsid w:val="059366CF"/>
    <w:rsid w:val="05D00163"/>
    <w:rsid w:val="05EA4B8A"/>
    <w:rsid w:val="07347967"/>
    <w:rsid w:val="0750513A"/>
    <w:rsid w:val="077C34B8"/>
    <w:rsid w:val="07A209C4"/>
    <w:rsid w:val="080D26DA"/>
    <w:rsid w:val="08284245"/>
    <w:rsid w:val="086F1260"/>
    <w:rsid w:val="0880226D"/>
    <w:rsid w:val="089F2BDE"/>
    <w:rsid w:val="08BB2505"/>
    <w:rsid w:val="099A07E1"/>
    <w:rsid w:val="09DC67EC"/>
    <w:rsid w:val="0A9B4FED"/>
    <w:rsid w:val="0AB811A5"/>
    <w:rsid w:val="0B065D12"/>
    <w:rsid w:val="0B0C0A79"/>
    <w:rsid w:val="0B451F6A"/>
    <w:rsid w:val="0BE20748"/>
    <w:rsid w:val="0C105A62"/>
    <w:rsid w:val="0C227AFE"/>
    <w:rsid w:val="0C6F4C8D"/>
    <w:rsid w:val="0D0E0EB6"/>
    <w:rsid w:val="0DE142CB"/>
    <w:rsid w:val="0E9250A4"/>
    <w:rsid w:val="0F5573E3"/>
    <w:rsid w:val="0FDC1CDC"/>
    <w:rsid w:val="10223C48"/>
    <w:rsid w:val="102C312D"/>
    <w:rsid w:val="109127D2"/>
    <w:rsid w:val="11595062"/>
    <w:rsid w:val="119047AE"/>
    <w:rsid w:val="12475EA9"/>
    <w:rsid w:val="12BF6559"/>
    <w:rsid w:val="133360BD"/>
    <w:rsid w:val="146E4633"/>
    <w:rsid w:val="150412EA"/>
    <w:rsid w:val="1650078C"/>
    <w:rsid w:val="16CE6C39"/>
    <w:rsid w:val="171438BA"/>
    <w:rsid w:val="17230955"/>
    <w:rsid w:val="182770BA"/>
    <w:rsid w:val="186A34DB"/>
    <w:rsid w:val="18863017"/>
    <w:rsid w:val="18AC6D73"/>
    <w:rsid w:val="18D47700"/>
    <w:rsid w:val="195003FB"/>
    <w:rsid w:val="19D20403"/>
    <w:rsid w:val="1AA94BBC"/>
    <w:rsid w:val="1B4716B4"/>
    <w:rsid w:val="1C08419D"/>
    <w:rsid w:val="1D4D5FFD"/>
    <w:rsid w:val="1D7768AC"/>
    <w:rsid w:val="1F7A0970"/>
    <w:rsid w:val="1FD662B5"/>
    <w:rsid w:val="1FFE7D46"/>
    <w:rsid w:val="209E2C67"/>
    <w:rsid w:val="20EA0C61"/>
    <w:rsid w:val="216F32CA"/>
    <w:rsid w:val="22124112"/>
    <w:rsid w:val="228A195F"/>
    <w:rsid w:val="23635624"/>
    <w:rsid w:val="23F57352"/>
    <w:rsid w:val="24635B67"/>
    <w:rsid w:val="249A7996"/>
    <w:rsid w:val="24A53373"/>
    <w:rsid w:val="267E2359"/>
    <w:rsid w:val="26BC7CBC"/>
    <w:rsid w:val="27447ED5"/>
    <w:rsid w:val="275F3A77"/>
    <w:rsid w:val="284F0253"/>
    <w:rsid w:val="28622846"/>
    <w:rsid w:val="28644870"/>
    <w:rsid w:val="2A2B6113"/>
    <w:rsid w:val="2AE949DF"/>
    <w:rsid w:val="2B3B474B"/>
    <w:rsid w:val="2B8D044E"/>
    <w:rsid w:val="2BC27B4B"/>
    <w:rsid w:val="2C016BB8"/>
    <w:rsid w:val="2D77461B"/>
    <w:rsid w:val="2E400C5F"/>
    <w:rsid w:val="2E5209E3"/>
    <w:rsid w:val="2EB01AFE"/>
    <w:rsid w:val="2EDB0B2A"/>
    <w:rsid w:val="30051395"/>
    <w:rsid w:val="30592C7B"/>
    <w:rsid w:val="308C2216"/>
    <w:rsid w:val="30D1119A"/>
    <w:rsid w:val="30F12F4C"/>
    <w:rsid w:val="3112402E"/>
    <w:rsid w:val="313D3E38"/>
    <w:rsid w:val="32611BF0"/>
    <w:rsid w:val="33A83294"/>
    <w:rsid w:val="34011E26"/>
    <w:rsid w:val="34093425"/>
    <w:rsid w:val="341B4D23"/>
    <w:rsid w:val="34270BD4"/>
    <w:rsid w:val="34EF2185"/>
    <w:rsid w:val="36A81FB2"/>
    <w:rsid w:val="36FE7B72"/>
    <w:rsid w:val="3722158D"/>
    <w:rsid w:val="375E09FC"/>
    <w:rsid w:val="38525FA9"/>
    <w:rsid w:val="39003F1D"/>
    <w:rsid w:val="39276876"/>
    <w:rsid w:val="392B2930"/>
    <w:rsid w:val="3A4B3EF5"/>
    <w:rsid w:val="3AC853CC"/>
    <w:rsid w:val="3C582CD8"/>
    <w:rsid w:val="3DE418E4"/>
    <w:rsid w:val="3E094E14"/>
    <w:rsid w:val="3E2546CD"/>
    <w:rsid w:val="40531C58"/>
    <w:rsid w:val="41192D98"/>
    <w:rsid w:val="413E5CD9"/>
    <w:rsid w:val="41652D3C"/>
    <w:rsid w:val="42794220"/>
    <w:rsid w:val="43425F9D"/>
    <w:rsid w:val="43F465D0"/>
    <w:rsid w:val="44111B03"/>
    <w:rsid w:val="441F38FA"/>
    <w:rsid w:val="442A053D"/>
    <w:rsid w:val="44440739"/>
    <w:rsid w:val="446F65B8"/>
    <w:rsid w:val="448B2315"/>
    <w:rsid w:val="44F057A6"/>
    <w:rsid w:val="45A95346"/>
    <w:rsid w:val="46416F41"/>
    <w:rsid w:val="46C4203A"/>
    <w:rsid w:val="470075B7"/>
    <w:rsid w:val="470E29AE"/>
    <w:rsid w:val="47262F6D"/>
    <w:rsid w:val="48D75DF8"/>
    <w:rsid w:val="49CB0CCD"/>
    <w:rsid w:val="4A0040BB"/>
    <w:rsid w:val="4A0A01E4"/>
    <w:rsid w:val="4A621AB3"/>
    <w:rsid w:val="4AA610D6"/>
    <w:rsid w:val="4B0C055A"/>
    <w:rsid w:val="4C8B4A7C"/>
    <w:rsid w:val="4CB30340"/>
    <w:rsid w:val="4CFC368B"/>
    <w:rsid w:val="4E7D412D"/>
    <w:rsid w:val="4F086AAF"/>
    <w:rsid w:val="4F80186F"/>
    <w:rsid w:val="4FC450D1"/>
    <w:rsid w:val="5069668A"/>
    <w:rsid w:val="50740D82"/>
    <w:rsid w:val="50A83CB2"/>
    <w:rsid w:val="512B42F2"/>
    <w:rsid w:val="52A7052B"/>
    <w:rsid w:val="538E5DEC"/>
    <w:rsid w:val="540B1521"/>
    <w:rsid w:val="56890E23"/>
    <w:rsid w:val="56D076DF"/>
    <w:rsid w:val="56E34736"/>
    <w:rsid w:val="56FB15A3"/>
    <w:rsid w:val="572C3C94"/>
    <w:rsid w:val="57806BBC"/>
    <w:rsid w:val="58880919"/>
    <w:rsid w:val="58963DA7"/>
    <w:rsid w:val="58A67A6A"/>
    <w:rsid w:val="592C3305"/>
    <w:rsid w:val="59903633"/>
    <w:rsid w:val="59943D66"/>
    <w:rsid w:val="5A2C7551"/>
    <w:rsid w:val="5A400720"/>
    <w:rsid w:val="5A492DA3"/>
    <w:rsid w:val="5AD15987"/>
    <w:rsid w:val="5BBE79C0"/>
    <w:rsid w:val="5CF4139A"/>
    <w:rsid w:val="5CF57595"/>
    <w:rsid w:val="5D612E2B"/>
    <w:rsid w:val="5D693C9C"/>
    <w:rsid w:val="5DE973D6"/>
    <w:rsid w:val="5DF17A7D"/>
    <w:rsid w:val="5E8D2D21"/>
    <w:rsid w:val="5EBD1212"/>
    <w:rsid w:val="61475B62"/>
    <w:rsid w:val="623F329A"/>
    <w:rsid w:val="62695E27"/>
    <w:rsid w:val="627127A0"/>
    <w:rsid w:val="628242DE"/>
    <w:rsid w:val="62F82DED"/>
    <w:rsid w:val="63046F1D"/>
    <w:rsid w:val="636127C3"/>
    <w:rsid w:val="636424EE"/>
    <w:rsid w:val="6541100E"/>
    <w:rsid w:val="654C0BA8"/>
    <w:rsid w:val="65530F79"/>
    <w:rsid w:val="664352EB"/>
    <w:rsid w:val="66A44D24"/>
    <w:rsid w:val="672079BD"/>
    <w:rsid w:val="675C4840"/>
    <w:rsid w:val="67CB129B"/>
    <w:rsid w:val="683E7EE4"/>
    <w:rsid w:val="696610E4"/>
    <w:rsid w:val="6A83721D"/>
    <w:rsid w:val="6AE21101"/>
    <w:rsid w:val="6B4F3B9E"/>
    <w:rsid w:val="6BD63153"/>
    <w:rsid w:val="6C5B55DC"/>
    <w:rsid w:val="6CAE03DD"/>
    <w:rsid w:val="6CE56E6B"/>
    <w:rsid w:val="6D0112BB"/>
    <w:rsid w:val="6D032DAA"/>
    <w:rsid w:val="6E005A26"/>
    <w:rsid w:val="6E6329C5"/>
    <w:rsid w:val="6EFF345A"/>
    <w:rsid w:val="6F0E41D6"/>
    <w:rsid w:val="6F1237AA"/>
    <w:rsid w:val="6F3B6D06"/>
    <w:rsid w:val="6F797984"/>
    <w:rsid w:val="6FB4540B"/>
    <w:rsid w:val="70733AE4"/>
    <w:rsid w:val="70C73255"/>
    <w:rsid w:val="71610FBE"/>
    <w:rsid w:val="725008FF"/>
    <w:rsid w:val="72760778"/>
    <w:rsid w:val="735B4A8E"/>
    <w:rsid w:val="743104E3"/>
    <w:rsid w:val="74320C3C"/>
    <w:rsid w:val="74513162"/>
    <w:rsid w:val="74ED70F5"/>
    <w:rsid w:val="75431AF8"/>
    <w:rsid w:val="757B75BC"/>
    <w:rsid w:val="767F6131"/>
    <w:rsid w:val="76896296"/>
    <w:rsid w:val="76A665D3"/>
    <w:rsid w:val="77037579"/>
    <w:rsid w:val="77DA1086"/>
    <w:rsid w:val="77F723D5"/>
    <w:rsid w:val="78BD1F9D"/>
    <w:rsid w:val="790136DD"/>
    <w:rsid w:val="79201CE1"/>
    <w:rsid w:val="79A22C40"/>
    <w:rsid w:val="79B14724"/>
    <w:rsid w:val="7AA50879"/>
    <w:rsid w:val="7B3E0A41"/>
    <w:rsid w:val="7B4641EB"/>
    <w:rsid w:val="7BD34FC0"/>
    <w:rsid w:val="7C081E54"/>
    <w:rsid w:val="7C323980"/>
    <w:rsid w:val="7CDB3559"/>
    <w:rsid w:val="7D1977FC"/>
    <w:rsid w:val="7E400B6D"/>
    <w:rsid w:val="7E4A7648"/>
    <w:rsid w:val="7EC660ED"/>
    <w:rsid w:val="7F160BF6"/>
    <w:rsid w:val="BE7F5F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9"/>
    <w:qFormat/>
    <w:uiPriority w:val="9"/>
    <w:pPr>
      <w:keepNext/>
      <w:numPr>
        <w:ilvl w:val="1"/>
        <w:numId w:val="1"/>
      </w:numPr>
      <w:outlineLvl w:val="0"/>
    </w:pPr>
    <w:rPr>
      <w:sz w:val="32"/>
      <w:szCs w:val="24"/>
    </w:rPr>
  </w:style>
  <w:style w:type="paragraph" w:styleId="4">
    <w:name w:val="heading 3"/>
    <w:basedOn w:val="1"/>
    <w:next w:val="1"/>
    <w:link w:val="56"/>
    <w:qFormat/>
    <w:uiPriority w:val="0"/>
    <w:pPr>
      <w:keepNext/>
      <w:keepLines/>
      <w:widowControl/>
      <w:spacing w:before="260" w:after="260" w:line="413" w:lineRule="auto"/>
      <w:outlineLvl w:val="2"/>
    </w:pPr>
    <w:rPr>
      <w:rFonts w:ascii="Calibri" w:hAnsi="Calibri" w:cs="宋体"/>
      <w:b/>
      <w:sz w:val="32"/>
      <w:szCs w:val="2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文本"/>
    <w:basedOn w:val="1"/>
    <w:next w:val="1"/>
    <w:qFormat/>
    <w:uiPriority w:val="0"/>
    <w:pPr>
      <w:spacing w:line="360" w:lineRule="auto"/>
      <w:ind w:firstLine="200" w:firstLineChars="200"/>
      <w:jc w:val="left"/>
    </w:pPr>
    <w:rPr>
      <w:rFonts w:ascii="宋体"/>
      <w:spacing w:val="4"/>
      <w:sz w:val="24"/>
    </w:rPr>
  </w:style>
  <w:style w:type="paragraph" w:styleId="5">
    <w:name w:val="Document Map"/>
    <w:basedOn w:val="1"/>
    <w:link w:val="62"/>
    <w:qFormat/>
    <w:uiPriority w:val="99"/>
    <w:rPr>
      <w:rFonts w:ascii="宋体"/>
      <w:sz w:val="18"/>
      <w:szCs w:val="18"/>
    </w:rPr>
  </w:style>
  <w:style w:type="paragraph" w:styleId="6">
    <w:name w:val="annotation text"/>
    <w:basedOn w:val="1"/>
    <w:link w:val="63"/>
    <w:qFormat/>
    <w:uiPriority w:val="99"/>
    <w:pPr>
      <w:jc w:val="left"/>
    </w:pPr>
    <w:rPr>
      <w:rFonts w:ascii="Calibri" w:hAnsi="Calibri"/>
      <w:szCs w:val="24"/>
    </w:rPr>
  </w:style>
  <w:style w:type="paragraph" w:styleId="7">
    <w:name w:val="Body Text"/>
    <w:basedOn w:val="1"/>
    <w:link w:val="57"/>
    <w:qFormat/>
    <w:uiPriority w:val="99"/>
    <w:pPr>
      <w:spacing w:after="120"/>
    </w:pPr>
  </w:style>
  <w:style w:type="paragraph" w:styleId="8">
    <w:name w:val="Plain Text"/>
    <w:basedOn w:val="1"/>
    <w:link w:val="64"/>
    <w:unhideWhenUsed/>
    <w:qFormat/>
    <w:uiPriority w:val="99"/>
    <w:rPr>
      <w:rFonts w:ascii="宋体" w:hAnsi="Courier New" w:cs="Courier New"/>
      <w:szCs w:val="21"/>
    </w:rPr>
  </w:style>
  <w:style w:type="paragraph" w:styleId="9">
    <w:name w:val="Date"/>
    <w:basedOn w:val="1"/>
    <w:next w:val="1"/>
    <w:link w:val="48"/>
    <w:semiHidden/>
    <w:unhideWhenUsed/>
    <w:qFormat/>
    <w:uiPriority w:val="99"/>
    <w:pPr>
      <w:ind w:left="100" w:leftChars="2500"/>
    </w:pPr>
  </w:style>
  <w:style w:type="paragraph" w:styleId="10">
    <w:name w:val="Balloon Text"/>
    <w:basedOn w:val="1"/>
    <w:link w:val="61"/>
    <w:qFormat/>
    <w:uiPriority w:val="99"/>
    <w:rPr>
      <w:sz w:val="18"/>
      <w:szCs w:val="18"/>
    </w:rPr>
  </w:style>
  <w:style w:type="paragraph" w:styleId="11">
    <w:name w:val="footer"/>
    <w:basedOn w:val="1"/>
    <w:link w:val="60"/>
    <w:qFormat/>
    <w:uiPriority w:val="99"/>
    <w:pPr>
      <w:tabs>
        <w:tab w:val="center" w:pos="4153"/>
        <w:tab w:val="right" w:pos="8306"/>
      </w:tabs>
      <w:snapToGrid w:val="0"/>
      <w:jc w:val="left"/>
    </w:pPr>
    <w:rPr>
      <w:sz w:val="18"/>
      <w:szCs w:val="18"/>
    </w:rPr>
  </w:style>
  <w:style w:type="paragraph" w:styleId="12">
    <w:name w:val="header"/>
    <w:basedOn w:val="1"/>
    <w:link w:val="59"/>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pPr>
      <w:spacing w:beforeAutospacing="1" w:afterAutospacing="1"/>
      <w:jc w:val="left"/>
    </w:pPr>
    <w:rPr>
      <w:rFonts w:asciiTheme="minorHAnsi" w:hAnsiTheme="minorHAnsi" w:eastAsiaTheme="minorEastAsia"/>
      <w:kern w:val="0"/>
      <w:sz w:val="24"/>
      <w:szCs w:val="24"/>
    </w:rPr>
  </w:style>
  <w:style w:type="paragraph" w:styleId="14">
    <w:name w:val="annotation subject"/>
    <w:basedOn w:val="6"/>
    <w:next w:val="6"/>
    <w:link w:val="67"/>
    <w:semiHidden/>
    <w:unhideWhenUsed/>
    <w:qFormat/>
    <w:uiPriority w:val="99"/>
    <w:rPr>
      <w:b/>
      <w:bCs/>
    </w:rPr>
  </w:style>
  <w:style w:type="paragraph" w:styleId="15">
    <w:name w:val="Body Text First Indent"/>
    <w:basedOn w:val="7"/>
    <w:link w:val="58"/>
    <w:qFormat/>
    <w:uiPriority w:val="0"/>
    <w:pPr>
      <w:widowControl/>
      <w:ind w:firstLine="420" w:firstLineChars="100"/>
    </w:pPr>
    <w:rPr>
      <w:rFonts w:ascii="Calibri" w:hAnsi="Calibri" w:cs="宋体"/>
      <w:szCs w:val="22"/>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semiHidden/>
    <w:unhideWhenUsed/>
    <w:qFormat/>
    <w:uiPriority w:val="99"/>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styleId="21">
    <w:name w:val="annotation reference"/>
    <w:basedOn w:val="18"/>
    <w:qFormat/>
    <w:uiPriority w:val="99"/>
    <w:rPr>
      <w:sz w:val="21"/>
      <w:szCs w:val="21"/>
    </w:rPr>
  </w:style>
  <w:style w:type="character" w:customStyle="1" w:styleId="22">
    <w:name w:val="正文缩进2格 Char"/>
    <w:link w:val="23"/>
    <w:qFormat/>
    <w:uiPriority w:val="0"/>
    <w:rPr>
      <w:rFonts w:ascii="仿宋_GB2312" w:hAnsi="宋体" w:eastAsia="仿宋_GB2312" w:cs="仿宋_GB2312"/>
      <w:sz w:val="31"/>
      <w:szCs w:val="31"/>
    </w:rPr>
  </w:style>
  <w:style w:type="paragraph" w:customStyle="1" w:styleId="23">
    <w:name w:val="正文缩进2格"/>
    <w:basedOn w:val="1"/>
    <w:link w:val="22"/>
    <w:qFormat/>
    <w:uiPriority w:val="0"/>
    <w:pPr>
      <w:spacing w:line="600" w:lineRule="exact"/>
      <w:ind w:firstLine="639" w:firstLineChars="206"/>
    </w:pPr>
    <w:rPr>
      <w:rFonts w:ascii="仿宋_GB2312" w:hAnsi="宋体" w:eastAsia="仿宋_GB2312" w:cs="仿宋_GB2312"/>
      <w:sz w:val="31"/>
      <w:szCs w:val="31"/>
    </w:rPr>
  </w:style>
  <w:style w:type="character" w:customStyle="1" w:styleId="24">
    <w:name w:val="标题 3 字符"/>
    <w:basedOn w:val="18"/>
    <w:qFormat/>
    <w:uiPriority w:val="0"/>
    <w:rPr>
      <w:rFonts w:eastAsia="宋体"/>
      <w:b/>
      <w:sz w:val="32"/>
    </w:rPr>
  </w:style>
  <w:style w:type="character" w:customStyle="1" w:styleId="25">
    <w:name w:val="正文文本 字符"/>
    <w:basedOn w:val="18"/>
    <w:qFormat/>
    <w:uiPriority w:val="99"/>
    <w:rPr>
      <w:rFonts w:ascii="Times New Roman" w:hAnsi="Times New Roman" w:eastAsia="宋体" w:cs="Times New Roman"/>
      <w:szCs w:val="20"/>
    </w:rPr>
  </w:style>
  <w:style w:type="character" w:customStyle="1" w:styleId="26">
    <w:name w:val="正文文本首行缩进 字符"/>
    <w:basedOn w:val="25"/>
    <w:qFormat/>
    <w:uiPriority w:val="0"/>
    <w:rPr>
      <w:rFonts w:ascii="Times New Roman" w:hAnsi="Times New Roman" w:eastAsia="宋体" w:cs="Times New Roman"/>
      <w:szCs w:val="20"/>
    </w:rPr>
  </w:style>
  <w:style w:type="character" w:customStyle="1" w:styleId="27">
    <w:name w:val="页眉 字符"/>
    <w:basedOn w:val="18"/>
    <w:qFormat/>
    <w:uiPriority w:val="99"/>
    <w:rPr>
      <w:rFonts w:ascii="Times New Roman" w:hAnsi="Times New Roman" w:eastAsia="宋体" w:cs="Times New Roman"/>
      <w:sz w:val="18"/>
      <w:szCs w:val="18"/>
    </w:rPr>
  </w:style>
  <w:style w:type="character" w:customStyle="1" w:styleId="28">
    <w:name w:val="页脚 字符"/>
    <w:basedOn w:val="18"/>
    <w:qFormat/>
    <w:uiPriority w:val="99"/>
    <w:rPr>
      <w:rFonts w:ascii="Times New Roman" w:hAnsi="Times New Roman" w:eastAsia="宋体" w:cs="Times New Roman"/>
      <w:sz w:val="18"/>
      <w:szCs w:val="18"/>
    </w:rPr>
  </w:style>
  <w:style w:type="character" w:customStyle="1" w:styleId="29">
    <w:name w:val="批注框文本 字符"/>
    <w:basedOn w:val="18"/>
    <w:qFormat/>
    <w:uiPriority w:val="99"/>
    <w:rPr>
      <w:rFonts w:ascii="Times New Roman" w:hAnsi="Times New Roman" w:eastAsia="宋体" w:cs="Times New Roman"/>
      <w:kern w:val="2"/>
      <w:sz w:val="18"/>
      <w:szCs w:val="18"/>
    </w:rPr>
  </w:style>
  <w:style w:type="paragraph" w:customStyle="1" w:styleId="30">
    <w:name w:val="列出段落1"/>
    <w:basedOn w:val="1"/>
    <w:qFormat/>
    <w:uiPriority w:val="0"/>
    <w:pPr>
      <w:ind w:firstLine="420" w:firstLineChars="200"/>
    </w:pPr>
  </w:style>
  <w:style w:type="character" w:customStyle="1" w:styleId="31">
    <w:name w:val="文档结构图 字符"/>
    <w:basedOn w:val="18"/>
    <w:qFormat/>
    <w:uiPriority w:val="99"/>
    <w:rPr>
      <w:rFonts w:ascii="宋体" w:hAnsi="Times New Roman" w:eastAsia="宋体" w:cs="Times New Roman"/>
      <w:kern w:val="2"/>
      <w:sz w:val="18"/>
      <w:szCs w:val="18"/>
    </w:rPr>
  </w:style>
  <w:style w:type="paragraph" w:customStyle="1" w:styleId="32">
    <w:name w:val="列出段落2"/>
    <w:basedOn w:val="1"/>
    <w:qFormat/>
    <w:uiPriority w:val="99"/>
    <w:pPr>
      <w:ind w:firstLine="420" w:firstLineChars="200"/>
    </w:pPr>
  </w:style>
  <w:style w:type="paragraph" w:customStyle="1" w:styleId="33">
    <w:name w:val="列表段落1"/>
    <w:basedOn w:val="1"/>
    <w:qFormat/>
    <w:uiPriority w:val="34"/>
    <w:pPr>
      <w:ind w:firstLine="420" w:firstLineChars="200"/>
    </w:pPr>
  </w:style>
  <w:style w:type="character" w:customStyle="1" w:styleId="34">
    <w:name w:val="批注文字 字符"/>
    <w:basedOn w:val="18"/>
    <w:qFormat/>
    <w:uiPriority w:val="99"/>
    <w:rPr>
      <w:rFonts w:ascii="Times New Roman" w:hAnsi="Times New Roman" w:cs="Times New Roman"/>
      <w:kern w:val="2"/>
      <w:sz w:val="21"/>
    </w:rPr>
  </w:style>
  <w:style w:type="character" w:customStyle="1" w:styleId="35">
    <w:name w:val="fontstyle01"/>
    <w:basedOn w:val="18"/>
    <w:qFormat/>
    <w:uiPriority w:val="0"/>
    <w:rPr>
      <w:rFonts w:hint="eastAsia" w:ascii="仿宋" w:hAnsi="仿宋" w:eastAsia="仿宋"/>
      <w:color w:val="000000"/>
      <w:sz w:val="28"/>
      <w:szCs w:val="28"/>
    </w:rPr>
  </w:style>
  <w:style w:type="paragraph" w:customStyle="1" w:styleId="36">
    <w:name w:val="修订1"/>
    <w:hidden/>
    <w:semiHidden/>
    <w:qFormat/>
    <w:uiPriority w:val="99"/>
    <w:rPr>
      <w:rFonts w:ascii="Times New Roman" w:hAnsi="Times New Roman" w:eastAsia="宋体" w:cs="Times New Roman"/>
      <w:kern w:val="2"/>
      <w:sz w:val="21"/>
      <w:lang w:val="en-US" w:eastAsia="zh-CN" w:bidi="ar-SA"/>
    </w:rPr>
  </w:style>
  <w:style w:type="character" w:customStyle="1" w:styleId="37">
    <w:name w:val="批注主题 字符"/>
    <w:basedOn w:val="34"/>
    <w:semiHidden/>
    <w:qFormat/>
    <w:uiPriority w:val="99"/>
    <w:rPr>
      <w:rFonts w:ascii="Times New Roman" w:hAnsi="Times New Roman" w:eastAsia="宋体" w:cs="Times New Roman"/>
      <w:b/>
      <w:bCs/>
      <w:kern w:val="2"/>
      <w:sz w:val="21"/>
    </w:rPr>
  </w:style>
  <w:style w:type="paragraph" w:styleId="38">
    <w:name w:val="List Paragraph"/>
    <w:basedOn w:val="1"/>
    <w:qFormat/>
    <w:uiPriority w:val="34"/>
    <w:pPr>
      <w:ind w:firstLine="420" w:firstLineChars="200"/>
    </w:pPr>
  </w:style>
  <w:style w:type="table" w:customStyle="1" w:styleId="39">
    <w:name w:val="网格表 6 彩色 - 着色 61"/>
    <w:basedOn w:val="16"/>
    <w:qFormat/>
    <w:uiPriority w:val="51"/>
    <w:rPr>
      <w:color w:val="E46C0A" w:themeColor="accent6" w:themeShade="BF"/>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CellMar>
        <w:top w:w="0" w:type="dxa"/>
        <w:left w:w="108" w:type="dxa"/>
        <w:bottom w:w="0" w:type="dxa"/>
        <w:right w:w="108" w:type="dxa"/>
      </w:tblCellMar>
    </w:tblPr>
    <w:tblStylePr w:type="firstRow">
      <w:rPr>
        <w:b/>
        <w:bCs/>
      </w:rPr>
      <w:tcPr>
        <w:tcBorders>
          <w:bottom w:val="single" w:color="FABF8F" w:themeColor="accent6" w:themeTint="99" w:sz="12" w:space="0"/>
        </w:tcBorders>
      </w:tcPr>
    </w:tblStylePr>
    <w:tblStylePr w:type="lastRow">
      <w:rPr>
        <w:b/>
        <w:bCs/>
      </w:rPr>
      <w:tcPr>
        <w:tcBorders>
          <w:top w:val="doub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paragraph" w:customStyle="1" w:styleId="40">
    <w:name w:val="_Style 13"/>
    <w:basedOn w:val="1"/>
    <w:next w:val="38"/>
    <w:qFormat/>
    <w:uiPriority w:val="0"/>
    <w:pPr>
      <w:ind w:firstLine="420" w:firstLineChars="200"/>
    </w:pPr>
    <w:rPr>
      <w:rFonts w:ascii="Calibri" w:hAnsi="Calibri"/>
      <w:szCs w:val="24"/>
    </w:rPr>
  </w:style>
  <w:style w:type="character" w:customStyle="1" w:styleId="41">
    <w:name w:val="未处理的提及1"/>
    <w:basedOn w:val="18"/>
    <w:semiHidden/>
    <w:unhideWhenUsed/>
    <w:qFormat/>
    <w:uiPriority w:val="99"/>
    <w:rPr>
      <w:color w:val="605E5C"/>
      <w:shd w:val="clear" w:color="auto" w:fill="E1DFDD"/>
    </w:rPr>
  </w:style>
  <w:style w:type="character" w:customStyle="1" w:styleId="42">
    <w:name w:val="未处理的提及2"/>
    <w:basedOn w:val="18"/>
    <w:semiHidden/>
    <w:unhideWhenUsed/>
    <w:qFormat/>
    <w:uiPriority w:val="99"/>
    <w:rPr>
      <w:color w:val="605E5C"/>
      <w:shd w:val="clear" w:color="auto" w:fill="E1DFDD"/>
    </w:rPr>
  </w:style>
  <w:style w:type="paragraph" w:customStyle="1" w:styleId="43">
    <w:name w:val="修订2"/>
    <w:hidden/>
    <w:semiHidden/>
    <w:qFormat/>
    <w:uiPriority w:val="99"/>
    <w:rPr>
      <w:rFonts w:ascii="Times New Roman" w:hAnsi="Times New Roman" w:eastAsia="宋体" w:cs="Times New Roman"/>
      <w:kern w:val="2"/>
      <w:sz w:val="21"/>
      <w:lang w:val="en-US" w:eastAsia="zh-CN" w:bidi="ar-SA"/>
    </w:rPr>
  </w:style>
  <w:style w:type="character" w:customStyle="1" w:styleId="44">
    <w:name w:val="报告正文 Char"/>
    <w:link w:val="45"/>
    <w:qFormat/>
    <w:uiPriority w:val="0"/>
    <w:rPr>
      <w:kern w:val="2"/>
      <w:sz w:val="24"/>
      <w:szCs w:val="24"/>
    </w:rPr>
  </w:style>
  <w:style w:type="paragraph" w:customStyle="1" w:styleId="45">
    <w:name w:val="报告正文"/>
    <w:next w:val="1"/>
    <w:link w:val="44"/>
    <w:qFormat/>
    <w:uiPriority w:val="0"/>
    <w:pPr>
      <w:spacing w:line="360" w:lineRule="auto"/>
      <w:ind w:firstLine="200" w:firstLineChars="200"/>
      <w:jc w:val="both"/>
    </w:pPr>
    <w:rPr>
      <w:rFonts w:ascii="Calibri" w:hAnsi="Calibri" w:eastAsia="等线" w:cs="Times New Roman"/>
      <w:kern w:val="2"/>
      <w:sz w:val="24"/>
      <w:szCs w:val="24"/>
      <w:lang w:val="en-US" w:eastAsia="zh-CN" w:bidi="ar-SA"/>
    </w:rPr>
  </w:style>
  <w:style w:type="paragraph" w:customStyle="1" w:styleId="46">
    <w:name w:val="缺省文本"/>
    <w:basedOn w:val="1"/>
    <w:qFormat/>
    <w:uiPriority w:val="0"/>
    <w:pPr>
      <w:autoSpaceDE w:val="0"/>
      <w:autoSpaceDN w:val="0"/>
      <w:adjustRightInd w:val="0"/>
      <w:jc w:val="left"/>
    </w:pPr>
    <w:rPr>
      <w:kern w:val="0"/>
      <w:sz w:val="24"/>
      <w:szCs w:val="24"/>
    </w:rPr>
  </w:style>
  <w:style w:type="character" w:customStyle="1" w:styleId="47">
    <w:name w:val="纯文本 字符"/>
    <w:basedOn w:val="18"/>
    <w:qFormat/>
    <w:uiPriority w:val="0"/>
    <w:rPr>
      <w:rFonts w:ascii="宋体" w:hAnsi="Courier New" w:eastAsia="宋体" w:cs="Courier New"/>
      <w:kern w:val="2"/>
      <w:sz w:val="21"/>
      <w:szCs w:val="21"/>
    </w:rPr>
  </w:style>
  <w:style w:type="character" w:customStyle="1" w:styleId="48">
    <w:name w:val="日期 Char"/>
    <w:basedOn w:val="18"/>
    <w:link w:val="9"/>
    <w:semiHidden/>
    <w:qFormat/>
    <w:uiPriority w:val="99"/>
    <w:rPr>
      <w:rFonts w:ascii="Times New Roman" w:hAnsi="Times New Roman" w:eastAsia="宋体"/>
      <w:kern w:val="2"/>
      <w:sz w:val="21"/>
    </w:rPr>
  </w:style>
  <w:style w:type="paragraph" w:customStyle="1" w:styleId="49">
    <w:name w:val="修订3"/>
    <w:hidden/>
    <w:semiHidden/>
    <w:qFormat/>
    <w:uiPriority w:val="99"/>
    <w:rPr>
      <w:rFonts w:ascii="Times New Roman" w:hAnsi="Times New Roman" w:eastAsia="宋体" w:cs="Times New Roman"/>
      <w:kern w:val="2"/>
      <w:sz w:val="21"/>
      <w:lang w:val="en-US" w:eastAsia="zh-CN" w:bidi="ar-SA"/>
    </w:rPr>
  </w:style>
  <w:style w:type="paragraph" w:customStyle="1" w:styleId="50">
    <w:name w:val="修订4"/>
    <w:hidden/>
    <w:semiHidden/>
    <w:qFormat/>
    <w:uiPriority w:val="99"/>
    <w:rPr>
      <w:rFonts w:ascii="Times New Roman" w:hAnsi="Times New Roman" w:eastAsia="宋体" w:cs="Times New Roman"/>
      <w:kern w:val="2"/>
      <w:sz w:val="21"/>
      <w:lang w:val="en-US" w:eastAsia="zh-CN" w:bidi="ar-SA"/>
    </w:rPr>
  </w:style>
  <w:style w:type="paragraph" w:customStyle="1" w:styleId="51">
    <w:name w:val="修订5"/>
    <w:hidden/>
    <w:semiHidden/>
    <w:qFormat/>
    <w:uiPriority w:val="99"/>
    <w:rPr>
      <w:rFonts w:ascii="Times New Roman" w:hAnsi="Times New Roman" w:eastAsia="宋体" w:cs="Times New Roman"/>
      <w:kern w:val="2"/>
      <w:sz w:val="21"/>
      <w:lang w:val="en-US" w:eastAsia="zh-CN" w:bidi="ar-SA"/>
    </w:rPr>
  </w:style>
  <w:style w:type="character" w:customStyle="1" w:styleId="52">
    <w:name w:val="Body Text Indent 2 Char Char"/>
    <w:link w:val="53"/>
    <w:qFormat/>
    <w:locked/>
    <w:uiPriority w:val="0"/>
    <w:rPr>
      <w:rFonts w:cs="Calibri"/>
    </w:rPr>
  </w:style>
  <w:style w:type="paragraph" w:customStyle="1" w:styleId="53">
    <w:name w:val="正文文本缩进 21"/>
    <w:basedOn w:val="1"/>
    <w:link w:val="52"/>
    <w:qFormat/>
    <w:uiPriority w:val="0"/>
    <w:pPr>
      <w:adjustRightInd w:val="0"/>
      <w:spacing w:line="480" w:lineRule="auto"/>
      <w:ind w:firstLine="540"/>
    </w:pPr>
    <w:rPr>
      <w:rFonts w:ascii="Calibri" w:hAnsi="Calibri" w:eastAsia="等线" w:cs="Calibri"/>
      <w:kern w:val="0"/>
      <w:sz w:val="20"/>
    </w:rPr>
  </w:style>
  <w:style w:type="paragraph" w:customStyle="1" w:styleId="54">
    <w:name w:val="修订6"/>
    <w:hidden/>
    <w:semiHidden/>
    <w:qFormat/>
    <w:uiPriority w:val="99"/>
    <w:rPr>
      <w:rFonts w:ascii="Times New Roman" w:hAnsi="Times New Roman" w:eastAsia="宋体" w:cs="Times New Roman"/>
      <w:kern w:val="2"/>
      <w:sz w:val="21"/>
      <w:lang w:val="en-US" w:eastAsia="zh-CN" w:bidi="ar-SA"/>
    </w:rPr>
  </w:style>
  <w:style w:type="paragraph" w:customStyle="1" w:styleId="55">
    <w:name w:val="Char"/>
    <w:basedOn w:val="1"/>
    <w:qFormat/>
    <w:uiPriority w:val="0"/>
    <w:rPr>
      <w:rFonts w:ascii="Tahoma" w:hAnsi="Tahoma"/>
      <w:sz w:val="24"/>
    </w:rPr>
  </w:style>
  <w:style w:type="character" w:customStyle="1" w:styleId="56">
    <w:name w:val="标题 3 Char"/>
    <w:basedOn w:val="18"/>
    <w:link w:val="4"/>
    <w:qFormat/>
    <w:uiPriority w:val="0"/>
    <w:rPr>
      <w:rFonts w:ascii="Times New Roman" w:hAnsi="Times New Roman" w:eastAsia="宋体" w:cs="Times New Roman"/>
      <w:b/>
      <w:sz w:val="32"/>
    </w:rPr>
  </w:style>
  <w:style w:type="character" w:customStyle="1" w:styleId="57">
    <w:name w:val="正文文本 Char"/>
    <w:basedOn w:val="18"/>
    <w:link w:val="7"/>
    <w:qFormat/>
    <w:uiPriority w:val="99"/>
    <w:rPr>
      <w:rFonts w:ascii="Times New Roman" w:hAnsi="Times New Roman" w:eastAsia="宋体" w:cs="Times New Roman"/>
      <w:szCs w:val="20"/>
    </w:rPr>
  </w:style>
  <w:style w:type="character" w:customStyle="1" w:styleId="58">
    <w:name w:val="正文首行缩进 Char"/>
    <w:basedOn w:val="57"/>
    <w:link w:val="15"/>
    <w:qFormat/>
    <w:uiPriority w:val="0"/>
    <w:rPr>
      <w:rFonts w:ascii="Times New Roman" w:hAnsi="Times New Roman" w:eastAsia="宋体" w:cs="Times New Roman"/>
      <w:szCs w:val="20"/>
    </w:rPr>
  </w:style>
  <w:style w:type="character" w:customStyle="1" w:styleId="59">
    <w:name w:val="页眉 Char"/>
    <w:basedOn w:val="18"/>
    <w:link w:val="12"/>
    <w:qFormat/>
    <w:uiPriority w:val="99"/>
    <w:rPr>
      <w:rFonts w:ascii="Times New Roman" w:hAnsi="Times New Roman" w:eastAsia="宋体" w:cs="Times New Roman"/>
      <w:sz w:val="18"/>
      <w:szCs w:val="18"/>
    </w:rPr>
  </w:style>
  <w:style w:type="character" w:customStyle="1" w:styleId="60">
    <w:name w:val="页脚 Char"/>
    <w:basedOn w:val="18"/>
    <w:link w:val="11"/>
    <w:qFormat/>
    <w:uiPriority w:val="99"/>
    <w:rPr>
      <w:rFonts w:ascii="Times New Roman" w:hAnsi="Times New Roman" w:eastAsia="宋体" w:cs="Times New Roman"/>
      <w:sz w:val="18"/>
      <w:szCs w:val="18"/>
    </w:rPr>
  </w:style>
  <w:style w:type="character" w:customStyle="1" w:styleId="61">
    <w:name w:val="批注框文本 Char"/>
    <w:basedOn w:val="18"/>
    <w:link w:val="10"/>
    <w:qFormat/>
    <w:uiPriority w:val="99"/>
    <w:rPr>
      <w:rFonts w:ascii="Times New Roman" w:hAnsi="Times New Roman" w:eastAsia="宋体" w:cs="Times New Roman"/>
      <w:kern w:val="2"/>
      <w:sz w:val="18"/>
      <w:szCs w:val="18"/>
    </w:rPr>
  </w:style>
  <w:style w:type="character" w:customStyle="1" w:styleId="62">
    <w:name w:val="文档结构图 Char"/>
    <w:basedOn w:val="18"/>
    <w:link w:val="5"/>
    <w:qFormat/>
    <w:uiPriority w:val="99"/>
    <w:rPr>
      <w:rFonts w:ascii="宋体" w:hAnsi="Times New Roman" w:eastAsia="宋体" w:cs="Times New Roman"/>
      <w:kern w:val="2"/>
      <w:sz w:val="18"/>
      <w:szCs w:val="18"/>
    </w:rPr>
  </w:style>
  <w:style w:type="character" w:customStyle="1" w:styleId="63">
    <w:name w:val="批注文字 Char"/>
    <w:basedOn w:val="18"/>
    <w:link w:val="6"/>
    <w:qFormat/>
    <w:uiPriority w:val="99"/>
    <w:rPr>
      <w:rFonts w:ascii="Times New Roman" w:hAnsi="Times New Roman" w:eastAsia="宋体" w:cs="Times New Roman"/>
      <w:kern w:val="2"/>
      <w:sz w:val="21"/>
    </w:rPr>
  </w:style>
  <w:style w:type="character" w:customStyle="1" w:styleId="64">
    <w:name w:val="纯文本 Char"/>
    <w:basedOn w:val="18"/>
    <w:link w:val="8"/>
    <w:qFormat/>
    <w:uiPriority w:val="99"/>
    <w:rPr>
      <w:rFonts w:ascii="宋体" w:hAnsi="Courier New" w:eastAsia="宋体" w:cs="宋体"/>
      <w:kern w:val="2"/>
      <w:sz w:val="21"/>
      <w:szCs w:val="21"/>
    </w:rPr>
  </w:style>
  <w:style w:type="paragraph" w:customStyle="1" w:styleId="65">
    <w:name w:val="_Style 32"/>
    <w:basedOn w:val="1"/>
    <w:next w:val="38"/>
    <w:qFormat/>
    <w:uiPriority w:val="0"/>
    <w:pPr>
      <w:ind w:firstLine="420" w:firstLineChars="200"/>
    </w:pPr>
    <w:rPr>
      <w:rFonts w:ascii="Calibri" w:hAnsi="Calibri"/>
      <w:szCs w:val="22"/>
    </w:rPr>
  </w:style>
  <w:style w:type="paragraph" w:customStyle="1" w:styleId="66">
    <w:name w:val="_Style 33"/>
    <w:basedOn w:val="1"/>
    <w:next w:val="38"/>
    <w:qFormat/>
    <w:uiPriority w:val="99"/>
    <w:pPr>
      <w:ind w:firstLine="420" w:firstLineChars="200"/>
    </w:pPr>
    <w:rPr>
      <w:rFonts w:ascii="Calibri" w:hAnsi="Calibri"/>
      <w:sz w:val="24"/>
      <w:szCs w:val="24"/>
    </w:rPr>
  </w:style>
  <w:style w:type="character" w:customStyle="1" w:styleId="67">
    <w:name w:val="批注主题 Char"/>
    <w:basedOn w:val="63"/>
    <w:link w:val="14"/>
    <w:semiHidden/>
    <w:qFormat/>
    <w:uiPriority w:val="99"/>
    <w:rPr>
      <w:rFonts w:ascii="Times New Roman" w:hAnsi="Times New Roman" w:eastAsia="宋体" w:cs="Times New Roman"/>
      <w:b/>
      <w:bCs/>
      <w:kern w:val="2"/>
      <w:sz w:val="21"/>
    </w:rPr>
  </w:style>
  <w:style w:type="character" w:customStyle="1" w:styleId="68">
    <w:name w:val="标题 1 Char"/>
    <w:basedOn w:val="18"/>
    <w:qFormat/>
    <w:uiPriority w:val="0"/>
    <w:rPr>
      <w:rFonts w:hint="default" w:ascii="Times New Roman" w:hAnsi="Times New Roman" w:eastAsia="宋体" w:cs="Times New Roman"/>
      <w:kern w:val="2"/>
      <w:sz w:val="32"/>
      <w:szCs w:val="24"/>
      <w:lang w:val="en-US" w:eastAsia="zh-CN" w:bidi="ar"/>
    </w:rPr>
  </w:style>
  <w:style w:type="character" w:customStyle="1" w:styleId="69">
    <w:name w:val="标题 1 Char1"/>
    <w:basedOn w:val="18"/>
    <w:link w:val="3"/>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2B541B-798D-4E4F-A34E-25802919C24D}">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30</Pages>
  <Words>14334</Words>
  <Characters>15774</Characters>
  <Lines>123</Lines>
  <Paragraphs>34</Paragraphs>
  <TotalTime>18</TotalTime>
  <ScaleCrop>false</ScaleCrop>
  <LinksUpToDate>false</LinksUpToDate>
  <CharactersWithSpaces>16477</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2021-05-13T03:25:00Z</dcterms:created>
  <dc:creator>Jeo Xie</dc:creator>
  <cp:lastModifiedBy>邓诗雅</cp:lastModifiedBy>
  <cp:lastPrinted>2022-05-31T06:13:00Z</cp:lastPrinted>
  <dcterms:modified xsi:type="dcterms:W3CDTF">2022-05-31T08:21:16Z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48E57A67FD0340C4ADFE59FEDE31DCDF</vt:lpwstr>
  </property>
</Properties>
</file>