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采购公告</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我司（东莞市东实城</w:t>
      </w:r>
      <w:r>
        <w:rPr>
          <w:rFonts w:hint="eastAsia" w:ascii="仿宋" w:hAnsi="仿宋" w:eastAsia="仿宋" w:cs="仿宋"/>
          <w:color w:val="auto"/>
          <w:sz w:val="30"/>
          <w:szCs w:val="30"/>
          <w:highlight w:val="none"/>
          <w:lang w:val="en-US" w:eastAsia="zh-CN"/>
        </w:rPr>
        <w:t>龙</w:t>
      </w:r>
      <w:r>
        <w:rPr>
          <w:rFonts w:hint="eastAsia" w:ascii="仿宋" w:hAnsi="仿宋" w:eastAsia="仿宋" w:cs="仿宋"/>
          <w:color w:val="auto"/>
          <w:sz w:val="30"/>
          <w:szCs w:val="30"/>
          <w:highlight w:val="none"/>
        </w:rPr>
        <w:t>环境服务有限公司），为</w:t>
      </w:r>
      <w:r>
        <w:rPr>
          <w:rFonts w:hint="eastAsia" w:ascii="仿宋" w:hAnsi="仿宋" w:eastAsia="仿宋" w:cs="仿宋"/>
          <w:color w:val="auto"/>
          <w:sz w:val="30"/>
          <w:szCs w:val="30"/>
          <w:highlight w:val="none"/>
          <w:lang w:val="en-US" w:eastAsia="zh-CN"/>
        </w:rPr>
        <w:t>提升石龙项目办公楼</w:t>
      </w:r>
      <w:r>
        <w:rPr>
          <w:rFonts w:hint="eastAsia" w:ascii="仿宋" w:hAnsi="仿宋" w:eastAsia="仿宋" w:cs="仿宋"/>
          <w:color w:val="auto"/>
          <w:sz w:val="30"/>
          <w:szCs w:val="30"/>
          <w:highlight w:val="none"/>
        </w:rPr>
        <w:t>的</w:t>
      </w:r>
      <w:r>
        <w:rPr>
          <w:rFonts w:hint="eastAsia" w:ascii="仿宋" w:hAnsi="仿宋" w:eastAsia="仿宋" w:cs="仿宋"/>
          <w:b w:val="0"/>
          <w:bCs w:val="0"/>
          <w:color w:val="auto"/>
          <w:sz w:val="30"/>
          <w:szCs w:val="30"/>
          <w:highlight w:val="none"/>
          <w:lang w:val="en-US" w:eastAsia="zh-CN"/>
        </w:rPr>
        <w:t>企业形象</w:t>
      </w:r>
      <w:r>
        <w:rPr>
          <w:rFonts w:hint="eastAsia" w:ascii="仿宋" w:hAnsi="仿宋" w:eastAsia="仿宋" w:cs="仿宋"/>
          <w:color w:val="auto"/>
          <w:sz w:val="30"/>
          <w:szCs w:val="30"/>
          <w:highlight w:val="none"/>
        </w:rPr>
        <w:t>，拟</w:t>
      </w:r>
      <w:r>
        <w:rPr>
          <w:rFonts w:hint="eastAsia" w:ascii="仿宋" w:hAnsi="仿宋" w:eastAsia="仿宋" w:cs="仿宋"/>
          <w:color w:val="auto"/>
          <w:sz w:val="30"/>
          <w:szCs w:val="30"/>
          <w:highlight w:val="none"/>
          <w:lang w:bidi="ar"/>
        </w:rPr>
        <w:t>采购</w:t>
      </w:r>
      <w:r>
        <w:rPr>
          <w:rFonts w:hint="eastAsia" w:ascii="仿宋" w:hAnsi="仿宋" w:eastAsia="仿宋" w:cs="仿宋"/>
          <w:color w:val="auto"/>
          <w:sz w:val="30"/>
          <w:szCs w:val="30"/>
          <w:highlight w:val="none"/>
          <w:lang w:eastAsia="zh-CN"/>
        </w:rPr>
        <w:t>青林路综合楼</w:t>
      </w:r>
      <w:r>
        <w:rPr>
          <w:rFonts w:hint="eastAsia" w:ascii="仿宋" w:hAnsi="仿宋" w:eastAsia="仿宋" w:cs="仿宋"/>
          <w:color w:val="auto"/>
          <w:sz w:val="30"/>
          <w:szCs w:val="30"/>
          <w:highlight w:val="none"/>
          <w:lang w:val="en-US" w:eastAsia="zh-CN"/>
        </w:rPr>
        <w:t>门头</w:t>
      </w:r>
      <w:r>
        <w:rPr>
          <w:rFonts w:hint="eastAsia" w:ascii="仿宋" w:hAnsi="仿宋" w:eastAsia="仿宋" w:cs="仿宋"/>
          <w:b w:val="0"/>
          <w:bCs w:val="0"/>
          <w:color w:val="auto"/>
          <w:sz w:val="30"/>
          <w:szCs w:val="30"/>
          <w:highlight w:val="none"/>
          <w:lang w:val="en-US" w:eastAsia="zh-CN" w:bidi="ar"/>
        </w:rPr>
        <w:t>布展服务</w:t>
      </w:r>
      <w:r>
        <w:rPr>
          <w:rFonts w:hint="eastAsia" w:ascii="仿宋" w:hAnsi="仿宋" w:eastAsia="仿宋" w:cs="仿宋"/>
          <w:color w:val="auto"/>
          <w:sz w:val="30"/>
          <w:szCs w:val="30"/>
          <w:highlight w:val="none"/>
        </w:rPr>
        <w:t>。现将相关情况介绍如下：</w:t>
      </w:r>
      <w:bookmarkStart w:id="3" w:name="_GoBack"/>
      <w:bookmarkEnd w:id="3"/>
    </w:p>
    <w:p>
      <w:pPr>
        <w:spacing w:line="360" w:lineRule="auto"/>
        <w:ind w:firstLine="602" w:firstLineChars="200"/>
        <w:outlineLvl w:val="1"/>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一、项目名称及内容</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城龙公司青林路综合楼门头采购项目</w:t>
      </w:r>
      <w:r>
        <w:rPr>
          <w:rFonts w:hint="eastAsia" w:ascii="仿宋" w:hAnsi="仿宋" w:eastAsia="仿宋" w:cs="仿宋"/>
          <w:color w:val="auto"/>
          <w:sz w:val="30"/>
          <w:szCs w:val="30"/>
          <w:highlight w:val="none"/>
        </w:rPr>
        <w:t>。</w:t>
      </w:r>
    </w:p>
    <w:p>
      <w:pPr>
        <w:spacing w:line="360" w:lineRule="auto"/>
        <w:ind w:firstLine="602" w:firstLineChars="200"/>
        <w:outlineLvl w:val="1"/>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二、项目概况</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i w:val="0"/>
          <w:iCs w:val="0"/>
          <w:caps w:val="0"/>
          <w:color w:val="auto"/>
          <w:spacing w:val="0"/>
          <w:sz w:val="30"/>
          <w:szCs w:val="30"/>
          <w:highlight w:val="none"/>
          <w:shd w:val="clear"/>
        </w:rPr>
        <w:t>东莞市东实城龙环境服务有限公司，成立于2022年</w:t>
      </w:r>
      <w:r>
        <w:rPr>
          <w:rFonts w:hint="eastAsia" w:ascii="仿宋" w:hAnsi="仿宋" w:eastAsia="仿宋" w:cs="仿宋"/>
          <w:i w:val="0"/>
          <w:iCs w:val="0"/>
          <w:caps w:val="0"/>
          <w:color w:val="auto"/>
          <w:spacing w:val="0"/>
          <w:sz w:val="30"/>
          <w:szCs w:val="30"/>
          <w:highlight w:val="none"/>
          <w:shd w:val="clear"/>
          <w:lang w:val="en-US" w:eastAsia="zh-CN"/>
        </w:rPr>
        <w:t>8月17日</w:t>
      </w:r>
      <w:r>
        <w:rPr>
          <w:rFonts w:hint="eastAsia" w:ascii="仿宋" w:hAnsi="仿宋" w:eastAsia="仿宋" w:cs="仿宋"/>
          <w:i w:val="0"/>
          <w:iCs w:val="0"/>
          <w:caps w:val="0"/>
          <w:color w:val="auto"/>
          <w:spacing w:val="0"/>
          <w:sz w:val="30"/>
          <w:szCs w:val="30"/>
          <w:highlight w:val="none"/>
          <w:shd w:val="clear"/>
        </w:rPr>
        <w:t>，位于广东省东莞市，是一家以从事</w:t>
      </w:r>
      <w:r>
        <w:rPr>
          <w:rFonts w:hint="eastAsia" w:ascii="仿宋" w:hAnsi="仿宋" w:eastAsia="仿宋" w:cs="仿宋"/>
          <w:i w:val="0"/>
          <w:iCs w:val="0"/>
          <w:caps w:val="0"/>
          <w:color w:val="auto"/>
          <w:spacing w:val="0"/>
          <w:sz w:val="30"/>
          <w:szCs w:val="30"/>
          <w:highlight w:val="none"/>
          <w:u w:val="none"/>
          <w:shd w:val="clear"/>
          <w:vertAlign w:val="baseline"/>
        </w:rPr>
        <w:fldChar w:fldCharType="begin"/>
      </w:r>
      <w:r>
        <w:rPr>
          <w:rFonts w:hint="eastAsia" w:ascii="仿宋" w:hAnsi="仿宋" w:eastAsia="仿宋" w:cs="仿宋"/>
          <w:i w:val="0"/>
          <w:iCs w:val="0"/>
          <w:caps w:val="0"/>
          <w:color w:val="auto"/>
          <w:spacing w:val="0"/>
          <w:sz w:val="30"/>
          <w:szCs w:val="30"/>
          <w:highlight w:val="none"/>
          <w:u w:val="none"/>
          <w:shd w:val="clear"/>
          <w:vertAlign w:val="baseline"/>
        </w:rPr>
        <w:instrText xml:space="preserve"> HYPERLINK "https://www.tianyancha.com/advance/search/e-pc_homeicon" </w:instrText>
      </w:r>
      <w:r>
        <w:rPr>
          <w:rFonts w:hint="eastAsia" w:ascii="仿宋" w:hAnsi="仿宋" w:eastAsia="仿宋" w:cs="仿宋"/>
          <w:i w:val="0"/>
          <w:iCs w:val="0"/>
          <w:caps w:val="0"/>
          <w:color w:val="auto"/>
          <w:spacing w:val="0"/>
          <w:sz w:val="30"/>
          <w:szCs w:val="30"/>
          <w:highlight w:val="none"/>
          <w:u w:val="none"/>
          <w:shd w:val="clear"/>
          <w:vertAlign w:val="baseline"/>
        </w:rPr>
        <w:fldChar w:fldCharType="separate"/>
      </w:r>
      <w:r>
        <w:rPr>
          <w:rFonts w:hint="eastAsia" w:ascii="仿宋" w:hAnsi="仿宋" w:eastAsia="仿宋" w:cs="仿宋"/>
          <w:i w:val="0"/>
          <w:iCs w:val="0"/>
          <w:caps w:val="0"/>
          <w:color w:val="auto"/>
          <w:spacing w:val="0"/>
          <w:sz w:val="30"/>
          <w:szCs w:val="30"/>
          <w:highlight w:val="none"/>
          <w:u w:val="none"/>
          <w:shd w:val="clear"/>
          <w:vertAlign w:val="baseline"/>
        </w:rPr>
        <w:t>生态保护和环境治理业</w:t>
      </w:r>
      <w:r>
        <w:rPr>
          <w:rFonts w:hint="eastAsia" w:ascii="仿宋" w:hAnsi="仿宋" w:eastAsia="仿宋" w:cs="仿宋"/>
          <w:i w:val="0"/>
          <w:iCs w:val="0"/>
          <w:caps w:val="0"/>
          <w:color w:val="auto"/>
          <w:spacing w:val="0"/>
          <w:sz w:val="30"/>
          <w:szCs w:val="30"/>
          <w:highlight w:val="none"/>
          <w:u w:val="none"/>
          <w:shd w:val="clear"/>
          <w:vertAlign w:val="baseline"/>
        </w:rPr>
        <w:fldChar w:fldCharType="end"/>
      </w:r>
      <w:r>
        <w:rPr>
          <w:rFonts w:hint="eastAsia" w:ascii="仿宋" w:hAnsi="仿宋" w:eastAsia="仿宋" w:cs="仿宋"/>
          <w:i w:val="0"/>
          <w:iCs w:val="0"/>
          <w:caps w:val="0"/>
          <w:color w:val="auto"/>
          <w:spacing w:val="0"/>
          <w:sz w:val="30"/>
          <w:szCs w:val="30"/>
          <w:highlight w:val="none"/>
          <w:shd w:val="clear"/>
        </w:rPr>
        <w:t>为主的企业</w:t>
      </w:r>
      <w:r>
        <w:rPr>
          <w:rFonts w:hint="eastAsia" w:ascii="仿宋" w:hAnsi="仿宋" w:eastAsia="仿宋" w:cs="仿宋"/>
          <w:i w:val="0"/>
          <w:iCs w:val="0"/>
          <w:caps w:val="0"/>
          <w:color w:val="auto"/>
          <w:spacing w:val="0"/>
          <w:sz w:val="30"/>
          <w:szCs w:val="30"/>
          <w:highlight w:val="none"/>
          <w:shd w:val="clear"/>
          <w:lang w:eastAsia="zh-CN"/>
        </w:rPr>
        <w:t>。</w:t>
      </w:r>
      <w:r>
        <w:rPr>
          <w:rFonts w:hint="eastAsia" w:ascii="仿宋" w:hAnsi="仿宋" w:eastAsia="仿宋" w:cs="仿宋"/>
          <w:i w:val="0"/>
          <w:iCs w:val="0"/>
          <w:caps w:val="0"/>
          <w:color w:val="auto"/>
          <w:spacing w:val="0"/>
          <w:sz w:val="30"/>
          <w:szCs w:val="30"/>
          <w:highlight w:val="none"/>
          <w:shd w:val="clear"/>
          <w:lang w:val="en-US" w:eastAsia="zh-CN"/>
        </w:rPr>
        <w:t>本项目供货服务地点位于东莞市</w:t>
      </w:r>
      <w:r>
        <w:rPr>
          <w:rFonts w:hint="eastAsia" w:ascii="仿宋" w:hAnsi="仿宋" w:eastAsia="仿宋" w:cs="仿宋"/>
          <w:b w:val="0"/>
          <w:bCs w:val="0"/>
          <w:color w:val="auto"/>
          <w:sz w:val="30"/>
          <w:szCs w:val="30"/>
          <w:highlight w:val="none"/>
          <w:lang w:val="en-US" w:eastAsia="zh-CN"/>
        </w:rPr>
        <w:t>石龙镇青林路。</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本项目采购信息在东莞实业投资控股集团有限公司网站（http://www.dgsy.com.cn/）和</w:t>
      </w:r>
      <w:r>
        <w:rPr>
          <w:rFonts w:hint="eastAsia" w:ascii="仿宋" w:hAnsi="仿宋" w:eastAsia="仿宋" w:cs="仿宋"/>
          <w:color w:val="auto"/>
          <w:sz w:val="30"/>
          <w:szCs w:val="30"/>
          <w:highlight w:val="none"/>
          <w:lang w:val="en-US" w:eastAsia="zh-CN"/>
        </w:rPr>
        <w:t>广东东实环境股份有限公司</w:t>
      </w:r>
      <w:r>
        <w:rPr>
          <w:rFonts w:hint="eastAsia" w:ascii="仿宋" w:hAnsi="仿宋" w:eastAsia="仿宋" w:cs="仿宋"/>
          <w:color w:val="auto"/>
          <w:sz w:val="30"/>
          <w:szCs w:val="30"/>
          <w:highlight w:val="none"/>
        </w:rPr>
        <w:t>网站发布（http://dshuanbao.com.cn/）。</w:t>
      </w:r>
    </w:p>
    <w:p>
      <w:pPr>
        <w:spacing w:line="360" w:lineRule="auto"/>
        <w:ind w:firstLine="602" w:firstLineChars="200"/>
        <w:outlineLvl w:val="1"/>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三、报价人资格要求</w:t>
      </w:r>
    </w:p>
    <w:p>
      <w:pPr>
        <w:widowControl/>
        <w:numPr>
          <w:ilvl w:val="0"/>
          <w:numId w:val="1"/>
        </w:numPr>
        <w:pBdr>
          <w:top w:val="none" w:color="auto" w:sz="0" w:space="0"/>
          <w:left w:val="none" w:color="auto" w:sz="0" w:space="0"/>
          <w:bottom w:val="none" w:color="auto" w:sz="0" w:space="0"/>
          <w:right w:val="none" w:color="auto" w:sz="0" w:space="0"/>
        </w:pBd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报价人必须是具有独立承担民事责任能力的企业或事业单位法人或其它组织。（提供《营业执照》复印件（加盖公章）或《事业单位法人证书》复印件（加盖公章）或其他主体证书复印件（加盖公章））。</w:t>
      </w:r>
    </w:p>
    <w:p>
      <w:pPr>
        <w:widowControl/>
        <w:numPr>
          <w:ilvl w:val="0"/>
          <w:numId w:val="1"/>
        </w:numPr>
        <w:pBdr>
          <w:top w:val="none" w:color="auto" w:sz="0" w:space="0"/>
          <w:left w:val="none" w:color="auto" w:sz="0" w:space="0"/>
          <w:bottom w:val="none" w:color="auto" w:sz="0" w:space="0"/>
          <w:right w:val="none" w:color="auto" w:sz="0" w:space="0"/>
        </w:pBdr>
        <w:adjustRightInd/>
        <w:snapToGrid/>
        <w:spacing w:before="0" w:beforeAutospacing="0" w:after="0" w:afterAutospacing="0" w:line="360" w:lineRule="auto"/>
        <w:ind w:left="0" w:right="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人未被列入“信用中国”网站“记录失信被执行人”或重大税收违法案件当事人名单（以采购人报价截止日当天在“信用中国”网站（www.creditchina.gov.cn）查询结果为准，如相关失信记录已失效，报价人需提供相关证明资料）。</w:t>
      </w:r>
    </w:p>
    <w:p>
      <w:pPr>
        <w:spacing w:line="360" w:lineRule="auto"/>
        <w:ind w:firstLine="602" w:firstLineChars="200"/>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四、采购内容及要求</w:t>
      </w:r>
    </w:p>
    <w:p>
      <w:pPr>
        <w:numPr>
          <w:ilvl w:val="0"/>
          <w:numId w:val="2"/>
        </w:numPr>
        <w:spacing w:line="360" w:lineRule="auto"/>
        <w:ind w:firstLine="420" w:firstLineChars="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采购清单</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963"/>
        <w:gridCol w:w="1062"/>
        <w:gridCol w:w="760"/>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7" w:type="pct"/>
            <w:tcBorders>
              <w:tl2br w:val="nil"/>
              <w:tr2bl w:val="nil"/>
            </w:tcBorders>
            <w:shd w:val="clear" w:color="auto" w:fill="auto"/>
            <w:noWrap w:val="0"/>
            <w:vAlign w:val="center"/>
          </w:tcPr>
          <w:p>
            <w:pPr>
              <w:spacing w:beforeLines="0" w:afterLines="0"/>
              <w:jc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物料名称</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图片</w:t>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数量</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单位</w:t>
            </w:r>
          </w:p>
        </w:tc>
        <w:tc>
          <w:tcPr>
            <w:tcW w:w="2231" w:type="pct"/>
            <w:tcBorders>
              <w:tl2br w:val="nil"/>
              <w:tr2bl w:val="nil"/>
            </w:tcBorders>
            <w:noWrap w:val="0"/>
            <w:vAlign w:val="center"/>
          </w:tcPr>
          <w:p>
            <w:pPr>
              <w:spacing w:beforeLines="0" w:afterLines="0"/>
              <w:jc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招牌钢架</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4" name="图片 3" descr="007b555ab424a0687f1c06aa0b08f64"/>
                  <wp:cNvGraphicFramePr/>
                  <a:graphic xmlns:a="http://schemas.openxmlformats.org/drawingml/2006/main">
                    <a:graphicData uri="http://schemas.openxmlformats.org/drawingml/2006/picture">
                      <pic:pic xmlns:pic="http://schemas.openxmlformats.org/drawingml/2006/picture">
                        <pic:nvPicPr>
                          <pic:cNvPr id="4" name="图片 3" descr="007b555ab424a0687f1c06aa0b08f64"/>
                          <pic:cNvPicPr preferRelativeResize="0"/>
                        </pic:nvPicPr>
                        <pic:blipFill>
                          <a:blip r:embed="rId4"/>
                          <a:stretch>
                            <a:fillRect/>
                          </a:stretch>
                        </pic:blipFill>
                        <pic:spPr>
                          <a:xfrm>
                            <a:off x="0" y="0"/>
                            <a:ext cx="1080135" cy="1080135"/>
                          </a:xfrm>
                          <a:prstGeom prst="rect">
                            <a:avLst/>
                          </a:prstGeom>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63.</w:t>
            </w:r>
            <w:r>
              <w:rPr>
                <w:rFonts w:hint="eastAsia" w:ascii="仿宋" w:hAnsi="仿宋" w:eastAsia="仿宋" w:cs="仿宋"/>
                <w:color w:val="000000"/>
                <w:sz w:val="24"/>
                <w:szCs w:val="24"/>
                <w:lang w:val="en-US" w:eastAsia="zh-CN"/>
              </w:rPr>
              <w:t>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平方</w:t>
            </w:r>
          </w:p>
        </w:tc>
        <w:tc>
          <w:tcPr>
            <w:tcW w:w="2231" w:type="pct"/>
            <w:tcBorders>
              <w:tl2br w:val="nil"/>
              <w:tr2bl w:val="nil"/>
            </w:tcBorders>
            <w:noWrap w:val="0"/>
            <w:vAlign w:val="top"/>
          </w:tcPr>
          <w:p>
            <w:pPr>
              <w:widowControl w:val="0"/>
              <w:numPr>
                <w:ilvl w:val="0"/>
                <w:numId w:val="0"/>
              </w:numPr>
              <w:tabs>
                <w:tab w:val="left" w:pos="320"/>
              </w:tabs>
              <w:ind w:left="0" w:leftChars="0"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正面宽8.2m*高2.65m；</w:t>
            </w:r>
          </w:p>
          <w:p>
            <w:pPr>
              <w:widowControl w:val="0"/>
              <w:numPr>
                <w:ilvl w:val="0"/>
                <w:numId w:val="0"/>
              </w:numPr>
              <w:tabs>
                <w:tab w:val="left" w:pos="320"/>
              </w:tabs>
              <w:ind w:left="0" w:leftChars="0"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底部天花宽8.2m*厚1.9m； </w:t>
            </w:r>
          </w:p>
          <w:p>
            <w:pPr>
              <w:widowControl w:val="0"/>
              <w:numPr>
                <w:ilvl w:val="0"/>
                <w:numId w:val="0"/>
              </w:numPr>
              <w:tabs>
                <w:tab w:val="left" w:pos="320"/>
              </w:tabs>
              <w:ind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两侧面高2.65m*厚约1.5m*2面； </w:t>
            </w:r>
          </w:p>
          <w:p>
            <w:pPr>
              <w:widowControl w:val="0"/>
              <w:numPr>
                <w:ilvl w:val="0"/>
                <w:numId w:val="0"/>
              </w:numPr>
              <w:tabs>
                <w:tab w:val="left" w:pos="320"/>
              </w:tabs>
              <w:ind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门楣宽8.2m*高0.57m； </w:t>
            </w:r>
          </w:p>
          <w:p>
            <w:pPr>
              <w:widowControl w:val="0"/>
              <w:numPr>
                <w:ilvl w:val="0"/>
                <w:numId w:val="0"/>
              </w:numPr>
              <w:tabs>
                <w:tab w:val="left" w:pos="320"/>
              </w:tabs>
              <w:ind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左右两侧柱子宽1.22m(0.4+0.42+0.4m)*高4.5m*2条；</w:t>
            </w:r>
          </w:p>
          <w:p>
            <w:pPr>
              <w:widowControl w:val="0"/>
              <w:numPr>
                <w:ilvl w:val="0"/>
                <w:numId w:val="0"/>
              </w:numPr>
              <w:tabs>
                <w:tab w:val="left" w:pos="320"/>
              </w:tabs>
              <w:ind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中间柱子宽0.63(0.2+0.23+0.2)*高3.6米；</w:t>
            </w:r>
          </w:p>
          <w:p>
            <w:pPr>
              <w:numPr>
                <w:ilvl w:val="0"/>
                <w:numId w:val="0"/>
              </w:numPr>
              <w:tabs>
                <w:tab w:val="left" w:pos="320"/>
              </w:tabs>
              <w:spacing w:beforeLines="-2147483648" w:afterLines="-2147483648"/>
              <w:jc w:val="both"/>
              <w:rPr>
                <w:rFonts w:hint="eastAsia" w:ascii="仿宋" w:hAnsi="仿宋" w:eastAsia="仿宋" w:cs="仿宋"/>
                <w:color w:val="000000"/>
                <w:sz w:val="24"/>
                <w:szCs w:val="24"/>
              </w:rPr>
            </w:pPr>
            <w:r>
              <w:rPr>
                <w:rFonts w:hint="eastAsia" w:ascii="仿宋" w:hAnsi="仿宋" w:eastAsia="仿宋" w:cs="仿宋"/>
                <w:b w:val="0"/>
                <w:bCs w:val="0"/>
                <w:sz w:val="24"/>
                <w:szCs w:val="24"/>
                <w:lang w:val="en-US" w:eastAsia="zh-CN"/>
              </w:rPr>
              <w:t>工艺:L40角钢和</w:t>
            </w:r>
            <w:r>
              <w:rPr>
                <w:rFonts w:hint="eastAsia" w:ascii="仿宋" w:hAnsi="仿宋" w:eastAsia="仿宋" w:cs="仿宋"/>
                <w:color w:val="000000"/>
                <w:sz w:val="24"/>
                <w:szCs w:val="24"/>
              </w:rPr>
              <w:t>20*40镀锌</w:t>
            </w:r>
            <w:r>
              <w:rPr>
                <w:rFonts w:hint="eastAsia" w:ascii="仿宋" w:hAnsi="仿宋" w:eastAsia="仿宋" w:cs="仿宋"/>
                <w:b w:val="0"/>
                <w:bCs w:val="0"/>
                <w:sz w:val="24"/>
                <w:szCs w:val="24"/>
                <w:lang w:val="en-US" w:eastAsia="zh-CN"/>
              </w:rPr>
              <w:t>方通焊接钢架，招牌正面封格栅扣板，面装PVC烤漆字，四周黑色PVC边框，内藏LED户外暖光灯带；底部和柱子面封4厘吉祥铝塑板等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格栅扣板</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6" name="图片 5" descr="c2f28c96aef954325995619ad0c20ed"/>
                  <wp:cNvGraphicFramePr/>
                  <a:graphic xmlns:a="http://schemas.openxmlformats.org/drawingml/2006/main">
                    <a:graphicData uri="http://schemas.openxmlformats.org/drawingml/2006/picture">
                      <pic:pic xmlns:pic="http://schemas.openxmlformats.org/drawingml/2006/picture">
                        <pic:nvPicPr>
                          <pic:cNvPr id="6" name="图片 5" descr="c2f28c96aef954325995619ad0c20ed"/>
                          <pic:cNvPicPr preferRelativeResize="0"/>
                        </pic:nvPicPr>
                        <pic:blipFill>
                          <a:blip r:embed="rId5"/>
                          <a:stretch>
                            <a:fillRect/>
                          </a:stretch>
                        </pic:blipFill>
                        <pic:spPr>
                          <a:xfrm>
                            <a:off x="0" y="0"/>
                            <a:ext cx="1080135" cy="1080135"/>
                          </a:xfrm>
                          <a:prstGeom prst="rect">
                            <a:avLst/>
                          </a:prstGeom>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r>
              <w:rPr>
                <w:rFonts w:hint="eastAsia" w:ascii="仿宋" w:hAnsi="仿宋" w:eastAsia="仿宋" w:cs="仿宋"/>
                <w:color w:val="000000"/>
                <w:sz w:val="24"/>
                <w:szCs w:val="24"/>
                <w:lang w:val="en-US" w:eastAsia="zh-CN"/>
              </w:rPr>
              <w:t>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平方</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0.8mm镀锌板冲压烤漆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铝塑板</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8" name="图片 3" descr="c6dca915f0237fb4feccedcb5c32358"/>
                  <wp:cNvGraphicFramePr/>
                  <a:graphic xmlns:a="http://schemas.openxmlformats.org/drawingml/2006/main">
                    <a:graphicData uri="http://schemas.openxmlformats.org/drawingml/2006/picture">
                      <pic:pic xmlns:pic="http://schemas.openxmlformats.org/drawingml/2006/picture">
                        <pic:nvPicPr>
                          <pic:cNvPr id="8" name="图片 3" descr="c6dca915f0237fb4feccedcb5c32358"/>
                          <pic:cNvPicPr preferRelativeResize="0"/>
                        </pic:nvPicPr>
                        <pic:blipFill>
                          <a:blip r:embed="rId6"/>
                          <a:stretch>
                            <a:fillRect/>
                          </a:stretch>
                        </pic:blipFill>
                        <pic:spPr>
                          <a:xfrm>
                            <a:off x="0" y="0"/>
                            <a:ext cx="1080135" cy="1080135"/>
                          </a:xfrm>
                          <a:prstGeom prst="rect">
                            <a:avLst/>
                          </a:prstGeom>
                          <a:noFill/>
                          <a:ln w="9525">
                            <a:noFill/>
                          </a:ln>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平方</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招牌底部和侧面，门楣和柱子封4厘吉祥铝塑板,合计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边框</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米</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招牌正面四周一圈黑色PVC边框、8.2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+2.65+</w:t>
            </w:r>
            <w:r>
              <w:rPr>
                <w:rFonts w:hint="eastAsia" w:ascii="仿宋" w:hAnsi="仿宋" w:eastAsia="仿宋" w:cs="仿宋"/>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灯带</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米</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招牌正面上下安装两条12伏软灯带、长8米*2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招牌PVC烤漆字</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referRelativeResize="0"/>
                        </pic:nvPicPr>
                        <pic:blipFill>
                          <a:blip r:embed="rId7"/>
                          <a:stretch>
                            <a:fillRect/>
                          </a:stretch>
                        </pic:blipFill>
                        <pic:spPr>
                          <a:xfrm>
                            <a:off x="0" y="0"/>
                            <a:ext cx="1080135" cy="1080135"/>
                          </a:xfrm>
                          <a:prstGeom prst="rect">
                            <a:avLst/>
                          </a:prstGeom>
                          <a:noFill/>
                          <a:ln w="9525">
                            <a:noFill/>
                          </a:ln>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935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cm</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LOGO+东实城龙环境服务、85cm*11个(12mmPVC烤漆字)，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PVC烤漆字</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540</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cm</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10mm厚PVC烤漆字</w:t>
            </w:r>
          </w:p>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12*45cm</w:t>
            </w:r>
          </w:p>
        </w:tc>
      </w:tr>
    </w:tbl>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服务要求：</w:t>
      </w:r>
    </w:p>
    <w:p>
      <w:pPr>
        <w:widowControl w:val="0"/>
        <w:numPr>
          <w:ilvl w:val="0"/>
          <w:numId w:val="3"/>
        </w:numPr>
        <w:tabs>
          <w:tab w:val="left" w:pos="320"/>
        </w:tabs>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遵循上下平齐、左右相接、厚度一致、亮化配套的原则。</w:t>
      </w:r>
    </w:p>
    <w:p>
      <w:pPr>
        <w:widowControl w:val="0"/>
        <w:numPr>
          <w:ilvl w:val="0"/>
          <w:numId w:val="3"/>
        </w:numPr>
        <w:tabs>
          <w:tab w:val="left" w:pos="320"/>
        </w:tabs>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平行式招牌突出墙面的距离不得超过0.5米，应与建筑物相协调，服从建筑物外形景观。</w:t>
      </w:r>
    </w:p>
    <w:p>
      <w:pPr>
        <w:widowControl w:val="0"/>
        <w:numPr>
          <w:ilvl w:val="0"/>
          <w:numId w:val="3"/>
        </w:numPr>
        <w:tabs>
          <w:tab w:val="left" w:pos="320"/>
        </w:tabs>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不得遮挡建筑物或居民生活采光，门头招牌、牌匾在设置时要低于楼上阳台（窗）下檐10厘米，下檐与卷闸门盒的底部平齐。</w:t>
      </w:r>
    </w:p>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报价人报价清单需符合采购人采购清单要求，</w:t>
      </w:r>
      <w:r>
        <w:rPr>
          <w:rFonts w:hint="eastAsia" w:ascii="仿宋" w:hAnsi="仿宋" w:eastAsia="仿宋" w:cs="仿宋"/>
          <w:color w:val="auto"/>
          <w:sz w:val="32"/>
          <w:szCs w:val="32"/>
          <w:highlight w:val="none"/>
        </w:rPr>
        <w:t>否则视为无效报价。</w:t>
      </w:r>
    </w:p>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所有货物</w:t>
      </w:r>
      <w:r>
        <w:rPr>
          <w:rFonts w:hint="eastAsia" w:ascii="仿宋" w:hAnsi="仿宋" w:eastAsia="仿宋" w:cs="仿宋"/>
          <w:color w:val="auto"/>
          <w:sz w:val="32"/>
          <w:szCs w:val="32"/>
          <w:highlight w:val="none"/>
        </w:rPr>
        <w:t>必须为全新的合格产品，符合甲方要求和国家相关标准，</w:t>
      </w:r>
      <w:r>
        <w:rPr>
          <w:rFonts w:hint="eastAsia" w:ascii="仿宋" w:hAnsi="仿宋" w:eastAsia="仿宋" w:cs="仿宋"/>
          <w:color w:val="auto"/>
          <w:sz w:val="32"/>
          <w:szCs w:val="32"/>
          <w:highlight w:val="none"/>
          <w:lang w:val="en-US" w:eastAsia="zh-CN"/>
        </w:rPr>
        <w:t>材质大小</w:t>
      </w:r>
      <w:r>
        <w:rPr>
          <w:rFonts w:hint="eastAsia" w:ascii="仿宋" w:hAnsi="仿宋" w:eastAsia="仿宋" w:cs="仿宋"/>
          <w:color w:val="auto"/>
          <w:sz w:val="32"/>
          <w:szCs w:val="32"/>
          <w:highlight w:val="none"/>
        </w:rPr>
        <w:t>要求及方案落地效果</w:t>
      </w:r>
      <w:r>
        <w:rPr>
          <w:rFonts w:hint="eastAsia" w:ascii="仿宋" w:hAnsi="仿宋" w:eastAsia="仿宋" w:cs="仿宋"/>
          <w:color w:val="auto"/>
          <w:sz w:val="32"/>
          <w:szCs w:val="32"/>
          <w:highlight w:val="none"/>
          <w:lang w:val="en-US" w:eastAsia="zh-CN"/>
        </w:rPr>
        <w:t>均</w:t>
      </w:r>
      <w:r>
        <w:rPr>
          <w:rFonts w:hint="eastAsia" w:ascii="仿宋" w:hAnsi="仿宋" w:eastAsia="仿宋" w:cs="仿宋"/>
          <w:color w:val="auto"/>
          <w:sz w:val="32"/>
          <w:szCs w:val="32"/>
          <w:highlight w:val="none"/>
        </w:rPr>
        <w:t>需符合采购人</w:t>
      </w:r>
      <w:r>
        <w:rPr>
          <w:rFonts w:hint="eastAsia" w:ascii="仿宋" w:hAnsi="仿宋" w:eastAsia="仿宋" w:cs="仿宋"/>
          <w:color w:val="auto"/>
          <w:sz w:val="32"/>
          <w:szCs w:val="32"/>
          <w:highlight w:val="none"/>
          <w:lang w:val="en-US" w:eastAsia="zh-CN"/>
        </w:rPr>
        <w:t>需求书</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eastAsia="zh-CN"/>
        </w:rPr>
        <w:t>。</w:t>
      </w:r>
    </w:p>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质保期：货物完成供货及安装后经双方验收合格之日起质保</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年。</w:t>
      </w:r>
    </w:p>
    <w:p>
      <w:pPr>
        <w:numPr>
          <w:ilvl w:val="0"/>
          <w:numId w:val="2"/>
        </w:numPr>
        <w:spacing w:line="360" w:lineRule="auto"/>
        <w:ind w:firstLine="42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有其他技术疑问请咨询工：</w:t>
      </w:r>
      <w:r>
        <w:rPr>
          <w:rFonts w:hint="eastAsia" w:ascii="仿宋" w:hAnsi="仿宋" w:eastAsia="仿宋" w:cs="仿宋"/>
          <w:color w:val="auto"/>
          <w:sz w:val="32"/>
          <w:szCs w:val="32"/>
          <w:highlight w:val="none"/>
          <w:lang w:val="en-US" w:eastAsia="zh-CN"/>
        </w:rPr>
        <w:t>黎</w:t>
      </w:r>
      <w:r>
        <w:rPr>
          <w:rFonts w:hint="eastAsia" w:ascii="仿宋" w:hAnsi="仿宋" w:eastAsia="仿宋" w:cs="仿宋"/>
          <w:color w:val="auto"/>
          <w:sz w:val="32"/>
          <w:szCs w:val="32"/>
          <w:highlight w:val="none"/>
        </w:rPr>
        <w:t>工13412868812。</w:t>
      </w:r>
    </w:p>
    <w:p>
      <w:pPr>
        <w:spacing w:line="360" w:lineRule="auto"/>
        <w:ind w:firstLine="643" w:firstLineChars="200"/>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五、完成时间</w:t>
      </w:r>
    </w:p>
    <w:p>
      <w:pPr>
        <w:spacing w:line="360" w:lineRule="auto"/>
        <w:ind w:firstLine="640"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自采购人发出结果确认函之日起</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个日历日内按照采购人要求完成全部供货及安装并经采购人验收合格。</w:t>
      </w:r>
    </w:p>
    <w:p>
      <w:p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六、支付方式</w:t>
      </w:r>
    </w:p>
    <w:p>
      <w:pPr>
        <w:spacing w:line="360" w:lineRule="auto"/>
        <w:ind w:firstLine="640"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成交人完成货物安装并经采购人验收合格后，成交人提交合同总价100%的增值税专用发票，采购人在收到有效请款资料后的三十个日历日内支付合同金额的</w:t>
      </w: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w:t>
      </w:r>
    </w:p>
    <w:p>
      <w:p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七、报价</w:t>
      </w:r>
    </w:p>
    <w:p>
      <w:pPr>
        <w:adjustRightInd w:val="0"/>
        <w:spacing w:line="360" w:lineRule="auto"/>
        <w:ind w:left="-141" w:leftChars="-67" w:firstLine="848" w:firstLineChars="265"/>
        <w:jc w:val="left"/>
        <w:rPr>
          <w:rFonts w:hint="eastAsia" w:ascii="仿宋" w:hAnsi="仿宋" w:eastAsia="仿宋" w:cs="仿宋"/>
          <w:sz w:val="32"/>
          <w:szCs w:val="32"/>
        </w:rPr>
      </w:pPr>
      <w:r>
        <w:rPr>
          <w:rFonts w:hint="eastAsia" w:ascii="仿宋" w:hAnsi="仿宋" w:eastAsia="仿宋" w:cs="仿宋"/>
          <w:sz w:val="32"/>
          <w:szCs w:val="32"/>
        </w:rPr>
        <w:t>采购限价：</w:t>
      </w:r>
      <w:r>
        <w:rPr>
          <w:rFonts w:hint="eastAsia" w:ascii="仿宋" w:hAnsi="仿宋" w:eastAsia="仿宋" w:cs="仿宋"/>
          <w:sz w:val="32"/>
          <w:szCs w:val="32"/>
          <w:highlight w:val="none"/>
        </w:rPr>
        <w:t>¥</w:t>
      </w:r>
      <w:r>
        <w:rPr>
          <w:rFonts w:hint="eastAsia" w:ascii="仿宋" w:hAnsi="仿宋" w:eastAsia="仿宋" w:cs="仿宋"/>
          <w:b w:val="0"/>
          <w:bCs w:val="0"/>
          <w:sz w:val="32"/>
          <w:szCs w:val="32"/>
          <w:u w:val="single"/>
          <w:lang w:val="en-US" w:eastAsia="zh-CN"/>
        </w:rPr>
        <w:t>26,405.00</w:t>
      </w:r>
      <w:r>
        <w:rPr>
          <w:rFonts w:hint="eastAsia" w:ascii="仿宋" w:hAnsi="仿宋" w:eastAsia="仿宋" w:cs="仿宋"/>
          <w:sz w:val="32"/>
          <w:szCs w:val="32"/>
        </w:rPr>
        <w:t>元（含税）</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本项目为固定总价包干，报价包含</w:t>
      </w:r>
      <w:bookmarkStart w:id="0" w:name="_Hlk70346359"/>
      <w:bookmarkStart w:id="1" w:name="_Hlk75881033"/>
      <w:r>
        <w:rPr>
          <w:rFonts w:hint="eastAsia" w:ascii="仿宋" w:hAnsi="仿宋" w:eastAsia="仿宋" w:cs="仿宋"/>
          <w:sz w:val="32"/>
          <w:szCs w:val="32"/>
        </w:rPr>
        <w:t>材料费、服务费、人工费、税费</w:t>
      </w:r>
      <w:bookmarkEnd w:id="0"/>
      <w:r>
        <w:rPr>
          <w:rFonts w:hint="eastAsia" w:ascii="仿宋" w:hAnsi="仿宋" w:eastAsia="仿宋" w:cs="仿宋"/>
          <w:sz w:val="32"/>
          <w:szCs w:val="32"/>
        </w:rPr>
        <w:t>、安装费等一切为满足项目实施可能产生的费用</w:t>
      </w:r>
      <w:bookmarkEnd w:id="1"/>
      <w:r>
        <w:rPr>
          <w:rFonts w:hint="eastAsia" w:ascii="仿宋" w:hAnsi="仿宋" w:eastAsia="仿宋" w:cs="仿宋"/>
          <w:sz w:val="32"/>
          <w:szCs w:val="32"/>
        </w:rPr>
        <w:t>，最终结算时不做调整。要求报价人提供总价及分项报价，分项包括：报价人认为需要列出的其他分项。报价人所报价格不得高于采购限价。</w:t>
      </w:r>
    </w:p>
    <w:p>
      <w:pPr>
        <w:numPr>
          <w:ilvl w:val="255"/>
          <w:numId w:val="0"/>
        </w:num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八、定标</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本次项目采用询价方式进行采购，原则上以含税总价的最低报价的报价人为成交人。</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开标结束后由采购人招标成本部将相关询价情况报采购人招标采购工作小组审定，由采购人招标采购工作小组定标。</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合同签订的依据为询价文件、报价文件及补充说明等。确定成交人后，成交人在10天内与采购人签订合同（详见附件合同模板）。</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报价人收款前需向采购人提供请款材料和开具合法有效等额的增值税专用发票，否则采购人有权拒绝付款。</w:t>
      </w:r>
    </w:p>
    <w:p>
      <w:pPr>
        <w:spacing w:line="360" w:lineRule="auto"/>
        <w:ind w:firstLine="640" w:firstLineChars="200"/>
        <w:outlineLvl w:val="1"/>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sym w:font="Wingdings" w:char="00AB"/>
      </w:r>
      <w:r>
        <w:rPr>
          <w:rFonts w:hint="eastAsia" w:ascii="仿宋" w:hAnsi="仿宋" w:eastAsia="仿宋" w:cs="仿宋"/>
          <w:b/>
          <w:bCs/>
          <w:color w:val="auto"/>
          <w:sz w:val="32"/>
          <w:szCs w:val="32"/>
          <w:highlight w:val="none"/>
        </w:rPr>
        <w:t>九、报价文件的组成部分（报价人报价文件本项资料如有不全，则作无效报价处理）</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报价函（模板，详见附件）及分项报价清单（报价人自拟）（加盖公章）；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法人证明（模板，详见附件）以及法人身份证复印件（加盖公章）；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法人授权书（模板，详见附件）及被委托人身份证复印件（加盖公章）</w:t>
      </w:r>
      <w:r>
        <w:rPr>
          <w:rFonts w:hint="eastAsia" w:ascii="仿宋" w:hAnsi="仿宋" w:eastAsia="仿宋" w:cs="仿宋"/>
          <w:color w:val="FF0000"/>
          <w:sz w:val="32"/>
          <w:szCs w:val="32"/>
          <w:highlight w:val="none"/>
        </w:rPr>
        <w:t>（法人本人参加报价活动不需提供）</w:t>
      </w:r>
      <w:r>
        <w:rPr>
          <w:rFonts w:hint="eastAsia" w:ascii="仿宋" w:hAnsi="仿宋" w:eastAsia="仿宋" w:cs="仿宋"/>
          <w:color w:val="auto"/>
          <w:sz w:val="32"/>
          <w:szCs w:val="32"/>
          <w:highlight w:val="none"/>
        </w:rPr>
        <w:t>；</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报价人营业执照复印件（加盖公章）；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投标人未到场声明（必须提供，详见附件）（加盖公章）;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本项目询价文件要求或报价人认为应补充的其他资料（如有）。</w:t>
      </w:r>
    </w:p>
    <w:p>
      <w:pPr>
        <w:numPr>
          <w:ilvl w:val="0"/>
          <w:numId w:val="5"/>
        </w:numPr>
        <w:spacing w:line="360" w:lineRule="auto"/>
        <w:ind w:firstLine="643" w:firstLineChars="200"/>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w:t>
      </w:r>
      <w:bookmarkStart w:id="2" w:name="_Hlk90414502"/>
      <w:r>
        <w:rPr>
          <w:rFonts w:hint="eastAsia" w:ascii="仿宋" w:hAnsi="仿宋" w:eastAsia="仿宋" w:cs="仿宋"/>
          <w:b/>
          <w:bCs/>
          <w:color w:val="auto"/>
          <w:sz w:val="32"/>
          <w:szCs w:val="32"/>
          <w:highlight w:val="none"/>
        </w:rPr>
        <w:t>要求</w:t>
      </w:r>
      <w:bookmarkEnd w:id="2"/>
    </w:p>
    <w:p>
      <w:pPr>
        <w:numPr>
          <w:ilvl w:val="-1"/>
          <w:numId w:val="0"/>
        </w:numPr>
        <w:spacing w:line="360" w:lineRule="auto"/>
        <w:ind w:firstLine="643" w:firstLineChars="200"/>
        <w:outlineLvl w:val="1"/>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本项目实行线上和线下两种投标方式，报价人需严格按照要求进行报价，待开标后发现报价人只参加其中一种方式的视其报价无效，经采购人核实发现线上和线下资料不一致时，以线下为准，具体如下：</w:t>
      </w:r>
    </w:p>
    <w:p>
      <w:pPr>
        <w:pStyle w:val="2"/>
        <w:numPr>
          <w:ilvl w:val="0"/>
          <w:numId w:val="6"/>
        </w:numPr>
        <w:ind w:firstLine="42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线上投标</w:t>
      </w:r>
    </w:p>
    <w:p>
      <w:pPr>
        <w:numPr>
          <w:ilvl w:val="0"/>
          <w:numId w:val="7"/>
        </w:numPr>
        <w:spacing w:line="360" w:lineRule="auto"/>
        <w:ind w:firstLine="640" w:firstLineChars="200"/>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→平台登录：广东东实环境股份有限公司官网</w:t>
      </w:r>
      <w:r>
        <w:rPr>
          <w:rFonts w:hint="eastAsia" w:ascii="仿宋" w:hAnsi="仿宋" w:eastAsia="仿宋" w:cs="仿宋"/>
          <w:color w:val="auto"/>
          <w:sz w:val="32"/>
          <w:szCs w:val="32"/>
          <w:highlight w:val="none"/>
        </w:rPr>
        <w:t>（http://dshuanbao.com.cn/）</w:t>
      </w:r>
      <w:r>
        <w:rPr>
          <w:rFonts w:hint="eastAsia" w:ascii="仿宋" w:hAnsi="仿宋" w:eastAsia="仿宋" w:cs="仿宋"/>
          <w:color w:val="auto"/>
          <w:sz w:val="32"/>
          <w:szCs w:val="32"/>
          <w:highlight w:val="none"/>
          <w:lang w:val="en-US" w:eastAsia="zh-CN"/>
        </w:rPr>
        <w:t>→招标采购→招采平台→供应商注册→填写（点击下一步，完善供应商信息）→注册成功→返回招采平台主界面登录→投标。</w:t>
      </w:r>
      <w:r>
        <w:rPr>
          <w:rFonts w:hint="eastAsia" w:ascii="仿宋" w:hAnsi="仿宋" w:eastAsia="仿宋" w:cs="仿宋"/>
          <w:b/>
          <w:bCs/>
          <w:color w:val="FF0000"/>
          <w:sz w:val="32"/>
          <w:szCs w:val="32"/>
          <w:highlight w:val="none"/>
          <w:lang w:val="en-US" w:eastAsia="zh-CN"/>
        </w:rPr>
        <w:t>（详见附件供应商操作指引）</w:t>
      </w:r>
    </w:p>
    <w:p>
      <w:pPr>
        <w:numPr>
          <w:ilvl w:val="0"/>
          <w:numId w:val="7"/>
        </w:numPr>
        <w:spacing w:line="360" w:lineRule="auto"/>
        <w:ind w:firstLine="640" w:firstLineChars="200"/>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报价人须严格按照</w:t>
      </w:r>
      <w:r>
        <w:rPr>
          <w:rFonts w:hint="eastAsia" w:ascii="仿宋" w:hAnsi="仿宋" w:eastAsia="仿宋" w:cs="仿宋"/>
          <w:color w:val="auto"/>
          <w:sz w:val="32"/>
          <w:szCs w:val="32"/>
          <w:highlight w:val="none"/>
          <w:lang w:val="en-US" w:eastAsia="zh-CN"/>
        </w:rPr>
        <w:t>系统提示要求提供资料并进行报价。</w:t>
      </w:r>
    </w:p>
    <w:p>
      <w:pPr>
        <w:pStyle w:val="2"/>
        <w:numPr>
          <w:ilvl w:val="0"/>
          <w:numId w:val="6"/>
        </w:numPr>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纸质报价文件编制、装订要求：</w:t>
      </w:r>
    </w:p>
    <w:p>
      <w:pPr>
        <w:pStyle w:val="2"/>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1、正本一份、副本一份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正副不一致以正本为准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2、报价人须严格按照采购人提供的表单格式及要求报价，装有报价文件的文件袋须贴有密封条，并于密封条骑缝处加盖企业公章。</w:t>
      </w:r>
    </w:p>
    <w:p>
      <w:pPr>
        <w:pStyle w:val="2"/>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3、报价文件须按询价文件要求及模板格式加盖公章、使用订书机装订或胶装成册（可以分册），于文件骑缝处加盖报价单位企业公章并密封完好（不得以快递文件袋作为密封）。</w:t>
      </w:r>
    </w:p>
    <w:p>
      <w:pPr>
        <w:pStyle w:val="2"/>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4、报价人所递交的报价文件必须为盖章原件，公章、私章或签字不得为彩色/黑白的打印件/复印件。</w:t>
      </w:r>
    </w:p>
    <w:p>
      <w:pPr>
        <w:spacing w:line="360" w:lineRule="auto"/>
        <w:ind w:firstLine="640" w:firstLineChars="200"/>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5、不符合本项要求的报价文件为无效报价。</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为响应新型冠状病毒肺炎防疫工作，本项目报价人仅可邮寄递交报价文件。</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人必须确保报价文件密封完好，在开标截止时间前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收件地址：东莞市麻涌镇大步村海心沙岛</w:t>
      </w:r>
      <w:r>
        <w:rPr>
          <w:rFonts w:hint="eastAsia" w:ascii="仿宋" w:hAnsi="仿宋" w:eastAsia="仿宋" w:cs="仿宋"/>
          <w:color w:val="auto"/>
          <w:sz w:val="32"/>
          <w:szCs w:val="32"/>
          <w:highlight w:val="none"/>
          <w:lang w:val="en-US" w:eastAsia="zh-CN"/>
        </w:rPr>
        <w:t>广东东实环境股份有限公司</w:t>
      </w:r>
      <w:r>
        <w:rPr>
          <w:rFonts w:hint="eastAsia" w:ascii="仿宋" w:hAnsi="仿宋" w:eastAsia="仿宋" w:cs="仿宋"/>
          <w:color w:val="auto"/>
          <w:sz w:val="32"/>
          <w:szCs w:val="32"/>
          <w:highlight w:val="none"/>
        </w:rPr>
        <w:t>管理中心6楼招标成本部</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 系 人：李小姐</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联系电话：0769-39028727（18468187249）</w:t>
      </w:r>
    </w:p>
    <w:p>
      <w:pPr>
        <w:spacing w:line="360" w:lineRule="auto"/>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十一、保证金</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开标结束，成交人需在收到结果确认函后缴存</w:t>
      </w:r>
      <w:r>
        <w:rPr>
          <w:rFonts w:hint="eastAsia" w:ascii="仿宋" w:hAnsi="仿宋" w:eastAsia="仿宋" w:cs="仿宋"/>
          <w:color w:val="auto"/>
          <w:sz w:val="32"/>
          <w:szCs w:val="32"/>
          <w:highlight w:val="none"/>
          <w:lang w:val="en-US" w:eastAsia="zh-CN"/>
        </w:rPr>
        <w:t>¥520.00元（限价2%）</w:t>
      </w:r>
      <w:r>
        <w:rPr>
          <w:rFonts w:hint="eastAsia" w:ascii="仿宋" w:hAnsi="仿宋" w:eastAsia="仿宋" w:cs="仿宋"/>
          <w:color w:val="auto"/>
          <w:sz w:val="32"/>
          <w:szCs w:val="32"/>
          <w:highlight w:val="none"/>
        </w:rPr>
        <w:t>的报价保证金到东莞市东实城</w:t>
      </w:r>
      <w:r>
        <w:rPr>
          <w:rFonts w:hint="eastAsia" w:ascii="仿宋" w:hAnsi="仿宋" w:eastAsia="仿宋" w:cs="仿宋"/>
          <w:color w:val="auto"/>
          <w:sz w:val="32"/>
          <w:szCs w:val="32"/>
          <w:highlight w:val="none"/>
          <w:lang w:val="en-US" w:eastAsia="zh-CN"/>
        </w:rPr>
        <w:t>龙</w:t>
      </w:r>
      <w:r>
        <w:rPr>
          <w:rFonts w:hint="eastAsia" w:ascii="仿宋" w:hAnsi="仿宋" w:eastAsia="仿宋" w:cs="仿宋"/>
          <w:color w:val="auto"/>
          <w:sz w:val="32"/>
          <w:szCs w:val="32"/>
          <w:highlight w:val="none"/>
        </w:rPr>
        <w:t>服务有限公司。报价保证金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报价保证金收款账户信息：</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账</w:t>
      </w:r>
      <w:r>
        <w:rPr>
          <w:rFonts w:hint="eastAsia" w:ascii="仿宋" w:hAnsi="仿宋" w:eastAsia="仿宋" w:cs="仿宋"/>
          <w:color w:val="auto"/>
          <w:sz w:val="32"/>
          <w:szCs w:val="32"/>
          <w:highlight w:val="none"/>
        </w:rPr>
        <w:t>户名称：东莞市东实城</w:t>
      </w:r>
      <w:r>
        <w:rPr>
          <w:rFonts w:hint="eastAsia" w:ascii="仿宋" w:hAnsi="仿宋" w:eastAsia="仿宋" w:cs="仿宋"/>
          <w:color w:val="auto"/>
          <w:sz w:val="32"/>
          <w:szCs w:val="32"/>
          <w:highlight w:val="none"/>
          <w:lang w:val="en-US" w:eastAsia="zh-CN"/>
        </w:rPr>
        <w:t>龙</w:t>
      </w:r>
      <w:r>
        <w:rPr>
          <w:rFonts w:hint="eastAsia" w:ascii="仿宋" w:hAnsi="仿宋" w:eastAsia="仿宋" w:cs="仿宋"/>
          <w:color w:val="auto"/>
          <w:sz w:val="32"/>
          <w:szCs w:val="32"/>
          <w:highlight w:val="none"/>
        </w:rPr>
        <w:t>环境服务有限公司</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开户银行：中信银行股份有限公司东莞鸿福路支行银行</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银行</w:t>
      </w:r>
      <w:r>
        <w:rPr>
          <w:rFonts w:hint="eastAsia" w:ascii="仿宋" w:hAnsi="仿宋" w:eastAsia="仿宋" w:cs="仿宋"/>
          <w:color w:val="auto"/>
          <w:sz w:val="32"/>
          <w:szCs w:val="32"/>
          <w:highlight w:val="none"/>
          <w:lang w:val="en-US" w:eastAsia="zh-CN"/>
        </w:rPr>
        <w:t>账</w:t>
      </w:r>
      <w:r>
        <w:rPr>
          <w:rFonts w:hint="eastAsia" w:ascii="仿宋" w:hAnsi="仿宋" w:eastAsia="仿宋" w:cs="仿宋"/>
          <w:color w:val="auto"/>
          <w:sz w:val="32"/>
          <w:szCs w:val="32"/>
          <w:highlight w:val="none"/>
        </w:rPr>
        <w:t>号：8110 9010 1130 1495 443</w:t>
      </w:r>
    </w:p>
    <w:p>
      <w:pPr>
        <w:spacing w:line="360" w:lineRule="auto"/>
        <w:ind w:firstLine="643" w:firstLineChars="200"/>
        <w:outlineLvl w:val="9"/>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十二、开标时间及地址</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开标时间：2022年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日（星期</w:t>
      </w:r>
      <w:r>
        <w:rPr>
          <w:rFonts w:hint="eastAsia" w:ascii="仿宋" w:hAnsi="仿宋" w:eastAsia="仿宋" w:cs="仿宋"/>
          <w:color w:val="auto"/>
          <w:sz w:val="32"/>
          <w:szCs w:val="32"/>
          <w:highlight w:val="none"/>
          <w:lang w:val="en-US" w:eastAsia="zh-CN"/>
        </w:rPr>
        <w:t xml:space="preserve">五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上</w:t>
      </w:r>
      <w:r>
        <w:rPr>
          <w:rFonts w:hint="eastAsia" w:ascii="仿宋" w:hAnsi="仿宋" w:eastAsia="仿宋" w:cs="仿宋"/>
          <w:color w:val="auto"/>
          <w:sz w:val="32"/>
          <w:szCs w:val="32"/>
          <w:highlight w:val="none"/>
        </w:rPr>
        <w:t>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线下开标</w:t>
      </w: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lang w:val="en-US" w:eastAsia="zh-CN"/>
        </w:rPr>
        <w:t>广东东实环境股份有限公司</w:t>
      </w:r>
      <w:r>
        <w:rPr>
          <w:rFonts w:hint="eastAsia" w:ascii="仿宋" w:hAnsi="仿宋" w:eastAsia="仿宋" w:cs="仿宋"/>
          <w:color w:val="auto"/>
          <w:sz w:val="32"/>
          <w:szCs w:val="32"/>
          <w:highlight w:val="none"/>
        </w:rPr>
        <w:t>管理中心6楼</w:t>
      </w:r>
      <w:r>
        <w:rPr>
          <w:rFonts w:hint="eastAsia" w:ascii="仿宋" w:hAnsi="仿宋" w:eastAsia="仿宋" w:cs="仿宋"/>
          <w:color w:val="auto"/>
          <w:sz w:val="32"/>
          <w:szCs w:val="32"/>
          <w:highlight w:val="none"/>
          <w:lang w:val="en-US" w:eastAsia="zh-CN"/>
        </w:rPr>
        <w:t>6C开标室。</w:t>
      </w:r>
    </w:p>
    <w:p>
      <w:p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十三、注意事项</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1、若报价人未按规定时间</w:t>
      </w:r>
      <w:r>
        <w:rPr>
          <w:rFonts w:hint="eastAsia" w:ascii="仿宋" w:hAnsi="仿宋" w:eastAsia="仿宋" w:cs="仿宋"/>
          <w:color w:val="auto"/>
          <w:sz w:val="32"/>
          <w:szCs w:val="32"/>
          <w:highlight w:val="none"/>
          <w:lang w:val="en-US" w:eastAsia="zh-CN"/>
        </w:rPr>
        <w:t>进行线上报价并</w:t>
      </w:r>
      <w:r>
        <w:rPr>
          <w:rFonts w:hint="eastAsia" w:ascii="仿宋" w:hAnsi="仿宋" w:eastAsia="仿宋" w:cs="仿宋"/>
          <w:color w:val="auto"/>
          <w:sz w:val="32"/>
          <w:szCs w:val="32"/>
          <w:highlight w:val="none"/>
        </w:rPr>
        <w:t>将文件送达现场，视为放弃报价资格。</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2、成交人如未按要求交纳报价保证金，则视为放弃报价资格。</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3、采购人向报价人提供的有关资料和数据，是采购人现有的能使报价人利用的资料，采购人对报价人由此而做出的推论、理解和结论概不负责。</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4、本项目执行过程中将遵循国家、省、市有关法律、法规、标准、技术规范和规范性文件的最新规定。</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5、本项目仅可提交一个报价方案，提交两个或以上报价方案的报价人视为无效报价。</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6、本项目不接受报价人其他附加条件。</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7、有下列情形之一的，保证金将被没收，并纳入采购人供应商黑名单：</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1）中标后无正当理由放弃中标或不与采购人签订合同。</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2）成交人将本项目转让给他人，或者在报价文件中未说明，且未经采购人同意，将中标项目分包给他人。</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3）报价人提供虚假报价文件或虚假补充文件。</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8、有下列情形之一的，视为报价人串通询价，其响应无效：</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（1）不同报价人的响应文件由同一单位或者个人编制；</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（2）不同报价人委托同一单位或者个人办理响应事宜；</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（3）不同报价人的响应文件载明的项目管理成员或者联系人员为同一人；</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（4）不同报价人的响应文件异常一致或者响应报价呈规律性差异；</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（5）不同报价人的响应文件相互混装；</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（6）不同报价人的响应保证金从同一单位或者个人的账户转出。</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9、已列入</w:t>
      </w:r>
      <w:r>
        <w:rPr>
          <w:rFonts w:ascii="仿宋" w:hAnsi="仿宋" w:eastAsia="仿宋" w:cs="仿宋"/>
          <w:i w:val="0"/>
          <w:iCs w:val="0"/>
          <w:caps w:val="0"/>
          <w:color w:val="auto"/>
          <w:spacing w:val="0"/>
          <w:sz w:val="32"/>
          <w:szCs w:val="32"/>
          <w:highlight w:val="none"/>
        </w:rPr>
        <w:t>采购人及上级单位部门黑名单</w:t>
      </w:r>
      <w:r>
        <w:rPr>
          <w:rFonts w:hint="eastAsia" w:ascii="仿宋" w:hAnsi="仿宋" w:eastAsia="仿宋" w:cs="仿宋"/>
          <w:color w:val="auto"/>
          <w:sz w:val="32"/>
          <w:szCs w:val="32"/>
          <w:highlight w:val="none"/>
        </w:rPr>
        <w:t>的报价人视为无效报价。</w:t>
      </w:r>
    </w:p>
    <w:p>
      <w:pPr>
        <w:spacing w:line="360" w:lineRule="auto"/>
        <w:ind w:firstLine="640" w:firstLineChars="200"/>
        <w:rPr>
          <w:rFonts w:ascii="仿宋" w:hAnsi="仿宋" w:eastAsia="仿宋" w:cs="仿宋"/>
          <w:color w:val="auto"/>
          <w:sz w:val="32"/>
          <w:szCs w:val="32"/>
          <w:highlight w:val="none"/>
        </w:rPr>
      </w:pPr>
    </w:p>
    <w:p>
      <w:pPr>
        <w:spacing w:line="360" w:lineRule="auto"/>
        <w:ind w:firstLine="640" w:firstLineChars="200"/>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东莞市东实城</w:t>
      </w:r>
      <w:r>
        <w:rPr>
          <w:rFonts w:hint="eastAsia" w:ascii="仿宋" w:hAnsi="仿宋" w:eastAsia="仿宋" w:cs="仿宋"/>
          <w:color w:val="auto"/>
          <w:sz w:val="32"/>
          <w:szCs w:val="32"/>
          <w:highlight w:val="none"/>
          <w:lang w:val="en-US" w:eastAsia="zh-CN"/>
        </w:rPr>
        <w:t>龙</w:t>
      </w:r>
      <w:r>
        <w:rPr>
          <w:rFonts w:hint="eastAsia" w:ascii="仿宋" w:hAnsi="仿宋" w:eastAsia="仿宋" w:cs="仿宋"/>
          <w:color w:val="auto"/>
          <w:sz w:val="32"/>
          <w:szCs w:val="32"/>
          <w:highlight w:val="none"/>
        </w:rPr>
        <w:t>环境服务有限公司                              2022年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1CF6"/>
    <w:multiLevelType w:val="singleLevel"/>
    <w:tmpl w:val="A4741CF6"/>
    <w:lvl w:ilvl="0" w:tentative="0">
      <w:start w:val="1"/>
      <w:numFmt w:val="decimal"/>
      <w:lvlText w:val="%1."/>
      <w:lvlJc w:val="left"/>
      <w:pPr>
        <w:tabs>
          <w:tab w:val="left" w:pos="312"/>
        </w:tabs>
      </w:pPr>
      <w:rPr>
        <w:rFonts w:hint="default"/>
        <w:sz w:val="30"/>
        <w:szCs w:val="30"/>
      </w:rPr>
    </w:lvl>
  </w:abstractNum>
  <w:abstractNum w:abstractNumId="1">
    <w:nsid w:val="D2DB14A8"/>
    <w:multiLevelType w:val="singleLevel"/>
    <w:tmpl w:val="D2DB14A8"/>
    <w:lvl w:ilvl="0" w:tentative="0">
      <w:start w:val="1"/>
      <w:numFmt w:val="chineseCounting"/>
      <w:suff w:val="nothing"/>
      <w:lvlText w:val="（%1）"/>
      <w:lvlJc w:val="left"/>
      <w:pPr>
        <w:ind w:left="0" w:firstLine="420"/>
      </w:pPr>
      <w:rPr>
        <w:rFonts w:hint="eastAsia"/>
      </w:rPr>
    </w:lvl>
  </w:abstractNum>
  <w:abstractNum w:abstractNumId="2">
    <w:nsid w:val="F50EA4D5"/>
    <w:multiLevelType w:val="singleLevel"/>
    <w:tmpl w:val="F50EA4D5"/>
    <w:lvl w:ilvl="0" w:tentative="0">
      <w:start w:val="1"/>
      <w:numFmt w:val="decimal"/>
      <w:lvlText w:val="%1."/>
      <w:lvlJc w:val="left"/>
      <w:pPr>
        <w:ind w:left="425" w:hanging="425"/>
      </w:pPr>
      <w:rPr>
        <w:rFonts w:hint="default"/>
      </w:rPr>
    </w:lvl>
  </w:abstractNum>
  <w:abstractNum w:abstractNumId="3">
    <w:nsid w:val="09DA80EC"/>
    <w:multiLevelType w:val="singleLevel"/>
    <w:tmpl w:val="09DA80EC"/>
    <w:lvl w:ilvl="0" w:tentative="0">
      <w:start w:val="10"/>
      <w:numFmt w:val="chineseCounting"/>
      <w:suff w:val="nothing"/>
      <w:lvlText w:val="%1、"/>
      <w:lvlJc w:val="left"/>
      <w:rPr>
        <w:rFonts w:hint="eastAsia"/>
      </w:rPr>
    </w:lvl>
  </w:abstractNum>
  <w:abstractNum w:abstractNumId="4">
    <w:nsid w:val="12E5075A"/>
    <w:multiLevelType w:val="singleLevel"/>
    <w:tmpl w:val="12E5075A"/>
    <w:lvl w:ilvl="0" w:tentative="0">
      <w:start w:val="1"/>
      <w:numFmt w:val="chineseCounting"/>
      <w:suff w:val="nothing"/>
      <w:lvlText w:val="（%1）"/>
      <w:lvlJc w:val="left"/>
      <w:pPr>
        <w:ind w:left="0" w:firstLine="420"/>
      </w:pPr>
      <w:rPr>
        <w:rFonts w:hint="eastAsia"/>
      </w:rPr>
    </w:lvl>
  </w:abstractNum>
  <w:abstractNum w:abstractNumId="5">
    <w:nsid w:val="171F199D"/>
    <w:multiLevelType w:val="singleLevel"/>
    <w:tmpl w:val="171F199D"/>
    <w:lvl w:ilvl="0" w:tentative="0">
      <w:start w:val="1"/>
      <w:numFmt w:val="decimal"/>
      <w:lvlText w:val="%1."/>
      <w:lvlJc w:val="left"/>
      <w:pPr>
        <w:ind w:left="425" w:hanging="425"/>
      </w:pPr>
      <w:rPr>
        <w:rFonts w:hint="default"/>
      </w:rPr>
    </w:lvl>
  </w:abstractNum>
  <w:abstractNum w:abstractNumId="6">
    <w:nsid w:val="6099A159"/>
    <w:multiLevelType w:val="singleLevel"/>
    <w:tmpl w:val="6099A159"/>
    <w:lvl w:ilvl="0" w:tentative="0">
      <w:start w:val="1"/>
      <w:numFmt w:val="decimal"/>
      <w:suff w:val="nothing"/>
      <w:lvlText w:val="%1、"/>
      <w:lvlJc w:val="left"/>
      <w:pPr>
        <w:ind w:left="28"/>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jhjNzMxYWYxODc5MGQ1YTZiY2JhOGFlOTU5ZWYifQ=="/>
  </w:docVars>
  <w:rsids>
    <w:rsidRoot w:val="00000000"/>
    <w:rsid w:val="109E4F84"/>
    <w:rsid w:val="2A284A30"/>
    <w:rsid w:val="6A97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2022-10-11T07:27:00Z</dcterms:created>
  <dc:creator>Li</dc:creator>
  <cp:lastModifiedBy>李红艳</cp:lastModifiedBy>
  <cp:lastPrinted>2022-12-22T08:27:36Z</cp:lastPrinted>
  <dcterms:modified xsi:type="dcterms:W3CDTF">2022-12-22T08:27:39Z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EA9F3877E626438481A70F726BC4F714</vt:lpwstr>
  </property>
</Properties>
</file>