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3A08C">
      <w:pPr>
        <w:jc w:val="center"/>
        <w:rPr>
          <w:rFonts w:hint="eastAsia"/>
          <w:b/>
          <w:bCs/>
          <w:sz w:val="28"/>
          <w:szCs w:val="28"/>
          <w:highlight w:val="none"/>
          <w:lang w:val="zh-CN"/>
        </w:rPr>
      </w:pPr>
      <w:bookmarkStart w:id="0" w:name="_Toc396137240"/>
      <w:bookmarkStart w:id="1" w:name="_Toc28024"/>
      <w:r>
        <w:rPr>
          <w:rFonts w:hint="eastAsia"/>
          <w:b/>
          <w:bCs/>
          <w:sz w:val="28"/>
          <w:szCs w:val="28"/>
          <w:highlight w:val="none"/>
          <w:lang w:val="zh-CN"/>
        </w:rPr>
        <w:t>港澳码头及周边地块综合整治项目-汽车衡系统采购</w:t>
      </w:r>
      <w:r>
        <w:rPr>
          <w:rFonts w:hint="eastAsia"/>
          <w:b/>
          <w:bCs/>
          <w:sz w:val="28"/>
          <w:szCs w:val="28"/>
          <w:highlight w:val="none"/>
          <w:lang w:val="en-US" w:eastAsia="zh-CN"/>
        </w:rPr>
        <w:t>项目</w:t>
      </w:r>
      <w:r>
        <w:rPr>
          <w:rFonts w:hint="eastAsia"/>
          <w:b/>
          <w:bCs/>
          <w:sz w:val="28"/>
          <w:szCs w:val="28"/>
          <w:highlight w:val="none"/>
          <w:lang w:val="zh-CN"/>
        </w:rPr>
        <w:t>用户需求书</w:t>
      </w:r>
      <w:bookmarkEnd w:id="0"/>
      <w:bookmarkEnd w:id="1"/>
    </w:p>
    <w:p w14:paraId="685DA841">
      <w:pPr>
        <w:pStyle w:val="4"/>
        <w:spacing w:line="360" w:lineRule="auto"/>
        <w:rPr>
          <w:rFonts w:hint="eastAsia" w:asciiTheme="minorEastAsia" w:hAnsiTheme="minorEastAsia" w:eastAsiaTheme="minorEastAsia" w:cstheme="minorEastAsia"/>
          <w:sz w:val="21"/>
          <w:szCs w:val="21"/>
          <w:highlight w:val="none"/>
        </w:rPr>
      </w:pPr>
      <w:bookmarkStart w:id="2" w:name="_Toc25914"/>
      <w:bookmarkStart w:id="3" w:name="_Toc26946"/>
    </w:p>
    <w:p w14:paraId="4E52CDA9">
      <w:pPr>
        <w:pStyle w:val="4"/>
        <w:spacing w:line="360" w:lineRule="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一、项目背景</w:t>
      </w:r>
      <w:bookmarkEnd w:id="2"/>
      <w:bookmarkEnd w:id="3"/>
    </w:p>
    <w:p w14:paraId="2D0BCA97">
      <w:pPr>
        <w:spacing w:line="360" w:lineRule="auto"/>
        <w:ind w:firstLine="420" w:firstLineChars="20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项目位于广东省东莞市滨海湾新区沙角板块信义路南侧，项目占地面积约为99.93公顷。项目建设需求主要是为处理项目垃圾筛分处理中，筛下的垃圾轻质物外运，进行过磅称重。需在场区内新建一套全新60T双向无人值守数字式电子汽车衡系统用于过磅称重。</w:t>
      </w:r>
    </w:p>
    <w:p w14:paraId="00824D42">
      <w:pPr>
        <w:pStyle w:val="4"/>
        <w:spacing w:line="360" w:lineRule="auto"/>
        <w:rPr>
          <w:rFonts w:hint="eastAsia" w:asciiTheme="minorEastAsia" w:hAnsiTheme="minorEastAsia" w:eastAsiaTheme="minorEastAsia" w:cstheme="minorEastAsia"/>
          <w:sz w:val="21"/>
          <w:szCs w:val="21"/>
          <w:highlight w:val="none"/>
        </w:rPr>
      </w:pPr>
      <w:bookmarkStart w:id="4" w:name="_Toc24163"/>
      <w:bookmarkStart w:id="5" w:name="_Toc2246"/>
      <w:r>
        <w:rPr>
          <w:rFonts w:hint="eastAsia" w:asciiTheme="minorEastAsia" w:hAnsiTheme="minorEastAsia" w:eastAsiaTheme="minorEastAsia" w:cstheme="minorEastAsia"/>
          <w:sz w:val="21"/>
          <w:szCs w:val="21"/>
          <w:highlight w:val="none"/>
        </w:rPr>
        <w:t>二、采购范围</w:t>
      </w:r>
      <w:bookmarkEnd w:id="4"/>
      <w:bookmarkEnd w:id="5"/>
    </w:p>
    <w:p w14:paraId="4FCF0C12">
      <w:pPr>
        <w:pStyle w:val="2"/>
        <w:snapToGrid w:val="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采购范围:1套全新60T双向无人值守数字式电子汽车衡系统，包括但不限于汽车衡系统的供货、运输、卸车、基础安装、设备安装、调试；还包括引桥、防撞栏杆、系统配电等一系列配套设施的安装。</w:t>
      </w:r>
    </w:p>
    <w:p w14:paraId="51E4A7B7">
      <w:pPr>
        <w:pStyle w:val="4"/>
        <w:spacing w:line="360" w:lineRule="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三、设备技术要求</w:t>
      </w:r>
    </w:p>
    <w:p w14:paraId="4C030A45">
      <w:pPr>
        <w:spacing w:before="67" w:line="360" w:lineRule="auto"/>
        <w:ind w:right="19" w:firstLine="416" w:firstLineChars="200"/>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（一）基本要求</w:t>
      </w:r>
    </w:p>
    <w:p w14:paraId="7A59A389">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港澳码头及周边地块综合整治项目施工周期约为26个月为满足项目运营需求，采购一套双向无人值守数字式电子汽车衡系统，在现有水泥马路基础上建设。</w:t>
      </w:r>
    </w:p>
    <w:p w14:paraId="5BE3AB30">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运行(称重)流程:发现车辆→读取车辆信息(刷卡)→识别车辆(根据卡片预存信息识别该车辆允许载重量)-车牌号识别比对信息一打开入称道杆→台面称重→数据处理一数据显示一数据保存及上传→出称道杆抬起，同时大屏幕显示相关信息。</w:t>
      </w:r>
    </w:p>
    <w:p w14:paraId="4532B0ED">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每台运输车辆发一张与该车车号建立对应关系的电子车牌，当运输车辆车牌进入读卡器的工作区域，读卡器可自动识别出卡号并将其传给现场计算机(发生异常情况，例如未读到卡，操作人员可手工干预输入车号)。根据读取信息和称重情况指挥车辆按序上下秤，与其他外设一起实现车辆的自动称重及称重数据管理。</w:t>
      </w:r>
    </w:p>
    <w:p w14:paraId="7201767B">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（二）数字汽车衡执行标准</w:t>
      </w:r>
    </w:p>
    <w:p w14:paraId="0FDE2B03">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数字汽车衡产品质量技术指标按照国家标准，包括但不限于:</w:t>
      </w:r>
    </w:p>
    <w:p w14:paraId="5924C351">
      <w:pPr>
        <w:pStyle w:val="2"/>
        <w:numPr>
          <w:ilvl w:val="0"/>
          <w:numId w:val="0"/>
        </w:numPr>
        <w:ind w:left="0" w:leftChars="0" w:firstLine="535" w:firstLineChars="0"/>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lang w:val="en-US" w:eastAsia="zh-CN" w:bidi="ar-SA"/>
        </w:rPr>
        <w:t>a.</w:t>
      </w:r>
      <w:r>
        <w:rPr>
          <w:rFonts w:hint="eastAsia" w:asciiTheme="minorEastAsia" w:hAnsiTheme="minorEastAsia" w:eastAsiaTheme="minorEastAsia" w:cstheme="minorEastAsia"/>
          <w:sz w:val="21"/>
          <w:szCs w:val="21"/>
          <w:highlight w:val="none"/>
        </w:rPr>
        <w:t>固定式电子秤GB/T7723-2008</w:t>
      </w:r>
    </w:p>
    <w:p w14:paraId="7265E13A">
      <w:pPr>
        <w:pStyle w:val="2"/>
        <w:numPr>
          <w:ilvl w:val="0"/>
          <w:numId w:val="0"/>
        </w:numPr>
        <w:ind w:left="0" w:leftChars="0" w:firstLine="535" w:firstLineChars="0"/>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lang w:val="en-US" w:eastAsia="zh-CN" w:bidi="ar-SA"/>
        </w:rPr>
        <w:t>b.</w:t>
      </w:r>
      <w:r>
        <w:rPr>
          <w:rFonts w:hint="eastAsia" w:asciiTheme="minorEastAsia" w:hAnsiTheme="minorEastAsia" w:eastAsiaTheme="minorEastAsia" w:cstheme="minorEastAsia"/>
          <w:sz w:val="21"/>
          <w:szCs w:val="21"/>
          <w:highlight w:val="none"/>
        </w:rPr>
        <w:t>电子称重仪表GB/T7724-2008</w:t>
      </w:r>
    </w:p>
    <w:p w14:paraId="497E5000">
      <w:pPr>
        <w:pStyle w:val="2"/>
        <w:numPr>
          <w:ilvl w:val="0"/>
          <w:numId w:val="0"/>
        </w:numPr>
        <w:ind w:left="0" w:leftChars="0" w:firstLine="535" w:firstLineChars="0"/>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lang w:val="en-US" w:eastAsia="zh-CN" w:bidi="ar-SA"/>
        </w:rPr>
        <w:t>c.</w:t>
      </w:r>
      <w:r>
        <w:rPr>
          <w:rFonts w:hint="eastAsia" w:asciiTheme="minorEastAsia" w:hAnsiTheme="minorEastAsia" w:eastAsiaTheme="minorEastAsia" w:cstheme="minorEastAsia"/>
          <w:sz w:val="21"/>
          <w:szCs w:val="21"/>
          <w:highlight w:val="none"/>
        </w:rPr>
        <w:t>称重传感器GB/T7551-2008</w:t>
      </w:r>
    </w:p>
    <w:p w14:paraId="0DCFF96D">
      <w:pPr>
        <w:pStyle w:val="2"/>
        <w:numPr>
          <w:ilvl w:val="0"/>
          <w:numId w:val="0"/>
        </w:numPr>
        <w:ind w:left="0" w:leftChars="0" w:firstLine="535" w:firstLineChars="0"/>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lang w:val="en-US" w:eastAsia="zh-CN" w:bidi="ar-SA"/>
        </w:rPr>
        <w:t>d.</w:t>
      </w:r>
      <w:r>
        <w:rPr>
          <w:rFonts w:hint="eastAsia" w:asciiTheme="minorEastAsia" w:hAnsiTheme="minorEastAsia" w:eastAsiaTheme="minorEastAsia" w:cstheme="minorEastAsia"/>
          <w:sz w:val="21"/>
          <w:szCs w:val="21"/>
          <w:highlight w:val="none"/>
        </w:rPr>
        <w:t>钢制件熔化焊工艺评定JB/T6963-1993</w:t>
      </w:r>
    </w:p>
    <w:p w14:paraId="7EA093E0">
      <w:pPr>
        <w:pStyle w:val="2"/>
        <w:numPr>
          <w:ilvl w:val="0"/>
          <w:numId w:val="0"/>
        </w:numPr>
        <w:ind w:left="0" w:leftChars="0" w:firstLine="535" w:firstLineChars="0"/>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lang w:val="en-US" w:eastAsia="zh-CN" w:bidi="ar-SA"/>
        </w:rPr>
        <w:t>e.</w:t>
      </w:r>
      <w:r>
        <w:rPr>
          <w:rFonts w:hint="eastAsia" w:asciiTheme="minorEastAsia" w:hAnsiTheme="minorEastAsia" w:eastAsiaTheme="minorEastAsia" w:cstheme="minorEastAsia"/>
          <w:sz w:val="21"/>
          <w:szCs w:val="21"/>
          <w:highlight w:val="none"/>
        </w:rPr>
        <w:t>电子衡器安全要求GB-14249.1-1993</w:t>
      </w:r>
    </w:p>
    <w:p w14:paraId="7155EAF0">
      <w:pPr>
        <w:pStyle w:val="2"/>
        <w:numPr>
          <w:ilvl w:val="0"/>
          <w:numId w:val="0"/>
        </w:numPr>
        <w:ind w:left="0" w:leftChars="0" w:firstLine="535" w:firstLineChars="0"/>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lang w:val="en-US" w:eastAsia="zh-CN" w:bidi="ar-SA"/>
        </w:rPr>
        <w:t>f.</w:t>
      </w:r>
      <w:r>
        <w:rPr>
          <w:rFonts w:hint="eastAsia" w:asciiTheme="minorEastAsia" w:hAnsiTheme="minorEastAsia" w:eastAsiaTheme="minorEastAsia" w:cstheme="minorEastAsia"/>
          <w:sz w:val="21"/>
          <w:szCs w:val="21"/>
          <w:highlight w:val="none"/>
        </w:rPr>
        <w:t>电子衡器通用技术要求GB/T14249.2-1993</w:t>
      </w:r>
    </w:p>
    <w:p w14:paraId="0822EF0E">
      <w:pPr>
        <w:pStyle w:val="2"/>
        <w:numPr>
          <w:ilvl w:val="0"/>
          <w:numId w:val="0"/>
        </w:numPr>
        <w:ind w:left="0" w:leftChars="0" w:firstLine="535" w:firstLineChars="0"/>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lang w:val="en-US" w:eastAsia="zh-CN" w:bidi="ar-SA"/>
        </w:rPr>
        <w:t>g.</w:t>
      </w:r>
      <w:r>
        <w:rPr>
          <w:rFonts w:hint="eastAsia" w:asciiTheme="minorEastAsia" w:hAnsiTheme="minorEastAsia" w:eastAsiaTheme="minorEastAsia" w:cstheme="minorEastAsia"/>
          <w:sz w:val="21"/>
          <w:szCs w:val="21"/>
          <w:highlight w:val="none"/>
        </w:rPr>
        <w:t>衡器产品型号编制方法QB1563-2003</w:t>
      </w:r>
    </w:p>
    <w:p w14:paraId="3F3994EC">
      <w:pPr>
        <w:pStyle w:val="2"/>
        <w:numPr>
          <w:ilvl w:val="0"/>
          <w:numId w:val="0"/>
        </w:numPr>
        <w:ind w:left="0" w:leftChars="0" w:firstLine="535" w:firstLineChars="0"/>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lang w:val="en-US" w:eastAsia="zh-CN" w:bidi="ar-SA"/>
        </w:rPr>
        <w:t>h.</w:t>
      </w:r>
      <w:r>
        <w:rPr>
          <w:rFonts w:hint="eastAsia" w:asciiTheme="minorEastAsia" w:hAnsiTheme="minorEastAsia" w:eastAsiaTheme="minorEastAsia" w:cstheme="minorEastAsia"/>
          <w:sz w:val="21"/>
          <w:szCs w:val="21"/>
          <w:highlight w:val="none"/>
        </w:rPr>
        <w:t>包装储运图示标志GB191-2008</w:t>
      </w:r>
    </w:p>
    <w:p w14:paraId="48BDFA80">
      <w:pPr>
        <w:pStyle w:val="2"/>
        <w:numPr>
          <w:ilvl w:val="0"/>
          <w:numId w:val="0"/>
        </w:numPr>
        <w:ind w:left="0" w:leftChars="0" w:firstLine="535" w:firstLineChars="0"/>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lang w:val="en-US" w:eastAsia="zh-CN" w:bidi="ar-SA"/>
        </w:rPr>
        <w:t>i.</w:t>
      </w:r>
      <w:r>
        <w:rPr>
          <w:rFonts w:hint="eastAsia" w:asciiTheme="minorEastAsia" w:hAnsiTheme="minorEastAsia" w:eastAsiaTheme="minorEastAsia" w:cstheme="minorEastAsia"/>
          <w:sz w:val="21"/>
          <w:szCs w:val="21"/>
          <w:highlight w:val="none"/>
        </w:rPr>
        <w:t>数字指示秤检定规程JJG539-1997</w:t>
      </w:r>
    </w:p>
    <w:p w14:paraId="118C63FD">
      <w:pPr>
        <w:pStyle w:val="2"/>
        <w:numPr>
          <w:ilvl w:val="0"/>
          <w:numId w:val="0"/>
        </w:numPr>
        <w:ind w:left="0" w:leftChars="0" w:firstLine="535" w:firstLineChars="0"/>
        <w:rPr>
          <w:rFonts w:hint="eastAsia" w:asciiTheme="minorEastAsia" w:hAnsiTheme="minorEastAsia" w:eastAsiaTheme="minorEastAsia" w:cstheme="minorEastAsia"/>
          <w:sz w:val="21"/>
          <w:szCs w:val="21"/>
          <w:highlight w:val="none"/>
        </w:rPr>
      </w:pPr>
      <w:r>
        <w:rPr>
          <w:rFonts w:hint="default" w:asciiTheme="minorEastAsia" w:hAnsiTheme="minorEastAsia" w:eastAsiaTheme="minorEastAsia" w:cstheme="minorEastAsia"/>
          <w:sz w:val="21"/>
          <w:szCs w:val="21"/>
          <w:highlight w:val="none"/>
          <w:lang w:val="en-US" w:eastAsia="zh-CN" w:bidi="ar-SA"/>
        </w:rPr>
        <w:t>j.</w:t>
      </w:r>
      <w:r>
        <w:rPr>
          <w:rFonts w:hint="eastAsia" w:asciiTheme="minorEastAsia" w:hAnsiTheme="minorEastAsia" w:eastAsiaTheme="minorEastAsia" w:cstheme="minorEastAsia"/>
          <w:sz w:val="21"/>
          <w:szCs w:val="21"/>
          <w:highlight w:val="none"/>
        </w:rPr>
        <w:t>涂装前钢材表面锈蚀等级和除锈等级GB8923-88</w:t>
      </w:r>
    </w:p>
    <w:p w14:paraId="562A13CE">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（三）性能要求</w:t>
      </w:r>
    </w:p>
    <w:p w14:paraId="701362D1">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eastAsia="zh-CN"/>
        </w:rPr>
        <w:t>报价人</w:t>
      </w:r>
      <w:r>
        <w:rPr>
          <w:rFonts w:hint="eastAsia" w:asciiTheme="minorEastAsia" w:hAnsiTheme="minorEastAsia" w:eastAsiaTheme="minorEastAsia" w:cstheme="minorEastAsia"/>
          <w:sz w:val="21"/>
          <w:szCs w:val="21"/>
          <w:highlight w:val="none"/>
        </w:rPr>
        <w:t>提供的设备应功能完整，技术领先，所有设备都属于正确设计和制造，在正常工况下均能安全、持续运行，而不应有过度的应力、振动、升温、磨损及老化等其他问题。设备中所有部件都不能采用带有试制性质的部件，若必须采用带有试制性质的技术，一定要事先征得</w:t>
      </w:r>
      <w:r>
        <w:rPr>
          <w:rFonts w:hint="eastAsia" w:asciiTheme="minorEastAsia" w:hAnsiTheme="minorEastAsia" w:eastAsiaTheme="minorEastAsia" w:cstheme="minorEastAsia"/>
          <w:sz w:val="21"/>
          <w:szCs w:val="21"/>
          <w:highlight w:val="none"/>
          <w:lang w:eastAsia="zh-CN"/>
        </w:rPr>
        <w:t>采购人</w:t>
      </w:r>
      <w:r>
        <w:rPr>
          <w:rFonts w:hint="eastAsia" w:asciiTheme="minorEastAsia" w:hAnsiTheme="minorEastAsia" w:eastAsiaTheme="minorEastAsia" w:cstheme="minorEastAsia"/>
          <w:sz w:val="21"/>
          <w:szCs w:val="21"/>
          <w:highlight w:val="none"/>
        </w:rPr>
        <w:t>的同意。</w:t>
      </w:r>
    </w:p>
    <w:p w14:paraId="24160FFC">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设备零部件采用先进、可靠的加工制造技术，具有良好的表面几何形状及合适的公差配合，所有外购配套件都是选用优质、节能、先进的产品，交付使用时须提供生产许可证及产品检验合格证，不采用国家公布的淘汰产品。</w:t>
      </w:r>
    </w:p>
    <w:p w14:paraId="6251A9A4">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3.所使用的零件或组件具有良好的互换性，同时具有抗腐蚀性。</w:t>
      </w:r>
    </w:p>
    <w:p w14:paraId="7D6FF808">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4.称量方式：采用静态整车计量方式</w:t>
      </w:r>
    </w:p>
    <w:p w14:paraId="4B8B41AB">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5.秤体结构：模块化结构、U型梁，全钢结构；</w:t>
      </w:r>
    </w:p>
    <w:p w14:paraId="38631337">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6.汽车衡结构必须符合我国的GB50017《钢结构设计规范》。</w:t>
      </w:r>
    </w:p>
    <w:p w14:paraId="4BE4F381">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7.每台汽车衡所选材质必须能够承受最大称重量二倍以上的载重压力。</w:t>
      </w:r>
    </w:p>
    <w:p w14:paraId="295E837E">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8.所有钢铁材料不能有腐蚀和氧化皮。</w:t>
      </w:r>
    </w:p>
    <w:p w14:paraId="29E73445">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9.所有的钢板和U型钢材必须采用施压的方法进行矫直和弯曲，禁止捶击。</w:t>
      </w:r>
    </w:p>
    <w:p w14:paraId="25CCF716">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10.板材加工前应进行表面预处理，轧平，折弯成U型钢，喷丸后进行组焊，秤体组焊后整体抛丸并涂上底漆。</w:t>
      </w:r>
    </w:p>
    <w:p w14:paraId="432FCD6D">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11.缝应采用自动焊，焊缝表面光滑平整。</w:t>
      </w:r>
    </w:p>
    <w:p w14:paraId="1BE89E8C">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12.汽车衡秤体安全限位性能强，秤体限位方式要便于观察和调整限位，要求维护方便。</w:t>
      </w:r>
    </w:p>
    <w:p w14:paraId="4617336E">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13.秤台设计应预留检修位置及易损件更换位置等。</w:t>
      </w:r>
    </w:p>
    <w:p w14:paraId="031CE33F">
      <w:pPr>
        <w:pStyle w:val="2"/>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14.称台需要具有良好的防腐功能，不少于二层底漆和二层面漆。防腐材料采用喷涂环氧富锌底漆或丙稀酸聚氨脂船用漆。投标时提供称体表面涂漆工艺。</w:t>
      </w:r>
    </w:p>
    <w:p w14:paraId="76EB8B31">
      <w:pPr>
        <w:pStyle w:val="2"/>
        <w:rPr>
          <w:rFonts w:hint="eastAsia" w:asciiTheme="minorEastAsia" w:hAnsiTheme="minorEastAsia" w:eastAsiaTheme="minorEastAsia" w:cstheme="minorEastAsia"/>
          <w:b/>
          <w:bCs/>
          <w:color w:val="C00000"/>
          <w:sz w:val="21"/>
          <w:szCs w:val="21"/>
          <w:highlight w:val="none"/>
        </w:rPr>
      </w:pPr>
      <w:r>
        <w:rPr>
          <w:rFonts w:hint="eastAsia" w:asciiTheme="minorEastAsia" w:hAnsiTheme="minorEastAsia" w:eastAsiaTheme="minorEastAsia" w:cstheme="minorEastAsia"/>
          <w:b/>
          <w:bCs/>
          <w:color w:val="C00000"/>
          <w:sz w:val="21"/>
          <w:szCs w:val="21"/>
          <w:highlight w:val="none"/>
          <w:lang w:val="en-US" w:eastAsia="zh-CN"/>
        </w:rPr>
        <w:t>☆</w:t>
      </w:r>
      <w:r>
        <w:rPr>
          <w:rFonts w:hint="eastAsia" w:asciiTheme="minorEastAsia" w:hAnsiTheme="minorEastAsia" w:eastAsiaTheme="minorEastAsia" w:cstheme="minorEastAsia"/>
          <w:b/>
          <w:bCs/>
          <w:color w:val="C00000"/>
          <w:sz w:val="21"/>
          <w:szCs w:val="21"/>
          <w:highlight w:val="none"/>
        </w:rPr>
        <w:t>15.</w:t>
      </w:r>
      <w:r>
        <w:rPr>
          <w:rFonts w:hint="eastAsia" w:asciiTheme="minorEastAsia" w:hAnsiTheme="minorEastAsia" w:eastAsiaTheme="minorEastAsia" w:cstheme="minorEastAsia"/>
          <w:b/>
          <w:bCs/>
          <w:color w:val="C00000"/>
          <w:sz w:val="21"/>
          <w:szCs w:val="21"/>
          <w:highlight w:val="none"/>
          <w:lang w:val="en-US" w:eastAsia="zh-CN"/>
        </w:rPr>
        <w:t>报价人报价</w:t>
      </w:r>
      <w:r>
        <w:rPr>
          <w:rFonts w:hint="eastAsia" w:asciiTheme="minorEastAsia" w:hAnsiTheme="minorEastAsia" w:eastAsiaTheme="minorEastAsia" w:cstheme="minorEastAsia"/>
          <w:b/>
          <w:bCs/>
          <w:color w:val="C00000"/>
          <w:sz w:val="21"/>
          <w:szCs w:val="21"/>
          <w:highlight w:val="none"/>
        </w:rPr>
        <w:t>时</w:t>
      </w:r>
      <w:r>
        <w:rPr>
          <w:rFonts w:hint="eastAsia" w:asciiTheme="minorEastAsia" w:hAnsiTheme="minorEastAsia" w:eastAsiaTheme="minorEastAsia" w:cstheme="minorEastAsia"/>
          <w:b/>
          <w:bCs/>
          <w:color w:val="C00000"/>
          <w:sz w:val="21"/>
          <w:szCs w:val="21"/>
          <w:highlight w:val="none"/>
          <w:lang w:eastAsia="zh-CN"/>
        </w:rPr>
        <w:t>，</w:t>
      </w:r>
      <w:r>
        <w:rPr>
          <w:rFonts w:hint="eastAsia" w:asciiTheme="minorEastAsia" w:hAnsiTheme="minorEastAsia" w:eastAsiaTheme="minorEastAsia" w:cstheme="minorEastAsia"/>
          <w:b/>
          <w:bCs/>
          <w:color w:val="C00000"/>
          <w:sz w:val="21"/>
          <w:szCs w:val="21"/>
          <w:highlight w:val="none"/>
          <w:lang w:val="en-US" w:eastAsia="zh-CN"/>
        </w:rPr>
        <w:t>须</w:t>
      </w:r>
      <w:r>
        <w:rPr>
          <w:rFonts w:hint="eastAsia" w:asciiTheme="minorEastAsia" w:hAnsiTheme="minorEastAsia" w:eastAsiaTheme="minorEastAsia" w:cstheme="minorEastAsia"/>
          <w:b/>
          <w:bCs/>
          <w:color w:val="C00000"/>
          <w:sz w:val="21"/>
          <w:szCs w:val="21"/>
          <w:highlight w:val="none"/>
        </w:rPr>
        <w:t>提供钢板的结构图及U型梁厚度</w:t>
      </w:r>
      <w:r>
        <w:rPr>
          <w:rFonts w:hint="eastAsia" w:asciiTheme="minorEastAsia" w:hAnsiTheme="minorEastAsia" w:eastAsiaTheme="minorEastAsia" w:cstheme="minorEastAsia"/>
          <w:b/>
          <w:bCs/>
          <w:color w:val="C00000"/>
          <w:sz w:val="21"/>
          <w:szCs w:val="21"/>
          <w:highlight w:val="none"/>
          <w:lang w:val="en-US" w:eastAsia="zh-CN"/>
        </w:rPr>
        <w:t>相关说明</w:t>
      </w:r>
      <w:r>
        <w:rPr>
          <w:rFonts w:hint="eastAsia" w:asciiTheme="minorEastAsia" w:hAnsiTheme="minorEastAsia" w:eastAsiaTheme="minorEastAsia" w:cstheme="minorEastAsia"/>
          <w:b/>
          <w:bCs/>
          <w:color w:val="C00000"/>
          <w:sz w:val="21"/>
          <w:szCs w:val="21"/>
          <w:highlight w:val="none"/>
        </w:rPr>
        <w:t>。</w:t>
      </w:r>
    </w:p>
    <w:p w14:paraId="4547D19C">
      <w:pPr>
        <w:pStyle w:val="2"/>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16.</w:t>
      </w:r>
      <w:r>
        <w:rPr>
          <w:rFonts w:hint="eastAsia" w:asciiTheme="minorEastAsia" w:hAnsiTheme="minorEastAsia" w:eastAsiaTheme="minorEastAsia" w:cstheme="minorEastAsia"/>
          <w:b/>
          <w:bCs/>
          <w:sz w:val="21"/>
          <w:szCs w:val="21"/>
          <w:highlight w:val="none"/>
          <w:lang w:val="en-US" w:eastAsia="zh-CN"/>
        </w:rPr>
        <w:t>设备验收合格后，</w:t>
      </w:r>
      <w:r>
        <w:rPr>
          <w:rFonts w:hint="eastAsia" w:asciiTheme="minorEastAsia" w:hAnsiTheme="minorEastAsia" w:eastAsiaTheme="minorEastAsia" w:cstheme="minorEastAsia"/>
          <w:b/>
          <w:bCs/>
          <w:sz w:val="21"/>
          <w:szCs w:val="21"/>
          <w:highlight w:val="none"/>
        </w:rPr>
        <w:t>汽车衡抗疲劳测试应不小于150万次，</w:t>
      </w:r>
      <w:r>
        <w:rPr>
          <w:rFonts w:hint="eastAsia" w:asciiTheme="minorEastAsia" w:hAnsiTheme="minorEastAsia" w:eastAsiaTheme="minorEastAsia" w:cstheme="minorEastAsia"/>
          <w:b/>
          <w:bCs/>
          <w:sz w:val="21"/>
          <w:szCs w:val="21"/>
          <w:highlight w:val="none"/>
          <w:lang w:val="en-US" w:eastAsia="zh-CN"/>
        </w:rPr>
        <w:t>成交人须</w:t>
      </w:r>
      <w:r>
        <w:rPr>
          <w:rFonts w:hint="eastAsia" w:asciiTheme="minorEastAsia" w:hAnsiTheme="minorEastAsia" w:eastAsiaTheme="minorEastAsia" w:cstheme="minorEastAsia"/>
          <w:b/>
          <w:bCs/>
          <w:sz w:val="21"/>
          <w:szCs w:val="21"/>
          <w:highlight w:val="none"/>
        </w:rPr>
        <w:t>提供第三方试验报告(原件一份交至采购人存档)。</w:t>
      </w:r>
    </w:p>
    <w:p w14:paraId="270CF172">
      <w:pPr>
        <w:pStyle w:val="7"/>
        <w:spacing w:before="189"/>
        <w:ind w:firstLine="420" w:firstLineChars="200"/>
        <w:jc w:val="left"/>
        <w:rPr>
          <w:rFonts w:hint="eastAsia" w:asciiTheme="minorEastAsia" w:hAnsiTheme="minorEastAsia" w:eastAsiaTheme="minorEastAsia" w:cstheme="minorEastAsia"/>
          <w:b w:val="0"/>
          <w:bCs w:val="0"/>
          <w:kern w:val="0"/>
          <w:sz w:val="21"/>
          <w:szCs w:val="21"/>
          <w:highlight w:val="none"/>
          <w:lang w:val="en-US"/>
        </w:rPr>
      </w:pPr>
      <w:r>
        <w:rPr>
          <w:rFonts w:hint="eastAsia" w:asciiTheme="minorEastAsia" w:hAnsiTheme="minorEastAsia" w:eastAsiaTheme="minorEastAsia" w:cstheme="minorEastAsia"/>
          <w:b w:val="0"/>
          <w:bCs w:val="0"/>
          <w:kern w:val="0"/>
          <w:sz w:val="21"/>
          <w:szCs w:val="21"/>
          <w:highlight w:val="none"/>
          <w:lang w:val="en-US"/>
        </w:rPr>
        <w:t>17.（1）汽车衡基本技术指标</w:t>
      </w:r>
    </w:p>
    <w:tbl>
      <w:tblPr>
        <w:tblStyle w:val="20"/>
        <w:tblpPr w:leftFromText="180" w:rightFromText="180" w:vertAnchor="text" w:horzAnchor="margin" w:tblpXSpec="center" w:tblpY="39"/>
        <w:tblW w:w="76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9"/>
        <w:gridCol w:w="2143"/>
        <w:gridCol w:w="4526"/>
      </w:tblGrid>
      <w:tr w14:paraId="10E0E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3084372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序号</w:t>
            </w:r>
          </w:p>
        </w:tc>
        <w:tc>
          <w:tcPr>
            <w:tcW w:w="2143" w:type="dxa"/>
            <w:tcBorders>
              <w:top w:val="single" w:color="000000" w:sz="4" w:space="0"/>
              <w:left w:val="single" w:color="000000" w:sz="4" w:space="0"/>
              <w:bottom w:val="single" w:color="000000" w:sz="4" w:space="0"/>
              <w:right w:val="single" w:color="000000" w:sz="4" w:space="0"/>
            </w:tcBorders>
            <w:vAlign w:val="center"/>
          </w:tcPr>
          <w:p w14:paraId="5B439C9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pacing w:val="3"/>
                <w:sz w:val="21"/>
                <w:szCs w:val="21"/>
                <w:highlight w:val="none"/>
              </w:rPr>
            </w:pPr>
            <w:r>
              <w:rPr>
                <w:rFonts w:hint="eastAsia" w:asciiTheme="minorEastAsia" w:hAnsiTheme="minorEastAsia" w:eastAsiaTheme="minorEastAsia" w:cstheme="minorEastAsia"/>
                <w:spacing w:val="3"/>
                <w:sz w:val="21"/>
                <w:szCs w:val="21"/>
                <w:highlight w:val="none"/>
              </w:rPr>
              <w:t>名称内容</w:t>
            </w:r>
          </w:p>
        </w:tc>
        <w:tc>
          <w:tcPr>
            <w:tcW w:w="4526" w:type="dxa"/>
            <w:tcBorders>
              <w:top w:val="single" w:color="000000" w:sz="4" w:space="0"/>
              <w:left w:val="single" w:color="000000" w:sz="4" w:space="0"/>
              <w:bottom w:val="single" w:color="000000" w:sz="4" w:space="0"/>
              <w:right w:val="single" w:color="000000" w:sz="4" w:space="0"/>
            </w:tcBorders>
            <w:vAlign w:val="center"/>
          </w:tcPr>
          <w:p w14:paraId="4BDA4DA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pacing w:val="-2"/>
                <w:sz w:val="21"/>
                <w:szCs w:val="21"/>
                <w:highlight w:val="none"/>
              </w:rPr>
            </w:pPr>
            <w:r>
              <w:rPr>
                <w:rFonts w:hint="eastAsia" w:asciiTheme="minorEastAsia" w:hAnsiTheme="minorEastAsia" w:eastAsiaTheme="minorEastAsia" w:cstheme="minorEastAsia"/>
                <w:spacing w:val="5"/>
                <w:sz w:val="21"/>
                <w:szCs w:val="21"/>
                <w:highlight w:val="none"/>
                <w:lang w:val="en-US" w:eastAsia="zh-CN"/>
              </w:rPr>
              <w:t>技术</w:t>
            </w:r>
            <w:r>
              <w:rPr>
                <w:rFonts w:hint="eastAsia" w:asciiTheme="minorEastAsia" w:hAnsiTheme="minorEastAsia" w:eastAsiaTheme="minorEastAsia" w:cstheme="minorEastAsia"/>
                <w:spacing w:val="5"/>
                <w:sz w:val="21"/>
                <w:szCs w:val="21"/>
                <w:highlight w:val="none"/>
              </w:rPr>
              <w:t>参数</w:t>
            </w:r>
          </w:p>
        </w:tc>
      </w:tr>
      <w:tr w14:paraId="396A5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1E710B6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3"/>
                <w:sz w:val="21"/>
                <w:szCs w:val="21"/>
                <w:highlight w:val="none"/>
              </w:rPr>
              <w:t>1</w:t>
            </w:r>
          </w:p>
        </w:tc>
        <w:tc>
          <w:tcPr>
            <w:tcW w:w="2143" w:type="dxa"/>
            <w:tcBorders>
              <w:top w:val="single" w:color="000000" w:sz="4" w:space="0"/>
              <w:left w:val="single" w:color="000000" w:sz="4" w:space="0"/>
              <w:bottom w:val="single" w:color="000000" w:sz="4" w:space="0"/>
              <w:right w:val="single" w:color="000000" w:sz="4" w:space="0"/>
            </w:tcBorders>
            <w:vAlign w:val="center"/>
          </w:tcPr>
          <w:p w14:paraId="71CE71A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pacing w:val="3"/>
                <w:sz w:val="21"/>
                <w:szCs w:val="21"/>
                <w:highlight w:val="none"/>
              </w:rPr>
            </w:pPr>
            <w:r>
              <w:rPr>
                <w:rFonts w:hint="eastAsia" w:asciiTheme="minorEastAsia" w:hAnsiTheme="minorEastAsia" w:eastAsiaTheme="minorEastAsia" w:cstheme="minorEastAsia"/>
                <w:spacing w:val="3"/>
                <w:sz w:val="21"/>
                <w:szCs w:val="21"/>
                <w:highlight w:val="none"/>
              </w:rPr>
              <w:t>汽车衡</w:t>
            </w:r>
          </w:p>
        </w:tc>
        <w:tc>
          <w:tcPr>
            <w:tcW w:w="4526" w:type="dxa"/>
            <w:tcBorders>
              <w:top w:val="single" w:color="000000" w:sz="4" w:space="0"/>
              <w:left w:val="single" w:color="000000" w:sz="4" w:space="0"/>
              <w:bottom w:val="single" w:color="000000" w:sz="4" w:space="0"/>
              <w:right w:val="single" w:color="000000" w:sz="4" w:space="0"/>
            </w:tcBorders>
            <w:vAlign w:val="center"/>
          </w:tcPr>
          <w:p w14:paraId="17EB500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pacing w:val="-2"/>
                <w:sz w:val="21"/>
                <w:szCs w:val="21"/>
                <w:highlight w:val="none"/>
              </w:rPr>
            </w:pPr>
            <w:r>
              <w:rPr>
                <w:rFonts w:hint="eastAsia" w:asciiTheme="minorEastAsia" w:hAnsiTheme="minorEastAsia" w:eastAsiaTheme="minorEastAsia" w:cstheme="minorEastAsia"/>
                <w:spacing w:val="1"/>
                <w:sz w:val="21"/>
                <w:szCs w:val="21"/>
                <w:highlight w:val="none"/>
              </w:rPr>
              <w:t>数字式汽车衡（地磅引坡混凝土结构）</w:t>
            </w:r>
          </w:p>
        </w:tc>
      </w:tr>
      <w:tr w14:paraId="6B2CAB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4057AFE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w:t>
            </w:r>
          </w:p>
        </w:tc>
        <w:tc>
          <w:tcPr>
            <w:tcW w:w="2143" w:type="dxa"/>
            <w:tcBorders>
              <w:top w:val="single" w:color="000000" w:sz="4" w:space="0"/>
              <w:left w:val="single" w:color="000000" w:sz="4" w:space="0"/>
              <w:bottom w:val="single" w:color="000000" w:sz="4" w:space="0"/>
              <w:right w:val="single" w:color="000000" w:sz="4" w:space="0"/>
            </w:tcBorders>
            <w:vAlign w:val="center"/>
          </w:tcPr>
          <w:p w14:paraId="7F043D8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规格型号</w:t>
            </w:r>
          </w:p>
        </w:tc>
        <w:tc>
          <w:tcPr>
            <w:tcW w:w="4526" w:type="dxa"/>
            <w:tcBorders>
              <w:top w:val="single" w:color="000000" w:sz="4" w:space="0"/>
              <w:left w:val="single" w:color="000000" w:sz="4" w:space="0"/>
              <w:bottom w:val="single" w:color="000000" w:sz="4" w:space="0"/>
              <w:right w:val="single" w:color="000000" w:sz="4" w:space="0"/>
            </w:tcBorders>
            <w:vAlign w:val="center"/>
          </w:tcPr>
          <w:p w14:paraId="60BA6E7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0~60T</w:t>
            </w:r>
          </w:p>
        </w:tc>
      </w:tr>
      <w:tr w14:paraId="60417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2BAB6AD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w:t>
            </w:r>
          </w:p>
        </w:tc>
        <w:tc>
          <w:tcPr>
            <w:tcW w:w="2143" w:type="dxa"/>
            <w:tcBorders>
              <w:top w:val="single" w:color="000000" w:sz="4" w:space="0"/>
              <w:left w:val="single" w:color="000000" w:sz="4" w:space="0"/>
              <w:bottom w:val="single" w:color="000000" w:sz="4" w:space="0"/>
              <w:right w:val="single" w:color="000000" w:sz="4" w:space="0"/>
            </w:tcBorders>
            <w:vAlign w:val="center"/>
          </w:tcPr>
          <w:p w14:paraId="6A2F896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台面尺寸</w:t>
            </w:r>
          </w:p>
        </w:tc>
        <w:tc>
          <w:tcPr>
            <w:tcW w:w="4526" w:type="dxa"/>
            <w:tcBorders>
              <w:top w:val="single" w:color="000000" w:sz="4" w:space="0"/>
              <w:left w:val="single" w:color="000000" w:sz="4" w:space="0"/>
              <w:bottom w:val="single" w:color="000000" w:sz="4" w:space="0"/>
              <w:right w:val="single" w:color="000000" w:sz="4" w:space="0"/>
            </w:tcBorders>
            <w:vAlign w:val="center"/>
          </w:tcPr>
          <w:p w14:paraId="3CB754E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3×18M</w:t>
            </w:r>
          </w:p>
        </w:tc>
      </w:tr>
      <w:tr w14:paraId="24D91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49B3879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4</w:t>
            </w:r>
          </w:p>
        </w:tc>
        <w:tc>
          <w:tcPr>
            <w:tcW w:w="2143" w:type="dxa"/>
            <w:tcBorders>
              <w:top w:val="single" w:color="000000" w:sz="4" w:space="0"/>
              <w:left w:val="single" w:color="000000" w:sz="4" w:space="0"/>
              <w:bottom w:val="single" w:color="000000" w:sz="4" w:space="0"/>
              <w:right w:val="single" w:color="000000" w:sz="4" w:space="0"/>
            </w:tcBorders>
            <w:vAlign w:val="center"/>
          </w:tcPr>
          <w:p w14:paraId="0765821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秤台节数</w:t>
            </w:r>
          </w:p>
        </w:tc>
        <w:tc>
          <w:tcPr>
            <w:tcW w:w="4526" w:type="dxa"/>
            <w:tcBorders>
              <w:top w:val="single" w:color="000000" w:sz="4" w:space="0"/>
              <w:left w:val="single" w:color="000000" w:sz="4" w:space="0"/>
              <w:bottom w:val="single" w:color="000000" w:sz="4" w:space="0"/>
              <w:right w:val="single" w:color="000000" w:sz="4" w:space="0"/>
            </w:tcBorders>
            <w:vAlign w:val="center"/>
          </w:tcPr>
          <w:p w14:paraId="5C3CD58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6"/>
                <w:sz w:val="21"/>
                <w:szCs w:val="21"/>
                <w:highlight w:val="none"/>
              </w:rPr>
              <w:t>4节</w:t>
            </w:r>
          </w:p>
        </w:tc>
      </w:tr>
      <w:tr w14:paraId="1AF3A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3702DE5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5</w:t>
            </w:r>
          </w:p>
        </w:tc>
        <w:tc>
          <w:tcPr>
            <w:tcW w:w="2143" w:type="dxa"/>
            <w:tcBorders>
              <w:top w:val="single" w:color="000000" w:sz="4" w:space="0"/>
              <w:left w:val="single" w:color="000000" w:sz="4" w:space="0"/>
              <w:bottom w:val="single" w:color="000000" w:sz="4" w:space="0"/>
              <w:right w:val="single" w:color="000000" w:sz="4" w:space="0"/>
            </w:tcBorders>
            <w:vAlign w:val="center"/>
          </w:tcPr>
          <w:p w14:paraId="0418B14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秤台结构形式</w:t>
            </w:r>
          </w:p>
        </w:tc>
        <w:tc>
          <w:tcPr>
            <w:tcW w:w="4526" w:type="dxa"/>
            <w:tcBorders>
              <w:top w:val="single" w:color="000000" w:sz="4" w:space="0"/>
              <w:left w:val="single" w:color="000000" w:sz="4" w:space="0"/>
              <w:bottom w:val="single" w:color="000000" w:sz="4" w:space="0"/>
              <w:right w:val="single" w:color="000000" w:sz="4" w:space="0"/>
            </w:tcBorders>
            <w:vAlign w:val="center"/>
          </w:tcPr>
          <w:p w14:paraId="0ECD702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U型梁结构，承重面钢板厚度不小于</w:t>
            </w:r>
            <w:r>
              <w:rPr>
                <w:rFonts w:hint="eastAsia" w:asciiTheme="minorEastAsia" w:hAnsiTheme="minorEastAsia" w:eastAsiaTheme="minorEastAsia" w:cstheme="minorEastAsia"/>
                <w:sz w:val="21"/>
                <w:szCs w:val="21"/>
                <w:highlight w:val="none"/>
              </w:rPr>
              <w:t>12mm;</w:t>
            </w:r>
          </w:p>
          <w:p w14:paraId="4256E74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U型梁的钢板厚度不小于6mm。</w:t>
            </w:r>
          </w:p>
        </w:tc>
      </w:tr>
      <w:tr w14:paraId="093E6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1195A6B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6</w:t>
            </w:r>
          </w:p>
        </w:tc>
        <w:tc>
          <w:tcPr>
            <w:tcW w:w="2143" w:type="dxa"/>
            <w:tcBorders>
              <w:top w:val="single" w:color="000000" w:sz="4" w:space="0"/>
              <w:left w:val="single" w:color="000000" w:sz="4" w:space="0"/>
              <w:bottom w:val="single" w:color="000000" w:sz="4" w:space="0"/>
              <w:right w:val="single" w:color="000000" w:sz="4" w:space="0"/>
            </w:tcBorders>
            <w:vAlign w:val="center"/>
          </w:tcPr>
          <w:p w14:paraId="3528F31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基础形式</w:t>
            </w:r>
          </w:p>
        </w:tc>
        <w:tc>
          <w:tcPr>
            <w:tcW w:w="4526" w:type="dxa"/>
            <w:tcBorders>
              <w:top w:val="single" w:color="000000" w:sz="4" w:space="0"/>
              <w:left w:val="single" w:color="000000" w:sz="4" w:space="0"/>
              <w:bottom w:val="single" w:color="000000" w:sz="4" w:space="0"/>
              <w:right w:val="single" w:color="000000" w:sz="4" w:space="0"/>
            </w:tcBorders>
            <w:vAlign w:val="center"/>
          </w:tcPr>
          <w:p w14:paraId="7F01F5C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无基坑</w:t>
            </w:r>
          </w:p>
        </w:tc>
      </w:tr>
      <w:tr w14:paraId="68DC2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39F0FCE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2"/>
                <w:sz w:val="21"/>
                <w:szCs w:val="21"/>
                <w:highlight w:val="none"/>
              </w:rPr>
              <w:t>7</w:t>
            </w:r>
          </w:p>
        </w:tc>
        <w:tc>
          <w:tcPr>
            <w:tcW w:w="2143" w:type="dxa"/>
            <w:tcBorders>
              <w:top w:val="single" w:color="000000" w:sz="4" w:space="0"/>
              <w:left w:val="single" w:color="000000" w:sz="4" w:space="0"/>
              <w:bottom w:val="single" w:color="000000" w:sz="4" w:space="0"/>
              <w:right w:val="single" w:color="000000" w:sz="4" w:space="0"/>
            </w:tcBorders>
            <w:vAlign w:val="center"/>
          </w:tcPr>
          <w:p w14:paraId="6D23D16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最大称量</w:t>
            </w:r>
          </w:p>
        </w:tc>
        <w:tc>
          <w:tcPr>
            <w:tcW w:w="4526" w:type="dxa"/>
            <w:tcBorders>
              <w:top w:val="single" w:color="000000" w:sz="4" w:space="0"/>
              <w:left w:val="single" w:color="000000" w:sz="4" w:space="0"/>
              <w:bottom w:val="single" w:color="000000" w:sz="4" w:space="0"/>
              <w:right w:val="single" w:color="000000" w:sz="4" w:space="0"/>
            </w:tcBorders>
            <w:vAlign w:val="center"/>
          </w:tcPr>
          <w:p w14:paraId="12267827">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60T</w:t>
            </w:r>
          </w:p>
        </w:tc>
      </w:tr>
      <w:tr w14:paraId="1B374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60FCBAD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2"/>
                <w:sz w:val="21"/>
                <w:szCs w:val="21"/>
                <w:highlight w:val="none"/>
              </w:rPr>
              <w:t>8</w:t>
            </w:r>
          </w:p>
        </w:tc>
        <w:tc>
          <w:tcPr>
            <w:tcW w:w="2143" w:type="dxa"/>
            <w:tcBorders>
              <w:top w:val="single" w:color="000000" w:sz="4" w:space="0"/>
              <w:left w:val="single" w:color="000000" w:sz="4" w:space="0"/>
              <w:bottom w:val="single" w:color="000000" w:sz="4" w:space="0"/>
              <w:right w:val="single" w:color="000000" w:sz="4" w:space="0"/>
            </w:tcBorders>
            <w:vAlign w:val="center"/>
          </w:tcPr>
          <w:p w14:paraId="5A992BD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检定分度值</w:t>
            </w:r>
          </w:p>
        </w:tc>
        <w:tc>
          <w:tcPr>
            <w:tcW w:w="4526" w:type="dxa"/>
            <w:tcBorders>
              <w:top w:val="single" w:color="000000" w:sz="4" w:space="0"/>
              <w:left w:val="single" w:color="000000" w:sz="4" w:space="0"/>
              <w:bottom w:val="single" w:color="000000" w:sz="4" w:space="0"/>
              <w:right w:val="single" w:color="000000" w:sz="4" w:space="0"/>
            </w:tcBorders>
            <w:vAlign w:val="center"/>
          </w:tcPr>
          <w:p w14:paraId="4134A1F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20kg</w:t>
            </w:r>
          </w:p>
        </w:tc>
      </w:tr>
      <w:tr w14:paraId="33B34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3273CF25">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2"/>
                <w:sz w:val="21"/>
                <w:szCs w:val="21"/>
                <w:highlight w:val="none"/>
              </w:rPr>
              <w:t>9</w:t>
            </w:r>
          </w:p>
        </w:tc>
        <w:tc>
          <w:tcPr>
            <w:tcW w:w="2143" w:type="dxa"/>
            <w:tcBorders>
              <w:top w:val="single" w:color="000000" w:sz="4" w:space="0"/>
              <w:left w:val="single" w:color="000000" w:sz="4" w:space="0"/>
              <w:bottom w:val="single" w:color="000000" w:sz="4" w:space="0"/>
              <w:right w:val="single" w:color="000000" w:sz="4" w:space="0"/>
            </w:tcBorders>
            <w:vAlign w:val="center"/>
          </w:tcPr>
          <w:p w14:paraId="1FDE9CA1">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工作电流</w:t>
            </w:r>
          </w:p>
        </w:tc>
        <w:tc>
          <w:tcPr>
            <w:tcW w:w="4526" w:type="dxa"/>
            <w:tcBorders>
              <w:top w:val="single" w:color="000000" w:sz="4" w:space="0"/>
              <w:left w:val="single" w:color="000000" w:sz="4" w:space="0"/>
              <w:bottom w:val="single" w:color="000000" w:sz="4" w:space="0"/>
              <w:right w:val="single" w:color="000000" w:sz="4" w:space="0"/>
            </w:tcBorders>
            <w:vAlign w:val="center"/>
          </w:tcPr>
          <w:p w14:paraId="3A2B8C5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0.2A</w:t>
            </w:r>
          </w:p>
        </w:tc>
      </w:tr>
      <w:tr w14:paraId="0468D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7F20A0C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2"/>
                <w:sz w:val="21"/>
                <w:szCs w:val="21"/>
                <w:highlight w:val="none"/>
              </w:rPr>
              <w:t>10</w:t>
            </w:r>
          </w:p>
        </w:tc>
        <w:tc>
          <w:tcPr>
            <w:tcW w:w="2143" w:type="dxa"/>
            <w:tcBorders>
              <w:top w:val="single" w:color="000000" w:sz="4" w:space="0"/>
              <w:left w:val="single" w:color="000000" w:sz="4" w:space="0"/>
              <w:bottom w:val="single" w:color="000000" w:sz="4" w:space="0"/>
              <w:right w:val="single" w:color="000000" w:sz="4" w:space="0"/>
            </w:tcBorders>
            <w:vAlign w:val="center"/>
          </w:tcPr>
          <w:p w14:paraId="21C464E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传感器形式</w:t>
            </w:r>
          </w:p>
        </w:tc>
        <w:tc>
          <w:tcPr>
            <w:tcW w:w="4526" w:type="dxa"/>
            <w:tcBorders>
              <w:top w:val="single" w:color="000000" w:sz="4" w:space="0"/>
              <w:left w:val="single" w:color="000000" w:sz="4" w:space="0"/>
              <w:bottom w:val="single" w:color="000000" w:sz="4" w:space="0"/>
              <w:right w:val="single" w:color="000000" w:sz="4" w:space="0"/>
            </w:tcBorders>
            <w:vAlign w:val="center"/>
          </w:tcPr>
          <w:p w14:paraId="065EF850">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柱式或桥式</w:t>
            </w:r>
          </w:p>
        </w:tc>
      </w:tr>
      <w:tr w14:paraId="46448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44047AB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2"/>
                <w:sz w:val="21"/>
                <w:szCs w:val="21"/>
                <w:highlight w:val="none"/>
              </w:rPr>
              <w:t>11</w:t>
            </w:r>
          </w:p>
        </w:tc>
        <w:tc>
          <w:tcPr>
            <w:tcW w:w="2143" w:type="dxa"/>
            <w:tcBorders>
              <w:top w:val="single" w:color="000000" w:sz="4" w:space="0"/>
              <w:left w:val="single" w:color="000000" w:sz="4" w:space="0"/>
              <w:bottom w:val="single" w:color="000000" w:sz="4" w:space="0"/>
              <w:right w:val="single" w:color="000000" w:sz="4" w:space="0"/>
            </w:tcBorders>
            <w:vAlign w:val="center"/>
          </w:tcPr>
          <w:p w14:paraId="7AE5AA2E">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每个传感器量程</w:t>
            </w:r>
          </w:p>
        </w:tc>
        <w:tc>
          <w:tcPr>
            <w:tcW w:w="4526" w:type="dxa"/>
            <w:tcBorders>
              <w:top w:val="single" w:color="000000" w:sz="4" w:space="0"/>
              <w:left w:val="single" w:color="000000" w:sz="4" w:space="0"/>
              <w:bottom w:val="single" w:color="000000" w:sz="4" w:space="0"/>
              <w:right w:val="single" w:color="000000" w:sz="4" w:space="0"/>
            </w:tcBorders>
            <w:vAlign w:val="center"/>
          </w:tcPr>
          <w:p w14:paraId="57BE9AC6">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position w:val="-2"/>
                <w:sz w:val="21"/>
                <w:szCs w:val="21"/>
                <w:highlight w:val="none"/>
              </w:rPr>
              <w:t>30T</w:t>
            </w:r>
          </w:p>
        </w:tc>
      </w:tr>
      <w:tr w14:paraId="2E66D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4DCA3A2F">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13</w:t>
            </w:r>
          </w:p>
        </w:tc>
        <w:tc>
          <w:tcPr>
            <w:tcW w:w="2143" w:type="dxa"/>
            <w:tcBorders>
              <w:top w:val="single" w:color="000000" w:sz="4" w:space="0"/>
              <w:left w:val="single" w:color="000000" w:sz="4" w:space="0"/>
              <w:bottom w:val="single" w:color="000000" w:sz="4" w:space="0"/>
              <w:right w:val="single" w:color="000000" w:sz="4" w:space="0"/>
            </w:tcBorders>
            <w:vAlign w:val="center"/>
          </w:tcPr>
          <w:p w14:paraId="6226F736">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每台秤传感器个</w:t>
            </w:r>
            <w:r>
              <w:rPr>
                <w:rFonts w:hint="eastAsia" w:asciiTheme="minorEastAsia" w:hAnsiTheme="minorEastAsia" w:eastAsiaTheme="minorEastAsia" w:cstheme="minorEastAsia"/>
                <w:sz w:val="21"/>
                <w:szCs w:val="21"/>
                <w:highlight w:val="none"/>
              </w:rPr>
              <w:t>数</w:t>
            </w:r>
          </w:p>
        </w:tc>
        <w:tc>
          <w:tcPr>
            <w:tcW w:w="4526" w:type="dxa"/>
            <w:tcBorders>
              <w:top w:val="single" w:color="000000" w:sz="4" w:space="0"/>
              <w:left w:val="single" w:color="000000" w:sz="4" w:space="0"/>
              <w:bottom w:val="single" w:color="000000" w:sz="4" w:space="0"/>
              <w:right w:val="single" w:color="000000" w:sz="4" w:space="0"/>
            </w:tcBorders>
            <w:vAlign w:val="center"/>
          </w:tcPr>
          <w:p w14:paraId="0BE6C02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5"/>
                <w:sz w:val="21"/>
                <w:szCs w:val="21"/>
                <w:highlight w:val="none"/>
              </w:rPr>
              <w:t>8个</w:t>
            </w:r>
          </w:p>
        </w:tc>
      </w:tr>
      <w:tr w14:paraId="16244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39E61EFB">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14</w:t>
            </w:r>
          </w:p>
        </w:tc>
        <w:tc>
          <w:tcPr>
            <w:tcW w:w="2143" w:type="dxa"/>
            <w:tcBorders>
              <w:top w:val="single" w:color="000000" w:sz="4" w:space="0"/>
              <w:left w:val="single" w:color="000000" w:sz="4" w:space="0"/>
              <w:bottom w:val="single" w:color="000000" w:sz="4" w:space="0"/>
              <w:right w:val="single" w:color="000000" w:sz="4" w:space="0"/>
            </w:tcBorders>
            <w:vAlign w:val="center"/>
          </w:tcPr>
          <w:p w14:paraId="4C3F6736">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传感器工作温度</w:t>
            </w:r>
          </w:p>
        </w:tc>
        <w:tc>
          <w:tcPr>
            <w:tcW w:w="4526" w:type="dxa"/>
            <w:tcBorders>
              <w:top w:val="single" w:color="000000" w:sz="4" w:space="0"/>
              <w:left w:val="single" w:color="000000" w:sz="4" w:space="0"/>
              <w:bottom w:val="single" w:color="000000" w:sz="4" w:space="0"/>
              <w:right w:val="single" w:color="000000" w:sz="4" w:space="0"/>
            </w:tcBorders>
            <w:vAlign w:val="center"/>
          </w:tcPr>
          <w:p w14:paraId="37676F4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-30℃~+65℃</w:t>
            </w:r>
          </w:p>
        </w:tc>
      </w:tr>
      <w:tr w14:paraId="18BC1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0893584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pacing w:val="-7"/>
                <w:position w:val="-2"/>
                <w:sz w:val="21"/>
                <w:szCs w:val="21"/>
                <w:highlight w:val="none"/>
              </w:rPr>
              <w:t>1</w:t>
            </w:r>
            <w:r>
              <w:rPr>
                <w:rFonts w:hint="eastAsia" w:asciiTheme="minorEastAsia" w:hAnsiTheme="minorEastAsia" w:eastAsiaTheme="minorEastAsia" w:cstheme="minorEastAsia"/>
                <w:spacing w:val="-7"/>
                <w:position w:val="-2"/>
                <w:sz w:val="21"/>
                <w:szCs w:val="21"/>
                <w:highlight w:val="none"/>
                <w:lang w:val="en-US" w:eastAsia="zh-CN"/>
              </w:rPr>
              <w:t>5</w:t>
            </w:r>
          </w:p>
        </w:tc>
        <w:tc>
          <w:tcPr>
            <w:tcW w:w="2143" w:type="dxa"/>
            <w:tcBorders>
              <w:top w:val="single" w:color="000000" w:sz="4" w:space="0"/>
              <w:left w:val="single" w:color="000000" w:sz="4" w:space="0"/>
              <w:bottom w:val="single" w:color="000000" w:sz="4" w:space="0"/>
              <w:right w:val="single" w:color="000000" w:sz="4" w:space="0"/>
            </w:tcBorders>
            <w:vAlign w:val="center"/>
          </w:tcPr>
          <w:p w14:paraId="17AF14C8">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传感器防护等级</w:t>
            </w:r>
          </w:p>
        </w:tc>
        <w:tc>
          <w:tcPr>
            <w:tcW w:w="4526" w:type="dxa"/>
            <w:tcBorders>
              <w:top w:val="single" w:color="000000" w:sz="4" w:space="0"/>
              <w:left w:val="single" w:color="000000" w:sz="4" w:space="0"/>
              <w:bottom w:val="single" w:color="000000" w:sz="4" w:space="0"/>
              <w:right w:val="single" w:color="000000" w:sz="4" w:space="0"/>
            </w:tcBorders>
            <w:vAlign w:val="center"/>
          </w:tcPr>
          <w:p w14:paraId="32BD06D6">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5"/>
                <w:position w:val="-2"/>
                <w:sz w:val="21"/>
                <w:szCs w:val="21"/>
                <w:highlight w:val="none"/>
              </w:rPr>
              <w:t>IP68</w:t>
            </w:r>
          </w:p>
        </w:tc>
      </w:tr>
      <w:tr w14:paraId="20C48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022B867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pacing w:val="-7"/>
                <w:position w:val="-2"/>
                <w:sz w:val="21"/>
                <w:szCs w:val="21"/>
                <w:highlight w:val="none"/>
              </w:rPr>
              <w:t>1</w:t>
            </w:r>
            <w:r>
              <w:rPr>
                <w:rFonts w:hint="eastAsia" w:asciiTheme="minorEastAsia" w:hAnsiTheme="minorEastAsia" w:eastAsiaTheme="minorEastAsia" w:cstheme="minorEastAsia"/>
                <w:spacing w:val="-7"/>
                <w:position w:val="-2"/>
                <w:sz w:val="21"/>
                <w:szCs w:val="21"/>
                <w:highlight w:val="none"/>
                <w:lang w:val="en-US" w:eastAsia="zh-CN"/>
              </w:rPr>
              <w:t>6</w:t>
            </w:r>
          </w:p>
        </w:tc>
        <w:tc>
          <w:tcPr>
            <w:tcW w:w="2143" w:type="dxa"/>
            <w:tcBorders>
              <w:top w:val="single" w:color="000000" w:sz="4" w:space="0"/>
              <w:left w:val="single" w:color="000000" w:sz="4" w:space="0"/>
              <w:bottom w:val="single" w:color="000000" w:sz="4" w:space="0"/>
              <w:right w:val="single" w:color="000000" w:sz="4" w:space="0"/>
            </w:tcBorders>
            <w:vAlign w:val="center"/>
          </w:tcPr>
          <w:p w14:paraId="5AD169B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计量速度</w:t>
            </w:r>
          </w:p>
        </w:tc>
        <w:tc>
          <w:tcPr>
            <w:tcW w:w="4526" w:type="dxa"/>
            <w:tcBorders>
              <w:top w:val="single" w:color="000000" w:sz="4" w:space="0"/>
              <w:left w:val="single" w:color="000000" w:sz="4" w:space="0"/>
              <w:bottom w:val="single" w:color="000000" w:sz="4" w:space="0"/>
              <w:right w:val="single" w:color="000000" w:sz="4" w:space="0"/>
            </w:tcBorders>
            <w:vAlign w:val="center"/>
          </w:tcPr>
          <w:p w14:paraId="2ED0F14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静态时车辆停稳3S内显示稳定</w:t>
            </w:r>
          </w:p>
        </w:tc>
      </w:tr>
      <w:tr w14:paraId="03F30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2E0E02A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pacing w:val="-7"/>
                <w:position w:val="-2"/>
                <w:sz w:val="21"/>
                <w:szCs w:val="21"/>
                <w:highlight w:val="none"/>
              </w:rPr>
              <w:t>1</w:t>
            </w:r>
            <w:r>
              <w:rPr>
                <w:rFonts w:hint="eastAsia" w:asciiTheme="minorEastAsia" w:hAnsiTheme="minorEastAsia" w:eastAsiaTheme="minorEastAsia" w:cstheme="minorEastAsia"/>
                <w:spacing w:val="-7"/>
                <w:position w:val="-2"/>
                <w:sz w:val="21"/>
                <w:szCs w:val="21"/>
                <w:highlight w:val="none"/>
                <w:lang w:val="en-US" w:eastAsia="zh-CN"/>
              </w:rPr>
              <w:t>7</w:t>
            </w:r>
          </w:p>
        </w:tc>
        <w:tc>
          <w:tcPr>
            <w:tcW w:w="2143" w:type="dxa"/>
            <w:tcBorders>
              <w:top w:val="single" w:color="000000" w:sz="4" w:space="0"/>
              <w:left w:val="single" w:color="000000" w:sz="4" w:space="0"/>
              <w:bottom w:val="single" w:color="000000" w:sz="4" w:space="0"/>
              <w:right w:val="single" w:color="000000" w:sz="4" w:space="0"/>
            </w:tcBorders>
            <w:vAlign w:val="center"/>
          </w:tcPr>
          <w:p w14:paraId="6A89065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使用寿命</w:t>
            </w:r>
          </w:p>
        </w:tc>
        <w:tc>
          <w:tcPr>
            <w:tcW w:w="4526" w:type="dxa"/>
            <w:tcBorders>
              <w:top w:val="single" w:color="000000" w:sz="4" w:space="0"/>
              <w:left w:val="single" w:color="000000" w:sz="4" w:space="0"/>
              <w:bottom w:val="single" w:color="000000" w:sz="4" w:space="0"/>
              <w:right w:val="single" w:color="000000" w:sz="4" w:space="0"/>
            </w:tcBorders>
            <w:vAlign w:val="center"/>
          </w:tcPr>
          <w:p w14:paraId="25C4A4CD">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不小于150万次</w:t>
            </w:r>
          </w:p>
        </w:tc>
      </w:tr>
      <w:tr w14:paraId="47E1D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1EAAA3EC">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pacing w:val="-7"/>
                <w:sz w:val="21"/>
                <w:szCs w:val="21"/>
                <w:highlight w:val="none"/>
              </w:rPr>
              <w:t>1</w:t>
            </w:r>
            <w:r>
              <w:rPr>
                <w:rFonts w:hint="eastAsia" w:asciiTheme="minorEastAsia" w:hAnsiTheme="minorEastAsia" w:eastAsiaTheme="minorEastAsia" w:cstheme="minorEastAsia"/>
                <w:spacing w:val="-7"/>
                <w:sz w:val="21"/>
                <w:szCs w:val="21"/>
                <w:highlight w:val="none"/>
                <w:lang w:val="en-US" w:eastAsia="zh-CN"/>
              </w:rPr>
              <w:t>8</w:t>
            </w:r>
          </w:p>
        </w:tc>
        <w:tc>
          <w:tcPr>
            <w:tcW w:w="2143" w:type="dxa"/>
            <w:tcBorders>
              <w:top w:val="single" w:color="000000" w:sz="4" w:space="0"/>
              <w:left w:val="single" w:color="000000" w:sz="4" w:space="0"/>
              <w:bottom w:val="single" w:color="000000" w:sz="4" w:space="0"/>
              <w:right w:val="single" w:color="000000" w:sz="4" w:space="0"/>
            </w:tcBorders>
            <w:vAlign w:val="center"/>
          </w:tcPr>
          <w:p w14:paraId="135F5CD2">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适应工作环境相</w:t>
            </w:r>
            <w:r>
              <w:rPr>
                <w:rFonts w:hint="eastAsia" w:asciiTheme="minorEastAsia" w:hAnsiTheme="minorEastAsia" w:eastAsiaTheme="minorEastAsia" w:cstheme="minorEastAsia"/>
                <w:spacing w:val="4"/>
                <w:sz w:val="21"/>
                <w:szCs w:val="21"/>
                <w:highlight w:val="none"/>
              </w:rPr>
              <w:t>对湿度</w:t>
            </w:r>
          </w:p>
        </w:tc>
        <w:tc>
          <w:tcPr>
            <w:tcW w:w="4526" w:type="dxa"/>
            <w:tcBorders>
              <w:top w:val="single" w:color="000000" w:sz="4" w:space="0"/>
              <w:left w:val="single" w:color="000000" w:sz="4" w:space="0"/>
              <w:bottom w:val="single" w:color="000000" w:sz="4" w:space="0"/>
              <w:right w:val="single" w:color="000000" w:sz="4" w:space="0"/>
            </w:tcBorders>
            <w:vAlign w:val="center"/>
          </w:tcPr>
          <w:p w14:paraId="4C788DB9">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85%</w:t>
            </w:r>
          </w:p>
        </w:tc>
      </w:tr>
      <w:tr w14:paraId="3E255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989" w:type="dxa"/>
            <w:tcBorders>
              <w:top w:val="single" w:color="000000" w:sz="4" w:space="0"/>
              <w:left w:val="single" w:color="000000" w:sz="4" w:space="0"/>
              <w:bottom w:val="single" w:color="000000" w:sz="4" w:space="0"/>
              <w:right w:val="single" w:color="000000" w:sz="4" w:space="0"/>
            </w:tcBorders>
            <w:vAlign w:val="center"/>
          </w:tcPr>
          <w:p w14:paraId="3EEFFC6A">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pacing w:val="-7"/>
                <w:sz w:val="21"/>
                <w:szCs w:val="21"/>
                <w:highlight w:val="none"/>
              </w:rPr>
              <w:t>1</w:t>
            </w:r>
            <w:r>
              <w:rPr>
                <w:rFonts w:hint="eastAsia" w:asciiTheme="minorEastAsia" w:hAnsiTheme="minorEastAsia" w:eastAsiaTheme="minorEastAsia" w:cstheme="minorEastAsia"/>
                <w:spacing w:val="-7"/>
                <w:sz w:val="21"/>
                <w:szCs w:val="21"/>
                <w:highlight w:val="none"/>
                <w:lang w:val="en-US" w:eastAsia="zh-CN"/>
              </w:rPr>
              <w:t>9</w:t>
            </w:r>
          </w:p>
        </w:tc>
        <w:tc>
          <w:tcPr>
            <w:tcW w:w="2143" w:type="dxa"/>
            <w:tcBorders>
              <w:top w:val="single" w:color="000000" w:sz="4" w:space="0"/>
              <w:left w:val="single" w:color="000000" w:sz="4" w:space="0"/>
              <w:bottom w:val="single" w:color="000000" w:sz="4" w:space="0"/>
              <w:right w:val="single" w:color="000000" w:sz="4" w:space="0"/>
            </w:tcBorders>
            <w:vAlign w:val="center"/>
          </w:tcPr>
          <w:p w14:paraId="17B35743">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零点漂移</w:t>
            </w:r>
          </w:p>
        </w:tc>
        <w:tc>
          <w:tcPr>
            <w:tcW w:w="4526" w:type="dxa"/>
            <w:tcBorders>
              <w:top w:val="single" w:color="000000" w:sz="4" w:space="0"/>
              <w:left w:val="single" w:color="000000" w:sz="4" w:space="0"/>
              <w:bottom w:val="single" w:color="000000" w:sz="4" w:space="0"/>
              <w:right w:val="single" w:color="000000" w:sz="4" w:space="0"/>
            </w:tcBorders>
            <w:vAlign w:val="center"/>
          </w:tcPr>
          <w:p w14:paraId="56275644">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全系统小于0.5%/天</w:t>
            </w:r>
          </w:p>
        </w:tc>
      </w:tr>
    </w:tbl>
    <w:p w14:paraId="3F5359BE">
      <w:pPr>
        <w:pStyle w:val="7"/>
        <w:spacing w:before="123"/>
        <w:ind w:firstLine="420" w:firstLineChars="200"/>
        <w:jc w:val="left"/>
        <w:rPr>
          <w:rFonts w:hint="eastAsia" w:asciiTheme="minorEastAsia" w:hAnsiTheme="minorEastAsia" w:eastAsiaTheme="minorEastAsia" w:cstheme="minorEastAsia"/>
          <w:b w:val="0"/>
          <w:bCs w:val="0"/>
          <w:kern w:val="0"/>
          <w:sz w:val="21"/>
          <w:szCs w:val="21"/>
          <w:highlight w:val="none"/>
          <w:lang w:val="en-US"/>
        </w:rPr>
      </w:pPr>
      <w:r>
        <w:rPr>
          <w:rFonts w:hint="eastAsia" w:asciiTheme="minorEastAsia" w:hAnsiTheme="minorEastAsia" w:eastAsiaTheme="minorEastAsia" w:cstheme="minorEastAsia"/>
          <w:b w:val="0"/>
          <w:bCs w:val="0"/>
          <w:kern w:val="0"/>
          <w:sz w:val="21"/>
          <w:szCs w:val="21"/>
          <w:highlight w:val="none"/>
          <w:lang w:val="en-US"/>
        </w:rPr>
        <w:t>（2）一卡通智能称重系统基本配置清单</w:t>
      </w:r>
    </w:p>
    <w:tbl>
      <w:tblPr>
        <w:tblStyle w:val="20"/>
        <w:tblW w:w="76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6"/>
        <w:gridCol w:w="2446"/>
        <w:gridCol w:w="822"/>
        <w:gridCol w:w="3624"/>
      </w:tblGrid>
      <w:tr w14:paraId="3630B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01EAFBED">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序号</w:t>
            </w:r>
          </w:p>
        </w:tc>
        <w:tc>
          <w:tcPr>
            <w:tcW w:w="2446" w:type="dxa"/>
            <w:tcBorders>
              <w:top w:val="single" w:color="000000" w:sz="4" w:space="0"/>
              <w:left w:val="single" w:color="000000" w:sz="4" w:space="0"/>
              <w:bottom w:val="single" w:color="000000" w:sz="4" w:space="0"/>
              <w:right w:val="single" w:color="000000" w:sz="4" w:space="0"/>
            </w:tcBorders>
            <w:vAlign w:val="center"/>
          </w:tcPr>
          <w:p w14:paraId="2ECF5BBE">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设备名称</w:t>
            </w:r>
          </w:p>
        </w:tc>
        <w:tc>
          <w:tcPr>
            <w:tcW w:w="822" w:type="dxa"/>
            <w:tcBorders>
              <w:top w:val="single" w:color="000000" w:sz="4" w:space="0"/>
              <w:left w:val="single" w:color="000000" w:sz="4" w:space="0"/>
              <w:bottom w:val="single" w:color="000000" w:sz="4" w:space="0"/>
              <w:right w:val="single" w:color="000000" w:sz="4" w:space="0"/>
            </w:tcBorders>
            <w:vAlign w:val="center"/>
          </w:tcPr>
          <w:p w14:paraId="63FF5BC5">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sz w:val="21"/>
                <w:szCs w:val="21"/>
                <w:highlight w:val="none"/>
              </w:rPr>
              <w:t>单位</w:t>
            </w:r>
          </w:p>
        </w:tc>
        <w:tc>
          <w:tcPr>
            <w:tcW w:w="3624" w:type="dxa"/>
            <w:tcBorders>
              <w:top w:val="single" w:color="000000" w:sz="4" w:space="0"/>
              <w:left w:val="single" w:color="000000" w:sz="4" w:space="0"/>
              <w:bottom w:val="single" w:color="000000" w:sz="4" w:space="0"/>
              <w:right w:val="single" w:color="000000" w:sz="4" w:space="0"/>
            </w:tcBorders>
            <w:vAlign w:val="center"/>
          </w:tcPr>
          <w:p w14:paraId="5670887B">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功能简介</w:t>
            </w:r>
          </w:p>
        </w:tc>
      </w:tr>
      <w:tr w14:paraId="02BF8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04EDF67C">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p>
        </w:tc>
        <w:tc>
          <w:tcPr>
            <w:tcW w:w="2446" w:type="dxa"/>
            <w:tcBorders>
              <w:top w:val="single" w:color="000000" w:sz="4" w:space="0"/>
              <w:left w:val="single" w:color="000000" w:sz="4" w:space="0"/>
              <w:bottom w:val="single" w:color="000000" w:sz="4" w:space="0"/>
              <w:right w:val="single" w:color="000000" w:sz="4" w:space="0"/>
            </w:tcBorders>
            <w:vAlign w:val="center"/>
          </w:tcPr>
          <w:p w14:paraId="3815AA32">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RFID读卡器</w:t>
            </w:r>
          </w:p>
        </w:tc>
        <w:tc>
          <w:tcPr>
            <w:tcW w:w="822" w:type="dxa"/>
            <w:tcBorders>
              <w:top w:val="single" w:color="000000" w:sz="4" w:space="0"/>
              <w:left w:val="single" w:color="000000" w:sz="4" w:space="0"/>
              <w:bottom w:val="single" w:color="000000" w:sz="4" w:space="0"/>
              <w:right w:val="single" w:color="000000" w:sz="4" w:space="0"/>
            </w:tcBorders>
            <w:vAlign w:val="center"/>
          </w:tcPr>
          <w:p w14:paraId="322F0E04">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3"/>
                <w:sz w:val="21"/>
                <w:szCs w:val="21"/>
                <w:highlight w:val="none"/>
              </w:rPr>
              <w:t>1台</w:t>
            </w:r>
          </w:p>
        </w:tc>
        <w:tc>
          <w:tcPr>
            <w:tcW w:w="3624" w:type="dxa"/>
            <w:tcBorders>
              <w:top w:val="single" w:color="000000" w:sz="4" w:space="0"/>
              <w:left w:val="single" w:color="000000" w:sz="4" w:space="0"/>
              <w:bottom w:val="single" w:color="000000" w:sz="4" w:space="0"/>
              <w:right w:val="single" w:color="000000" w:sz="4" w:space="0"/>
            </w:tcBorders>
            <w:vAlign w:val="center"/>
          </w:tcPr>
          <w:p w14:paraId="52397EBA">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读取</w:t>
            </w:r>
            <w:r>
              <w:rPr>
                <w:rFonts w:hint="eastAsia" w:asciiTheme="minorEastAsia" w:hAnsiTheme="minorEastAsia" w:eastAsiaTheme="minorEastAsia" w:cstheme="minorEastAsia"/>
                <w:sz w:val="21"/>
                <w:szCs w:val="21"/>
                <w:highlight w:val="none"/>
              </w:rPr>
              <w:t>IC</w:t>
            </w:r>
            <w:r>
              <w:rPr>
                <w:rFonts w:hint="eastAsia" w:asciiTheme="minorEastAsia" w:hAnsiTheme="minorEastAsia" w:eastAsiaTheme="minorEastAsia" w:cstheme="minorEastAsia"/>
                <w:spacing w:val="3"/>
                <w:sz w:val="21"/>
                <w:szCs w:val="21"/>
                <w:highlight w:val="none"/>
              </w:rPr>
              <w:t>卡信息</w:t>
            </w:r>
          </w:p>
        </w:tc>
      </w:tr>
      <w:tr w14:paraId="712EA6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088A652E">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w:t>
            </w:r>
          </w:p>
        </w:tc>
        <w:tc>
          <w:tcPr>
            <w:tcW w:w="2446" w:type="dxa"/>
            <w:tcBorders>
              <w:top w:val="single" w:color="000000" w:sz="4" w:space="0"/>
              <w:left w:val="single" w:color="000000" w:sz="4" w:space="0"/>
              <w:bottom w:val="single" w:color="000000" w:sz="4" w:space="0"/>
              <w:right w:val="single" w:color="000000" w:sz="4" w:space="0"/>
            </w:tcBorders>
            <w:vAlign w:val="center"/>
          </w:tcPr>
          <w:p w14:paraId="4058557A">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发卡器</w:t>
            </w:r>
          </w:p>
        </w:tc>
        <w:tc>
          <w:tcPr>
            <w:tcW w:w="822" w:type="dxa"/>
            <w:tcBorders>
              <w:top w:val="single" w:color="000000" w:sz="4" w:space="0"/>
              <w:left w:val="single" w:color="000000" w:sz="4" w:space="0"/>
              <w:bottom w:val="single" w:color="000000" w:sz="4" w:space="0"/>
              <w:right w:val="single" w:color="000000" w:sz="4" w:space="0"/>
            </w:tcBorders>
            <w:vAlign w:val="center"/>
          </w:tcPr>
          <w:p w14:paraId="17D409E5">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6"/>
                <w:sz w:val="21"/>
                <w:szCs w:val="21"/>
                <w:highlight w:val="none"/>
              </w:rPr>
              <w:t>1套</w:t>
            </w:r>
          </w:p>
        </w:tc>
        <w:tc>
          <w:tcPr>
            <w:tcW w:w="3624" w:type="dxa"/>
            <w:tcBorders>
              <w:top w:val="single" w:color="000000" w:sz="4" w:space="0"/>
              <w:left w:val="single" w:color="000000" w:sz="4" w:space="0"/>
              <w:bottom w:val="single" w:color="000000" w:sz="4" w:space="0"/>
              <w:right w:val="single" w:color="000000" w:sz="4" w:space="0"/>
            </w:tcBorders>
            <w:vAlign w:val="center"/>
          </w:tcPr>
          <w:p w14:paraId="3C8C65EA">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sz w:val="21"/>
                <w:szCs w:val="21"/>
                <w:highlight w:val="none"/>
              </w:rPr>
              <w:t>发放</w:t>
            </w:r>
            <w:r>
              <w:rPr>
                <w:rFonts w:hint="eastAsia" w:asciiTheme="minorEastAsia" w:hAnsiTheme="minorEastAsia" w:eastAsiaTheme="minorEastAsia" w:cstheme="minorEastAsia"/>
                <w:sz w:val="21"/>
                <w:szCs w:val="21"/>
                <w:highlight w:val="none"/>
              </w:rPr>
              <w:t>IC</w:t>
            </w:r>
            <w:r>
              <w:rPr>
                <w:rFonts w:hint="eastAsia" w:asciiTheme="minorEastAsia" w:hAnsiTheme="minorEastAsia" w:eastAsiaTheme="minorEastAsia" w:cstheme="minorEastAsia"/>
                <w:spacing w:val="4"/>
                <w:sz w:val="21"/>
                <w:szCs w:val="21"/>
                <w:highlight w:val="none"/>
              </w:rPr>
              <w:t>卡</w:t>
            </w:r>
          </w:p>
        </w:tc>
      </w:tr>
      <w:tr w14:paraId="635FC4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25A493EB">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w:t>
            </w:r>
          </w:p>
        </w:tc>
        <w:tc>
          <w:tcPr>
            <w:tcW w:w="2446" w:type="dxa"/>
            <w:tcBorders>
              <w:top w:val="single" w:color="000000" w:sz="4" w:space="0"/>
              <w:left w:val="single" w:color="000000" w:sz="4" w:space="0"/>
              <w:bottom w:val="single" w:color="000000" w:sz="4" w:space="0"/>
              <w:right w:val="single" w:color="000000" w:sz="4" w:space="0"/>
            </w:tcBorders>
            <w:vAlign w:val="center"/>
          </w:tcPr>
          <w:p w14:paraId="35CB6089">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ID卡</w:t>
            </w:r>
          </w:p>
        </w:tc>
        <w:tc>
          <w:tcPr>
            <w:tcW w:w="822" w:type="dxa"/>
            <w:tcBorders>
              <w:top w:val="single" w:color="000000" w:sz="4" w:space="0"/>
              <w:left w:val="single" w:color="000000" w:sz="4" w:space="0"/>
              <w:bottom w:val="single" w:color="000000" w:sz="4" w:space="0"/>
              <w:right w:val="single" w:color="000000" w:sz="4" w:space="0"/>
            </w:tcBorders>
            <w:vAlign w:val="center"/>
          </w:tcPr>
          <w:p w14:paraId="56432A28">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50张</w:t>
            </w:r>
          </w:p>
        </w:tc>
        <w:tc>
          <w:tcPr>
            <w:tcW w:w="3624" w:type="dxa"/>
            <w:tcBorders>
              <w:top w:val="single" w:color="000000" w:sz="4" w:space="0"/>
              <w:left w:val="single" w:color="000000" w:sz="4" w:space="0"/>
              <w:bottom w:val="single" w:color="000000" w:sz="4" w:space="0"/>
              <w:right w:val="single" w:color="000000" w:sz="4" w:space="0"/>
            </w:tcBorders>
            <w:vAlign w:val="center"/>
          </w:tcPr>
          <w:p w14:paraId="69B517D2">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写入</w:t>
            </w:r>
            <w:r>
              <w:rPr>
                <w:rFonts w:hint="eastAsia" w:asciiTheme="minorEastAsia" w:hAnsiTheme="minorEastAsia" w:eastAsiaTheme="minorEastAsia" w:cstheme="minorEastAsia"/>
                <w:sz w:val="21"/>
                <w:szCs w:val="21"/>
                <w:highlight w:val="none"/>
              </w:rPr>
              <w:t>IC</w:t>
            </w:r>
            <w:r>
              <w:rPr>
                <w:rFonts w:hint="eastAsia" w:asciiTheme="minorEastAsia" w:hAnsiTheme="minorEastAsia" w:eastAsiaTheme="minorEastAsia" w:cstheme="minorEastAsia"/>
                <w:spacing w:val="3"/>
                <w:sz w:val="21"/>
                <w:szCs w:val="21"/>
                <w:highlight w:val="none"/>
              </w:rPr>
              <w:t>卡信息</w:t>
            </w:r>
          </w:p>
        </w:tc>
      </w:tr>
      <w:tr w14:paraId="0F161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6C05542E">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4</w:t>
            </w:r>
          </w:p>
        </w:tc>
        <w:tc>
          <w:tcPr>
            <w:tcW w:w="2446" w:type="dxa"/>
            <w:tcBorders>
              <w:top w:val="single" w:color="000000" w:sz="4" w:space="0"/>
              <w:left w:val="single" w:color="000000" w:sz="4" w:space="0"/>
              <w:bottom w:val="single" w:color="000000" w:sz="4" w:space="0"/>
              <w:right w:val="single" w:color="000000" w:sz="4" w:space="0"/>
            </w:tcBorders>
            <w:vAlign w:val="center"/>
          </w:tcPr>
          <w:p w14:paraId="237B5090">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LED</w:t>
            </w:r>
            <w:r>
              <w:rPr>
                <w:rFonts w:hint="eastAsia" w:asciiTheme="minorEastAsia" w:hAnsiTheme="minorEastAsia" w:eastAsiaTheme="minorEastAsia" w:cstheme="minorEastAsia"/>
                <w:spacing w:val="5"/>
                <w:sz w:val="21"/>
                <w:szCs w:val="21"/>
                <w:highlight w:val="none"/>
              </w:rPr>
              <w:t>显示屏</w:t>
            </w:r>
          </w:p>
        </w:tc>
        <w:tc>
          <w:tcPr>
            <w:tcW w:w="822" w:type="dxa"/>
            <w:tcBorders>
              <w:top w:val="single" w:color="000000" w:sz="4" w:space="0"/>
              <w:left w:val="single" w:color="000000" w:sz="4" w:space="0"/>
              <w:bottom w:val="single" w:color="000000" w:sz="4" w:space="0"/>
              <w:right w:val="single" w:color="000000" w:sz="4" w:space="0"/>
            </w:tcBorders>
            <w:vAlign w:val="center"/>
          </w:tcPr>
          <w:p w14:paraId="4CCE74DC">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6"/>
                <w:sz w:val="21"/>
                <w:szCs w:val="21"/>
                <w:highlight w:val="none"/>
              </w:rPr>
              <w:t>1套</w:t>
            </w:r>
          </w:p>
        </w:tc>
        <w:tc>
          <w:tcPr>
            <w:tcW w:w="3624" w:type="dxa"/>
            <w:tcBorders>
              <w:top w:val="single" w:color="000000" w:sz="4" w:space="0"/>
              <w:left w:val="single" w:color="000000" w:sz="4" w:space="0"/>
              <w:bottom w:val="single" w:color="000000" w:sz="4" w:space="0"/>
              <w:right w:val="single" w:color="000000" w:sz="4" w:space="0"/>
            </w:tcBorders>
            <w:vAlign w:val="center"/>
          </w:tcPr>
          <w:p w14:paraId="2765FFE1">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显示过磅重量</w:t>
            </w:r>
          </w:p>
        </w:tc>
      </w:tr>
      <w:tr w14:paraId="56B6C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5DF25138">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2"/>
                <w:sz w:val="21"/>
                <w:szCs w:val="21"/>
                <w:highlight w:val="none"/>
              </w:rPr>
              <w:t>5</w:t>
            </w:r>
          </w:p>
        </w:tc>
        <w:tc>
          <w:tcPr>
            <w:tcW w:w="2446" w:type="dxa"/>
            <w:tcBorders>
              <w:top w:val="single" w:color="000000" w:sz="4" w:space="0"/>
              <w:left w:val="single" w:color="000000" w:sz="4" w:space="0"/>
              <w:bottom w:val="single" w:color="000000" w:sz="4" w:space="0"/>
              <w:right w:val="single" w:color="000000" w:sz="4" w:space="0"/>
            </w:tcBorders>
            <w:vAlign w:val="center"/>
          </w:tcPr>
          <w:p w14:paraId="3422ABC9">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红绿信号灯</w:t>
            </w:r>
          </w:p>
        </w:tc>
        <w:tc>
          <w:tcPr>
            <w:tcW w:w="822" w:type="dxa"/>
            <w:tcBorders>
              <w:top w:val="single" w:color="000000" w:sz="4" w:space="0"/>
              <w:left w:val="single" w:color="000000" w:sz="4" w:space="0"/>
              <w:bottom w:val="single" w:color="000000" w:sz="4" w:space="0"/>
              <w:right w:val="single" w:color="000000" w:sz="4" w:space="0"/>
            </w:tcBorders>
            <w:vAlign w:val="center"/>
          </w:tcPr>
          <w:p w14:paraId="3124FAB6">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3"/>
                <w:sz w:val="21"/>
                <w:szCs w:val="21"/>
                <w:highlight w:val="none"/>
              </w:rPr>
              <w:t>1台</w:t>
            </w:r>
          </w:p>
        </w:tc>
        <w:tc>
          <w:tcPr>
            <w:tcW w:w="3624" w:type="dxa"/>
            <w:tcBorders>
              <w:top w:val="single" w:color="000000" w:sz="4" w:space="0"/>
              <w:left w:val="single" w:color="000000" w:sz="4" w:space="0"/>
              <w:bottom w:val="single" w:color="000000" w:sz="4" w:space="0"/>
              <w:right w:val="single" w:color="000000" w:sz="4" w:space="0"/>
            </w:tcBorders>
            <w:vAlign w:val="center"/>
          </w:tcPr>
          <w:p w14:paraId="72B2F6E6">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指挥司机过磅</w:t>
            </w:r>
          </w:p>
        </w:tc>
      </w:tr>
      <w:tr w14:paraId="181F6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234F0AC5">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6</w:t>
            </w:r>
          </w:p>
        </w:tc>
        <w:tc>
          <w:tcPr>
            <w:tcW w:w="2446" w:type="dxa"/>
            <w:tcBorders>
              <w:top w:val="single" w:color="000000" w:sz="4" w:space="0"/>
              <w:left w:val="single" w:color="000000" w:sz="4" w:space="0"/>
              <w:bottom w:val="single" w:color="000000" w:sz="4" w:space="0"/>
              <w:right w:val="single" w:color="000000" w:sz="4" w:space="0"/>
            </w:tcBorders>
            <w:vAlign w:val="center"/>
          </w:tcPr>
          <w:p w14:paraId="4A9920A5">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抓拍取证系统</w:t>
            </w:r>
          </w:p>
        </w:tc>
        <w:tc>
          <w:tcPr>
            <w:tcW w:w="822" w:type="dxa"/>
            <w:tcBorders>
              <w:top w:val="single" w:color="000000" w:sz="4" w:space="0"/>
              <w:left w:val="single" w:color="000000" w:sz="4" w:space="0"/>
              <w:bottom w:val="single" w:color="000000" w:sz="4" w:space="0"/>
              <w:right w:val="single" w:color="000000" w:sz="4" w:space="0"/>
            </w:tcBorders>
            <w:vAlign w:val="center"/>
          </w:tcPr>
          <w:p w14:paraId="0CD3366F">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3"/>
                <w:sz w:val="21"/>
                <w:szCs w:val="21"/>
                <w:highlight w:val="none"/>
              </w:rPr>
              <w:t>3台</w:t>
            </w:r>
          </w:p>
        </w:tc>
        <w:tc>
          <w:tcPr>
            <w:tcW w:w="3624" w:type="dxa"/>
            <w:tcBorders>
              <w:top w:val="single" w:color="000000" w:sz="4" w:space="0"/>
              <w:left w:val="single" w:color="000000" w:sz="4" w:space="0"/>
              <w:bottom w:val="single" w:color="000000" w:sz="4" w:space="0"/>
              <w:right w:val="single" w:color="000000" w:sz="4" w:space="0"/>
            </w:tcBorders>
            <w:vAlign w:val="center"/>
          </w:tcPr>
          <w:p w14:paraId="1DDBE651">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车头、车尾、车厢货物自动</w:t>
            </w:r>
            <w:r>
              <w:rPr>
                <w:rFonts w:hint="eastAsia" w:asciiTheme="minorEastAsia" w:hAnsiTheme="minorEastAsia" w:eastAsiaTheme="minorEastAsia" w:cstheme="minorEastAsia"/>
                <w:spacing w:val="10"/>
                <w:sz w:val="21"/>
                <w:szCs w:val="21"/>
                <w:highlight w:val="none"/>
              </w:rPr>
              <w:t>拍照取证，便于后续财务、</w:t>
            </w:r>
            <w:r>
              <w:rPr>
                <w:rFonts w:hint="eastAsia" w:asciiTheme="minorEastAsia" w:hAnsiTheme="minorEastAsia" w:eastAsiaTheme="minorEastAsia" w:cstheme="minorEastAsia"/>
                <w:spacing w:val="1"/>
                <w:sz w:val="21"/>
                <w:szCs w:val="21"/>
                <w:highlight w:val="none"/>
              </w:rPr>
              <w:t>管理人员查询取证</w:t>
            </w:r>
          </w:p>
        </w:tc>
      </w:tr>
      <w:tr w14:paraId="47512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07F5DD84">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2"/>
                <w:sz w:val="21"/>
                <w:szCs w:val="21"/>
                <w:highlight w:val="none"/>
              </w:rPr>
              <w:t>7</w:t>
            </w:r>
          </w:p>
        </w:tc>
        <w:tc>
          <w:tcPr>
            <w:tcW w:w="2446" w:type="dxa"/>
            <w:tcBorders>
              <w:top w:val="single" w:color="000000" w:sz="4" w:space="0"/>
              <w:left w:val="single" w:color="000000" w:sz="4" w:space="0"/>
              <w:bottom w:val="single" w:color="000000" w:sz="4" w:space="0"/>
              <w:right w:val="single" w:color="000000" w:sz="4" w:space="0"/>
            </w:tcBorders>
            <w:vAlign w:val="center"/>
          </w:tcPr>
          <w:p w14:paraId="7E3FC21A">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网络交换机</w:t>
            </w:r>
          </w:p>
        </w:tc>
        <w:tc>
          <w:tcPr>
            <w:tcW w:w="822" w:type="dxa"/>
            <w:tcBorders>
              <w:top w:val="single" w:color="000000" w:sz="4" w:space="0"/>
              <w:left w:val="single" w:color="000000" w:sz="4" w:space="0"/>
              <w:bottom w:val="single" w:color="000000" w:sz="4" w:space="0"/>
              <w:right w:val="single" w:color="000000" w:sz="4" w:space="0"/>
            </w:tcBorders>
            <w:vAlign w:val="center"/>
          </w:tcPr>
          <w:p w14:paraId="6F0665A4">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3"/>
                <w:sz w:val="21"/>
                <w:szCs w:val="21"/>
                <w:highlight w:val="none"/>
              </w:rPr>
              <w:t>1台</w:t>
            </w:r>
          </w:p>
        </w:tc>
        <w:tc>
          <w:tcPr>
            <w:tcW w:w="3624" w:type="dxa"/>
            <w:tcBorders>
              <w:top w:val="single" w:color="000000" w:sz="4" w:space="0"/>
              <w:left w:val="single" w:color="000000" w:sz="4" w:space="0"/>
              <w:bottom w:val="single" w:color="000000" w:sz="4" w:space="0"/>
              <w:right w:val="single" w:color="000000" w:sz="4" w:space="0"/>
            </w:tcBorders>
            <w:vAlign w:val="center"/>
          </w:tcPr>
          <w:p w14:paraId="63762AB4">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地磅现场连接摄像机</w:t>
            </w:r>
          </w:p>
        </w:tc>
      </w:tr>
      <w:tr w14:paraId="406C6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309A36D6">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8</w:t>
            </w:r>
          </w:p>
        </w:tc>
        <w:tc>
          <w:tcPr>
            <w:tcW w:w="2446" w:type="dxa"/>
            <w:tcBorders>
              <w:top w:val="single" w:color="000000" w:sz="4" w:space="0"/>
              <w:left w:val="single" w:color="000000" w:sz="4" w:space="0"/>
              <w:bottom w:val="single" w:color="000000" w:sz="4" w:space="0"/>
              <w:right w:val="single" w:color="000000" w:sz="4" w:space="0"/>
            </w:tcBorders>
            <w:vAlign w:val="center"/>
          </w:tcPr>
          <w:p w14:paraId="6FEA6616">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工控电脑</w:t>
            </w:r>
          </w:p>
        </w:tc>
        <w:tc>
          <w:tcPr>
            <w:tcW w:w="822" w:type="dxa"/>
            <w:tcBorders>
              <w:top w:val="single" w:color="000000" w:sz="4" w:space="0"/>
              <w:left w:val="single" w:color="000000" w:sz="4" w:space="0"/>
              <w:bottom w:val="single" w:color="000000" w:sz="4" w:space="0"/>
              <w:right w:val="single" w:color="000000" w:sz="4" w:space="0"/>
            </w:tcBorders>
            <w:vAlign w:val="center"/>
          </w:tcPr>
          <w:p w14:paraId="5FA338E0">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3"/>
                <w:sz w:val="21"/>
                <w:szCs w:val="21"/>
                <w:highlight w:val="none"/>
              </w:rPr>
              <w:t>1台</w:t>
            </w:r>
          </w:p>
        </w:tc>
        <w:tc>
          <w:tcPr>
            <w:tcW w:w="3624" w:type="dxa"/>
            <w:tcBorders>
              <w:top w:val="single" w:color="000000" w:sz="4" w:space="0"/>
              <w:left w:val="single" w:color="000000" w:sz="4" w:space="0"/>
              <w:bottom w:val="single" w:color="000000" w:sz="4" w:space="0"/>
              <w:right w:val="single" w:color="000000" w:sz="4" w:space="0"/>
            </w:tcBorders>
            <w:vAlign w:val="center"/>
          </w:tcPr>
          <w:p w14:paraId="13C9D13B">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高稳定性，I5处理器、8G内</w:t>
            </w:r>
            <w:r>
              <w:rPr>
                <w:rFonts w:hint="eastAsia" w:asciiTheme="minorEastAsia" w:hAnsiTheme="minorEastAsia" w:eastAsiaTheme="minorEastAsia" w:cstheme="minorEastAsia"/>
                <w:spacing w:val="-1"/>
                <w:sz w:val="21"/>
                <w:szCs w:val="21"/>
                <w:highlight w:val="none"/>
              </w:rPr>
              <w:t>存含4个串口、2个千兆网卡，</w:t>
            </w:r>
            <w:r>
              <w:rPr>
                <w:rFonts w:hint="eastAsia" w:asciiTheme="minorEastAsia" w:hAnsiTheme="minorEastAsia" w:eastAsiaTheme="minorEastAsia" w:cstheme="minorEastAsia"/>
                <w:sz w:val="21"/>
                <w:szCs w:val="21"/>
                <w:highlight w:val="none"/>
              </w:rPr>
              <w:t>120G固态硬盘+1T机械硬</w:t>
            </w:r>
          </w:p>
        </w:tc>
      </w:tr>
      <w:tr w14:paraId="30DF2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1AD6C79D">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9</w:t>
            </w:r>
          </w:p>
        </w:tc>
        <w:tc>
          <w:tcPr>
            <w:tcW w:w="2446" w:type="dxa"/>
            <w:tcBorders>
              <w:top w:val="single" w:color="000000" w:sz="4" w:space="0"/>
              <w:left w:val="single" w:color="000000" w:sz="4" w:space="0"/>
              <w:bottom w:val="single" w:color="000000" w:sz="4" w:space="0"/>
              <w:right w:val="single" w:color="000000" w:sz="4" w:space="0"/>
            </w:tcBorders>
            <w:vAlign w:val="center"/>
          </w:tcPr>
          <w:p w14:paraId="3CB49998">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终端显示系统</w:t>
            </w:r>
          </w:p>
        </w:tc>
        <w:tc>
          <w:tcPr>
            <w:tcW w:w="822" w:type="dxa"/>
            <w:tcBorders>
              <w:top w:val="single" w:color="000000" w:sz="4" w:space="0"/>
              <w:left w:val="single" w:color="000000" w:sz="4" w:space="0"/>
              <w:bottom w:val="single" w:color="000000" w:sz="4" w:space="0"/>
              <w:right w:val="single" w:color="000000" w:sz="4" w:space="0"/>
            </w:tcBorders>
            <w:vAlign w:val="center"/>
          </w:tcPr>
          <w:p w14:paraId="77752199">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3"/>
                <w:sz w:val="21"/>
                <w:szCs w:val="21"/>
                <w:highlight w:val="none"/>
                <w:lang w:val="en-US" w:eastAsia="zh-CN"/>
              </w:rPr>
              <w:t>2</w:t>
            </w:r>
            <w:r>
              <w:rPr>
                <w:rFonts w:hint="eastAsia" w:asciiTheme="minorEastAsia" w:hAnsiTheme="minorEastAsia" w:eastAsiaTheme="minorEastAsia" w:cstheme="minorEastAsia"/>
                <w:spacing w:val="13"/>
                <w:sz w:val="21"/>
                <w:szCs w:val="21"/>
                <w:highlight w:val="none"/>
              </w:rPr>
              <w:t>台</w:t>
            </w:r>
          </w:p>
        </w:tc>
        <w:tc>
          <w:tcPr>
            <w:tcW w:w="3624" w:type="dxa"/>
            <w:tcBorders>
              <w:top w:val="single" w:color="000000" w:sz="4" w:space="0"/>
              <w:left w:val="single" w:color="000000" w:sz="4" w:space="0"/>
              <w:bottom w:val="single" w:color="000000" w:sz="4" w:space="0"/>
              <w:right w:val="single" w:color="000000" w:sz="4" w:space="0"/>
            </w:tcBorders>
            <w:vAlign w:val="center"/>
          </w:tcPr>
          <w:p w14:paraId="6396F26D">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显示监控视频画面，一台称</w:t>
            </w:r>
            <w:r>
              <w:rPr>
                <w:rFonts w:hint="eastAsia" w:asciiTheme="minorEastAsia" w:hAnsiTheme="minorEastAsia" w:eastAsiaTheme="minorEastAsia" w:cstheme="minorEastAsia"/>
                <w:spacing w:val="2"/>
                <w:sz w:val="21"/>
                <w:szCs w:val="21"/>
                <w:highlight w:val="none"/>
              </w:rPr>
              <w:t>重软件使用、一台监控使用</w:t>
            </w:r>
          </w:p>
        </w:tc>
      </w:tr>
      <w:tr w14:paraId="6BB18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7BB15A68">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2"/>
                <w:sz w:val="21"/>
                <w:szCs w:val="21"/>
                <w:highlight w:val="none"/>
              </w:rPr>
              <w:t>10</w:t>
            </w:r>
          </w:p>
        </w:tc>
        <w:tc>
          <w:tcPr>
            <w:tcW w:w="2446" w:type="dxa"/>
            <w:tcBorders>
              <w:top w:val="single" w:color="000000" w:sz="4" w:space="0"/>
              <w:left w:val="single" w:color="000000" w:sz="4" w:space="0"/>
              <w:bottom w:val="single" w:color="000000" w:sz="4" w:space="0"/>
              <w:right w:val="single" w:color="000000" w:sz="4" w:space="0"/>
            </w:tcBorders>
            <w:vAlign w:val="center"/>
          </w:tcPr>
          <w:p w14:paraId="5DE63819">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语音提示系统</w:t>
            </w:r>
          </w:p>
        </w:tc>
        <w:tc>
          <w:tcPr>
            <w:tcW w:w="822" w:type="dxa"/>
            <w:tcBorders>
              <w:top w:val="single" w:color="000000" w:sz="4" w:space="0"/>
              <w:left w:val="single" w:color="000000" w:sz="4" w:space="0"/>
              <w:bottom w:val="single" w:color="000000" w:sz="4" w:space="0"/>
              <w:right w:val="single" w:color="000000" w:sz="4" w:space="0"/>
            </w:tcBorders>
            <w:vAlign w:val="center"/>
          </w:tcPr>
          <w:p w14:paraId="6402FBB5">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6"/>
                <w:sz w:val="21"/>
                <w:szCs w:val="21"/>
                <w:highlight w:val="none"/>
              </w:rPr>
              <w:t>1套</w:t>
            </w:r>
          </w:p>
        </w:tc>
        <w:tc>
          <w:tcPr>
            <w:tcW w:w="3624" w:type="dxa"/>
            <w:tcBorders>
              <w:top w:val="single" w:color="000000" w:sz="4" w:space="0"/>
              <w:left w:val="single" w:color="000000" w:sz="4" w:space="0"/>
              <w:bottom w:val="single" w:color="000000" w:sz="4" w:space="0"/>
              <w:right w:val="single" w:color="000000" w:sz="4" w:space="0"/>
            </w:tcBorders>
            <w:vAlign w:val="center"/>
          </w:tcPr>
          <w:p w14:paraId="617F4CC8">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含室外防水音柱</w:t>
            </w:r>
          </w:p>
        </w:tc>
      </w:tr>
      <w:tr w14:paraId="02AE5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4" w:hRule="atLeast"/>
          <w:jc w:val="center"/>
        </w:trPr>
        <w:tc>
          <w:tcPr>
            <w:tcW w:w="806" w:type="dxa"/>
            <w:tcBorders>
              <w:top w:val="single" w:color="000000" w:sz="4" w:space="0"/>
              <w:left w:val="single" w:color="000000" w:sz="4" w:space="0"/>
              <w:bottom w:val="single" w:color="000000" w:sz="4" w:space="0"/>
              <w:right w:val="single" w:color="000000" w:sz="4" w:space="0"/>
            </w:tcBorders>
            <w:vAlign w:val="center"/>
          </w:tcPr>
          <w:p w14:paraId="02EFF205">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11</w:t>
            </w:r>
          </w:p>
        </w:tc>
        <w:tc>
          <w:tcPr>
            <w:tcW w:w="2446" w:type="dxa"/>
            <w:tcBorders>
              <w:top w:val="single" w:color="000000" w:sz="4" w:space="0"/>
              <w:left w:val="single" w:color="000000" w:sz="4" w:space="0"/>
              <w:bottom w:val="single" w:color="000000" w:sz="4" w:space="0"/>
              <w:right w:val="single" w:color="000000" w:sz="4" w:space="0"/>
            </w:tcBorders>
            <w:vAlign w:val="center"/>
          </w:tcPr>
          <w:p w14:paraId="715809B1">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智能车牌识别称重</w:t>
            </w:r>
            <w:r>
              <w:rPr>
                <w:rFonts w:hint="eastAsia" w:asciiTheme="minorEastAsia" w:hAnsiTheme="minorEastAsia" w:eastAsiaTheme="minorEastAsia" w:cstheme="minorEastAsia"/>
                <w:spacing w:val="2"/>
                <w:sz w:val="21"/>
                <w:szCs w:val="21"/>
                <w:highlight w:val="none"/>
              </w:rPr>
              <w:t>软件系统</w:t>
            </w:r>
          </w:p>
        </w:tc>
        <w:tc>
          <w:tcPr>
            <w:tcW w:w="822" w:type="dxa"/>
            <w:tcBorders>
              <w:top w:val="single" w:color="000000" w:sz="4" w:space="0"/>
              <w:left w:val="single" w:color="000000" w:sz="4" w:space="0"/>
              <w:bottom w:val="single" w:color="000000" w:sz="4" w:space="0"/>
              <w:right w:val="single" w:color="000000" w:sz="4" w:space="0"/>
            </w:tcBorders>
            <w:vAlign w:val="center"/>
          </w:tcPr>
          <w:p w14:paraId="08D394D2">
            <w:pPr>
              <w:keepNext w:val="0"/>
              <w:keepLines w:val="0"/>
              <w:pageBreakBefore w:val="0"/>
              <w:wordWrap/>
              <w:overflowPunct/>
              <w:topLinePunct w:val="0"/>
              <w:autoSpaceDE w:val="0"/>
              <w:autoSpaceDN w:val="0"/>
              <w:bidi w:val="0"/>
              <w:adjustRightInd w:val="0"/>
              <w:snapToGrid w:val="0"/>
              <w:spacing w:line="240" w:lineRule="auto"/>
              <w:ind w:left="0" w:right="0" w:firstLine="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6"/>
                <w:sz w:val="21"/>
                <w:szCs w:val="21"/>
                <w:highlight w:val="none"/>
              </w:rPr>
              <w:t>1套</w:t>
            </w:r>
          </w:p>
        </w:tc>
        <w:tc>
          <w:tcPr>
            <w:tcW w:w="3624" w:type="dxa"/>
            <w:tcBorders>
              <w:top w:val="single" w:color="000000" w:sz="4" w:space="0"/>
              <w:left w:val="single" w:color="000000" w:sz="4" w:space="0"/>
              <w:bottom w:val="single" w:color="000000" w:sz="4" w:space="0"/>
              <w:right w:val="single" w:color="000000" w:sz="4" w:space="0"/>
            </w:tcBorders>
            <w:vAlign w:val="center"/>
          </w:tcPr>
          <w:p w14:paraId="3800ECB2">
            <w:pPr>
              <w:keepNext w:val="0"/>
              <w:keepLines w:val="0"/>
              <w:pageBreakBefore w:val="0"/>
              <w:wordWrap/>
              <w:overflowPunct/>
              <w:topLinePunct w:val="0"/>
              <w:autoSpaceDE w:val="0"/>
              <w:autoSpaceDN w:val="0"/>
              <w:bidi w:val="0"/>
              <w:adjustRightInd w:val="0"/>
              <w:snapToGrid w:val="0"/>
              <w:spacing w:line="240" w:lineRule="auto"/>
              <w:ind w:left="0" w:right="0" w:firstLine="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1.具备统计功能、数据</w:t>
            </w:r>
            <w:r>
              <w:rPr>
                <w:rFonts w:hint="eastAsia" w:asciiTheme="minorEastAsia" w:hAnsiTheme="minorEastAsia" w:eastAsiaTheme="minorEastAsia" w:cstheme="minorEastAsia"/>
                <w:spacing w:val="7"/>
                <w:sz w:val="21"/>
                <w:szCs w:val="21"/>
                <w:highlight w:val="none"/>
              </w:rPr>
              <w:t>导入导出</w:t>
            </w:r>
          </w:p>
          <w:p w14:paraId="1685292E">
            <w:pPr>
              <w:keepNext w:val="0"/>
              <w:keepLines w:val="0"/>
              <w:pageBreakBefore w:val="0"/>
              <w:wordWrap/>
              <w:overflowPunct/>
              <w:topLinePunct w:val="0"/>
              <w:autoSpaceDE w:val="0"/>
              <w:autoSpaceDN w:val="0"/>
              <w:bidi w:val="0"/>
              <w:adjustRightInd w:val="0"/>
              <w:snapToGrid w:val="0"/>
              <w:spacing w:line="240" w:lineRule="auto"/>
              <w:ind w:left="0" w:right="0" w:firstLine="0"/>
              <w:jc w:val="both"/>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2.具备红外防作弊功能</w:t>
            </w:r>
          </w:p>
          <w:p w14:paraId="0D898C40">
            <w:pPr>
              <w:keepNext w:val="0"/>
              <w:keepLines w:val="0"/>
              <w:pageBreakBefore w:val="0"/>
              <w:wordWrap/>
              <w:overflowPunct/>
              <w:topLinePunct w:val="0"/>
              <w:autoSpaceDE w:val="0"/>
              <w:autoSpaceDN w:val="0"/>
              <w:bidi w:val="0"/>
              <w:adjustRightInd w:val="0"/>
              <w:snapToGrid w:val="0"/>
              <w:spacing w:line="240" w:lineRule="auto"/>
              <w:ind w:left="0" w:right="0" w:firstLine="0"/>
              <w:jc w:val="both"/>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3.具备系统日志功能</w:t>
            </w:r>
          </w:p>
          <w:p w14:paraId="70D6321D">
            <w:pPr>
              <w:keepNext w:val="0"/>
              <w:keepLines w:val="0"/>
              <w:pageBreakBefore w:val="0"/>
              <w:wordWrap/>
              <w:overflowPunct/>
              <w:topLinePunct w:val="0"/>
              <w:autoSpaceDE w:val="0"/>
              <w:autoSpaceDN w:val="0"/>
              <w:bidi w:val="0"/>
              <w:adjustRightInd w:val="0"/>
              <w:snapToGrid w:val="0"/>
              <w:spacing w:line="240" w:lineRule="auto"/>
              <w:ind w:left="0" w:right="0" w:firstLine="0"/>
              <w:jc w:val="both"/>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4.具备系统黑匣子功能</w:t>
            </w:r>
          </w:p>
          <w:p w14:paraId="644D6B95">
            <w:pPr>
              <w:pStyle w:val="2"/>
              <w:keepNext w:val="0"/>
              <w:keepLines w:val="0"/>
              <w:pageBreakBefore w:val="0"/>
              <w:wordWrap/>
              <w:overflowPunct/>
              <w:topLinePunct w:val="0"/>
              <w:autoSpaceDE w:val="0"/>
              <w:autoSpaceDN w:val="0"/>
              <w:bidi w:val="0"/>
              <w:adjustRightInd w:val="0"/>
              <w:snapToGrid w:val="0"/>
              <w:spacing w:line="240" w:lineRule="auto"/>
              <w:ind w:left="0" w:right="0" w:firstLine="0" w:firstLineChars="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5.具有系统后台记录功能</w:t>
            </w:r>
          </w:p>
          <w:p w14:paraId="09252672">
            <w:pPr>
              <w:pStyle w:val="2"/>
              <w:keepNext w:val="0"/>
              <w:keepLines w:val="0"/>
              <w:pageBreakBefore w:val="0"/>
              <w:wordWrap/>
              <w:overflowPunct/>
              <w:topLinePunct w:val="0"/>
              <w:autoSpaceDE w:val="0"/>
              <w:autoSpaceDN w:val="0"/>
              <w:bidi w:val="0"/>
              <w:adjustRightInd w:val="0"/>
              <w:snapToGrid w:val="0"/>
              <w:spacing w:line="240" w:lineRule="auto"/>
              <w:ind w:left="0" w:right="0" w:firstLine="0" w:firstLineChars="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6.具有皮重超差报警功能</w:t>
            </w:r>
          </w:p>
          <w:p w14:paraId="7140ABCB">
            <w:pPr>
              <w:keepNext w:val="0"/>
              <w:keepLines w:val="0"/>
              <w:pageBreakBefore w:val="0"/>
              <w:wordWrap/>
              <w:overflowPunct/>
              <w:topLinePunct w:val="0"/>
              <w:autoSpaceDE w:val="0"/>
              <w:autoSpaceDN w:val="0"/>
              <w:bidi w:val="0"/>
              <w:adjustRightInd w:val="0"/>
              <w:snapToGrid w:val="0"/>
              <w:spacing w:line="240" w:lineRule="auto"/>
              <w:ind w:left="0" w:right="0" w:firstLine="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7.具备数据波形曲线功能、方便检测是否存在遥控</w:t>
            </w:r>
            <w:r>
              <w:rPr>
                <w:rFonts w:hint="eastAsia" w:asciiTheme="minorEastAsia" w:hAnsiTheme="minorEastAsia" w:eastAsiaTheme="minorEastAsia" w:cstheme="minorEastAsia"/>
                <w:spacing w:val="-1"/>
                <w:sz w:val="21"/>
                <w:szCs w:val="21"/>
                <w:highlight w:val="none"/>
              </w:rPr>
              <w:t>作弊功能。</w:t>
            </w:r>
          </w:p>
          <w:p w14:paraId="590B766B">
            <w:pPr>
              <w:keepNext w:val="0"/>
              <w:keepLines w:val="0"/>
              <w:pageBreakBefore w:val="0"/>
              <w:wordWrap/>
              <w:overflowPunct/>
              <w:topLinePunct w:val="0"/>
              <w:autoSpaceDE w:val="0"/>
              <w:autoSpaceDN w:val="0"/>
              <w:bidi w:val="0"/>
              <w:adjustRightInd w:val="0"/>
              <w:snapToGrid w:val="0"/>
              <w:spacing w:line="240" w:lineRule="auto"/>
              <w:ind w:left="0" w:right="0" w:firstLine="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8.具备过磅照片自动叠加数据功能，防止作弊</w:t>
            </w:r>
          </w:p>
          <w:p w14:paraId="27CAC176">
            <w:pPr>
              <w:keepNext w:val="0"/>
              <w:keepLines w:val="0"/>
              <w:pageBreakBefore w:val="0"/>
              <w:wordWrap/>
              <w:overflowPunct/>
              <w:topLinePunct w:val="0"/>
              <w:autoSpaceDE w:val="0"/>
              <w:autoSpaceDN w:val="0"/>
              <w:bidi w:val="0"/>
              <w:adjustRightInd w:val="0"/>
              <w:snapToGrid w:val="0"/>
              <w:spacing w:line="240" w:lineRule="auto"/>
              <w:ind w:left="0" w:right="0" w:firstLine="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9.具备称重界面自定义</w:t>
            </w:r>
            <w:r>
              <w:rPr>
                <w:rFonts w:hint="eastAsia" w:asciiTheme="minorEastAsia" w:hAnsiTheme="minorEastAsia" w:eastAsiaTheme="minorEastAsia" w:cstheme="minorEastAsia"/>
                <w:spacing w:val="6"/>
                <w:sz w:val="21"/>
                <w:szCs w:val="21"/>
                <w:highlight w:val="none"/>
              </w:rPr>
              <w:t>功能</w:t>
            </w:r>
          </w:p>
          <w:p w14:paraId="68D65CAD">
            <w:pPr>
              <w:keepNext w:val="0"/>
              <w:keepLines w:val="0"/>
              <w:pageBreakBefore w:val="0"/>
              <w:wordWrap/>
              <w:overflowPunct/>
              <w:topLinePunct w:val="0"/>
              <w:autoSpaceDE w:val="0"/>
              <w:autoSpaceDN w:val="0"/>
              <w:bidi w:val="0"/>
              <w:adjustRightInd w:val="0"/>
              <w:snapToGrid w:val="0"/>
              <w:spacing w:line="240" w:lineRule="auto"/>
              <w:ind w:left="0" w:right="0" w:firstLine="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10.能与第三方系统无</w:t>
            </w:r>
            <w:r>
              <w:rPr>
                <w:rFonts w:hint="eastAsia" w:asciiTheme="minorEastAsia" w:hAnsiTheme="minorEastAsia" w:eastAsiaTheme="minorEastAsia" w:cstheme="minorEastAsia"/>
                <w:spacing w:val="3"/>
                <w:sz w:val="21"/>
                <w:szCs w:val="21"/>
                <w:highlight w:val="none"/>
              </w:rPr>
              <w:t>缝对接</w:t>
            </w:r>
          </w:p>
        </w:tc>
      </w:tr>
    </w:tbl>
    <w:p w14:paraId="6F1E0F5F">
      <w:pPr>
        <w:pStyle w:val="7"/>
        <w:spacing w:before="104"/>
        <w:ind w:firstLine="424" w:firstLineChars="200"/>
        <w:jc w:val="left"/>
        <w:rPr>
          <w:rFonts w:hint="eastAsia" w:asciiTheme="minorEastAsia" w:hAnsiTheme="minorEastAsia" w:eastAsiaTheme="minorEastAsia" w:cstheme="minorEastAsia"/>
          <w:b w:val="0"/>
          <w:bCs w:val="0"/>
          <w:spacing w:val="1"/>
          <w:kern w:val="0"/>
          <w:sz w:val="21"/>
          <w:szCs w:val="21"/>
          <w:highlight w:val="none"/>
          <w:lang w:val="en-US"/>
        </w:rPr>
      </w:pPr>
      <w:r>
        <w:rPr>
          <w:rFonts w:hint="eastAsia" w:asciiTheme="minorEastAsia" w:hAnsiTheme="minorEastAsia" w:eastAsiaTheme="minorEastAsia" w:cstheme="minorEastAsia"/>
          <w:b w:val="0"/>
          <w:bCs w:val="0"/>
          <w:spacing w:val="1"/>
          <w:kern w:val="0"/>
          <w:sz w:val="21"/>
          <w:szCs w:val="21"/>
          <w:highlight w:val="none"/>
          <w:lang w:val="en-US"/>
        </w:rPr>
        <w:t>（3）关键零部件寿命及精度保证</w:t>
      </w:r>
    </w:p>
    <w:p w14:paraId="6F40B40F">
      <w:pPr>
        <w:spacing w:line="67" w:lineRule="exact"/>
        <w:rPr>
          <w:rFonts w:hint="eastAsia" w:asciiTheme="minorEastAsia" w:hAnsiTheme="minorEastAsia" w:eastAsiaTheme="minorEastAsia" w:cstheme="minorEastAsia"/>
          <w:sz w:val="21"/>
          <w:szCs w:val="21"/>
          <w:highlight w:val="none"/>
          <w:lang w:eastAsia="zh-CN"/>
        </w:rPr>
      </w:pPr>
    </w:p>
    <w:tbl>
      <w:tblPr>
        <w:tblStyle w:val="20"/>
        <w:tblW w:w="7659" w:type="dxa"/>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91"/>
        <w:gridCol w:w="2037"/>
        <w:gridCol w:w="2931"/>
      </w:tblGrid>
      <w:tr w14:paraId="6739E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691" w:type="dxa"/>
            <w:tcBorders>
              <w:top w:val="single" w:color="000000" w:sz="4" w:space="0"/>
              <w:left w:val="single" w:color="000000" w:sz="4" w:space="0"/>
              <w:bottom w:val="single" w:color="000000" w:sz="4" w:space="0"/>
              <w:right w:val="single" w:color="000000" w:sz="4" w:space="0"/>
            </w:tcBorders>
          </w:tcPr>
          <w:p w14:paraId="204889BB">
            <w:pPr>
              <w:spacing w:before="131"/>
              <w:ind w:left="738"/>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bCs/>
                <w:spacing w:val="-5"/>
                <w:sz w:val="21"/>
                <w:szCs w:val="21"/>
                <w:highlight w:val="none"/>
              </w:rPr>
              <w:t>零部件名称</w:t>
            </w:r>
          </w:p>
        </w:tc>
        <w:tc>
          <w:tcPr>
            <w:tcW w:w="2037" w:type="dxa"/>
            <w:tcBorders>
              <w:top w:val="single" w:color="000000" w:sz="4" w:space="0"/>
              <w:left w:val="single" w:color="000000" w:sz="4" w:space="0"/>
              <w:bottom w:val="single" w:color="000000" w:sz="4" w:space="0"/>
              <w:right w:val="single" w:color="000000" w:sz="4" w:space="0"/>
            </w:tcBorders>
          </w:tcPr>
          <w:p w14:paraId="19D87C2A">
            <w:pPr>
              <w:spacing w:before="129"/>
              <w:ind w:left="777"/>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bCs/>
                <w:spacing w:val="-5"/>
                <w:sz w:val="21"/>
                <w:szCs w:val="21"/>
                <w:highlight w:val="none"/>
              </w:rPr>
              <w:t>精度</w:t>
            </w:r>
          </w:p>
        </w:tc>
        <w:tc>
          <w:tcPr>
            <w:tcW w:w="2931" w:type="dxa"/>
            <w:tcBorders>
              <w:top w:val="single" w:color="000000" w:sz="4" w:space="0"/>
              <w:left w:val="single" w:color="000000" w:sz="4" w:space="0"/>
              <w:bottom w:val="single" w:color="000000" w:sz="4" w:space="0"/>
              <w:right w:val="single" w:color="000000" w:sz="4" w:space="0"/>
            </w:tcBorders>
          </w:tcPr>
          <w:p w14:paraId="212017B3">
            <w:pPr>
              <w:spacing w:before="132"/>
              <w:ind w:left="980"/>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
                <w:bCs/>
                <w:spacing w:val="-5"/>
                <w:sz w:val="21"/>
                <w:szCs w:val="21"/>
                <w:highlight w:val="none"/>
              </w:rPr>
              <w:t>保证期限</w:t>
            </w:r>
          </w:p>
        </w:tc>
      </w:tr>
      <w:tr w14:paraId="04CB2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691" w:type="dxa"/>
            <w:tcBorders>
              <w:top w:val="single" w:color="000000" w:sz="4" w:space="0"/>
              <w:left w:val="single" w:color="000000" w:sz="4" w:space="0"/>
              <w:bottom w:val="single" w:color="000000" w:sz="4" w:space="0"/>
              <w:right w:val="single" w:color="000000" w:sz="4" w:space="0"/>
            </w:tcBorders>
          </w:tcPr>
          <w:p w14:paraId="33C35592">
            <w:pPr>
              <w:spacing w:before="124"/>
              <w:ind w:left="1094"/>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3"/>
                <w:sz w:val="21"/>
                <w:szCs w:val="21"/>
                <w:highlight w:val="none"/>
              </w:rPr>
              <w:t>秤台</w:t>
            </w:r>
          </w:p>
        </w:tc>
        <w:tc>
          <w:tcPr>
            <w:tcW w:w="2037" w:type="dxa"/>
            <w:tcBorders>
              <w:top w:val="single" w:color="000000" w:sz="4" w:space="0"/>
              <w:left w:val="single" w:color="000000" w:sz="4" w:space="0"/>
              <w:bottom w:val="single" w:color="000000" w:sz="4" w:space="0"/>
              <w:right w:val="single" w:color="000000" w:sz="4" w:space="0"/>
            </w:tcBorders>
          </w:tcPr>
          <w:p w14:paraId="67B68459">
            <w:pPr>
              <w:spacing w:before="130"/>
              <w:ind w:left="593"/>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sz w:val="21"/>
                <w:szCs w:val="21"/>
                <w:highlight w:val="none"/>
              </w:rPr>
              <w:t>1/10000</w:t>
            </w:r>
          </w:p>
        </w:tc>
        <w:tc>
          <w:tcPr>
            <w:tcW w:w="2931" w:type="dxa"/>
            <w:tcBorders>
              <w:top w:val="single" w:color="000000" w:sz="4" w:space="0"/>
              <w:left w:val="single" w:color="000000" w:sz="4" w:space="0"/>
              <w:bottom w:val="single" w:color="000000" w:sz="4" w:space="0"/>
              <w:right w:val="single" w:color="000000" w:sz="4" w:space="0"/>
            </w:tcBorders>
          </w:tcPr>
          <w:p w14:paraId="60004104">
            <w:pPr>
              <w:spacing w:before="124"/>
              <w:ind w:left="796"/>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150万次以上</w:t>
            </w:r>
          </w:p>
        </w:tc>
      </w:tr>
      <w:tr w14:paraId="7BC06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691" w:type="dxa"/>
            <w:tcBorders>
              <w:top w:val="single" w:color="000000" w:sz="4" w:space="0"/>
              <w:left w:val="single" w:color="000000" w:sz="4" w:space="0"/>
              <w:bottom w:val="single" w:color="000000" w:sz="4" w:space="0"/>
              <w:right w:val="single" w:color="000000" w:sz="4" w:space="0"/>
            </w:tcBorders>
          </w:tcPr>
          <w:p w14:paraId="015EAF55">
            <w:pPr>
              <w:spacing w:before="135"/>
              <w:ind w:left="974"/>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传感器</w:t>
            </w:r>
          </w:p>
        </w:tc>
        <w:tc>
          <w:tcPr>
            <w:tcW w:w="2037" w:type="dxa"/>
            <w:tcBorders>
              <w:top w:val="single" w:color="000000" w:sz="4" w:space="0"/>
              <w:left w:val="single" w:color="000000" w:sz="4" w:space="0"/>
              <w:bottom w:val="single" w:color="000000" w:sz="4" w:space="0"/>
              <w:right w:val="single" w:color="000000" w:sz="4" w:space="0"/>
            </w:tcBorders>
          </w:tcPr>
          <w:p w14:paraId="2878EE87">
            <w:pPr>
              <w:spacing w:before="143"/>
              <w:ind w:left="593"/>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sz w:val="21"/>
                <w:szCs w:val="21"/>
                <w:highlight w:val="none"/>
              </w:rPr>
              <w:t>1/10000</w:t>
            </w:r>
          </w:p>
        </w:tc>
        <w:tc>
          <w:tcPr>
            <w:tcW w:w="2931" w:type="dxa"/>
            <w:tcBorders>
              <w:top w:val="single" w:color="000000" w:sz="4" w:space="0"/>
              <w:left w:val="single" w:color="000000" w:sz="4" w:space="0"/>
              <w:bottom w:val="single" w:color="000000" w:sz="4" w:space="0"/>
              <w:right w:val="single" w:color="000000" w:sz="4" w:space="0"/>
            </w:tcBorders>
          </w:tcPr>
          <w:p w14:paraId="42636FAF">
            <w:pPr>
              <w:spacing w:before="136"/>
              <w:ind w:left="796"/>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150万次以上</w:t>
            </w:r>
          </w:p>
        </w:tc>
      </w:tr>
    </w:tbl>
    <w:p w14:paraId="0ABC74BE">
      <w:pPr>
        <w:pStyle w:val="8"/>
        <w:ind w:firstLine="252"/>
        <w:rPr>
          <w:rFonts w:hint="eastAsia" w:asciiTheme="minorEastAsia" w:hAnsiTheme="minorEastAsia" w:eastAsiaTheme="minorEastAsia" w:cstheme="minorEastAsia"/>
          <w:spacing w:val="1"/>
          <w:sz w:val="21"/>
          <w:szCs w:val="21"/>
          <w:highlight w:val="none"/>
        </w:rPr>
      </w:pPr>
    </w:p>
    <w:p w14:paraId="230DBEC7">
      <w:pPr>
        <w:pStyle w:val="8"/>
        <w:ind w:firstLine="252"/>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(四)安装方式示意图</w:t>
      </w:r>
    </w:p>
    <w:p w14:paraId="5F24FF48">
      <w:pPr>
        <w:widowControl/>
        <w:autoSpaceDE/>
        <w:autoSpaceDN/>
        <w:adjustRightInd/>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drawing>
          <wp:inline distT="0" distB="0" distL="0" distR="0">
            <wp:extent cx="4502150" cy="2303145"/>
            <wp:effectExtent l="0" t="0" r="3175" b="1905"/>
            <wp:docPr id="1694134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134167" name="图片 1"/>
                    <pic:cNvPicPr>
                      <a:picLocks noChangeAspect="1"/>
                    </pic:cNvPicPr>
                  </pic:nvPicPr>
                  <pic:blipFill>
                    <a:blip r:embed="rId6"/>
                    <a:stretch>
                      <a:fillRect/>
                    </a:stretch>
                  </pic:blipFill>
                  <pic:spPr>
                    <a:xfrm>
                      <a:off x="0" y="0"/>
                      <a:ext cx="4502150" cy="2303145"/>
                    </a:xfrm>
                    <a:prstGeom prst="rect">
                      <a:avLst/>
                    </a:prstGeom>
                  </pic:spPr>
                </pic:pic>
              </a:graphicData>
            </a:graphic>
          </wp:inline>
        </w:drawing>
      </w:r>
    </w:p>
    <w:p w14:paraId="5771A969">
      <w:pPr>
        <w:pStyle w:val="2"/>
        <w:ind w:left="0" w:leftChars="0" w:firstLine="0" w:firstLineChars="0"/>
        <w:rPr>
          <w:rFonts w:hint="eastAsia" w:asciiTheme="minorEastAsia" w:hAnsiTheme="minorEastAsia" w:eastAsiaTheme="minorEastAsia" w:cstheme="minorEastAsia"/>
          <w:sz w:val="21"/>
          <w:szCs w:val="21"/>
          <w:highlight w:val="none"/>
        </w:rPr>
      </w:pPr>
    </w:p>
    <w:p w14:paraId="5CEBD940">
      <w:pPr>
        <w:pStyle w:val="2"/>
        <w:ind w:left="0" w:leftChars="0" w:firstLine="0" w:firstLineChars="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drawing>
          <wp:inline distT="0" distB="0" distL="0" distR="0">
            <wp:extent cx="4267835" cy="2169160"/>
            <wp:effectExtent l="0" t="0" r="8890" b="2540"/>
            <wp:docPr id="679903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03798" name="图片 1"/>
                    <pic:cNvPicPr>
                      <a:picLocks noChangeAspect="1"/>
                    </pic:cNvPicPr>
                  </pic:nvPicPr>
                  <pic:blipFill>
                    <a:blip r:embed="rId7"/>
                    <a:stretch>
                      <a:fillRect/>
                    </a:stretch>
                  </pic:blipFill>
                  <pic:spPr>
                    <a:xfrm>
                      <a:off x="0" y="0"/>
                      <a:ext cx="4267835" cy="2169160"/>
                    </a:xfrm>
                    <a:prstGeom prst="rect">
                      <a:avLst/>
                    </a:prstGeom>
                  </pic:spPr>
                </pic:pic>
              </a:graphicData>
            </a:graphic>
          </wp:inline>
        </w:drawing>
      </w:r>
    </w:p>
    <w:p w14:paraId="16250CBE">
      <w:pPr>
        <w:pStyle w:val="2"/>
        <w:ind w:left="0" w:leftChars="0" w:firstLine="0" w:firstLineChars="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drawing>
          <wp:inline distT="0" distB="0" distL="0" distR="0">
            <wp:extent cx="4273550" cy="2442210"/>
            <wp:effectExtent l="0" t="0" r="3175" b="5715"/>
            <wp:docPr id="14449372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37284" name="图片 1"/>
                    <pic:cNvPicPr>
                      <a:picLocks noChangeAspect="1"/>
                    </pic:cNvPicPr>
                  </pic:nvPicPr>
                  <pic:blipFill>
                    <a:blip r:embed="rId8"/>
                    <a:stretch>
                      <a:fillRect/>
                    </a:stretch>
                  </pic:blipFill>
                  <pic:spPr>
                    <a:xfrm>
                      <a:off x="0" y="0"/>
                      <a:ext cx="4273550" cy="2442210"/>
                    </a:xfrm>
                    <a:prstGeom prst="rect">
                      <a:avLst/>
                    </a:prstGeom>
                  </pic:spPr>
                </pic:pic>
              </a:graphicData>
            </a:graphic>
          </wp:inline>
        </w:drawing>
      </w:r>
    </w:p>
    <w:p w14:paraId="5C25012B">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(五)称重传感器</w:t>
      </w:r>
    </w:p>
    <w:p w14:paraId="12AABFEA">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1.传感器采用</w:t>
      </w:r>
      <w:r>
        <w:rPr>
          <w:rFonts w:hint="eastAsia" w:asciiTheme="minorEastAsia" w:hAnsiTheme="minorEastAsia" w:eastAsiaTheme="minorEastAsia" w:cstheme="minorEastAsia"/>
          <w:sz w:val="21"/>
          <w:szCs w:val="21"/>
          <w:highlight w:val="none"/>
        </w:rPr>
        <w:t>柱式或桥式</w:t>
      </w:r>
      <w:r>
        <w:rPr>
          <w:rFonts w:hint="eastAsia" w:asciiTheme="minorEastAsia" w:hAnsiTheme="minorEastAsia" w:eastAsiaTheme="minorEastAsia" w:cstheme="minorEastAsia"/>
          <w:spacing w:val="1"/>
          <w:sz w:val="21"/>
          <w:szCs w:val="21"/>
          <w:highlight w:val="none"/>
        </w:rPr>
        <w:t>高精度称重传感器。</w:t>
      </w:r>
    </w:p>
    <w:p w14:paraId="3B914010">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2.传感器自身具有防雷功能，且有权威机构证书证明(投标时提供传感器防雷检测报告)。</w:t>
      </w:r>
    </w:p>
    <w:p w14:paraId="4E53674D">
      <w:pPr>
        <w:pStyle w:val="2"/>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3.称重传感器应具有防尘、防水、防晒、防腐、抗射频干扰性、电磁兼容性。采用密封激光焊接防腐不锈钢外壳，传感器电缆和接头应便于更换，更换后传感器免标定，防护等级达到IP68/IP69k（</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成交人</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在</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材料进场</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时须</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同时</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提供传感器IP防护等级报告）。</w:t>
      </w:r>
    </w:p>
    <w:p w14:paraId="70AEC55E">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4.应具有高精度长期稳定性和较宽的工作温度范围。</w:t>
      </w:r>
    </w:p>
    <w:p w14:paraId="744C5FF6">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5.传力机构应能自动保持垂直受力状态以缓冲限位，保证衡器的长期使用精度。</w:t>
      </w:r>
    </w:p>
    <w:p w14:paraId="12E70D5B">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6.传感器能够进行温度、线性、蠕变、滞后等各种性能的补偿。</w:t>
      </w:r>
    </w:p>
    <w:p w14:paraId="5823DD6A">
      <w:pPr>
        <w:pStyle w:val="2"/>
        <w:ind w:firstLine="504"/>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7.必须提供和传感器相同厂家的传感器接线盒。</w:t>
      </w:r>
    </w:p>
    <w:p w14:paraId="4C0E5E9F">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lang w:val="en-US" w:eastAsia="zh-CN"/>
        </w:rPr>
        <w:t>8</w:t>
      </w:r>
      <w:r>
        <w:rPr>
          <w:rFonts w:hint="eastAsia" w:asciiTheme="minorEastAsia" w:hAnsiTheme="minorEastAsia" w:eastAsiaTheme="minorEastAsia" w:cstheme="minorEastAsia"/>
          <w:spacing w:val="1"/>
          <w:sz w:val="21"/>
          <w:szCs w:val="21"/>
          <w:highlight w:val="none"/>
        </w:rPr>
        <w:t>.具有故障自诊断功能：出现故障时会发生错误代码，根据代码可判断故障原因，使应用更加方便，记忆能力免除了更换传感器后的校准标定工作。</w:t>
      </w:r>
    </w:p>
    <w:p w14:paraId="5E50D699">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lang w:val="en-US" w:eastAsia="zh-CN"/>
        </w:rPr>
        <w:t>10</w:t>
      </w:r>
      <w:r>
        <w:rPr>
          <w:rFonts w:hint="eastAsia" w:asciiTheme="minorEastAsia" w:hAnsiTheme="minorEastAsia" w:eastAsiaTheme="minorEastAsia" w:cstheme="minorEastAsia"/>
          <w:spacing w:val="1"/>
          <w:sz w:val="21"/>
          <w:szCs w:val="21"/>
          <w:highlight w:val="none"/>
        </w:rPr>
        <w:t>.数字式传感器具有防雷击设计，特别适用于多雷区域安装使用。</w:t>
      </w:r>
    </w:p>
    <w:p w14:paraId="53DA9CCF">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w:t>
      </w:r>
      <w:r>
        <w:rPr>
          <w:rFonts w:hint="eastAsia" w:asciiTheme="minorEastAsia" w:hAnsiTheme="minorEastAsia" w:eastAsiaTheme="minorEastAsia" w:cstheme="minorEastAsia"/>
          <w:spacing w:val="1"/>
          <w:sz w:val="21"/>
          <w:szCs w:val="21"/>
          <w:highlight w:val="none"/>
          <w:lang w:val="en-US" w:eastAsia="zh-CN"/>
        </w:rPr>
        <w:t>1</w:t>
      </w:r>
      <w:r>
        <w:rPr>
          <w:rFonts w:hint="eastAsia" w:asciiTheme="minorEastAsia" w:hAnsiTheme="minorEastAsia" w:eastAsiaTheme="minorEastAsia" w:cstheme="minorEastAsia"/>
          <w:spacing w:val="1"/>
          <w:sz w:val="21"/>
          <w:szCs w:val="21"/>
          <w:highlight w:val="none"/>
        </w:rPr>
        <w:t>.数字式传感器基本技术参数</w:t>
      </w:r>
    </w:p>
    <w:tbl>
      <w:tblPr>
        <w:tblStyle w:val="20"/>
        <w:tblW w:w="78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1"/>
        <w:gridCol w:w="2897"/>
        <w:gridCol w:w="3991"/>
      </w:tblGrid>
      <w:tr w14:paraId="76184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67CC3FBD">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3"/>
                <w:sz w:val="21"/>
                <w:szCs w:val="21"/>
                <w:highlight w:val="none"/>
              </w:rPr>
              <w:t>1</w:t>
            </w:r>
          </w:p>
        </w:tc>
        <w:tc>
          <w:tcPr>
            <w:tcW w:w="2897" w:type="dxa"/>
            <w:tcBorders>
              <w:top w:val="single" w:color="000000" w:sz="2" w:space="0"/>
              <w:left w:val="single" w:color="000000" w:sz="4" w:space="0"/>
              <w:bottom w:val="single" w:color="000000" w:sz="2" w:space="0"/>
              <w:right w:val="single" w:color="000000" w:sz="4" w:space="0"/>
            </w:tcBorders>
            <w:vAlign w:val="top"/>
          </w:tcPr>
          <w:p w14:paraId="21B63304">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数据刷新速率：</w:t>
            </w:r>
          </w:p>
        </w:tc>
        <w:tc>
          <w:tcPr>
            <w:tcW w:w="3991" w:type="dxa"/>
            <w:tcBorders>
              <w:top w:val="single" w:color="000000" w:sz="2" w:space="0"/>
              <w:left w:val="single" w:color="000000" w:sz="4" w:space="0"/>
              <w:bottom w:val="single" w:color="000000" w:sz="2" w:space="0"/>
              <w:right w:val="single" w:color="000000" w:sz="4" w:space="0"/>
            </w:tcBorders>
            <w:vAlign w:val="top"/>
          </w:tcPr>
          <w:p w14:paraId="65CFF5DF">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10-200次/秒</w:t>
            </w:r>
          </w:p>
        </w:tc>
      </w:tr>
      <w:tr w14:paraId="31AB2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1CA40937">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3"/>
                <w:sz w:val="21"/>
                <w:szCs w:val="21"/>
                <w:highlight w:val="none"/>
              </w:rPr>
              <w:t>2</w:t>
            </w:r>
          </w:p>
        </w:tc>
        <w:tc>
          <w:tcPr>
            <w:tcW w:w="2897" w:type="dxa"/>
            <w:tcBorders>
              <w:top w:val="single" w:color="000000" w:sz="2" w:space="0"/>
              <w:left w:val="single" w:color="000000" w:sz="4" w:space="0"/>
              <w:bottom w:val="single" w:color="000000" w:sz="2" w:space="0"/>
              <w:right w:val="single" w:color="000000" w:sz="4" w:space="0"/>
            </w:tcBorders>
            <w:vAlign w:val="top"/>
          </w:tcPr>
          <w:p w14:paraId="5C023B4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数据传送速率：</w:t>
            </w:r>
          </w:p>
        </w:tc>
        <w:tc>
          <w:tcPr>
            <w:tcW w:w="3991" w:type="dxa"/>
            <w:tcBorders>
              <w:top w:val="single" w:color="000000" w:sz="2" w:space="0"/>
              <w:left w:val="single" w:color="000000" w:sz="4" w:space="0"/>
              <w:bottom w:val="single" w:color="000000" w:sz="2" w:space="0"/>
              <w:right w:val="single" w:color="000000" w:sz="4" w:space="0"/>
            </w:tcBorders>
            <w:vAlign w:val="top"/>
          </w:tcPr>
          <w:p w14:paraId="5CA7EFE6">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position w:val="-3"/>
                <w:sz w:val="21"/>
                <w:szCs w:val="21"/>
                <w:highlight w:val="none"/>
              </w:rPr>
              <w:t>9600-38400BPS</w:t>
            </w:r>
          </w:p>
        </w:tc>
      </w:tr>
      <w:tr w14:paraId="40427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0E46C0DE">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2"/>
                <w:sz w:val="21"/>
                <w:szCs w:val="21"/>
                <w:highlight w:val="none"/>
              </w:rPr>
              <w:t>3</w:t>
            </w:r>
          </w:p>
        </w:tc>
        <w:tc>
          <w:tcPr>
            <w:tcW w:w="2897" w:type="dxa"/>
            <w:tcBorders>
              <w:top w:val="single" w:color="000000" w:sz="2" w:space="0"/>
              <w:left w:val="single" w:color="000000" w:sz="4" w:space="0"/>
              <w:bottom w:val="single" w:color="000000" w:sz="2" w:space="0"/>
              <w:right w:val="single" w:color="000000" w:sz="4" w:space="0"/>
            </w:tcBorders>
            <w:vAlign w:val="top"/>
          </w:tcPr>
          <w:p w14:paraId="4B61AED5">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数字模块A/D码：</w:t>
            </w:r>
          </w:p>
        </w:tc>
        <w:tc>
          <w:tcPr>
            <w:tcW w:w="3991" w:type="dxa"/>
            <w:tcBorders>
              <w:top w:val="single" w:color="000000" w:sz="2" w:space="0"/>
              <w:left w:val="single" w:color="000000" w:sz="4" w:space="0"/>
              <w:bottom w:val="single" w:color="000000" w:sz="2" w:space="0"/>
              <w:right w:val="single" w:color="000000" w:sz="4" w:space="0"/>
            </w:tcBorders>
            <w:vAlign w:val="top"/>
          </w:tcPr>
          <w:p w14:paraId="7D7D0554">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1000万码</w:t>
            </w:r>
          </w:p>
        </w:tc>
      </w:tr>
      <w:tr w14:paraId="7BD74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5057FB28">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3"/>
                <w:sz w:val="21"/>
                <w:szCs w:val="21"/>
                <w:highlight w:val="none"/>
              </w:rPr>
              <w:t>4</w:t>
            </w:r>
          </w:p>
        </w:tc>
        <w:tc>
          <w:tcPr>
            <w:tcW w:w="2897" w:type="dxa"/>
            <w:tcBorders>
              <w:top w:val="single" w:color="000000" w:sz="2" w:space="0"/>
              <w:left w:val="single" w:color="000000" w:sz="4" w:space="0"/>
              <w:bottom w:val="single" w:color="000000" w:sz="2" w:space="0"/>
              <w:right w:val="single" w:color="000000" w:sz="4" w:space="0"/>
            </w:tcBorders>
            <w:vAlign w:val="top"/>
          </w:tcPr>
          <w:p w14:paraId="5A4B0EF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数字传感器最大输出量：</w:t>
            </w:r>
          </w:p>
        </w:tc>
        <w:tc>
          <w:tcPr>
            <w:tcW w:w="3991" w:type="dxa"/>
            <w:tcBorders>
              <w:top w:val="single" w:color="000000" w:sz="2" w:space="0"/>
              <w:left w:val="single" w:color="000000" w:sz="4" w:space="0"/>
              <w:bottom w:val="single" w:color="000000" w:sz="2" w:space="0"/>
              <w:right w:val="single" w:color="000000" w:sz="4" w:space="0"/>
            </w:tcBorders>
            <w:vAlign w:val="top"/>
          </w:tcPr>
          <w:p w14:paraId="0C88EC2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60000码</w:t>
            </w:r>
          </w:p>
        </w:tc>
      </w:tr>
      <w:tr w14:paraId="78F52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0BCF3CF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3"/>
                <w:sz w:val="21"/>
                <w:szCs w:val="21"/>
                <w:highlight w:val="none"/>
              </w:rPr>
              <w:t>5</w:t>
            </w:r>
          </w:p>
        </w:tc>
        <w:tc>
          <w:tcPr>
            <w:tcW w:w="2897" w:type="dxa"/>
            <w:tcBorders>
              <w:top w:val="single" w:color="000000" w:sz="2" w:space="0"/>
              <w:left w:val="single" w:color="000000" w:sz="4" w:space="0"/>
              <w:bottom w:val="single" w:color="000000" w:sz="2" w:space="0"/>
              <w:right w:val="single" w:color="000000" w:sz="4" w:space="0"/>
            </w:tcBorders>
            <w:vAlign w:val="top"/>
          </w:tcPr>
          <w:p w14:paraId="2861849A">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数字模块零点温度系数：</w:t>
            </w:r>
          </w:p>
        </w:tc>
        <w:tc>
          <w:tcPr>
            <w:tcW w:w="3991" w:type="dxa"/>
            <w:tcBorders>
              <w:top w:val="single" w:color="000000" w:sz="2" w:space="0"/>
              <w:left w:val="single" w:color="000000" w:sz="4" w:space="0"/>
              <w:bottom w:val="single" w:color="000000" w:sz="2" w:space="0"/>
              <w:right w:val="single" w:color="000000" w:sz="4" w:space="0"/>
            </w:tcBorders>
            <w:vAlign w:val="top"/>
          </w:tcPr>
          <w:p w14:paraId="4028D16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&lt;±0.002%F.S/10℃</w:t>
            </w:r>
          </w:p>
        </w:tc>
      </w:tr>
      <w:tr w14:paraId="35B70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7059A2A2">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3"/>
                <w:sz w:val="21"/>
                <w:szCs w:val="21"/>
                <w:highlight w:val="none"/>
              </w:rPr>
              <w:t>6</w:t>
            </w:r>
          </w:p>
        </w:tc>
        <w:tc>
          <w:tcPr>
            <w:tcW w:w="2897" w:type="dxa"/>
            <w:tcBorders>
              <w:top w:val="single" w:color="000000" w:sz="2" w:space="0"/>
              <w:left w:val="single" w:color="000000" w:sz="4" w:space="0"/>
              <w:bottom w:val="single" w:color="000000" w:sz="2" w:space="0"/>
              <w:right w:val="single" w:color="000000" w:sz="4" w:space="0"/>
            </w:tcBorders>
            <w:vAlign w:val="top"/>
          </w:tcPr>
          <w:p w14:paraId="39C11045">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数字模块灵敏度温度系数：</w:t>
            </w:r>
          </w:p>
        </w:tc>
        <w:tc>
          <w:tcPr>
            <w:tcW w:w="3991" w:type="dxa"/>
            <w:tcBorders>
              <w:top w:val="single" w:color="000000" w:sz="2" w:space="0"/>
              <w:left w:val="single" w:color="000000" w:sz="4" w:space="0"/>
              <w:bottom w:val="single" w:color="000000" w:sz="2" w:space="0"/>
              <w:right w:val="single" w:color="000000" w:sz="4" w:space="0"/>
            </w:tcBorders>
            <w:vAlign w:val="top"/>
          </w:tcPr>
          <w:p w14:paraId="3E9A04CD">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&lt;±0.002%F.S/10℃</w:t>
            </w:r>
          </w:p>
        </w:tc>
      </w:tr>
      <w:tr w14:paraId="250EC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4AD00D58">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3"/>
                <w:sz w:val="21"/>
                <w:szCs w:val="21"/>
                <w:highlight w:val="none"/>
              </w:rPr>
              <w:t>7</w:t>
            </w:r>
          </w:p>
        </w:tc>
        <w:tc>
          <w:tcPr>
            <w:tcW w:w="2897" w:type="dxa"/>
            <w:tcBorders>
              <w:top w:val="single" w:color="000000" w:sz="2" w:space="0"/>
              <w:left w:val="single" w:color="000000" w:sz="4" w:space="0"/>
              <w:bottom w:val="single" w:color="000000" w:sz="2" w:space="0"/>
              <w:right w:val="single" w:color="000000" w:sz="4" w:space="0"/>
            </w:tcBorders>
            <w:vAlign w:val="top"/>
          </w:tcPr>
          <w:p w14:paraId="2A9CCAAD">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sz w:val="21"/>
                <w:szCs w:val="21"/>
                <w:highlight w:val="none"/>
              </w:rPr>
              <w:t>传感器蠕变(30</w:t>
            </w:r>
            <w:r>
              <w:rPr>
                <w:rFonts w:hint="eastAsia" w:asciiTheme="minorEastAsia" w:hAnsiTheme="minorEastAsia" w:eastAsiaTheme="minorEastAsia" w:cstheme="minorEastAsia"/>
                <w:sz w:val="21"/>
                <w:szCs w:val="21"/>
                <w:highlight w:val="none"/>
              </w:rPr>
              <w:t>min</w:t>
            </w:r>
            <w:r>
              <w:rPr>
                <w:rFonts w:hint="eastAsia" w:asciiTheme="minorEastAsia" w:hAnsiTheme="minorEastAsia" w:eastAsiaTheme="minorEastAsia" w:cstheme="minorEastAsia"/>
                <w:spacing w:val="4"/>
                <w:sz w:val="21"/>
                <w:szCs w:val="21"/>
                <w:highlight w:val="none"/>
              </w:rPr>
              <w:t>):</w:t>
            </w:r>
          </w:p>
        </w:tc>
        <w:tc>
          <w:tcPr>
            <w:tcW w:w="3991" w:type="dxa"/>
            <w:tcBorders>
              <w:top w:val="single" w:color="000000" w:sz="2" w:space="0"/>
              <w:left w:val="single" w:color="000000" w:sz="4" w:space="0"/>
              <w:bottom w:val="single" w:color="000000" w:sz="2" w:space="0"/>
              <w:right w:val="single" w:color="000000" w:sz="4" w:space="0"/>
            </w:tcBorders>
            <w:vAlign w:val="top"/>
          </w:tcPr>
          <w:p w14:paraId="5C18234A">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5"/>
                <w:sz w:val="21"/>
                <w:szCs w:val="21"/>
                <w:highlight w:val="none"/>
              </w:rPr>
              <w:t>〈±0.02%F.S</w:t>
            </w:r>
          </w:p>
        </w:tc>
      </w:tr>
      <w:tr w14:paraId="58780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4258A6EF">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3"/>
                <w:sz w:val="21"/>
                <w:szCs w:val="21"/>
                <w:highlight w:val="none"/>
              </w:rPr>
              <w:t>8</w:t>
            </w:r>
          </w:p>
        </w:tc>
        <w:tc>
          <w:tcPr>
            <w:tcW w:w="2897" w:type="dxa"/>
            <w:tcBorders>
              <w:top w:val="single" w:color="000000" w:sz="2" w:space="0"/>
              <w:left w:val="single" w:color="000000" w:sz="4" w:space="0"/>
              <w:bottom w:val="single" w:color="000000" w:sz="2" w:space="0"/>
              <w:right w:val="single" w:color="000000" w:sz="4" w:space="0"/>
            </w:tcBorders>
            <w:vAlign w:val="top"/>
          </w:tcPr>
          <w:p w14:paraId="5E08F87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传感器温度系数：</w:t>
            </w:r>
          </w:p>
        </w:tc>
        <w:tc>
          <w:tcPr>
            <w:tcW w:w="3991" w:type="dxa"/>
            <w:tcBorders>
              <w:top w:val="single" w:color="000000" w:sz="2" w:space="0"/>
              <w:left w:val="single" w:color="000000" w:sz="4" w:space="0"/>
              <w:bottom w:val="single" w:color="000000" w:sz="2" w:space="0"/>
              <w:right w:val="single" w:color="000000" w:sz="4" w:space="0"/>
            </w:tcBorders>
            <w:vAlign w:val="top"/>
          </w:tcPr>
          <w:p w14:paraId="192FC3D2">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&lt;±0.01%F.S/10℃</w:t>
            </w:r>
          </w:p>
        </w:tc>
      </w:tr>
      <w:tr w14:paraId="5BD1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10D7F651">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position w:val="-3"/>
                <w:sz w:val="21"/>
                <w:szCs w:val="21"/>
                <w:highlight w:val="none"/>
              </w:rPr>
              <w:t>9</w:t>
            </w:r>
          </w:p>
        </w:tc>
        <w:tc>
          <w:tcPr>
            <w:tcW w:w="2897" w:type="dxa"/>
            <w:tcBorders>
              <w:top w:val="single" w:color="000000" w:sz="2" w:space="0"/>
              <w:left w:val="single" w:color="000000" w:sz="4" w:space="0"/>
              <w:bottom w:val="single" w:color="000000" w:sz="2" w:space="0"/>
              <w:right w:val="single" w:color="000000" w:sz="4" w:space="0"/>
            </w:tcBorders>
            <w:vAlign w:val="top"/>
          </w:tcPr>
          <w:p w14:paraId="48113161">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传感器综合精度：</w:t>
            </w:r>
          </w:p>
        </w:tc>
        <w:tc>
          <w:tcPr>
            <w:tcW w:w="3991" w:type="dxa"/>
            <w:tcBorders>
              <w:top w:val="single" w:color="000000" w:sz="2" w:space="0"/>
              <w:left w:val="single" w:color="000000" w:sz="4" w:space="0"/>
              <w:bottom w:val="single" w:color="000000" w:sz="2" w:space="0"/>
              <w:right w:val="single" w:color="000000" w:sz="4" w:space="0"/>
            </w:tcBorders>
            <w:vAlign w:val="top"/>
          </w:tcPr>
          <w:p w14:paraId="56A039AB">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&lt;±0.02%F.S</w:t>
            </w:r>
          </w:p>
        </w:tc>
      </w:tr>
      <w:tr w14:paraId="27B0B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033A0296">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3"/>
                <w:sz w:val="21"/>
                <w:szCs w:val="21"/>
                <w:highlight w:val="none"/>
              </w:rPr>
              <w:t>10</w:t>
            </w:r>
          </w:p>
        </w:tc>
        <w:tc>
          <w:tcPr>
            <w:tcW w:w="2897" w:type="dxa"/>
            <w:tcBorders>
              <w:top w:val="single" w:color="000000" w:sz="2" w:space="0"/>
              <w:left w:val="single" w:color="000000" w:sz="4" w:space="0"/>
              <w:bottom w:val="single" w:color="000000" w:sz="2" w:space="0"/>
              <w:right w:val="single" w:color="000000" w:sz="4" w:space="0"/>
            </w:tcBorders>
            <w:vAlign w:val="top"/>
          </w:tcPr>
          <w:p w14:paraId="6381E5F1">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数字模块使用温度范围：</w:t>
            </w:r>
          </w:p>
        </w:tc>
        <w:tc>
          <w:tcPr>
            <w:tcW w:w="3991" w:type="dxa"/>
            <w:tcBorders>
              <w:top w:val="single" w:color="000000" w:sz="2" w:space="0"/>
              <w:left w:val="single" w:color="000000" w:sz="4" w:space="0"/>
              <w:bottom w:val="single" w:color="000000" w:sz="2" w:space="0"/>
              <w:right w:val="single" w:color="000000" w:sz="4" w:space="0"/>
            </w:tcBorders>
            <w:vAlign w:val="top"/>
          </w:tcPr>
          <w:p w14:paraId="095F4A43">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-40℃~+80℃</w:t>
            </w:r>
          </w:p>
        </w:tc>
      </w:tr>
      <w:tr w14:paraId="0B863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40BE8644">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11</w:t>
            </w:r>
          </w:p>
        </w:tc>
        <w:tc>
          <w:tcPr>
            <w:tcW w:w="2897" w:type="dxa"/>
            <w:tcBorders>
              <w:top w:val="single" w:color="000000" w:sz="2" w:space="0"/>
              <w:left w:val="single" w:color="000000" w:sz="4" w:space="0"/>
              <w:bottom w:val="single" w:color="000000" w:sz="2" w:space="0"/>
              <w:right w:val="single" w:color="000000" w:sz="4" w:space="0"/>
            </w:tcBorders>
            <w:vAlign w:val="top"/>
          </w:tcPr>
          <w:p w14:paraId="6831BDA3">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传感器编号范围：</w:t>
            </w:r>
          </w:p>
        </w:tc>
        <w:tc>
          <w:tcPr>
            <w:tcW w:w="3991" w:type="dxa"/>
            <w:tcBorders>
              <w:top w:val="single" w:color="000000" w:sz="2" w:space="0"/>
              <w:left w:val="single" w:color="000000" w:sz="4" w:space="0"/>
              <w:bottom w:val="single" w:color="000000" w:sz="2" w:space="0"/>
              <w:right w:val="single" w:color="000000" w:sz="4" w:space="0"/>
            </w:tcBorders>
            <w:vAlign w:val="top"/>
          </w:tcPr>
          <w:p w14:paraId="5744F55F">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9"/>
                <w:sz w:val="21"/>
                <w:szCs w:val="21"/>
                <w:highlight w:val="none"/>
              </w:rPr>
              <w:t>(1-16)</w:t>
            </w:r>
          </w:p>
        </w:tc>
      </w:tr>
      <w:tr w14:paraId="14590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3628BC1B">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3"/>
                <w:sz w:val="21"/>
                <w:szCs w:val="21"/>
                <w:highlight w:val="none"/>
              </w:rPr>
              <w:t>12</w:t>
            </w:r>
          </w:p>
        </w:tc>
        <w:tc>
          <w:tcPr>
            <w:tcW w:w="2897" w:type="dxa"/>
            <w:tcBorders>
              <w:top w:val="single" w:color="000000" w:sz="2" w:space="0"/>
              <w:left w:val="single" w:color="000000" w:sz="4" w:space="0"/>
              <w:bottom w:val="single" w:color="000000" w:sz="2" w:space="0"/>
              <w:right w:val="single" w:color="000000" w:sz="4" w:space="0"/>
            </w:tcBorders>
            <w:vAlign w:val="top"/>
          </w:tcPr>
          <w:p w14:paraId="53C51A45">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零点输出：</w:t>
            </w:r>
          </w:p>
        </w:tc>
        <w:tc>
          <w:tcPr>
            <w:tcW w:w="3991" w:type="dxa"/>
            <w:tcBorders>
              <w:top w:val="single" w:color="000000" w:sz="2" w:space="0"/>
              <w:left w:val="single" w:color="000000" w:sz="4" w:space="0"/>
              <w:bottom w:val="single" w:color="000000" w:sz="2" w:space="0"/>
              <w:right w:val="single" w:color="000000" w:sz="4" w:space="0"/>
            </w:tcBorders>
            <w:vAlign w:val="top"/>
          </w:tcPr>
          <w:p w14:paraId="4B8DA753">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6"/>
                <w:sz w:val="21"/>
                <w:szCs w:val="21"/>
                <w:highlight w:val="none"/>
              </w:rPr>
              <w:t>〈±0.1%F.S</w:t>
            </w:r>
          </w:p>
        </w:tc>
      </w:tr>
      <w:tr w14:paraId="245F9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36A12495">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3"/>
                <w:sz w:val="21"/>
                <w:szCs w:val="21"/>
                <w:highlight w:val="none"/>
              </w:rPr>
              <w:t>13</w:t>
            </w:r>
          </w:p>
        </w:tc>
        <w:tc>
          <w:tcPr>
            <w:tcW w:w="2897" w:type="dxa"/>
            <w:tcBorders>
              <w:top w:val="single" w:color="000000" w:sz="2" w:space="0"/>
              <w:left w:val="single" w:color="000000" w:sz="4" w:space="0"/>
              <w:bottom w:val="single" w:color="000000" w:sz="2" w:space="0"/>
              <w:right w:val="single" w:color="000000" w:sz="4" w:space="0"/>
            </w:tcBorders>
            <w:vAlign w:val="top"/>
          </w:tcPr>
          <w:p w14:paraId="5F052618">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安全过载：</w:t>
            </w:r>
          </w:p>
        </w:tc>
        <w:tc>
          <w:tcPr>
            <w:tcW w:w="3991" w:type="dxa"/>
            <w:tcBorders>
              <w:top w:val="single" w:color="000000" w:sz="2" w:space="0"/>
              <w:left w:val="single" w:color="000000" w:sz="4" w:space="0"/>
              <w:bottom w:val="single" w:color="000000" w:sz="2" w:space="0"/>
              <w:right w:val="single" w:color="000000" w:sz="4" w:space="0"/>
            </w:tcBorders>
            <w:vAlign w:val="top"/>
          </w:tcPr>
          <w:p w14:paraId="639348DF">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position w:val="-3"/>
                <w:sz w:val="21"/>
                <w:szCs w:val="21"/>
                <w:highlight w:val="none"/>
              </w:rPr>
              <w:t>150%F.S</w:t>
            </w:r>
          </w:p>
        </w:tc>
      </w:tr>
      <w:tr w14:paraId="44A0C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0154BA05">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3"/>
                <w:sz w:val="21"/>
                <w:szCs w:val="21"/>
                <w:highlight w:val="none"/>
              </w:rPr>
              <w:t>14</w:t>
            </w:r>
          </w:p>
        </w:tc>
        <w:tc>
          <w:tcPr>
            <w:tcW w:w="2897" w:type="dxa"/>
            <w:tcBorders>
              <w:top w:val="single" w:color="000000" w:sz="2" w:space="0"/>
              <w:left w:val="single" w:color="000000" w:sz="4" w:space="0"/>
              <w:bottom w:val="single" w:color="000000" w:sz="2" w:space="0"/>
              <w:right w:val="single" w:color="000000" w:sz="4" w:space="0"/>
            </w:tcBorders>
            <w:vAlign w:val="top"/>
          </w:tcPr>
          <w:p w14:paraId="2A70FCE7">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密封等级：</w:t>
            </w:r>
          </w:p>
        </w:tc>
        <w:tc>
          <w:tcPr>
            <w:tcW w:w="3991" w:type="dxa"/>
            <w:tcBorders>
              <w:top w:val="single" w:color="000000" w:sz="2" w:space="0"/>
              <w:left w:val="single" w:color="000000" w:sz="4" w:space="0"/>
              <w:bottom w:val="single" w:color="000000" w:sz="2" w:space="0"/>
              <w:right w:val="single" w:color="000000" w:sz="4" w:space="0"/>
            </w:tcBorders>
            <w:vAlign w:val="top"/>
          </w:tcPr>
          <w:p w14:paraId="4BA2EE67">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5"/>
                <w:position w:val="-3"/>
                <w:sz w:val="21"/>
                <w:szCs w:val="21"/>
                <w:highlight w:val="none"/>
              </w:rPr>
              <w:t>IP68</w:t>
            </w:r>
          </w:p>
        </w:tc>
      </w:tr>
      <w:tr w14:paraId="0B23B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67AC138A">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3"/>
                <w:sz w:val="21"/>
                <w:szCs w:val="21"/>
                <w:highlight w:val="none"/>
              </w:rPr>
              <w:t>15</w:t>
            </w:r>
          </w:p>
        </w:tc>
        <w:tc>
          <w:tcPr>
            <w:tcW w:w="2897" w:type="dxa"/>
            <w:tcBorders>
              <w:top w:val="single" w:color="000000" w:sz="2" w:space="0"/>
              <w:left w:val="single" w:color="000000" w:sz="4" w:space="0"/>
              <w:bottom w:val="single" w:color="000000" w:sz="2" w:space="0"/>
              <w:right w:val="single" w:color="000000" w:sz="4" w:space="0"/>
            </w:tcBorders>
            <w:vAlign w:val="top"/>
          </w:tcPr>
          <w:p w14:paraId="4F7682C1">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推荐输入电压：</w:t>
            </w:r>
          </w:p>
        </w:tc>
        <w:tc>
          <w:tcPr>
            <w:tcW w:w="3991" w:type="dxa"/>
            <w:tcBorders>
              <w:top w:val="single" w:color="000000" w:sz="2" w:space="0"/>
              <w:left w:val="single" w:color="000000" w:sz="4" w:space="0"/>
              <w:bottom w:val="single" w:color="000000" w:sz="2" w:space="0"/>
              <w:right w:val="single" w:color="000000" w:sz="4" w:space="0"/>
            </w:tcBorders>
            <w:vAlign w:val="top"/>
          </w:tcPr>
          <w:p w14:paraId="1082F5FD">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9—12V(DC)</w:t>
            </w:r>
          </w:p>
        </w:tc>
      </w:tr>
      <w:tr w14:paraId="29543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741DA3FE">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3"/>
                <w:sz w:val="21"/>
                <w:szCs w:val="21"/>
                <w:highlight w:val="none"/>
              </w:rPr>
              <w:t>16</w:t>
            </w:r>
          </w:p>
        </w:tc>
        <w:tc>
          <w:tcPr>
            <w:tcW w:w="2897" w:type="dxa"/>
            <w:tcBorders>
              <w:top w:val="single" w:color="000000" w:sz="2" w:space="0"/>
              <w:left w:val="single" w:color="000000" w:sz="4" w:space="0"/>
              <w:bottom w:val="single" w:color="000000" w:sz="2" w:space="0"/>
              <w:right w:val="single" w:color="000000" w:sz="4" w:space="0"/>
            </w:tcBorders>
            <w:vAlign w:val="top"/>
          </w:tcPr>
          <w:p w14:paraId="30293066">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最大输入电压：</w:t>
            </w:r>
          </w:p>
        </w:tc>
        <w:tc>
          <w:tcPr>
            <w:tcW w:w="3991" w:type="dxa"/>
            <w:tcBorders>
              <w:top w:val="single" w:color="000000" w:sz="2" w:space="0"/>
              <w:left w:val="single" w:color="000000" w:sz="4" w:space="0"/>
              <w:bottom w:val="single" w:color="000000" w:sz="2" w:space="0"/>
              <w:right w:val="single" w:color="000000" w:sz="4" w:space="0"/>
            </w:tcBorders>
            <w:vAlign w:val="top"/>
          </w:tcPr>
          <w:p w14:paraId="37328CE6">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25V(DC)</w:t>
            </w:r>
          </w:p>
        </w:tc>
      </w:tr>
      <w:tr w14:paraId="77BF3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1ED6DC6D">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3"/>
                <w:sz w:val="21"/>
                <w:szCs w:val="21"/>
                <w:highlight w:val="none"/>
              </w:rPr>
              <w:t>17</w:t>
            </w:r>
          </w:p>
        </w:tc>
        <w:tc>
          <w:tcPr>
            <w:tcW w:w="2897" w:type="dxa"/>
            <w:tcBorders>
              <w:top w:val="single" w:color="000000" w:sz="2" w:space="0"/>
              <w:left w:val="single" w:color="000000" w:sz="4" w:space="0"/>
              <w:bottom w:val="single" w:color="000000" w:sz="2" w:space="0"/>
              <w:right w:val="single" w:color="000000" w:sz="4" w:space="0"/>
            </w:tcBorders>
            <w:vAlign w:val="top"/>
          </w:tcPr>
          <w:p w14:paraId="33D2F1DA">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最大信号传输距离：</w:t>
            </w:r>
          </w:p>
        </w:tc>
        <w:tc>
          <w:tcPr>
            <w:tcW w:w="3991" w:type="dxa"/>
            <w:tcBorders>
              <w:top w:val="single" w:color="000000" w:sz="2" w:space="0"/>
              <w:left w:val="single" w:color="000000" w:sz="4" w:space="0"/>
              <w:bottom w:val="single" w:color="000000" w:sz="2" w:space="0"/>
              <w:right w:val="single" w:color="000000" w:sz="4" w:space="0"/>
            </w:tcBorders>
            <w:vAlign w:val="top"/>
          </w:tcPr>
          <w:p w14:paraId="3E951123">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1200米</w:t>
            </w:r>
          </w:p>
        </w:tc>
      </w:tr>
      <w:tr w14:paraId="5B386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7D9A644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position w:val="-2"/>
                <w:sz w:val="21"/>
                <w:szCs w:val="21"/>
                <w:highlight w:val="none"/>
              </w:rPr>
              <w:t>18</w:t>
            </w:r>
          </w:p>
        </w:tc>
        <w:tc>
          <w:tcPr>
            <w:tcW w:w="2897" w:type="dxa"/>
            <w:tcBorders>
              <w:top w:val="single" w:color="000000" w:sz="2" w:space="0"/>
              <w:left w:val="single" w:color="000000" w:sz="4" w:space="0"/>
              <w:bottom w:val="single" w:color="000000" w:sz="2" w:space="0"/>
              <w:right w:val="single" w:color="000000" w:sz="4" w:space="0"/>
            </w:tcBorders>
            <w:vAlign w:val="top"/>
          </w:tcPr>
          <w:p w14:paraId="2704DB6B">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结构</w:t>
            </w:r>
          </w:p>
        </w:tc>
        <w:tc>
          <w:tcPr>
            <w:tcW w:w="3991" w:type="dxa"/>
            <w:tcBorders>
              <w:top w:val="single" w:color="000000" w:sz="2" w:space="0"/>
              <w:left w:val="single" w:color="000000" w:sz="4" w:space="0"/>
              <w:bottom w:val="single" w:color="000000" w:sz="2" w:space="0"/>
              <w:right w:val="single" w:color="000000" w:sz="4" w:space="0"/>
            </w:tcBorders>
            <w:vAlign w:val="top"/>
          </w:tcPr>
          <w:p w14:paraId="00626E91">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柱式或桥式</w:t>
            </w:r>
            <w:r>
              <w:rPr>
                <w:rFonts w:hint="eastAsia" w:asciiTheme="minorEastAsia" w:hAnsiTheme="minorEastAsia" w:eastAsiaTheme="minorEastAsia" w:cstheme="minorEastAsia"/>
                <w:spacing w:val="-1"/>
                <w:sz w:val="21"/>
                <w:szCs w:val="21"/>
                <w:highlight w:val="none"/>
              </w:rPr>
              <w:t>，不锈钢外壳，焊</w:t>
            </w:r>
            <w:r>
              <w:rPr>
                <w:rFonts w:hint="eastAsia" w:asciiTheme="minorEastAsia" w:hAnsiTheme="minorEastAsia" w:eastAsiaTheme="minorEastAsia" w:cstheme="minorEastAsia"/>
                <w:spacing w:val="-2"/>
                <w:sz w:val="21"/>
                <w:szCs w:val="21"/>
                <w:highlight w:val="none"/>
              </w:rPr>
              <w:t>接密封</w:t>
            </w:r>
          </w:p>
        </w:tc>
      </w:tr>
      <w:tr w14:paraId="3095C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1A704361">
            <w:pPr>
              <w:pStyle w:val="2"/>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7"/>
                <w:sz w:val="21"/>
                <w:szCs w:val="21"/>
                <w:highlight w:val="none"/>
              </w:rPr>
              <w:t>19</w:t>
            </w:r>
          </w:p>
        </w:tc>
        <w:tc>
          <w:tcPr>
            <w:tcW w:w="2897" w:type="dxa"/>
            <w:tcBorders>
              <w:top w:val="single" w:color="000000" w:sz="2" w:space="0"/>
              <w:left w:val="single" w:color="000000" w:sz="4" w:space="0"/>
              <w:bottom w:val="single" w:color="000000" w:sz="2" w:space="0"/>
              <w:right w:val="single" w:color="000000" w:sz="4" w:space="0"/>
            </w:tcBorders>
            <w:vAlign w:val="top"/>
          </w:tcPr>
          <w:p w14:paraId="5FD59164">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7"/>
                <w:sz w:val="21"/>
                <w:szCs w:val="21"/>
                <w:highlight w:val="none"/>
              </w:rPr>
            </w:pPr>
            <w:r>
              <w:rPr>
                <w:rFonts w:hint="eastAsia" w:asciiTheme="minorEastAsia" w:hAnsiTheme="minorEastAsia" w:eastAsiaTheme="minorEastAsia" w:cstheme="minorEastAsia"/>
                <w:spacing w:val="1"/>
                <w:sz w:val="21"/>
                <w:szCs w:val="21"/>
                <w:highlight w:val="none"/>
              </w:rPr>
              <w:t>最大安全过载</w:t>
            </w:r>
          </w:p>
        </w:tc>
        <w:tc>
          <w:tcPr>
            <w:tcW w:w="3991" w:type="dxa"/>
            <w:tcBorders>
              <w:top w:val="single" w:color="000000" w:sz="2" w:space="0"/>
              <w:left w:val="single" w:color="000000" w:sz="4" w:space="0"/>
              <w:bottom w:val="single" w:color="000000" w:sz="2" w:space="0"/>
              <w:right w:val="single" w:color="000000" w:sz="4" w:space="0"/>
            </w:tcBorders>
            <w:vAlign w:val="top"/>
          </w:tcPr>
          <w:p w14:paraId="1F37892A">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4"/>
                <w:sz w:val="21"/>
                <w:szCs w:val="21"/>
                <w:highlight w:val="none"/>
              </w:rPr>
              <w:t>150%FS</w:t>
            </w:r>
          </w:p>
        </w:tc>
      </w:tr>
      <w:tr w14:paraId="4D315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6E3D2444">
            <w:pPr>
              <w:pStyle w:val="2"/>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position w:val="-3"/>
                <w:sz w:val="21"/>
                <w:szCs w:val="21"/>
                <w:highlight w:val="none"/>
              </w:rPr>
              <w:t>20</w:t>
            </w:r>
          </w:p>
        </w:tc>
        <w:tc>
          <w:tcPr>
            <w:tcW w:w="2897" w:type="dxa"/>
            <w:tcBorders>
              <w:top w:val="single" w:color="000000" w:sz="2" w:space="0"/>
              <w:left w:val="single" w:color="000000" w:sz="4" w:space="0"/>
              <w:bottom w:val="single" w:color="000000" w:sz="2" w:space="0"/>
              <w:right w:val="single" w:color="000000" w:sz="4" w:space="0"/>
            </w:tcBorders>
            <w:vAlign w:val="top"/>
          </w:tcPr>
          <w:p w14:paraId="3AA5328C">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7"/>
                <w:sz w:val="21"/>
                <w:szCs w:val="21"/>
                <w:highlight w:val="none"/>
              </w:rPr>
            </w:pPr>
            <w:r>
              <w:rPr>
                <w:rFonts w:hint="eastAsia" w:asciiTheme="minorEastAsia" w:hAnsiTheme="minorEastAsia" w:eastAsiaTheme="minorEastAsia" w:cstheme="minorEastAsia"/>
                <w:spacing w:val="4"/>
                <w:sz w:val="21"/>
                <w:szCs w:val="21"/>
                <w:highlight w:val="none"/>
              </w:rPr>
              <w:t>灵敏度</w:t>
            </w:r>
          </w:p>
        </w:tc>
        <w:tc>
          <w:tcPr>
            <w:tcW w:w="3991" w:type="dxa"/>
            <w:tcBorders>
              <w:top w:val="single" w:color="000000" w:sz="2" w:space="0"/>
              <w:left w:val="single" w:color="000000" w:sz="4" w:space="0"/>
              <w:bottom w:val="single" w:color="000000" w:sz="2" w:space="0"/>
              <w:right w:val="single" w:color="000000" w:sz="4" w:space="0"/>
            </w:tcBorders>
            <w:vAlign w:val="top"/>
          </w:tcPr>
          <w:p w14:paraId="6E9109C9">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2"/>
                <w:sz w:val="21"/>
                <w:szCs w:val="21"/>
                <w:highlight w:val="none"/>
              </w:rPr>
              <w:t>2mV/V±0.002</w:t>
            </w:r>
          </w:p>
        </w:tc>
      </w:tr>
      <w:tr w14:paraId="778B8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30F9C381">
            <w:pPr>
              <w:pStyle w:val="2"/>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position w:val="-3"/>
                <w:sz w:val="21"/>
                <w:szCs w:val="21"/>
                <w:highlight w:val="none"/>
              </w:rPr>
              <w:t>21</w:t>
            </w:r>
          </w:p>
        </w:tc>
        <w:tc>
          <w:tcPr>
            <w:tcW w:w="2897" w:type="dxa"/>
            <w:tcBorders>
              <w:top w:val="single" w:color="000000" w:sz="2" w:space="0"/>
              <w:left w:val="single" w:color="000000" w:sz="4" w:space="0"/>
              <w:bottom w:val="single" w:color="000000" w:sz="2" w:space="0"/>
              <w:right w:val="single" w:color="000000" w:sz="4" w:space="0"/>
            </w:tcBorders>
            <w:vAlign w:val="top"/>
          </w:tcPr>
          <w:p w14:paraId="78CE028D">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7"/>
                <w:sz w:val="21"/>
                <w:szCs w:val="21"/>
                <w:highlight w:val="none"/>
              </w:rPr>
            </w:pPr>
            <w:r>
              <w:rPr>
                <w:rFonts w:hint="eastAsia" w:asciiTheme="minorEastAsia" w:hAnsiTheme="minorEastAsia" w:eastAsiaTheme="minorEastAsia" w:cstheme="minorEastAsia"/>
                <w:spacing w:val="2"/>
                <w:sz w:val="21"/>
                <w:szCs w:val="21"/>
                <w:highlight w:val="none"/>
              </w:rPr>
              <w:t>零点平衡</w:t>
            </w:r>
          </w:p>
        </w:tc>
        <w:tc>
          <w:tcPr>
            <w:tcW w:w="3991" w:type="dxa"/>
            <w:tcBorders>
              <w:top w:val="single" w:color="000000" w:sz="2" w:space="0"/>
              <w:left w:val="single" w:color="000000" w:sz="4" w:space="0"/>
              <w:bottom w:val="single" w:color="000000" w:sz="2" w:space="0"/>
              <w:right w:val="single" w:color="000000" w:sz="4" w:space="0"/>
            </w:tcBorders>
            <w:vAlign w:val="top"/>
          </w:tcPr>
          <w:p w14:paraId="1244E17F">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5"/>
                <w:sz w:val="21"/>
                <w:szCs w:val="21"/>
                <w:highlight w:val="none"/>
              </w:rPr>
              <w:t>±1%F.S</w:t>
            </w:r>
          </w:p>
        </w:tc>
      </w:tr>
      <w:tr w14:paraId="51D2F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55FEDDAE">
            <w:pPr>
              <w:pStyle w:val="2"/>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position w:val="-3"/>
                <w:sz w:val="21"/>
                <w:szCs w:val="21"/>
                <w:highlight w:val="none"/>
              </w:rPr>
              <w:t>22</w:t>
            </w:r>
          </w:p>
        </w:tc>
        <w:tc>
          <w:tcPr>
            <w:tcW w:w="2897" w:type="dxa"/>
            <w:tcBorders>
              <w:top w:val="single" w:color="000000" w:sz="2" w:space="0"/>
              <w:left w:val="single" w:color="000000" w:sz="4" w:space="0"/>
              <w:bottom w:val="single" w:color="000000" w:sz="2" w:space="0"/>
              <w:right w:val="single" w:color="000000" w:sz="4" w:space="0"/>
            </w:tcBorders>
            <w:vAlign w:val="top"/>
          </w:tcPr>
          <w:p w14:paraId="2D8B4782">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7"/>
                <w:sz w:val="21"/>
                <w:szCs w:val="21"/>
                <w:highlight w:val="none"/>
              </w:rPr>
            </w:pPr>
            <w:r>
              <w:rPr>
                <w:rFonts w:hint="eastAsia" w:asciiTheme="minorEastAsia" w:hAnsiTheme="minorEastAsia" w:eastAsiaTheme="minorEastAsia" w:cstheme="minorEastAsia"/>
                <w:spacing w:val="-3"/>
                <w:sz w:val="21"/>
                <w:szCs w:val="21"/>
                <w:highlight w:val="none"/>
              </w:rPr>
              <w:t>绝缘电阻</w:t>
            </w:r>
          </w:p>
        </w:tc>
        <w:tc>
          <w:tcPr>
            <w:tcW w:w="3991" w:type="dxa"/>
            <w:tcBorders>
              <w:top w:val="single" w:color="000000" w:sz="2" w:space="0"/>
              <w:left w:val="single" w:color="000000" w:sz="4" w:space="0"/>
              <w:bottom w:val="single" w:color="000000" w:sz="2" w:space="0"/>
              <w:right w:val="single" w:color="000000" w:sz="4" w:space="0"/>
            </w:tcBorders>
            <w:vAlign w:val="top"/>
          </w:tcPr>
          <w:p w14:paraId="53432443">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&gt;5000MS(at50VDC)</w:t>
            </w:r>
          </w:p>
        </w:tc>
      </w:tr>
      <w:tr w14:paraId="6B7D8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0A0FBCED">
            <w:pPr>
              <w:pStyle w:val="2"/>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position w:val="-3"/>
                <w:sz w:val="21"/>
                <w:szCs w:val="21"/>
                <w:highlight w:val="none"/>
              </w:rPr>
              <w:t>23</w:t>
            </w:r>
          </w:p>
        </w:tc>
        <w:tc>
          <w:tcPr>
            <w:tcW w:w="2897" w:type="dxa"/>
            <w:tcBorders>
              <w:top w:val="single" w:color="000000" w:sz="2" w:space="0"/>
              <w:left w:val="single" w:color="000000" w:sz="4" w:space="0"/>
              <w:bottom w:val="single" w:color="000000" w:sz="2" w:space="0"/>
              <w:right w:val="single" w:color="000000" w:sz="4" w:space="0"/>
            </w:tcBorders>
            <w:vAlign w:val="top"/>
          </w:tcPr>
          <w:p w14:paraId="18CF751D">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7"/>
                <w:sz w:val="21"/>
                <w:szCs w:val="21"/>
                <w:highlight w:val="none"/>
              </w:rPr>
            </w:pPr>
            <w:r>
              <w:rPr>
                <w:rFonts w:hint="eastAsia" w:asciiTheme="minorEastAsia" w:hAnsiTheme="minorEastAsia" w:eastAsiaTheme="minorEastAsia" w:cstheme="minorEastAsia"/>
                <w:spacing w:val="6"/>
                <w:sz w:val="21"/>
                <w:szCs w:val="21"/>
                <w:highlight w:val="none"/>
              </w:rPr>
              <w:t>蠕变(30分钟)</w:t>
            </w:r>
          </w:p>
        </w:tc>
        <w:tc>
          <w:tcPr>
            <w:tcW w:w="3991" w:type="dxa"/>
            <w:tcBorders>
              <w:top w:val="single" w:color="000000" w:sz="2" w:space="0"/>
              <w:left w:val="single" w:color="000000" w:sz="4" w:space="0"/>
              <w:bottom w:val="single" w:color="000000" w:sz="2" w:space="0"/>
              <w:right w:val="single" w:color="000000" w:sz="4" w:space="0"/>
            </w:tcBorders>
            <w:vAlign w:val="top"/>
          </w:tcPr>
          <w:p w14:paraId="69CCA908">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3"/>
                <w:sz w:val="21"/>
                <w:szCs w:val="21"/>
                <w:highlight w:val="none"/>
              </w:rPr>
              <w:t>≤0.025%FS</w:t>
            </w:r>
          </w:p>
        </w:tc>
      </w:tr>
      <w:tr w14:paraId="2A671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542404FF">
            <w:pPr>
              <w:pStyle w:val="2"/>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position w:val="-3"/>
                <w:sz w:val="21"/>
                <w:szCs w:val="21"/>
                <w:highlight w:val="none"/>
              </w:rPr>
              <w:t>24</w:t>
            </w:r>
          </w:p>
        </w:tc>
        <w:tc>
          <w:tcPr>
            <w:tcW w:w="2897" w:type="dxa"/>
            <w:tcBorders>
              <w:top w:val="single" w:color="000000" w:sz="2" w:space="0"/>
              <w:left w:val="single" w:color="000000" w:sz="4" w:space="0"/>
              <w:bottom w:val="single" w:color="000000" w:sz="2" w:space="0"/>
              <w:right w:val="single" w:color="000000" w:sz="4" w:space="0"/>
            </w:tcBorders>
            <w:vAlign w:val="top"/>
          </w:tcPr>
          <w:p w14:paraId="04E09650">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7"/>
                <w:sz w:val="21"/>
                <w:szCs w:val="21"/>
                <w:highlight w:val="none"/>
              </w:rPr>
            </w:pPr>
            <w:r>
              <w:rPr>
                <w:rFonts w:hint="eastAsia" w:asciiTheme="minorEastAsia" w:hAnsiTheme="minorEastAsia" w:eastAsiaTheme="minorEastAsia" w:cstheme="minorEastAsia"/>
                <w:spacing w:val="8"/>
                <w:sz w:val="21"/>
                <w:szCs w:val="21"/>
                <w:highlight w:val="none"/>
              </w:rPr>
              <w:t>滞后</w:t>
            </w:r>
          </w:p>
        </w:tc>
        <w:tc>
          <w:tcPr>
            <w:tcW w:w="3991" w:type="dxa"/>
            <w:tcBorders>
              <w:top w:val="single" w:color="000000" w:sz="2" w:space="0"/>
              <w:left w:val="single" w:color="000000" w:sz="4" w:space="0"/>
              <w:bottom w:val="single" w:color="000000" w:sz="2" w:space="0"/>
              <w:right w:val="single" w:color="000000" w:sz="4" w:space="0"/>
            </w:tcBorders>
            <w:vAlign w:val="top"/>
          </w:tcPr>
          <w:p w14:paraId="36F32F37">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2"/>
                <w:sz w:val="21"/>
                <w:szCs w:val="21"/>
                <w:highlight w:val="none"/>
              </w:rPr>
              <w:t>≤+0.0125%F.S</w:t>
            </w:r>
          </w:p>
        </w:tc>
      </w:tr>
      <w:tr w14:paraId="02E3F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1" w:type="dxa"/>
            <w:tcBorders>
              <w:top w:val="single" w:color="000000" w:sz="2" w:space="0"/>
              <w:left w:val="single" w:color="000000" w:sz="4" w:space="0"/>
              <w:bottom w:val="single" w:color="000000" w:sz="2" w:space="0"/>
              <w:right w:val="single" w:color="000000" w:sz="4" w:space="0"/>
            </w:tcBorders>
            <w:vAlign w:val="top"/>
          </w:tcPr>
          <w:p w14:paraId="66A4A8AC">
            <w:pPr>
              <w:pStyle w:val="2"/>
              <w:keepNext w:val="0"/>
              <w:keepLines w:val="0"/>
              <w:pageBreakBefore w:val="0"/>
              <w:widowControl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position w:val="-3"/>
                <w:sz w:val="21"/>
                <w:szCs w:val="21"/>
                <w:highlight w:val="none"/>
              </w:rPr>
              <w:t>25</w:t>
            </w:r>
          </w:p>
        </w:tc>
        <w:tc>
          <w:tcPr>
            <w:tcW w:w="2897" w:type="dxa"/>
            <w:tcBorders>
              <w:top w:val="single" w:color="000000" w:sz="2" w:space="0"/>
              <w:left w:val="single" w:color="000000" w:sz="4" w:space="0"/>
              <w:bottom w:val="single" w:color="000000" w:sz="2" w:space="0"/>
              <w:right w:val="single" w:color="000000" w:sz="4" w:space="0"/>
            </w:tcBorders>
            <w:vAlign w:val="top"/>
          </w:tcPr>
          <w:p w14:paraId="55E7AA7F">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7"/>
                <w:sz w:val="21"/>
                <w:szCs w:val="21"/>
                <w:highlight w:val="none"/>
              </w:rPr>
            </w:pPr>
            <w:r>
              <w:rPr>
                <w:rFonts w:hint="eastAsia" w:asciiTheme="minorEastAsia" w:hAnsiTheme="minorEastAsia" w:eastAsiaTheme="minorEastAsia" w:cstheme="minorEastAsia"/>
                <w:spacing w:val="2"/>
                <w:sz w:val="21"/>
                <w:szCs w:val="21"/>
                <w:highlight w:val="none"/>
              </w:rPr>
              <w:t>非重复性</w:t>
            </w:r>
          </w:p>
        </w:tc>
        <w:tc>
          <w:tcPr>
            <w:tcW w:w="3991" w:type="dxa"/>
            <w:tcBorders>
              <w:top w:val="single" w:color="000000" w:sz="2" w:space="0"/>
              <w:left w:val="single" w:color="000000" w:sz="4" w:space="0"/>
              <w:bottom w:val="single" w:color="000000" w:sz="2" w:space="0"/>
              <w:right w:val="single" w:color="000000" w:sz="4" w:space="0"/>
            </w:tcBorders>
            <w:vAlign w:val="top"/>
          </w:tcPr>
          <w:p w14:paraId="3384A613">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2"/>
                <w:sz w:val="21"/>
                <w:szCs w:val="21"/>
                <w:highlight w:val="none"/>
              </w:rPr>
              <w:t>≤0.01%F.S</w:t>
            </w:r>
          </w:p>
        </w:tc>
      </w:tr>
    </w:tbl>
    <w:p w14:paraId="65E767EA">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(六)数字称重显示仪表</w:t>
      </w:r>
    </w:p>
    <w:p w14:paraId="798A5625">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1.可适应恶劣环境，运行性能稳定，抗干扰能力强，低功耗。</w:t>
      </w:r>
    </w:p>
    <w:p w14:paraId="4B17B6FC">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2.应具有显示毛重、净重、皮重、欠载、超载及过秤时间、日期及打印功能。</w:t>
      </w:r>
    </w:p>
    <w:p w14:paraId="67D3D0F7">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3.应具有自动零点跟踪功能。</w:t>
      </w:r>
    </w:p>
    <w:p w14:paraId="3E367351">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4.应具有车号、班次、皮重、存储、分项及总项累计功能。</w:t>
      </w:r>
    </w:p>
    <w:p w14:paraId="44047164">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5.应具有面板键盘校正和功能参数设定等功能。</w:t>
      </w:r>
    </w:p>
    <w:p w14:paraId="25C060E4">
      <w:pPr>
        <w:pStyle w:val="2"/>
        <w:ind w:firstLine="504"/>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6.应具有故障自诊断功能。</w:t>
      </w:r>
    </w:p>
    <w:p w14:paraId="797EE51D">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7.全中文显示操作界面。</w:t>
      </w:r>
    </w:p>
    <w:p w14:paraId="142876EF">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8.不受交流电断电影响清零，时间日期具有掉电保护，具有抗电磁、辐射能力。</w:t>
      </w:r>
    </w:p>
    <w:p w14:paraId="6F6769CA">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9.有操作员和管理员用户分级管理功能。</w:t>
      </w:r>
    </w:p>
    <w:p w14:paraId="2913A177">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10.能提供远程监控，具有WEBServer功能。</w:t>
      </w:r>
    </w:p>
    <w:p w14:paraId="6D5268B6">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11.具有检定周期设置和铅封功能，防作弊。</w:t>
      </w:r>
    </w:p>
    <w:p w14:paraId="0D87F18D">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12.接口要求：一个RS232/RS485;一个RS232;一个20mA电流环；一个网口；一个并行打印口；一个4～20mA模拟量输出、4路外部输入、4路输出。</w:t>
      </w:r>
    </w:p>
    <w:p w14:paraId="70F48089">
      <w:pPr>
        <w:pStyle w:val="2"/>
        <w:ind w:firstLine="504"/>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13.具有多种打印格式，至少4种固定计量单格式，1种用户可编程打印格式，1种微打格式</w:t>
      </w:r>
      <w:r>
        <w:rPr>
          <w:rFonts w:hint="eastAsia" w:asciiTheme="minorEastAsia" w:hAnsiTheme="minorEastAsia" w:eastAsiaTheme="minorEastAsia" w:cstheme="minorEastAsia"/>
          <w:spacing w:val="1"/>
          <w:sz w:val="21"/>
          <w:szCs w:val="21"/>
          <w:highlight w:val="none"/>
          <w:lang w:eastAsia="zh-CN"/>
        </w:rPr>
        <w:t>。</w:t>
      </w:r>
    </w:p>
    <w:p w14:paraId="47CC5F1D">
      <w:pPr>
        <w:pStyle w:val="2"/>
        <w:ind w:firstLine="504"/>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14.具有2种自动组网方式；</w:t>
      </w:r>
    </w:p>
    <w:p w14:paraId="2417A1DB">
      <w:pPr>
        <w:pStyle w:val="2"/>
        <w:ind w:firstLine="504"/>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15.具有数字与传感器通讯加密功能；</w:t>
      </w:r>
    </w:p>
    <w:p w14:paraId="5149F1F1">
      <w:pPr>
        <w:pStyle w:val="2"/>
        <w:keepNext w:val="0"/>
        <w:keepLines w:val="0"/>
        <w:pageBreakBefore w:val="0"/>
        <w:widowControl w:val="0"/>
        <w:kinsoku/>
        <w:wordWrap/>
        <w:overflowPunct/>
        <w:topLinePunct w:val="0"/>
        <w:autoSpaceDE w:val="0"/>
        <w:autoSpaceDN w:val="0"/>
        <w:bidi w:val="0"/>
        <w:adjustRightInd w:val="0"/>
        <w:snapToGrid w:val="0"/>
        <w:ind w:firstLine="504"/>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16.支持Modbus-RTU协议；</w:t>
      </w:r>
    </w:p>
    <w:p w14:paraId="25A2CF37">
      <w:pPr>
        <w:pStyle w:val="2"/>
        <w:keepNext w:val="0"/>
        <w:keepLines w:val="0"/>
        <w:pageBreakBefore w:val="0"/>
        <w:widowControl w:val="0"/>
        <w:kinsoku/>
        <w:wordWrap/>
        <w:overflowPunct/>
        <w:topLinePunct w:val="0"/>
        <w:autoSpaceDE w:val="0"/>
        <w:autoSpaceDN w:val="0"/>
        <w:bidi w:val="0"/>
        <w:adjustRightInd w:val="0"/>
        <w:snapToGrid w:val="0"/>
        <w:ind w:firstLine="504"/>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17.具有文本信息可输入、可打印功能；</w:t>
      </w:r>
    </w:p>
    <w:p w14:paraId="1CD39134">
      <w:pPr>
        <w:pStyle w:val="2"/>
        <w:keepNext w:val="0"/>
        <w:keepLines w:val="0"/>
        <w:pageBreakBefore w:val="0"/>
        <w:widowControl w:val="0"/>
        <w:kinsoku/>
        <w:wordWrap/>
        <w:overflowPunct/>
        <w:topLinePunct w:val="0"/>
        <w:autoSpaceDE w:val="0"/>
        <w:autoSpaceDN w:val="0"/>
        <w:bidi w:val="0"/>
        <w:adjustRightInd w:val="0"/>
        <w:snapToGrid w:val="0"/>
        <w:ind w:firstLine="504"/>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18.具有恢复出厂设置功能；</w:t>
      </w:r>
    </w:p>
    <w:p w14:paraId="4390EFD7">
      <w:pPr>
        <w:pStyle w:val="2"/>
        <w:keepNext w:val="0"/>
        <w:keepLines w:val="0"/>
        <w:pageBreakBefore w:val="0"/>
        <w:widowControl w:val="0"/>
        <w:kinsoku/>
        <w:wordWrap/>
        <w:overflowPunct/>
        <w:topLinePunct w:val="0"/>
        <w:autoSpaceDE w:val="0"/>
        <w:autoSpaceDN w:val="0"/>
        <w:bidi w:val="0"/>
        <w:adjustRightInd w:val="0"/>
        <w:snapToGrid w:val="0"/>
        <w:ind w:firstLine="504"/>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19.具有自动/手动角差调整功能；</w:t>
      </w:r>
    </w:p>
    <w:p w14:paraId="7B764BE2">
      <w:pPr>
        <w:pStyle w:val="2"/>
        <w:keepNext w:val="0"/>
        <w:keepLines w:val="0"/>
        <w:pageBreakBefore w:val="0"/>
        <w:widowControl w:val="0"/>
        <w:kinsoku/>
        <w:wordWrap/>
        <w:overflowPunct/>
        <w:topLinePunct w:val="0"/>
        <w:autoSpaceDE w:val="0"/>
        <w:autoSpaceDN w:val="0"/>
        <w:bidi w:val="0"/>
        <w:adjustRightInd w:val="0"/>
        <w:snapToGrid w:val="0"/>
        <w:ind w:firstLine="504"/>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20.可自定义打印格式；</w:t>
      </w:r>
    </w:p>
    <w:p w14:paraId="044A0EB2">
      <w:pPr>
        <w:pStyle w:val="2"/>
        <w:keepNext w:val="0"/>
        <w:keepLines w:val="0"/>
        <w:pageBreakBefore w:val="0"/>
        <w:widowControl w:val="0"/>
        <w:kinsoku/>
        <w:wordWrap/>
        <w:overflowPunct/>
        <w:topLinePunct w:val="0"/>
        <w:autoSpaceDE w:val="0"/>
        <w:autoSpaceDN w:val="0"/>
        <w:bidi w:val="0"/>
        <w:adjustRightInd w:val="0"/>
        <w:snapToGrid w:val="0"/>
        <w:ind w:firstLine="504"/>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21.具有超载记录及打印功能；</w:t>
      </w:r>
    </w:p>
    <w:p w14:paraId="368E5C2C">
      <w:pPr>
        <w:pStyle w:val="2"/>
        <w:keepNext w:val="0"/>
        <w:keepLines w:val="0"/>
        <w:pageBreakBefore w:val="0"/>
        <w:widowControl w:val="0"/>
        <w:kinsoku/>
        <w:wordWrap/>
        <w:overflowPunct/>
        <w:topLinePunct w:val="0"/>
        <w:autoSpaceDE w:val="0"/>
        <w:autoSpaceDN w:val="0"/>
        <w:bidi w:val="0"/>
        <w:adjustRightInd w:val="0"/>
        <w:snapToGrid w:val="0"/>
        <w:ind w:firstLine="504"/>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22.全面配置EMC电磁兼容防护措施。</w:t>
      </w:r>
    </w:p>
    <w:p w14:paraId="2D1A2879">
      <w:pPr>
        <w:pStyle w:val="2"/>
        <w:keepNext w:val="0"/>
        <w:keepLines w:val="0"/>
        <w:pageBreakBefore w:val="0"/>
        <w:widowControl w:val="0"/>
        <w:kinsoku/>
        <w:wordWrap/>
        <w:overflowPunct/>
        <w:topLinePunct w:val="0"/>
        <w:autoSpaceDE w:val="0"/>
        <w:autoSpaceDN w:val="0"/>
        <w:bidi w:val="0"/>
        <w:adjustRightInd w:val="0"/>
        <w:snapToGrid w:val="0"/>
        <w:ind w:firstLine="504"/>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23.称重仪表基本技术指标</w:t>
      </w:r>
    </w:p>
    <w:tbl>
      <w:tblPr>
        <w:tblStyle w:val="20"/>
        <w:tblW w:w="7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7"/>
        <w:gridCol w:w="3237"/>
        <w:gridCol w:w="1755"/>
      </w:tblGrid>
      <w:tr w14:paraId="4CA51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27" w:type="dxa"/>
            <w:tcBorders>
              <w:top w:val="single" w:color="000000" w:sz="4" w:space="0"/>
              <w:left w:val="single" w:color="000000" w:sz="4" w:space="0"/>
              <w:bottom w:val="single" w:color="000000" w:sz="4" w:space="0"/>
              <w:right w:val="single" w:color="000000" w:sz="4" w:space="0"/>
            </w:tcBorders>
            <w:vAlign w:val="top"/>
          </w:tcPr>
          <w:p w14:paraId="5F8F8571">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6"/>
                <w:sz w:val="21"/>
                <w:szCs w:val="21"/>
                <w:highlight w:val="none"/>
              </w:rPr>
              <w:t>名称</w:t>
            </w:r>
          </w:p>
        </w:tc>
        <w:tc>
          <w:tcPr>
            <w:tcW w:w="3237" w:type="dxa"/>
            <w:tcBorders>
              <w:top w:val="single" w:color="000000" w:sz="4" w:space="0"/>
              <w:left w:val="single" w:color="000000" w:sz="4" w:space="0"/>
              <w:bottom w:val="single" w:color="000000" w:sz="4" w:space="0"/>
              <w:right w:val="single" w:color="000000" w:sz="4" w:space="0"/>
            </w:tcBorders>
            <w:vAlign w:val="top"/>
          </w:tcPr>
          <w:p w14:paraId="1FFF37F0">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参数值</w:t>
            </w:r>
          </w:p>
        </w:tc>
        <w:tc>
          <w:tcPr>
            <w:tcW w:w="1755" w:type="dxa"/>
            <w:tcBorders>
              <w:top w:val="single" w:color="000000" w:sz="4" w:space="0"/>
              <w:left w:val="single" w:color="000000" w:sz="4" w:space="0"/>
              <w:bottom w:val="single" w:color="000000" w:sz="4" w:space="0"/>
              <w:right w:val="single" w:color="000000" w:sz="4" w:space="0"/>
            </w:tcBorders>
            <w:vAlign w:val="top"/>
          </w:tcPr>
          <w:p w14:paraId="1D11BDA5">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6"/>
                <w:sz w:val="21"/>
                <w:szCs w:val="21"/>
                <w:highlight w:val="none"/>
              </w:rPr>
              <w:t>备注</w:t>
            </w:r>
          </w:p>
        </w:tc>
      </w:tr>
      <w:tr w14:paraId="7FBAC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27" w:type="dxa"/>
            <w:tcBorders>
              <w:top w:val="single" w:color="000000" w:sz="4" w:space="0"/>
              <w:left w:val="single" w:color="000000" w:sz="4" w:space="0"/>
              <w:bottom w:val="single" w:color="000000" w:sz="4" w:space="0"/>
              <w:right w:val="single" w:color="000000" w:sz="4" w:space="0"/>
            </w:tcBorders>
            <w:vAlign w:val="top"/>
          </w:tcPr>
          <w:p w14:paraId="73D87E5C">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sz w:val="21"/>
                <w:szCs w:val="21"/>
                <w:highlight w:val="none"/>
              </w:rPr>
              <w:t>灵敏度</w:t>
            </w:r>
          </w:p>
        </w:tc>
        <w:tc>
          <w:tcPr>
            <w:tcW w:w="3237" w:type="dxa"/>
            <w:tcBorders>
              <w:top w:val="single" w:color="000000" w:sz="4" w:space="0"/>
              <w:left w:val="single" w:color="000000" w:sz="4" w:space="0"/>
              <w:bottom w:val="single" w:color="000000" w:sz="4" w:space="0"/>
              <w:right w:val="single" w:color="000000" w:sz="4" w:space="0"/>
            </w:tcBorders>
            <w:vAlign w:val="top"/>
          </w:tcPr>
          <w:p w14:paraId="537488CE">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最高0.1μV/分度</w:t>
            </w:r>
          </w:p>
        </w:tc>
        <w:tc>
          <w:tcPr>
            <w:tcW w:w="1755" w:type="dxa"/>
            <w:tcBorders>
              <w:top w:val="single" w:color="000000" w:sz="4" w:space="0"/>
              <w:left w:val="single" w:color="000000" w:sz="4" w:space="0"/>
              <w:bottom w:val="single" w:color="000000" w:sz="4" w:space="0"/>
              <w:right w:val="single" w:color="000000" w:sz="4" w:space="0"/>
            </w:tcBorders>
            <w:vAlign w:val="top"/>
          </w:tcPr>
          <w:p w14:paraId="38B12A91">
            <w:pPr>
              <w:pStyle w:val="21"/>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p>
        </w:tc>
      </w:tr>
      <w:tr w14:paraId="52ED2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27" w:type="dxa"/>
            <w:tcBorders>
              <w:top w:val="single" w:color="000000" w:sz="4" w:space="0"/>
              <w:left w:val="single" w:color="000000" w:sz="4" w:space="0"/>
              <w:bottom w:val="single" w:color="000000" w:sz="4" w:space="0"/>
              <w:right w:val="single" w:color="000000" w:sz="4" w:space="0"/>
            </w:tcBorders>
            <w:vAlign w:val="top"/>
          </w:tcPr>
          <w:p w14:paraId="3C688746">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精度等级</w:t>
            </w:r>
          </w:p>
        </w:tc>
        <w:tc>
          <w:tcPr>
            <w:tcW w:w="3237" w:type="dxa"/>
            <w:tcBorders>
              <w:top w:val="single" w:color="000000" w:sz="4" w:space="0"/>
              <w:left w:val="single" w:color="000000" w:sz="4" w:space="0"/>
              <w:bottom w:val="single" w:color="000000" w:sz="4" w:space="0"/>
              <w:right w:val="single" w:color="000000" w:sz="4" w:space="0"/>
            </w:tcBorders>
            <w:vAlign w:val="top"/>
          </w:tcPr>
          <w:p w14:paraId="111A61D3">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OIML10000e</w:t>
            </w:r>
          </w:p>
        </w:tc>
        <w:tc>
          <w:tcPr>
            <w:tcW w:w="1755" w:type="dxa"/>
            <w:tcBorders>
              <w:top w:val="single" w:color="000000" w:sz="4" w:space="0"/>
              <w:left w:val="single" w:color="000000" w:sz="4" w:space="0"/>
              <w:bottom w:val="single" w:color="000000" w:sz="4" w:space="0"/>
              <w:right w:val="single" w:color="000000" w:sz="4" w:space="0"/>
            </w:tcBorders>
            <w:vAlign w:val="top"/>
          </w:tcPr>
          <w:p w14:paraId="3C278384">
            <w:pPr>
              <w:pStyle w:val="21"/>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p>
        </w:tc>
      </w:tr>
      <w:tr w14:paraId="6E9E1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27" w:type="dxa"/>
            <w:tcBorders>
              <w:top w:val="single" w:color="000000" w:sz="4" w:space="0"/>
              <w:left w:val="single" w:color="000000" w:sz="4" w:space="0"/>
              <w:bottom w:val="single" w:color="000000" w:sz="4" w:space="0"/>
              <w:right w:val="single" w:color="000000" w:sz="4" w:space="0"/>
            </w:tcBorders>
            <w:vAlign w:val="top"/>
          </w:tcPr>
          <w:p w14:paraId="6F8C2DBB">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5"/>
                <w:sz w:val="21"/>
                <w:szCs w:val="21"/>
                <w:highlight w:val="none"/>
              </w:rPr>
              <w:t>功率</w:t>
            </w:r>
          </w:p>
        </w:tc>
        <w:tc>
          <w:tcPr>
            <w:tcW w:w="3237" w:type="dxa"/>
            <w:tcBorders>
              <w:top w:val="single" w:color="000000" w:sz="4" w:space="0"/>
              <w:left w:val="single" w:color="000000" w:sz="4" w:space="0"/>
              <w:bottom w:val="single" w:color="000000" w:sz="4" w:space="0"/>
              <w:right w:val="single" w:color="000000" w:sz="4" w:space="0"/>
            </w:tcBorders>
            <w:vAlign w:val="top"/>
          </w:tcPr>
          <w:p w14:paraId="6FC33FD0">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25W</w:t>
            </w:r>
          </w:p>
        </w:tc>
        <w:tc>
          <w:tcPr>
            <w:tcW w:w="1755" w:type="dxa"/>
            <w:tcBorders>
              <w:top w:val="single" w:color="000000" w:sz="4" w:space="0"/>
              <w:left w:val="single" w:color="000000" w:sz="4" w:space="0"/>
              <w:bottom w:val="single" w:color="000000" w:sz="4" w:space="0"/>
              <w:right w:val="single" w:color="000000" w:sz="4" w:space="0"/>
            </w:tcBorders>
            <w:vAlign w:val="top"/>
          </w:tcPr>
          <w:p w14:paraId="30740985">
            <w:pPr>
              <w:pStyle w:val="21"/>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p>
        </w:tc>
      </w:tr>
      <w:tr w14:paraId="7B881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27" w:type="dxa"/>
            <w:tcBorders>
              <w:top w:val="single" w:color="000000" w:sz="4" w:space="0"/>
              <w:left w:val="single" w:color="000000" w:sz="4" w:space="0"/>
              <w:bottom w:val="single" w:color="000000" w:sz="4" w:space="0"/>
              <w:right w:val="single" w:color="000000" w:sz="4" w:space="0"/>
            </w:tcBorders>
            <w:vAlign w:val="top"/>
          </w:tcPr>
          <w:p w14:paraId="40D8C44A">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A/D转换速度</w:t>
            </w:r>
          </w:p>
        </w:tc>
        <w:tc>
          <w:tcPr>
            <w:tcW w:w="3237" w:type="dxa"/>
            <w:tcBorders>
              <w:top w:val="single" w:color="000000" w:sz="4" w:space="0"/>
              <w:left w:val="single" w:color="000000" w:sz="4" w:space="0"/>
              <w:bottom w:val="single" w:color="000000" w:sz="4" w:space="0"/>
              <w:right w:val="single" w:color="000000" w:sz="4" w:space="0"/>
            </w:tcBorders>
            <w:vAlign w:val="top"/>
          </w:tcPr>
          <w:p w14:paraId="56EF2120">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100次/秒</w:t>
            </w:r>
          </w:p>
        </w:tc>
        <w:tc>
          <w:tcPr>
            <w:tcW w:w="1755" w:type="dxa"/>
            <w:tcBorders>
              <w:top w:val="single" w:color="000000" w:sz="4" w:space="0"/>
              <w:left w:val="single" w:color="000000" w:sz="4" w:space="0"/>
              <w:bottom w:val="single" w:color="000000" w:sz="4" w:space="0"/>
              <w:right w:val="single" w:color="000000" w:sz="4" w:space="0"/>
            </w:tcBorders>
            <w:vAlign w:val="top"/>
          </w:tcPr>
          <w:p w14:paraId="2ED6A516">
            <w:pPr>
              <w:pStyle w:val="21"/>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p>
        </w:tc>
      </w:tr>
      <w:tr w14:paraId="633CE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27" w:type="dxa"/>
            <w:tcBorders>
              <w:top w:val="single" w:color="000000" w:sz="4" w:space="0"/>
              <w:left w:val="single" w:color="000000" w:sz="4" w:space="0"/>
              <w:bottom w:val="single" w:color="000000" w:sz="4" w:space="0"/>
              <w:right w:val="single" w:color="000000" w:sz="4" w:space="0"/>
            </w:tcBorders>
            <w:vAlign w:val="top"/>
          </w:tcPr>
          <w:p w14:paraId="2FB5717B">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显示器：</w:t>
            </w:r>
          </w:p>
        </w:tc>
        <w:tc>
          <w:tcPr>
            <w:tcW w:w="3237" w:type="dxa"/>
            <w:tcBorders>
              <w:top w:val="single" w:color="000000" w:sz="4" w:space="0"/>
              <w:left w:val="single" w:color="000000" w:sz="4" w:space="0"/>
              <w:bottom w:val="single" w:color="000000" w:sz="4" w:space="0"/>
              <w:right w:val="single" w:color="000000" w:sz="4" w:space="0"/>
            </w:tcBorders>
            <w:vAlign w:val="top"/>
          </w:tcPr>
          <w:p w14:paraId="5ECF5705">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2"/>
                <w:sz w:val="21"/>
                <w:szCs w:val="21"/>
                <w:highlight w:val="none"/>
              </w:rPr>
              <w:t>LCD显示</w:t>
            </w:r>
          </w:p>
        </w:tc>
        <w:tc>
          <w:tcPr>
            <w:tcW w:w="1755" w:type="dxa"/>
            <w:tcBorders>
              <w:top w:val="single" w:color="000000" w:sz="4" w:space="0"/>
              <w:left w:val="single" w:color="000000" w:sz="4" w:space="0"/>
              <w:bottom w:val="single" w:color="000000" w:sz="4" w:space="0"/>
              <w:right w:val="single" w:color="000000" w:sz="4" w:space="0"/>
            </w:tcBorders>
            <w:vAlign w:val="top"/>
          </w:tcPr>
          <w:p w14:paraId="534A44C4">
            <w:pPr>
              <w:pStyle w:val="21"/>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p>
        </w:tc>
      </w:tr>
      <w:tr w14:paraId="37CC4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27" w:type="dxa"/>
            <w:tcBorders>
              <w:top w:val="single" w:color="000000" w:sz="4" w:space="0"/>
              <w:left w:val="single" w:color="000000" w:sz="4" w:space="0"/>
              <w:bottom w:val="single" w:color="000000" w:sz="4" w:space="0"/>
              <w:right w:val="single" w:color="000000" w:sz="4" w:space="0"/>
            </w:tcBorders>
            <w:vAlign w:val="top"/>
          </w:tcPr>
          <w:p w14:paraId="3272DB46">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工作温度范围</w:t>
            </w:r>
          </w:p>
        </w:tc>
        <w:tc>
          <w:tcPr>
            <w:tcW w:w="3237" w:type="dxa"/>
            <w:tcBorders>
              <w:top w:val="single" w:color="000000" w:sz="4" w:space="0"/>
              <w:left w:val="single" w:color="000000" w:sz="4" w:space="0"/>
              <w:bottom w:val="single" w:color="000000" w:sz="4" w:space="0"/>
              <w:right w:val="single" w:color="000000" w:sz="4" w:space="0"/>
            </w:tcBorders>
            <w:vAlign w:val="top"/>
          </w:tcPr>
          <w:p w14:paraId="7B52DE79">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-20℃~+40℃</w:t>
            </w:r>
          </w:p>
        </w:tc>
        <w:tc>
          <w:tcPr>
            <w:tcW w:w="1755" w:type="dxa"/>
            <w:tcBorders>
              <w:top w:val="single" w:color="000000" w:sz="4" w:space="0"/>
              <w:left w:val="single" w:color="000000" w:sz="4" w:space="0"/>
              <w:bottom w:val="single" w:color="000000" w:sz="4" w:space="0"/>
              <w:right w:val="single" w:color="000000" w:sz="4" w:space="0"/>
            </w:tcBorders>
            <w:vAlign w:val="top"/>
          </w:tcPr>
          <w:p w14:paraId="352DC430">
            <w:pPr>
              <w:pStyle w:val="21"/>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p>
        </w:tc>
      </w:tr>
      <w:tr w14:paraId="3CB03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27" w:type="dxa"/>
            <w:tcBorders>
              <w:top w:val="single" w:color="000000" w:sz="4" w:space="0"/>
              <w:left w:val="single" w:color="000000" w:sz="4" w:space="0"/>
              <w:bottom w:val="single" w:color="000000" w:sz="4" w:space="0"/>
              <w:right w:val="single" w:color="000000" w:sz="4" w:space="0"/>
            </w:tcBorders>
            <w:vAlign w:val="top"/>
          </w:tcPr>
          <w:p w14:paraId="3295CD9A">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储存温度范围</w:t>
            </w:r>
          </w:p>
        </w:tc>
        <w:tc>
          <w:tcPr>
            <w:tcW w:w="3237" w:type="dxa"/>
            <w:tcBorders>
              <w:top w:val="single" w:color="000000" w:sz="4" w:space="0"/>
              <w:left w:val="single" w:color="000000" w:sz="4" w:space="0"/>
              <w:bottom w:val="single" w:color="000000" w:sz="4" w:space="0"/>
              <w:right w:val="single" w:color="000000" w:sz="4" w:space="0"/>
            </w:tcBorders>
            <w:vAlign w:val="top"/>
          </w:tcPr>
          <w:p w14:paraId="37FD6570">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1"/>
                <w:sz w:val="21"/>
                <w:szCs w:val="21"/>
                <w:highlight w:val="none"/>
              </w:rPr>
              <w:t>-30℃~+70℃</w:t>
            </w:r>
          </w:p>
        </w:tc>
        <w:tc>
          <w:tcPr>
            <w:tcW w:w="1755" w:type="dxa"/>
            <w:tcBorders>
              <w:top w:val="single" w:color="000000" w:sz="4" w:space="0"/>
              <w:left w:val="single" w:color="000000" w:sz="4" w:space="0"/>
              <w:bottom w:val="single" w:color="000000" w:sz="4" w:space="0"/>
              <w:right w:val="single" w:color="000000" w:sz="4" w:space="0"/>
            </w:tcBorders>
            <w:vAlign w:val="top"/>
          </w:tcPr>
          <w:p w14:paraId="0F294106">
            <w:pPr>
              <w:pStyle w:val="21"/>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p>
        </w:tc>
      </w:tr>
      <w:tr w14:paraId="720CD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527" w:type="dxa"/>
            <w:tcBorders>
              <w:top w:val="single" w:color="000000" w:sz="4" w:space="0"/>
              <w:left w:val="single" w:color="000000" w:sz="4" w:space="0"/>
              <w:bottom w:val="single" w:color="000000" w:sz="4" w:space="0"/>
              <w:right w:val="single" w:color="000000" w:sz="4" w:space="0"/>
            </w:tcBorders>
            <w:vAlign w:val="top"/>
          </w:tcPr>
          <w:p w14:paraId="4EBAA1E0">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3"/>
                <w:sz w:val="21"/>
                <w:szCs w:val="21"/>
                <w:highlight w:val="none"/>
              </w:rPr>
              <w:t>相对湿度</w:t>
            </w:r>
          </w:p>
        </w:tc>
        <w:tc>
          <w:tcPr>
            <w:tcW w:w="3237" w:type="dxa"/>
            <w:tcBorders>
              <w:top w:val="single" w:color="000000" w:sz="4" w:space="0"/>
              <w:left w:val="single" w:color="000000" w:sz="4" w:space="0"/>
              <w:bottom w:val="single" w:color="000000" w:sz="4" w:space="0"/>
              <w:right w:val="single" w:color="000000" w:sz="4" w:space="0"/>
            </w:tcBorders>
            <w:vAlign w:val="top"/>
          </w:tcPr>
          <w:p w14:paraId="68E0F327">
            <w:pPr>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pacing w:val="-4"/>
                <w:sz w:val="21"/>
                <w:szCs w:val="21"/>
                <w:highlight w:val="none"/>
              </w:rPr>
              <w:t>≤90%RH</w:t>
            </w:r>
          </w:p>
        </w:tc>
        <w:tc>
          <w:tcPr>
            <w:tcW w:w="1755" w:type="dxa"/>
            <w:tcBorders>
              <w:top w:val="single" w:color="000000" w:sz="4" w:space="0"/>
              <w:left w:val="single" w:color="000000" w:sz="4" w:space="0"/>
              <w:bottom w:val="single" w:color="000000" w:sz="4" w:space="0"/>
              <w:right w:val="single" w:color="000000" w:sz="4" w:space="0"/>
            </w:tcBorders>
            <w:vAlign w:val="top"/>
          </w:tcPr>
          <w:p w14:paraId="18DD04C6">
            <w:pPr>
              <w:pStyle w:val="21"/>
              <w:keepNext w:val="0"/>
              <w:keepLines w:val="0"/>
              <w:pageBreakBefore w:val="0"/>
              <w:wordWrap/>
              <w:overflowPunct/>
              <w:topLinePunct w:val="0"/>
              <w:autoSpaceDE w:val="0"/>
              <w:autoSpaceDN w:val="0"/>
              <w:bidi w:val="0"/>
              <w:adjustRightInd w:val="0"/>
              <w:ind w:left="0"/>
              <w:jc w:val="center"/>
              <w:rPr>
                <w:rFonts w:hint="eastAsia" w:asciiTheme="minorEastAsia" w:hAnsiTheme="minorEastAsia" w:eastAsiaTheme="minorEastAsia" w:cstheme="minorEastAsia"/>
                <w:sz w:val="21"/>
                <w:szCs w:val="21"/>
                <w:highlight w:val="none"/>
              </w:rPr>
            </w:pPr>
          </w:p>
        </w:tc>
      </w:tr>
    </w:tbl>
    <w:p w14:paraId="73B68709">
      <w:pPr>
        <w:pStyle w:val="2"/>
        <w:ind w:firstLine="504"/>
        <w:rPr>
          <w:rFonts w:hint="eastAsia" w:asciiTheme="minorEastAsia" w:hAnsiTheme="minorEastAsia" w:eastAsiaTheme="minorEastAsia" w:cstheme="minorEastAsia"/>
          <w:spacing w:val="1"/>
          <w:sz w:val="21"/>
          <w:szCs w:val="21"/>
          <w:highlight w:val="none"/>
        </w:rPr>
      </w:pPr>
    </w:p>
    <w:p w14:paraId="4A43DAD4">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(七)全自动挡车道闸</w:t>
      </w:r>
    </w:p>
    <w:p w14:paraId="282ED32E">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1.自动道闸的栏杆的材质应选用高强度铝合金，并带有反光条。</w:t>
      </w:r>
    </w:p>
    <w:p w14:paraId="27684F39">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2.闸杆高效节能、低噪音，起落平稳无颤动</w:t>
      </w:r>
    </w:p>
    <w:p w14:paraId="67B40A6E">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3.寿命长，不低于500万次的平均无故障使用次数以及不低于1000万次的起落使用寿命。</w:t>
      </w:r>
    </w:p>
    <w:p w14:paraId="01011E2B">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4.闸杆长度可任意配备。</w:t>
      </w:r>
    </w:p>
    <w:p w14:paraId="22EF02EF">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5.电动、手动、操作方便。</w:t>
      </w:r>
    </w:p>
    <w:p w14:paraId="46503DDA">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6.具备防砸车、防伤人的功能。</w:t>
      </w:r>
    </w:p>
    <w:p w14:paraId="0F61ADED">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7.可与各种控制设置联网实现智能控制。</w:t>
      </w:r>
    </w:p>
    <w:p w14:paraId="315A1119">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8.应装置先进的平衡机构，可使闸杆任意点平衡。</w:t>
      </w:r>
    </w:p>
    <w:p w14:paraId="56AF00D6">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9.故障时可手动下杆，亦可锁定手动功能。</w:t>
      </w:r>
    </w:p>
    <w:p w14:paraId="37E33AC2">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10.结构合理，维护方便。</w:t>
      </w:r>
    </w:p>
    <w:p w14:paraId="2351FB3F">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11.闸杆起落时间1～6秒可调。12.闸杆尺寸3-3.5m。</w:t>
      </w:r>
    </w:p>
    <w:p w14:paraId="1B206067">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w:t>
      </w:r>
      <w:r>
        <w:rPr>
          <w:rFonts w:hint="eastAsia" w:asciiTheme="minorEastAsia" w:hAnsiTheme="minorEastAsia" w:eastAsiaTheme="minorEastAsia" w:cstheme="minorEastAsia"/>
          <w:spacing w:val="1"/>
          <w:sz w:val="21"/>
          <w:szCs w:val="21"/>
          <w:highlight w:val="none"/>
          <w:lang w:val="en-US" w:eastAsia="zh-CN"/>
        </w:rPr>
        <w:t>2</w:t>
      </w:r>
      <w:r>
        <w:rPr>
          <w:rFonts w:hint="eastAsia" w:asciiTheme="minorEastAsia" w:hAnsiTheme="minorEastAsia" w:eastAsiaTheme="minorEastAsia" w:cstheme="minorEastAsia"/>
          <w:spacing w:val="1"/>
          <w:sz w:val="21"/>
          <w:szCs w:val="21"/>
          <w:highlight w:val="none"/>
        </w:rPr>
        <w:t>.道闸控制箱防护等级为IP68。</w:t>
      </w:r>
    </w:p>
    <w:p w14:paraId="71A1DB91">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(八)车辆识别系统</w:t>
      </w:r>
    </w:p>
    <w:p w14:paraId="697140BC">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1.识别方式：非接触式超高频射频。</w:t>
      </w:r>
    </w:p>
    <w:p w14:paraId="38CD5E43">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2.采用高可靠的超高频射频读写器，能够可靠实现对静态及动态(10km/h)车辆的自动识别，最大识别距离不小于10米，识别距离1～6米可调。</w:t>
      </w:r>
    </w:p>
    <w:p w14:paraId="39A614BF">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3.适用于全天候，恶劣环境的场合。</w:t>
      </w:r>
    </w:p>
    <w:p w14:paraId="3376A626">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4.快速反应设计，适应大车流量的运行系统。</w:t>
      </w:r>
    </w:p>
    <w:p w14:paraId="69D0D393">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5.电子车牌采用无源、非接触式射频卡，应具有抗震、防腐、防潮性能。</w:t>
      </w:r>
    </w:p>
    <w:p w14:paraId="60F2D87D">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6.系统由读卡器、电子标签及配套集成附件组成。</w:t>
      </w:r>
    </w:p>
    <w:p w14:paraId="0B518B18">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7.读出率：100%。</w:t>
      </w:r>
    </w:p>
    <w:p w14:paraId="3A7A0C41">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8.读写卡类型：符合现有行业标准。</w:t>
      </w:r>
    </w:p>
    <w:p w14:paraId="5251BF48">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9.读取时间：小于0.1秒。</w:t>
      </w:r>
    </w:p>
    <w:p w14:paraId="42058200">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10.自动识别距离范围：0~6米。</w:t>
      </w:r>
    </w:p>
    <w:p w14:paraId="25240367">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11.防护等级：IP65。</w:t>
      </w:r>
    </w:p>
    <w:p w14:paraId="71A33C83">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12.无源电子车牌寿命：6年。</w:t>
      </w:r>
    </w:p>
    <w:p w14:paraId="1E557357">
      <w:pPr>
        <w:pStyle w:val="2"/>
        <w:rPr>
          <w:rFonts w:hint="eastAsia" w:asciiTheme="minorEastAsia" w:hAnsiTheme="minorEastAsia" w:eastAsiaTheme="minorEastAsia" w:cstheme="minorEastAsia"/>
          <w:b/>
          <w:bCs/>
          <w:color w:val="C00000"/>
          <w:sz w:val="21"/>
          <w:szCs w:val="21"/>
          <w:highlight w:val="none"/>
          <w:lang w:val="en-US" w:eastAsia="zh-CN"/>
        </w:rPr>
      </w:pPr>
      <w:r>
        <w:rPr>
          <w:rFonts w:hint="eastAsia" w:asciiTheme="minorEastAsia" w:hAnsiTheme="minorEastAsia" w:eastAsiaTheme="minorEastAsia" w:cstheme="minorEastAsia"/>
          <w:b/>
          <w:bCs/>
          <w:color w:val="C00000"/>
          <w:sz w:val="21"/>
          <w:szCs w:val="21"/>
          <w:highlight w:val="none"/>
          <w:lang w:val="en-US" w:eastAsia="zh-CN"/>
        </w:rPr>
        <w:t>☆13.ID卡暂按50张报价，报价文件中应提供单价，采购人有权根据情况按此单价提出增加或减少的订货要求。</w:t>
      </w:r>
    </w:p>
    <w:p w14:paraId="7AC91C09">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w:t>
      </w:r>
      <w:r>
        <w:rPr>
          <w:rFonts w:hint="eastAsia" w:asciiTheme="minorEastAsia" w:hAnsiTheme="minorEastAsia" w:eastAsiaTheme="minorEastAsia" w:cstheme="minorEastAsia"/>
          <w:spacing w:val="1"/>
          <w:sz w:val="21"/>
          <w:szCs w:val="21"/>
          <w:highlight w:val="none"/>
          <w:lang w:val="en-US" w:eastAsia="zh-CN"/>
        </w:rPr>
        <w:t>4</w:t>
      </w:r>
      <w:r>
        <w:rPr>
          <w:rFonts w:hint="eastAsia" w:asciiTheme="minorEastAsia" w:hAnsiTheme="minorEastAsia" w:eastAsiaTheme="minorEastAsia" w:cstheme="minorEastAsia"/>
          <w:spacing w:val="1"/>
          <w:sz w:val="21"/>
          <w:szCs w:val="21"/>
          <w:highlight w:val="none"/>
        </w:rPr>
        <w:t>.车辆识别系统有快速防冲突机制，以防止卡片之间出现数据干扰。</w:t>
      </w:r>
    </w:p>
    <w:p w14:paraId="39B48F4D">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w:t>
      </w:r>
      <w:r>
        <w:rPr>
          <w:rFonts w:hint="eastAsia" w:asciiTheme="minorEastAsia" w:hAnsiTheme="minorEastAsia" w:eastAsiaTheme="minorEastAsia" w:cstheme="minorEastAsia"/>
          <w:spacing w:val="1"/>
          <w:sz w:val="21"/>
          <w:szCs w:val="21"/>
          <w:highlight w:val="none"/>
          <w:lang w:val="en-US" w:eastAsia="zh-CN"/>
        </w:rPr>
        <w:t>5</w:t>
      </w:r>
      <w:r>
        <w:rPr>
          <w:rFonts w:hint="eastAsia" w:asciiTheme="minorEastAsia" w:hAnsiTheme="minorEastAsia" w:eastAsiaTheme="minorEastAsia" w:cstheme="minorEastAsia"/>
          <w:spacing w:val="1"/>
          <w:sz w:val="21"/>
          <w:szCs w:val="21"/>
          <w:highlight w:val="none"/>
        </w:rPr>
        <w:t>.读写卡类型：符合MIFARE标准。</w:t>
      </w:r>
    </w:p>
    <w:p w14:paraId="10459177">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w:t>
      </w:r>
      <w:r>
        <w:rPr>
          <w:rFonts w:hint="eastAsia" w:asciiTheme="minorEastAsia" w:hAnsiTheme="minorEastAsia" w:eastAsiaTheme="minorEastAsia" w:cstheme="minorEastAsia"/>
          <w:spacing w:val="1"/>
          <w:sz w:val="21"/>
          <w:szCs w:val="21"/>
          <w:highlight w:val="none"/>
          <w:lang w:val="en-US" w:eastAsia="zh-CN"/>
        </w:rPr>
        <w:t>6</w:t>
      </w:r>
      <w:r>
        <w:rPr>
          <w:rFonts w:hint="eastAsia" w:asciiTheme="minorEastAsia" w:hAnsiTheme="minorEastAsia" w:eastAsiaTheme="minorEastAsia" w:cstheme="minorEastAsia"/>
          <w:spacing w:val="1"/>
          <w:sz w:val="21"/>
          <w:szCs w:val="21"/>
          <w:highlight w:val="none"/>
        </w:rPr>
        <w:t>.通讯速率：9600~115200bit/s。</w:t>
      </w:r>
    </w:p>
    <w:p w14:paraId="636391EE">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w:t>
      </w:r>
      <w:r>
        <w:rPr>
          <w:rFonts w:hint="eastAsia" w:asciiTheme="minorEastAsia" w:hAnsiTheme="minorEastAsia" w:eastAsiaTheme="minorEastAsia" w:cstheme="minorEastAsia"/>
          <w:spacing w:val="1"/>
          <w:sz w:val="21"/>
          <w:szCs w:val="21"/>
          <w:highlight w:val="none"/>
          <w:lang w:val="en-US" w:eastAsia="zh-CN"/>
        </w:rPr>
        <w:t>7</w:t>
      </w:r>
      <w:r>
        <w:rPr>
          <w:rFonts w:hint="eastAsia" w:asciiTheme="minorEastAsia" w:hAnsiTheme="minorEastAsia" w:eastAsiaTheme="minorEastAsia" w:cstheme="minorEastAsia"/>
          <w:spacing w:val="1"/>
          <w:sz w:val="21"/>
          <w:szCs w:val="21"/>
          <w:highlight w:val="none"/>
        </w:rPr>
        <w:t>.车牌识别系统：车辆视频图像和车牌号信息采集与处理由摄像机、图像捕获与车辆号牌识别模块、数据存储、数据处理、数据查询等组成，相关数据发送至控制系统。</w:t>
      </w:r>
    </w:p>
    <w:p w14:paraId="7DE2436E">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w:t>
      </w:r>
      <w:r>
        <w:rPr>
          <w:rFonts w:hint="eastAsia" w:asciiTheme="minorEastAsia" w:hAnsiTheme="minorEastAsia" w:eastAsiaTheme="minorEastAsia" w:cstheme="minorEastAsia"/>
          <w:spacing w:val="1"/>
          <w:sz w:val="21"/>
          <w:szCs w:val="21"/>
          <w:highlight w:val="none"/>
          <w:lang w:val="en-US" w:eastAsia="zh-CN"/>
        </w:rPr>
        <w:t>8</w:t>
      </w:r>
      <w:r>
        <w:rPr>
          <w:rFonts w:hint="eastAsia" w:asciiTheme="minorEastAsia" w:hAnsiTheme="minorEastAsia" w:eastAsiaTheme="minorEastAsia" w:cstheme="minorEastAsia"/>
          <w:spacing w:val="1"/>
          <w:sz w:val="21"/>
          <w:szCs w:val="21"/>
          <w:highlight w:val="none"/>
        </w:rPr>
        <w:t>.车辆定位系统。</w:t>
      </w:r>
    </w:p>
    <w:p w14:paraId="4E34C54C">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lang w:val="en-US" w:eastAsia="zh-CN"/>
        </w:rPr>
        <w:t>19</w:t>
      </w:r>
      <w:r>
        <w:rPr>
          <w:rFonts w:hint="eastAsia" w:asciiTheme="minorEastAsia" w:hAnsiTheme="minorEastAsia" w:eastAsiaTheme="minorEastAsia" w:cstheme="minorEastAsia"/>
          <w:spacing w:val="1"/>
          <w:sz w:val="21"/>
          <w:szCs w:val="21"/>
          <w:highlight w:val="none"/>
        </w:rPr>
        <w:t>.检测方式：光电开关。</w:t>
      </w:r>
    </w:p>
    <w:p w14:paraId="65FEF636">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2</w:t>
      </w:r>
      <w:r>
        <w:rPr>
          <w:rFonts w:hint="eastAsia" w:asciiTheme="minorEastAsia" w:hAnsiTheme="minorEastAsia" w:eastAsiaTheme="minorEastAsia" w:cstheme="minorEastAsia"/>
          <w:spacing w:val="1"/>
          <w:sz w:val="21"/>
          <w:szCs w:val="21"/>
          <w:highlight w:val="none"/>
          <w:lang w:val="en-US" w:eastAsia="zh-CN"/>
        </w:rPr>
        <w:t>0</w:t>
      </w:r>
      <w:r>
        <w:rPr>
          <w:rFonts w:hint="eastAsia" w:asciiTheme="minorEastAsia" w:hAnsiTheme="minorEastAsia" w:eastAsiaTheme="minorEastAsia" w:cstheme="minorEastAsia"/>
          <w:spacing w:val="1"/>
          <w:sz w:val="21"/>
          <w:szCs w:val="21"/>
          <w:highlight w:val="none"/>
        </w:rPr>
        <w:t>.供电电压：10-30VDC。</w:t>
      </w:r>
    </w:p>
    <w:p w14:paraId="6C41C958">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w:t>
      </w:r>
      <w:r>
        <w:rPr>
          <w:rFonts w:hint="eastAsia" w:asciiTheme="minorEastAsia" w:hAnsiTheme="minorEastAsia" w:eastAsiaTheme="minorEastAsia" w:cstheme="minorEastAsia"/>
          <w:spacing w:val="1"/>
          <w:sz w:val="21"/>
          <w:szCs w:val="21"/>
          <w:highlight w:val="none"/>
          <w:lang w:val="en-US" w:eastAsia="zh-CN"/>
        </w:rPr>
        <w:t>1</w:t>
      </w:r>
      <w:r>
        <w:rPr>
          <w:rFonts w:hint="eastAsia" w:asciiTheme="minorEastAsia" w:hAnsiTheme="minorEastAsia" w:eastAsiaTheme="minorEastAsia" w:cstheme="minorEastAsia"/>
          <w:spacing w:val="1"/>
          <w:sz w:val="21"/>
          <w:szCs w:val="21"/>
          <w:highlight w:val="none"/>
        </w:rPr>
        <w:t>.动作时间：≤500us。</w:t>
      </w:r>
    </w:p>
    <w:p w14:paraId="32D634DF">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w:t>
      </w:r>
      <w:r>
        <w:rPr>
          <w:rFonts w:hint="eastAsia" w:asciiTheme="minorEastAsia" w:hAnsiTheme="minorEastAsia" w:eastAsiaTheme="minorEastAsia" w:cstheme="minorEastAsia"/>
          <w:spacing w:val="1"/>
          <w:sz w:val="21"/>
          <w:szCs w:val="21"/>
          <w:highlight w:val="none"/>
          <w:lang w:val="en-US" w:eastAsia="zh-CN"/>
        </w:rPr>
        <w:t>2</w:t>
      </w:r>
      <w:r>
        <w:rPr>
          <w:rFonts w:hint="eastAsia" w:asciiTheme="minorEastAsia" w:hAnsiTheme="minorEastAsia" w:eastAsiaTheme="minorEastAsia" w:cstheme="minorEastAsia"/>
          <w:spacing w:val="1"/>
          <w:sz w:val="21"/>
          <w:szCs w:val="21"/>
          <w:highlight w:val="none"/>
        </w:rPr>
        <w:t>.防护等级：IP67。</w:t>
      </w:r>
    </w:p>
    <w:p w14:paraId="3F93DCE3">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p>
    <w:p w14:paraId="28CB2AE8">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(九)交通灯</w:t>
      </w:r>
    </w:p>
    <w:p w14:paraId="1539C107">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1.用于车流交通控制，保证车辆按序称重。</w:t>
      </w:r>
    </w:p>
    <w:p w14:paraId="63AEEC9A">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2.秤前红绿灯的作用是当秤台上有车辆时，禁止后续车辆上秤；秤后红绿灯的作用是在称重未完成前禁止车辆下秤。</w:t>
      </w:r>
    </w:p>
    <w:p w14:paraId="48B7BF97">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3.标准红绿二色。</w:t>
      </w:r>
    </w:p>
    <w:p w14:paraId="4C3DD00F">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4.使用寿命：不低于5年。</w:t>
      </w:r>
    </w:p>
    <w:p w14:paraId="7A639EDF">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p>
    <w:p w14:paraId="5AD2BF88">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(十)LED中文电子显示屏</w:t>
      </w:r>
    </w:p>
    <w:p w14:paraId="762D3599">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1.应采用LED发光管，确保亮度。</w:t>
      </w:r>
    </w:p>
    <w:p w14:paraId="620A9B3F">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2.上滚显示称重重量。</w:t>
      </w:r>
    </w:p>
    <w:p w14:paraId="4BF2ADBB">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3.防雨式设计，确保全天候可靠运行。</w:t>
      </w:r>
    </w:p>
    <w:p w14:paraId="37FFC3B7">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4.板块式设计，维修，更换便捷，且不影响系统的运行。</w:t>
      </w:r>
    </w:p>
    <w:p w14:paraId="6A0402B8">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5.深色底设计，增加显示亮度。</w:t>
      </w:r>
    </w:p>
    <w:p w14:paraId="2CBEA25D">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6.LED中文电子显示屏点间距P≤10mm,至少3行2列。</w:t>
      </w:r>
    </w:p>
    <w:p w14:paraId="531846A6">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p>
    <w:p w14:paraId="0EECA639">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(十一)语音系统</w:t>
      </w:r>
    </w:p>
    <w:p w14:paraId="76634686">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1.由室外音箱、音箱支架、麦克风和电缆线等组成。</w:t>
      </w:r>
    </w:p>
    <w:p w14:paraId="27B194A7">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2.能实现报警、喊话、音量连续可调功能。</w:t>
      </w:r>
    </w:p>
    <w:p w14:paraId="62A08A21">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3.室外采用全天候大功率宽带防水音箱，对讲机具有逼真的放声特性，传送距离远，外壳具有很好的防水和防腐蚀性。</w:t>
      </w:r>
    </w:p>
    <w:p w14:paraId="3B317ADC">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p>
    <w:p w14:paraId="38D55E86">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(十二)视频监控系统</w:t>
      </w:r>
    </w:p>
    <w:p w14:paraId="31FF34F5">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1.监控系统由监视器、硬盘录相机(内存6T)、现场摄像头等组成。</w:t>
      </w:r>
    </w:p>
    <w:p w14:paraId="269F5E71">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2.汽车采用红外线定位方式，当汽车停靠于设定范围之外时，应有声光报警，车身必须全部驶上衡器，防止过衡作弊。同时应设定位完毕、称量完毕和采样完毕语音提示。</w:t>
      </w:r>
    </w:p>
    <w:p w14:paraId="4AF6DACF">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3.监控摄像系统应预留端口并配合接入</w:t>
      </w:r>
      <w:r>
        <w:rPr>
          <w:rFonts w:hint="eastAsia" w:asciiTheme="minorEastAsia" w:hAnsiTheme="minorEastAsia" w:eastAsiaTheme="minorEastAsia" w:cstheme="minorEastAsia"/>
          <w:spacing w:val="1"/>
          <w:sz w:val="21"/>
          <w:szCs w:val="21"/>
          <w:highlight w:val="none"/>
          <w:lang w:val="en-US" w:eastAsia="zh-CN"/>
        </w:rPr>
        <w:t>采购人指定的</w:t>
      </w:r>
      <w:r>
        <w:rPr>
          <w:rFonts w:hint="eastAsia" w:asciiTheme="minorEastAsia" w:hAnsiTheme="minorEastAsia" w:eastAsiaTheme="minorEastAsia" w:cstheme="minorEastAsia"/>
          <w:spacing w:val="1"/>
          <w:sz w:val="21"/>
          <w:szCs w:val="21"/>
          <w:highlight w:val="none"/>
        </w:rPr>
        <w:t>监控系统。</w:t>
      </w:r>
    </w:p>
    <w:p w14:paraId="110A92EC">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p>
    <w:p w14:paraId="7B351528">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(十三)称重计算机及管理计算机</w:t>
      </w:r>
    </w:p>
    <w:p w14:paraId="3E799731">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称重及管理计算机采用服务器，具体配置(按照计算机最新主流参数配置，不低于)CPU:intel至强处理器；主频：2.4G；硬盘：6TB；内存：8G；光驱：DVDROM；显示器：19’5"液晶显示屏；操作系统：win10专业版或旗舰版。</w:t>
      </w:r>
    </w:p>
    <w:p w14:paraId="59AA0FC9">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2.控制室操作台</w:t>
      </w:r>
    </w:p>
    <w:p w14:paraId="5D94BB86">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ind w:left="0" w:leftChars="0" w:firstLine="479" w:firstLineChars="226"/>
        <w:textAlignment w:val="auto"/>
        <w:rPr>
          <w:rFonts w:hint="default" w:asciiTheme="minorEastAsia" w:hAnsiTheme="minorEastAsia" w:eastAsiaTheme="minorEastAsia" w:cstheme="minorEastAsia"/>
          <w:spacing w:val="1"/>
          <w:sz w:val="21"/>
          <w:szCs w:val="21"/>
          <w:highlight w:val="none"/>
          <w:lang w:val="en-US" w:eastAsia="zh-CN"/>
        </w:rPr>
      </w:pPr>
      <w:r>
        <w:rPr>
          <w:rFonts w:hint="default" w:asciiTheme="minorEastAsia" w:hAnsiTheme="minorEastAsia" w:eastAsiaTheme="minorEastAsia" w:cstheme="minorEastAsia"/>
          <w:spacing w:val="1"/>
          <w:sz w:val="21"/>
          <w:szCs w:val="21"/>
          <w:highlight w:val="none"/>
          <w:lang w:val="en-US" w:eastAsia="zh-CN" w:bidi="ar-SA"/>
        </w:rPr>
        <w:t>a.</w:t>
      </w:r>
      <w:r>
        <w:rPr>
          <w:rFonts w:hint="eastAsia" w:asciiTheme="minorEastAsia" w:hAnsiTheme="minorEastAsia" w:eastAsiaTheme="minorEastAsia" w:cstheme="minorEastAsia"/>
          <w:spacing w:val="1"/>
          <w:sz w:val="21"/>
          <w:szCs w:val="21"/>
          <w:highlight w:val="none"/>
        </w:rPr>
        <w:t>操作台数量1台，操作台外形、尺寸、颜色</w:t>
      </w:r>
      <w:r>
        <w:rPr>
          <w:rFonts w:hint="eastAsia" w:asciiTheme="minorEastAsia" w:hAnsiTheme="minorEastAsia" w:eastAsiaTheme="minorEastAsia" w:cstheme="minorEastAsia"/>
          <w:spacing w:val="1"/>
          <w:sz w:val="21"/>
          <w:szCs w:val="21"/>
          <w:highlight w:val="none"/>
          <w:lang w:val="en-US" w:eastAsia="zh-CN"/>
        </w:rPr>
        <w:t>必须</w:t>
      </w:r>
      <w:r>
        <w:rPr>
          <w:rFonts w:hint="eastAsia" w:asciiTheme="minorEastAsia" w:hAnsiTheme="minorEastAsia" w:eastAsiaTheme="minorEastAsia" w:cstheme="minorEastAsia"/>
          <w:spacing w:val="1"/>
          <w:sz w:val="21"/>
          <w:szCs w:val="21"/>
          <w:highlight w:val="none"/>
        </w:rPr>
        <w:t>经采购人认可</w:t>
      </w:r>
      <w:r>
        <w:rPr>
          <w:rFonts w:hint="eastAsia" w:asciiTheme="minorEastAsia" w:hAnsiTheme="minorEastAsia" w:eastAsiaTheme="minorEastAsia" w:cstheme="minorEastAsia"/>
          <w:spacing w:val="1"/>
          <w:sz w:val="21"/>
          <w:szCs w:val="21"/>
          <w:highlight w:val="none"/>
          <w:lang w:val="en-US" w:eastAsia="zh-CN"/>
        </w:rPr>
        <w:t>后进场。</w:t>
      </w:r>
    </w:p>
    <w:p w14:paraId="6C2C7BD1">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ind w:left="0" w:leftChars="0" w:firstLine="479" w:firstLineChars="226"/>
        <w:textAlignment w:val="auto"/>
        <w:rPr>
          <w:rFonts w:hint="eastAsia" w:asciiTheme="minorEastAsia" w:hAnsiTheme="minorEastAsia" w:eastAsiaTheme="minorEastAsia" w:cstheme="minorEastAsia"/>
          <w:spacing w:val="1"/>
          <w:sz w:val="21"/>
          <w:szCs w:val="21"/>
          <w:highlight w:val="none"/>
        </w:rPr>
      </w:pPr>
      <w:r>
        <w:rPr>
          <w:rFonts w:hint="default" w:asciiTheme="minorEastAsia" w:hAnsiTheme="minorEastAsia" w:eastAsiaTheme="minorEastAsia" w:cstheme="minorEastAsia"/>
          <w:spacing w:val="1"/>
          <w:sz w:val="21"/>
          <w:szCs w:val="21"/>
          <w:highlight w:val="none"/>
          <w:lang w:val="en-US" w:eastAsia="zh-CN" w:bidi="ar-SA"/>
        </w:rPr>
        <w:t>b.</w:t>
      </w:r>
      <w:r>
        <w:rPr>
          <w:rFonts w:hint="eastAsia" w:asciiTheme="minorEastAsia" w:hAnsiTheme="minorEastAsia" w:eastAsiaTheme="minorEastAsia" w:cstheme="minorEastAsia"/>
          <w:spacing w:val="1"/>
          <w:sz w:val="21"/>
          <w:szCs w:val="21"/>
          <w:highlight w:val="none"/>
        </w:rPr>
        <w:t>操作台要求采用框架式结构，操作和控制的一体化，底部带有底座便于固定，美观、大方、便于操作，满足地磅房整体布置的要求。</w:t>
      </w:r>
    </w:p>
    <w:p w14:paraId="0196ED0D">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ind w:left="0" w:leftChars="0" w:firstLine="479" w:firstLineChars="226"/>
        <w:textAlignment w:val="auto"/>
        <w:rPr>
          <w:rFonts w:hint="eastAsia" w:asciiTheme="minorEastAsia" w:hAnsiTheme="minorEastAsia" w:eastAsiaTheme="minorEastAsia" w:cstheme="minorEastAsia"/>
          <w:spacing w:val="1"/>
          <w:sz w:val="21"/>
          <w:szCs w:val="21"/>
          <w:highlight w:val="none"/>
        </w:rPr>
      </w:pPr>
      <w:r>
        <w:rPr>
          <w:rFonts w:hint="default" w:asciiTheme="minorEastAsia" w:hAnsiTheme="minorEastAsia" w:eastAsiaTheme="minorEastAsia" w:cstheme="minorEastAsia"/>
          <w:spacing w:val="1"/>
          <w:sz w:val="21"/>
          <w:szCs w:val="21"/>
          <w:highlight w:val="none"/>
          <w:lang w:val="en-US" w:eastAsia="zh-CN" w:bidi="ar-SA"/>
        </w:rPr>
        <w:t>c.</w:t>
      </w:r>
      <w:r>
        <w:rPr>
          <w:rFonts w:hint="eastAsia" w:asciiTheme="minorEastAsia" w:hAnsiTheme="minorEastAsia" w:eastAsiaTheme="minorEastAsia" w:cstheme="minorEastAsia"/>
          <w:spacing w:val="1"/>
          <w:sz w:val="21"/>
          <w:szCs w:val="21"/>
          <w:highlight w:val="none"/>
        </w:rPr>
        <w:t>显示器、称重二次仪表、及手操按钮等镶嵌在操作台正立面。</w:t>
      </w:r>
    </w:p>
    <w:p w14:paraId="245EABA1">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ind w:left="0" w:leftChars="0" w:firstLine="479" w:firstLineChars="226"/>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lang w:val="en-US" w:eastAsia="zh-CN"/>
        </w:rPr>
        <w:t>d.</w:t>
      </w:r>
      <w:r>
        <w:rPr>
          <w:rFonts w:hint="eastAsia" w:asciiTheme="minorEastAsia" w:hAnsiTheme="minorEastAsia" w:eastAsiaTheme="minorEastAsia" w:cstheme="minorEastAsia"/>
          <w:spacing w:val="1"/>
          <w:sz w:val="21"/>
          <w:szCs w:val="21"/>
          <w:highlight w:val="none"/>
        </w:rPr>
        <w:t>每台操作台的深度应不小于910mm,宽度应不小于1170mm,高度</w:t>
      </w:r>
      <w:r>
        <w:rPr>
          <w:rFonts w:hint="eastAsia" w:asciiTheme="minorEastAsia" w:hAnsiTheme="minorEastAsia" w:eastAsiaTheme="minorEastAsia" w:cstheme="minorEastAsia"/>
          <w:spacing w:val="1"/>
          <w:sz w:val="21"/>
          <w:szCs w:val="21"/>
          <w:highlight w:val="none"/>
          <w:lang w:val="en-US" w:eastAsia="zh-CN"/>
        </w:rPr>
        <w:t>为</w:t>
      </w:r>
      <w:r>
        <w:rPr>
          <w:rFonts w:hint="eastAsia" w:asciiTheme="minorEastAsia" w:hAnsiTheme="minorEastAsia" w:eastAsiaTheme="minorEastAsia" w:cstheme="minorEastAsia"/>
          <w:spacing w:val="1"/>
          <w:sz w:val="21"/>
          <w:szCs w:val="21"/>
          <w:highlight w:val="none"/>
        </w:rPr>
        <w:t>1250mm。每个操作台都应带有相应的质量较好的电源板和不少于100只优质端子的端子排。</w:t>
      </w:r>
    </w:p>
    <w:p w14:paraId="4B97884C">
      <w:pPr>
        <w:pStyle w:val="2"/>
        <w:keepNext w:val="0"/>
        <w:keepLines w:val="0"/>
        <w:pageBreakBefore w:val="0"/>
        <w:widowControl w:val="0"/>
        <w:kinsoku/>
        <w:wordWrap/>
        <w:overflowPunct/>
        <w:topLinePunct w:val="0"/>
        <w:autoSpaceDE w:val="0"/>
        <w:autoSpaceDN w:val="0"/>
        <w:bidi w:val="0"/>
        <w:adjustRightInd w:val="0"/>
        <w:snapToGrid w:val="0"/>
        <w:ind w:left="0" w:leftChars="0" w:firstLine="479" w:firstLineChars="226"/>
        <w:textAlignment w:val="auto"/>
        <w:rPr>
          <w:rFonts w:hint="eastAsia" w:asciiTheme="minorEastAsia" w:hAnsiTheme="minorEastAsia" w:eastAsiaTheme="minorEastAsia" w:cstheme="minorEastAsia"/>
          <w:spacing w:val="1"/>
          <w:sz w:val="21"/>
          <w:szCs w:val="21"/>
          <w:highlight w:val="none"/>
          <w:lang w:eastAsia="zh-CN"/>
        </w:rPr>
      </w:pPr>
    </w:p>
    <w:p w14:paraId="0F54971A">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(十四)称重系统功能</w:t>
      </w:r>
    </w:p>
    <w:p w14:paraId="3B35872E">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1.可实现自动</w:t>
      </w:r>
      <w:r>
        <w:rPr>
          <w:rFonts w:hint="eastAsia" w:asciiTheme="minorEastAsia" w:hAnsiTheme="minorEastAsia" w:eastAsiaTheme="minorEastAsia" w:cstheme="minorEastAsia"/>
          <w:spacing w:val="1"/>
          <w:sz w:val="21"/>
          <w:szCs w:val="21"/>
          <w:highlight w:val="none"/>
          <w:lang w:val="en-US" w:eastAsia="zh-CN"/>
        </w:rPr>
        <w:t>与</w:t>
      </w:r>
      <w:r>
        <w:rPr>
          <w:rFonts w:hint="eastAsia" w:asciiTheme="minorEastAsia" w:hAnsiTheme="minorEastAsia" w:eastAsiaTheme="minorEastAsia" w:cstheme="minorEastAsia"/>
          <w:spacing w:val="1"/>
          <w:sz w:val="21"/>
          <w:szCs w:val="21"/>
          <w:highlight w:val="none"/>
        </w:rPr>
        <w:t>手动方式</w:t>
      </w:r>
      <w:r>
        <w:rPr>
          <w:rFonts w:hint="eastAsia" w:asciiTheme="minorEastAsia" w:hAnsiTheme="minorEastAsia" w:eastAsiaTheme="minorEastAsia" w:cstheme="minorEastAsia"/>
          <w:spacing w:val="1"/>
          <w:sz w:val="21"/>
          <w:szCs w:val="21"/>
          <w:highlight w:val="none"/>
          <w:lang w:val="en-US" w:eastAsia="zh-CN"/>
        </w:rPr>
        <w:t>的</w:t>
      </w:r>
      <w:r>
        <w:rPr>
          <w:rFonts w:hint="eastAsia" w:asciiTheme="minorEastAsia" w:hAnsiTheme="minorEastAsia" w:eastAsiaTheme="minorEastAsia" w:cstheme="minorEastAsia"/>
          <w:spacing w:val="1"/>
          <w:sz w:val="21"/>
          <w:szCs w:val="21"/>
          <w:highlight w:val="none"/>
        </w:rPr>
        <w:t>切换。</w:t>
      </w:r>
    </w:p>
    <w:p w14:paraId="0F8FB52C">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2.自动识别车辆信息，进行一车一卡的控制，还可以附带上货名、规格、收货单位等多项信息。</w:t>
      </w:r>
    </w:p>
    <w:p w14:paraId="7CADC194">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3.交通自动控制，系统需配有道闸交通控制设备，完成车辆上秤、下秤的自动引导，指示车辆按序称重。</w:t>
      </w:r>
    </w:p>
    <w:p w14:paraId="0C577728">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4.采用可靠的RFID读卡器，可对电子车牌的注册、发放进行管理。</w:t>
      </w:r>
    </w:p>
    <w:p w14:paraId="1282E152">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5.自动读数时，按配对称重方式称重；手动输入车号时有两种称重方式供用户选择</w:t>
      </w:r>
    </w:p>
    <w:p w14:paraId="420ACB93">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6.能有效判别无效电子车牌车辆、无电子车牌车辆、已撤消电子车牌车辆</w:t>
      </w:r>
      <w:r>
        <w:rPr>
          <w:rFonts w:hint="eastAsia" w:asciiTheme="minorEastAsia" w:hAnsiTheme="minorEastAsia" w:eastAsiaTheme="minorEastAsia" w:cstheme="minorEastAsia"/>
          <w:spacing w:val="1"/>
          <w:sz w:val="21"/>
          <w:szCs w:val="21"/>
          <w:highlight w:val="none"/>
          <w:lang w:eastAsia="zh-CN"/>
        </w:rPr>
        <w:t>。</w:t>
      </w:r>
    </w:p>
    <w:p w14:paraId="001D92F8">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7.数据可以电子表格(Excel)格式转出</w:t>
      </w:r>
      <w:r>
        <w:rPr>
          <w:rFonts w:hint="eastAsia" w:asciiTheme="minorEastAsia" w:hAnsiTheme="minorEastAsia" w:eastAsiaTheme="minorEastAsia" w:cstheme="minorEastAsia"/>
          <w:spacing w:val="1"/>
          <w:sz w:val="21"/>
          <w:szCs w:val="21"/>
          <w:highlight w:val="none"/>
          <w:lang w:eastAsia="zh-CN"/>
        </w:rPr>
        <w:t>。</w:t>
      </w:r>
    </w:p>
    <w:p w14:paraId="235FF869">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8.具有报表统计、数据查询和打印功能</w:t>
      </w:r>
      <w:r>
        <w:rPr>
          <w:rFonts w:hint="eastAsia" w:asciiTheme="minorEastAsia" w:hAnsiTheme="minorEastAsia" w:eastAsiaTheme="minorEastAsia" w:cstheme="minorEastAsia"/>
          <w:spacing w:val="1"/>
          <w:sz w:val="21"/>
          <w:szCs w:val="21"/>
          <w:highlight w:val="none"/>
          <w:lang w:eastAsia="zh-CN"/>
        </w:rPr>
        <w:t>。</w:t>
      </w:r>
    </w:p>
    <w:p w14:paraId="33309680">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9.在网络环境下，可实现数据共享。</w:t>
      </w:r>
    </w:p>
    <w:p w14:paraId="6A0A8D01">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10.软件界面友好，操作方便</w:t>
      </w:r>
      <w:r>
        <w:rPr>
          <w:rFonts w:hint="eastAsia" w:asciiTheme="minorEastAsia" w:hAnsiTheme="minorEastAsia" w:eastAsiaTheme="minorEastAsia" w:cstheme="minorEastAsia"/>
          <w:spacing w:val="1"/>
          <w:sz w:val="21"/>
          <w:szCs w:val="21"/>
          <w:highlight w:val="none"/>
          <w:lang w:eastAsia="zh-CN"/>
        </w:rPr>
        <w:t>。</w:t>
      </w:r>
    </w:p>
    <w:p w14:paraId="31D05DC5">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11.数据上传到正版SQLserver2012数据库</w:t>
      </w:r>
      <w:r>
        <w:rPr>
          <w:rFonts w:hint="eastAsia" w:asciiTheme="minorEastAsia" w:hAnsiTheme="minorEastAsia" w:eastAsiaTheme="minorEastAsia" w:cstheme="minorEastAsia"/>
          <w:spacing w:val="1"/>
          <w:sz w:val="21"/>
          <w:szCs w:val="21"/>
          <w:highlight w:val="none"/>
          <w:lang w:eastAsia="zh-CN"/>
        </w:rPr>
        <w:t>。</w:t>
      </w:r>
    </w:p>
    <w:p w14:paraId="21AA1274">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12.具有车辆定位防作弊功能</w:t>
      </w:r>
      <w:r>
        <w:rPr>
          <w:rFonts w:hint="eastAsia" w:asciiTheme="minorEastAsia" w:hAnsiTheme="minorEastAsia" w:eastAsiaTheme="minorEastAsia" w:cstheme="minorEastAsia"/>
          <w:spacing w:val="1"/>
          <w:sz w:val="21"/>
          <w:szCs w:val="21"/>
          <w:highlight w:val="none"/>
          <w:lang w:eastAsia="zh-CN"/>
        </w:rPr>
        <w:t>。</w:t>
      </w:r>
    </w:p>
    <w:p w14:paraId="1492B559">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13.配置防电子干扰设备</w:t>
      </w:r>
      <w:r>
        <w:rPr>
          <w:rFonts w:hint="eastAsia" w:asciiTheme="minorEastAsia" w:hAnsiTheme="minorEastAsia" w:eastAsiaTheme="minorEastAsia" w:cstheme="minorEastAsia"/>
          <w:spacing w:val="1"/>
          <w:sz w:val="21"/>
          <w:szCs w:val="21"/>
          <w:highlight w:val="none"/>
          <w:lang w:eastAsia="zh-CN"/>
        </w:rPr>
        <w:t>。</w:t>
      </w:r>
    </w:p>
    <w:p w14:paraId="5B43DC90">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14.正常情况下系统自动读取车辆重量数据，自动保存，整个称重过程不用人工干预，实现自动称重功能。(异常情况，例如未读到卡，操作员可手工干预输入车号)。</w:t>
      </w:r>
    </w:p>
    <w:p w14:paraId="6A13EDF2">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(十五)防作弊功能</w:t>
      </w:r>
    </w:p>
    <w:p w14:paraId="199C563A">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1.用户权限设置功能：可为每一个管理人员和操作人员设置不同的权限和密码，保障数据记录、系统运行安全可靠。</w:t>
      </w:r>
    </w:p>
    <w:p w14:paraId="1DA4A578">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2.自动记录操作日志：以便对重要操作过程进行自动跟踪。</w:t>
      </w:r>
    </w:p>
    <w:p w14:paraId="506CC17D">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3.设有皮重报警功能：如果用车号配对方式称重时，当车辆皮重超过一定范围时，系统会出现车辆皮重超限的提示信息。</w:t>
      </w:r>
    </w:p>
    <w:p w14:paraId="7747AA87">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4.设有配对时间报警功能：如果用车号配对或磅单号配对方式称重时，当车辆两次称重时间超过一定的时间间隔，系统会出现两次称重时间超时的提示信息。</w:t>
      </w:r>
    </w:p>
    <w:p w14:paraId="1366003F">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5.称重读数变化限制取数功能，当在指定的时间内，重量数据变化超过一定的范围内，系统将禁止取数。</w:t>
      </w:r>
    </w:p>
    <w:p w14:paraId="4B242676">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6.系统还提供防作弊曲线，此曲线详细记录了车辆称重过程中仪表的</w:t>
      </w:r>
    </w:p>
    <w:p w14:paraId="68BE28E2">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输出情况，根据此图可以判断车辆是否存在作弊。</w:t>
      </w:r>
    </w:p>
    <w:p w14:paraId="62334C9A">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7.车辆定位系统可防止车辆未完全上秤进行称重，当光电开关被挡时，系统是不允许读数的。</w:t>
      </w:r>
    </w:p>
    <w:p w14:paraId="650E9C5D">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(十六)系统软件功能</w:t>
      </w:r>
    </w:p>
    <w:p w14:paraId="7C91959D">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1.磅单、报表提供自定义功能，用户可根据自己的需要修改打印表格形式。</w:t>
      </w:r>
    </w:p>
    <w:p w14:paraId="7825B592">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2.数据维护功能：进行基础数据库的添加、修改、删除等维护和数据导入。</w:t>
      </w:r>
    </w:p>
    <w:p w14:paraId="6680B9B5">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lang w:eastAsia="zh-CN"/>
        </w:rPr>
      </w:pPr>
      <w:r>
        <w:rPr>
          <w:rFonts w:hint="eastAsia" w:asciiTheme="minorEastAsia" w:hAnsiTheme="minorEastAsia" w:eastAsiaTheme="minorEastAsia" w:cstheme="minorEastAsia"/>
          <w:spacing w:val="1"/>
          <w:sz w:val="21"/>
          <w:szCs w:val="21"/>
          <w:highlight w:val="none"/>
        </w:rPr>
        <w:t>3.查询打印功能：提供报表查询打印、交易数据查询打印等功能。</w:t>
      </w:r>
    </w:p>
    <w:p w14:paraId="59B3A6E3">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4.每次称重具有自动零点跟踪，自动除皮，自动累计，超重报警。</w:t>
      </w:r>
    </w:p>
    <w:p w14:paraId="5C162E40">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5.基础数据库可以由Excel表文件或文本文件导入或转出，便于与企业其它信息系统交换数据。</w:t>
      </w:r>
    </w:p>
    <w:p w14:paraId="59F93AA5">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6.标准、车号配对、简单、皮重、公秤称重、手工置皮、多次称重、磅单号配对等称重方式，适合多种场合使用。</w:t>
      </w:r>
    </w:p>
    <w:p w14:paraId="494BAD46">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7.磅单和报表格式的多样化</w:t>
      </w:r>
    </w:p>
    <w:p w14:paraId="77432E64">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8.功能扩展性强，在主屏幕上可输入、显示除毛重/皮重/净重外的其他数据，以满足用户的不同需求。</w:t>
      </w:r>
    </w:p>
    <w:p w14:paraId="6757BBF8">
      <w:pPr>
        <w:pStyle w:val="2"/>
        <w:keepNext w:val="0"/>
        <w:keepLines w:val="0"/>
        <w:pageBreakBefore w:val="0"/>
        <w:widowControl/>
        <w:kinsoku/>
        <w:wordWrap/>
        <w:overflowPunct/>
        <w:topLinePunct w:val="0"/>
        <w:autoSpaceDE/>
        <w:autoSpaceDN/>
        <w:bidi w:val="0"/>
        <w:adjustRightInd/>
        <w:snapToGrid/>
        <w:ind w:firstLine="422" w:firstLineChars="200"/>
        <w:textAlignment w:val="auto"/>
        <w:rPr>
          <w:rFonts w:hint="eastAsia" w:asciiTheme="minorEastAsia" w:hAnsiTheme="minorEastAsia" w:eastAsiaTheme="minorEastAsia" w:cstheme="minorEastAsia"/>
          <w:b/>
          <w:bCs/>
          <w:color w:val="C00000"/>
          <w:spacing w:val="0"/>
          <w:sz w:val="21"/>
          <w:szCs w:val="21"/>
          <w:highlight w:val="none"/>
        </w:rPr>
      </w:pPr>
      <w:r>
        <w:rPr>
          <w:rFonts w:hint="eastAsia" w:asciiTheme="minorEastAsia" w:hAnsiTheme="minorEastAsia" w:eastAsiaTheme="minorEastAsia" w:cstheme="minorEastAsia"/>
          <w:b/>
          <w:bCs/>
          <w:color w:val="C00000"/>
          <w:spacing w:val="0"/>
          <w:sz w:val="21"/>
          <w:szCs w:val="21"/>
          <w:highlight w:val="none"/>
          <w:lang w:val="en-US" w:eastAsia="zh-CN"/>
        </w:rPr>
        <w:t>☆</w:t>
      </w:r>
      <w:r>
        <w:rPr>
          <w:rFonts w:hint="eastAsia" w:asciiTheme="minorEastAsia" w:hAnsiTheme="minorEastAsia" w:eastAsiaTheme="minorEastAsia" w:cstheme="minorEastAsia"/>
          <w:b/>
          <w:bCs/>
          <w:color w:val="C00000"/>
          <w:spacing w:val="0"/>
          <w:sz w:val="21"/>
          <w:szCs w:val="21"/>
          <w:highlight w:val="none"/>
        </w:rPr>
        <w:t>9.</w:t>
      </w:r>
      <w:r>
        <w:rPr>
          <w:rFonts w:hint="eastAsia" w:asciiTheme="minorEastAsia" w:hAnsiTheme="minorEastAsia" w:eastAsiaTheme="minorEastAsia" w:cstheme="minorEastAsia"/>
          <w:b/>
          <w:bCs/>
          <w:color w:val="C00000"/>
          <w:spacing w:val="0"/>
          <w:sz w:val="21"/>
          <w:szCs w:val="21"/>
          <w:highlight w:val="none"/>
          <w:lang w:eastAsia="zh-CN"/>
        </w:rPr>
        <w:t>报价人</w:t>
      </w:r>
      <w:r>
        <w:rPr>
          <w:rFonts w:hint="eastAsia" w:asciiTheme="minorEastAsia" w:hAnsiTheme="minorEastAsia" w:eastAsiaTheme="minorEastAsia" w:cstheme="minorEastAsia"/>
          <w:b/>
          <w:bCs/>
          <w:color w:val="C00000"/>
          <w:spacing w:val="0"/>
          <w:sz w:val="21"/>
          <w:szCs w:val="21"/>
          <w:highlight w:val="none"/>
        </w:rPr>
        <w:t>应在</w:t>
      </w:r>
      <w:r>
        <w:rPr>
          <w:rFonts w:hint="eastAsia" w:asciiTheme="minorEastAsia" w:hAnsiTheme="minorEastAsia" w:eastAsiaTheme="minorEastAsia" w:cstheme="minorEastAsia"/>
          <w:b/>
          <w:bCs/>
          <w:color w:val="C00000"/>
          <w:spacing w:val="0"/>
          <w:sz w:val="21"/>
          <w:szCs w:val="21"/>
          <w:highlight w:val="none"/>
          <w:lang w:eastAsia="zh-CN"/>
        </w:rPr>
        <w:t>报价文件</w:t>
      </w:r>
      <w:r>
        <w:rPr>
          <w:rFonts w:hint="eastAsia" w:asciiTheme="minorEastAsia" w:hAnsiTheme="minorEastAsia" w:eastAsiaTheme="minorEastAsia" w:cstheme="minorEastAsia"/>
          <w:b/>
          <w:bCs/>
          <w:color w:val="C00000"/>
          <w:spacing w:val="0"/>
          <w:sz w:val="21"/>
          <w:szCs w:val="21"/>
          <w:highlight w:val="none"/>
        </w:rPr>
        <w:t>中</w:t>
      </w:r>
      <w:r>
        <w:rPr>
          <w:rFonts w:hint="eastAsia" w:asciiTheme="minorEastAsia" w:hAnsiTheme="minorEastAsia" w:eastAsiaTheme="minorEastAsia" w:cstheme="minorEastAsia"/>
          <w:b/>
          <w:bCs/>
          <w:color w:val="C00000"/>
          <w:spacing w:val="0"/>
          <w:sz w:val="21"/>
          <w:szCs w:val="21"/>
          <w:highlight w:val="none"/>
          <w:lang w:val="en-US" w:eastAsia="zh-CN"/>
        </w:rPr>
        <w:t>提供</w:t>
      </w:r>
      <w:r>
        <w:rPr>
          <w:rFonts w:hint="eastAsia" w:asciiTheme="minorEastAsia" w:hAnsiTheme="minorEastAsia" w:eastAsiaTheme="minorEastAsia" w:cstheme="minorEastAsia"/>
          <w:b/>
          <w:bCs/>
          <w:color w:val="C00000"/>
          <w:spacing w:val="0"/>
          <w:sz w:val="21"/>
          <w:szCs w:val="21"/>
          <w:highlight w:val="none"/>
        </w:rPr>
        <w:t>汽车衡系统软件方案，应根据系统功能叙述数据库服务器的配置情况。</w:t>
      </w:r>
    </w:p>
    <w:p w14:paraId="2BD30CDC">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10.建立垃圾车车号、毛重、皮重等历史记录数据库，并设计车重异常的逻辑判断提醒功能。</w:t>
      </w:r>
    </w:p>
    <w:p w14:paraId="724BDBB1">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11.具有报表统计、数据查询和打印功能。通过专用查询软件根据需要查询统计，统计每台汽车衡的称重数据，并可根据需要统计每台汽车衡的班、日、月、季、年的重车、空车、净重、汇总报表。可以分别按车号、货物、单位、不同的时间段、不同的班次等分别生成和打印日/月/年报表。可以对历史数据进行检索和查询，检索方式可以设定。</w:t>
      </w:r>
    </w:p>
    <w:p w14:paraId="73148130">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12.称重计算机具有数据转出转入功能。可以将主库称重记录、车号皮重、单位名称、物资代码等数据库中的数据以多种格式开放给用户，可以使用户对数据进行进一步的处理生成所需要的各种文件</w:t>
      </w:r>
    </w:p>
    <w:p w14:paraId="2A96A3AD">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(十七)接地系统</w:t>
      </w:r>
    </w:p>
    <w:p w14:paraId="7011F1B2">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1.工作接地：电源的地线与大地直接连接，接地电阻应小于4Q。</w:t>
      </w:r>
    </w:p>
    <w:p w14:paraId="7B722F4C">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2.安全保护接地：为了屏蔽外界干扰、漏电及电火花等，称重仪表外壳、接线盒等都需要接地屏蔽。该系统即为安全保护接地，接地电阻应小于40。</w:t>
      </w:r>
    </w:p>
    <w:p w14:paraId="668D7DB4">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3.防雷接地：防直接雷和感应雷的防雷装置(如避雷带、接闪器等),地线通过地网连接在一起组成一个联合接地网，与大地直接连通，接地电阻应小于4Ω。</w:t>
      </w:r>
    </w:p>
    <w:p w14:paraId="5D1C4F69">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4.电子汽车衡产品所用电源需经过隔离稳压电源和防浪涌保护器后再进入称重显示仪表。</w:t>
      </w:r>
    </w:p>
    <w:p w14:paraId="221F5400">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5.汽车衡各节秤体都有可靠的接地线与基础地角螺栓连接。</w:t>
      </w:r>
    </w:p>
    <w:p w14:paraId="26E64A36">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6.汽车衡每只传感器、接线盒均有接地保护。</w:t>
      </w:r>
    </w:p>
    <w:p w14:paraId="6BB9B4A9">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7.信号电缆通过金属穿线管进入磅房，且金属穿线管亦与基础接地网连接。信号电缆通过浪涌保护装置接入系统。</w:t>
      </w:r>
    </w:p>
    <w:p w14:paraId="4E549654">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8.磅房间称重显示仪表外壳可靠接地。</w:t>
      </w:r>
    </w:p>
    <w:p w14:paraId="17EEE16C">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9.地磅房接地装置接地线应选用适当的接地线，并确保接地电阻符合相关标准要求(一般不大于4Ω)。</w:t>
      </w:r>
    </w:p>
    <w:p w14:paraId="424AA973">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(十八)设备标志</w:t>
      </w:r>
    </w:p>
    <w:p w14:paraId="455389FA">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1.设备铭牌应采用耐腐蚀的金属板制造。</w:t>
      </w:r>
    </w:p>
    <w:p w14:paraId="30E1168F">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2.铭牌应安放在运行人员容易看到的地方。</w:t>
      </w:r>
    </w:p>
    <w:p w14:paraId="462B4484">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3.铭牌上应该有耐磨损的内容：制造厂名称；设备型号；设备名称；出厂日期编码；出厂检验编码</w:t>
      </w:r>
      <w:r>
        <w:rPr>
          <w:rFonts w:hint="eastAsia" w:asciiTheme="minorEastAsia" w:hAnsiTheme="minorEastAsia" w:eastAsiaTheme="minorEastAsia" w:cstheme="minorEastAsia"/>
          <w:spacing w:val="1"/>
          <w:sz w:val="21"/>
          <w:szCs w:val="21"/>
          <w:highlight w:val="none"/>
          <w:lang w:eastAsia="zh-CN"/>
        </w:rPr>
        <w:t>。</w:t>
      </w:r>
    </w:p>
    <w:p w14:paraId="50F55BE5">
      <w:pPr>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br w:type="page"/>
      </w:r>
    </w:p>
    <w:p w14:paraId="3E243F5A">
      <w:pPr>
        <w:pStyle w:val="2"/>
        <w:keepNext w:val="0"/>
        <w:keepLines w:val="0"/>
        <w:pageBreakBefore w:val="0"/>
        <w:widowControl w:val="0"/>
        <w:kinsoku/>
        <w:wordWrap/>
        <w:overflowPunct/>
        <w:topLinePunct w:val="0"/>
        <w:autoSpaceDE w:val="0"/>
        <w:autoSpaceDN w:val="0"/>
        <w:bidi w:val="0"/>
        <w:adjustRightInd w:val="0"/>
        <w:snapToGrid w:val="0"/>
        <w:ind w:firstLine="424" w:firstLineChars="200"/>
        <w:textAlignment w:val="auto"/>
        <w:rPr>
          <w:rFonts w:hint="eastAsia" w:asciiTheme="minorEastAsia" w:hAnsiTheme="minorEastAsia" w:eastAsiaTheme="minorEastAsia" w:cstheme="minorEastAsia"/>
          <w:spacing w:val="1"/>
          <w:sz w:val="21"/>
          <w:szCs w:val="21"/>
          <w:highlight w:val="none"/>
        </w:rPr>
      </w:pPr>
      <w:r>
        <w:rPr>
          <w:rFonts w:hint="eastAsia" w:asciiTheme="minorEastAsia" w:hAnsiTheme="minorEastAsia" w:eastAsiaTheme="minorEastAsia" w:cstheme="minorEastAsia"/>
          <w:spacing w:val="1"/>
          <w:sz w:val="21"/>
          <w:szCs w:val="21"/>
          <w:highlight w:val="none"/>
        </w:rPr>
        <w:t>(十九)一卡通智能称重系统流程</w:t>
      </w:r>
    </w:p>
    <w:p w14:paraId="7356A96B">
      <w:pPr>
        <w:pStyle w:val="2"/>
        <w:ind w:left="0" w:leftChars="0" w:firstLine="0" w:firstLineChars="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drawing>
          <wp:inline distT="0" distB="0" distL="0" distR="0">
            <wp:extent cx="4603750" cy="5623560"/>
            <wp:effectExtent l="0" t="0" r="6350" b="5715"/>
            <wp:docPr id="4177580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58033" name="图片 1"/>
                    <pic:cNvPicPr>
                      <a:picLocks noChangeAspect="1"/>
                    </pic:cNvPicPr>
                  </pic:nvPicPr>
                  <pic:blipFill>
                    <a:blip r:embed="rId9"/>
                    <a:stretch>
                      <a:fillRect/>
                    </a:stretch>
                  </pic:blipFill>
                  <pic:spPr>
                    <a:xfrm>
                      <a:off x="0" y="0"/>
                      <a:ext cx="4603750" cy="5623560"/>
                    </a:xfrm>
                    <a:prstGeom prst="rect">
                      <a:avLst/>
                    </a:prstGeom>
                  </pic:spPr>
                </pic:pic>
              </a:graphicData>
            </a:graphic>
          </wp:inline>
        </w:drawing>
      </w:r>
    </w:p>
    <w:p w14:paraId="1E03369E">
      <w:pPr>
        <w:keepNext w:val="0"/>
        <w:keepLines w:val="0"/>
        <w:pageBreakBefore w:val="0"/>
        <w:kinsoku/>
        <w:wordWrap/>
        <w:overflowPunct/>
        <w:topLinePunct w:val="0"/>
        <w:bidi w:val="0"/>
        <w:snapToGrid w:val="0"/>
        <w:spacing w:line="360" w:lineRule="auto"/>
        <w:textAlignment w:val="auto"/>
        <w:rPr>
          <w:rFonts w:hint="eastAsia" w:asciiTheme="minorEastAsia" w:hAnsiTheme="minorEastAsia" w:eastAsiaTheme="minorEastAsia" w:cstheme="minorEastAsia"/>
          <w:sz w:val="21"/>
          <w:szCs w:val="21"/>
          <w:highlight w:val="none"/>
          <w:lang w:eastAsia="zh-CN"/>
        </w:rPr>
      </w:pPr>
    </w:p>
    <w:p w14:paraId="60EAC485">
      <w:pPr>
        <w:pStyle w:val="4"/>
        <w:keepNext w:val="0"/>
        <w:keepLines w:val="0"/>
        <w:pageBreakBefore w:val="0"/>
        <w:kinsoku/>
        <w:wordWrap/>
        <w:overflowPunct/>
        <w:topLinePunct w:val="0"/>
        <w:bidi w:val="0"/>
        <w:snapToGrid w:val="0"/>
        <w:spacing w:line="360" w:lineRule="auto"/>
        <w:ind w:firstLine="422" w:firstLineChars="200"/>
        <w:textAlignment w:val="auto"/>
        <w:rPr>
          <w:rFonts w:hint="eastAsia" w:asciiTheme="minorEastAsia" w:hAnsiTheme="minorEastAsia" w:eastAsiaTheme="minorEastAsia" w:cstheme="minorEastAsia"/>
          <w:sz w:val="21"/>
          <w:szCs w:val="21"/>
          <w:highlight w:val="none"/>
        </w:rPr>
      </w:pPr>
      <w:bookmarkStart w:id="6" w:name="_Toc7176"/>
      <w:bookmarkStart w:id="7" w:name="_Toc29660"/>
      <w:r>
        <w:rPr>
          <w:rFonts w:hint="eastAsia" w:asciiTheme="minorEastAsia" w:hAnsiTheme="minorEastAsia" w:eastAsiaTheme="minorEastAsia" w:cstheme="minorEastAsia"/>
          <w:sz w:val="21"/>
          <w:szCs w:val="21"/>
          <w:highlight w:val="none"/>
        </w:rPr>
        <w:t>四、</w:t>
      </w:r>
      <w:bookmarkEnd w:id="6"/>
      <w:bookmarkEnd w:id="7"/>
      <w:r>
        <w:rPr>
          <w:rFonts w:hint="eastAsia" w:asciiTheme="minorEastAsia" w:hAnsiTheme="minorEastAsia" w:eastAsiaTheme="minorEastAsia" w:cstheme="minorEastAsia"/>
          <w:sz w:val="21"/>
          <w:szCs w:val="21"/>
          <w:highlight w:val="none"/>
        </w:rPr>
        <w:t>工期</w:t>
      </w:r>
      <w:bookmarkStart w:id="8" w:name="_Toc3239"/>
      <w:bookmarkStart w:id="9" w:name="_Toc18536"/>
    </w:p>
    <w:p w14:paraId="298202FA">
      <w:pPr>
        <w:pStyle w:val="4"/>
        <w:keepNext w:val="0"/>
        <w:keepLines w:val="0"/>
        <w:pageBreakBefore w:val="0"/>
        <w:kinsoku/>
        <w:wordWrap/>
        <w:overflowPunct/>
        <w:topLinePunct w:val="0"/>
        <w:bidi w:val="0"/>
        <w:snapToGrid w:val="0"/>
        <w:spacing w:line="360" w:lineRule="auto"/>
        <w:ind w:firstLine="408" w:firstLineChars="200"/>
        <w:textAlignment w:val="auto"/>
        <w:rPr>
          <w:rFonts w:hint="eastAsia" w:asciiTheme="minorEastAsia" w:hAnsiTheme="minorEastAsia" w:eastAsiaTheme="minorEastAsia" w:cstheme="minorEastAsia"/>
          <w:b w:val="0"/>
          <w:spacing w:val="-3"/>
          <w:sz w:val="21"/>
          <w:szCs w:val="21"/>
          <w:highlight w:val="none"/>
        </w:rPr>
      </w:pPr>
      <w:r>
        <w:rPr>
          <w:rFonts w:hint="eastAsia" w:asciiTheme="minorEastAsia" w:hAnsiTheme="minorEastAsia" w:eastAsiaTheme="minorEastAsia" w:cstheme="minorEastAsia"/>
          <w:b w:val="0"/>
          <w:spacing w:val="-3"/>
          <w:sz w:val="21"/>
          <w:szCs w:val="21"/>
          <w:highlight w:val="none"/>
        </w:rPr>
        <w:t>1、自</w:t>
      </w:r>
      <w:r>
        <w:rPr>
          <w:rFonts w:hint="eastAsia" w:asciiTheme="minorEastAsia" w:hAnsiTheme="minorEastAsia" w:eastAsiaTheme="minorEastAsia" w:cstheme="minorEastAsia"/>
          <w:b w:val="0"/>
          <w:spacing w:val="-3"/>
          <w:sz w:val="21"/>
          <w:szCs w:val="21"/>
          <w:highlight w:val="none"/>
          <w:lang w:val="en-US" w:eastAsia="zh-CN"/>
        </w:rPr>
        <w:t>采购人</w:t>
      </w:r>
      <w:r>
        <w:rPr>
          <w:rFonts w:hint="eastAsia" w:asciiTheme="minorEastAsia" w:hAnsiTheme="minorEastAsia" w:eastAsiaTheme="minorEastAsia" w:cstheme="minorEastAsia"/>
          <w:b w:val="0"/>
          <w:spacing w:val="-3"/>
          <w:sz w:val="21"/>
          <w:szCs w:val="21"/>
          <w:highlight w:val="none"/>
        </w:rPr>
        <w:t>结果确认函发出之日起</w:t>
      </w:r>
      <w:r>
        <w:rPr>
          <w:rFonts w:hint="eastAsia" w:asciiTheme="minorEastAsia" w:hAnsiTheme="minorEastAsia" w:eastAsiaTheme="minorEastAsia" w:cstheme="minorEastAsia"/>
          <w:b w:val="0"/>
          <w:spacing w:val="-3"/>
          <w:sz w:val="21"/>
          <w:szCs w:val="21"/>
          <w:highlight w:val="none"/>
          <w:lang w:eastAsia="zh-CN"/>
        </w:rPr>
        <w:t>，</w:t>
      </w:r>
      <w:r>
        <w:rPr>
          <w:rFonts w:hint="eastAsia" w:asciiTheme="minorEastAsia" w:hAnsiTheme="minorEastAsia" w:eastAsiaTheme="minorEastAsia" w:cstheme="minorEastAsia"/>
          <w:b w:val="0"/>
          <w:spacing w:val="-3"/>
          <w:sz w:val="21"/>
          <w:szCs w:val="21"/>
          <w:highlight w:val="none"/>
        </w:rPr>
        <w:t>15个日历天内完成</w:t>
      </w:r>
      <w:r>
        <w:rPr>
          <w:rFonts w:hint="eastAsia" w:asciiTheme="minorEastAsia" w:hAnsiTheme="minorEastAsia" w:eastAsiaTheme="minorEastAsia" w:cstheme="minorEastAsia"/>
          <w:b w:val="0"/>
          <w:spacing w:val="-3"/>
          <w:sz w:val="21"/>
          <w:szCs w:val="21"/>
          <w:highlight w:val="none"/>
          <w:lang w:val="en-US" w:eastAsia="zh-CN"/>
        </w:rPr>
        <w:t>汽车衡</w:t>
      </w:r>
      <w:r>
        <w:rPr>
          <w:rFonts w:hint="eastAsia" w:asciiTheme="minorEastAsia" w:hAnsiTheme="minorEastAsia" w:eastAsiaTheme="minorEastAsia" w:cstheme="minorEastAsia"/>
          <w:b w:val="0"/>
          <w:spacing w:val="-3"/>
          <w:sz w:val="21"/>
          <w:szCs w:val="21"/>
          <w:highlight w:val="none"/>
        </w:rPr>
        <w:t>的安装调试并交付采购人使用。</w:t>
      </w:r>
    </w:p>
    <w:p w14:paraId="00ECB456">
      <w:pPr>
        <w:pStyle w:val="4"/>
        <w:keepNext w:val="0"/>
        <w:keepLines w:val="0"/>
        <w:pageBreakBefore w:val="0"/>
        <w:kinsoku/>
        <w:wordWrap/>
        <w:overflowPunct/>
        <w:topLinePunct w:val="0"/>
        <w:bidi w:val="0"/>
        <w:snapToGrid w:val="0"/>
        <w:spacing w:line="360" w:lineRule="auto"/>
        <w:ind w:firstLine="422"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五、</w:t>
      </w:r>
      <w:bookmarkEnd w:id="8"/>
      <w:bookmarkEnd w:id="9"/>
      <w:r>
        <w:rPr>
          <w:rFonts w:hint="eastAsia" w:asciiTheme="minorEastAsia" w:hAnsiTheme="minorEastAsia" w:eastAsiaTheme="minorEastAsia" w:cstheme="minorEastAsia"/>
          <w:sz w:val="21"/>
          <w:szCs w:val="21"/>
          <w:highlight w:val="none"/>
        </w:rPr>
        <w:t>培训</w:t>
      </w:r>
    </w:p>
    <w:p w14:paraId="76DF80E9">
      <w:pPr>
        <w:pStyle w:val="2"/>
        <w:keepNext w:val="0"/>
        <w:keepLines w:val="0"/>
        <w:pageBreakBefore w:val="0"/>
        <w:widowControl/>
        <w:kinsoku/>
        <w:wordWrap/>
        <w:overflowPunct/>
        <w:topLinePunct w:val="0"/>
        <w:autoSpaceDE/>
        <w:autoSpaceDN/>
        <w:bidi w:val="0"/>
        <w:adjustRightInd/>
        <w:snapToGrid/>
        <w:spacing w:line="360" w:lineRule="auto"/>
        <w:ind w:firstLine="422" w:firstLineChars="200"/>
        <w:textAlignment w:val="auto"/>
        <w:rPr>
          <w:rFonts w:hint="eastAsia" w:asciiTheme="minorEastAsia" w:hAnsiTheme="minorEastAsia" w:eastAsiaTheme="minorEastAsia" w:cstheme="minorEastAsia"/>
          <w:b/>
          <w:bCs/>
          <w:color w:val="C00000"/>
          <w:spacing w:val="0"/>
          <w:sz w:val="21"/>
          <w:szCs w:val="21"/>
          <w:highlight w:val="none"/>
        </w:rPr>
      </w:pPr>
      <w:bookmarkStart w:id="10" w:name="_Toc20138"/>
      <w:bookmarkStart w:id="11" w:name="_Toc4800"/>
      <w:r>
        <w:rPr>
          <w:rFonts w:hint="eastAsia" w:asciiTheme="minorEastAsia" w:hAnsiTheme="minorEastAsia" w:eastAsiaTheme="minorEastAsia" w:cstheme="minorEastAsia"/>
          <w:b/>
          <w:bCs/>
          <w:color w:val="C00000"/>
          <w:spacing w:val="0"/>
          <w:sz w:val="21"/>
          <w:szCs w:val="21"/>
          <w:highlight w:val="none"/>
          <w:lang w:val="en-US" w:eastAsia="zh-CN"/>
        </w:rPr>
        <w:t>☆</w:t>
      </w:r>
      <w:r>
        <w:rPr>
          <w:rFonts w:hint="eastAsia" w:asciiTheme="minorEastAsia" w:hAnsiTheme="minorEastAsia" w:eastAsiaTheme="minorEastAsia" w:cstheme="minorEastAsia"/>
          <w:b/>
          <w:bCs/>
          <w:color w:val="C00000"/>
          <w:spacing w:val="0"/>
          <w:sz w:val="21"/>
          <w:szCs w:val="21"/>
          <w:highlight w:val="none"/>
        </w:rPr>
        <w:t>1、</w:t>
      </w:r>
      <w:r>
        <w:rPr>
          <w:rFonts w:hint="eastAsia" w:asciiTheme="minorEastAsia" w:hAnsiTheme="minorEastAsia" w:eastAsiaTheme="minorEastAsia" w:cstheme="minorEastAsia"/>
          <w:b/>
          <w:bCs/>
          <w:color w:val="C00000"/>
          <w:spacing w:val="0"/>
          <w:sz w:val="21"/>
          <w:szCs w:val="21"/>
          <w:highlight w:val="none"/>
          <w:lang w:eastAsia="zh-CN"/>
        </w:rPr>
        <w:t>报价人</w:t>
      </w:r>
      <w:r>
        <w:rPr>
          <w:rFonts w:hint="eastAsia" w:asciiTheme="minorEastAsia" w:hAnsiTheme="minorEastAsia" w:eastAsiaTheme="minorEastAsia" w:cstheme="minorEastAsia"/>
          <w:b/>
          <w:bCs/>
          <w:color w:val="C00000"/>
          <w:spacing w:val="0"/>
          <w:sz w:val="21"/>
          <w:szCs w:val="21"/>
          <w:highlight w:val="none"/>
        </w:rPr>
        <w:t>应在</w:t>
      </w:r>
      <w:r>
        <w:rPr>
          <w:rFonts w:hint="eastAsia" w:asciiTheme="minorEastAsia" w:hAnsiTheme="minorEastAsia" w:eastAsiaTheme="minorEastAsia" w:cstheme="minorEastAsia"/>
          <w:b/>
          <w:bCs/>
          <w:color w:val="C00000"/>
          <w:spacing w:val="0"/>
          <w:sz w:val="21"/>
          <w:szCs w:val="21"/>
          <w:highlight w:val="none"/>
          <w:lang w:eastAsia="zh-CN"/>
        </w:rPr>
        <w:t>报价文件</w:t>
      </w:r>
      <w:r>
        <w:rPr>
          <w:rFonts w:hint="eastAsia" w:asciiTheme="minorEastAsia" w:hAnsiTheme="minorEastAsia" w:eastAsiaTheme="minorEastAsia" w:cstheme="minorEastAsia"/>
          <w:b/>
          <w:bCs/>
          <w:color w:val="C00000"/>
          <w:spacing w:val="0"/>
          <w:sz w:val="21"/>
          <w:szCs w:val="21"/>
          <w:highlight w:val="none"/>
        </w:rPr>
        <w:t>中提供科学、合理、完善、可操作性强的培训方案。</w:t>
      </w:r>
    </w:p>
    <w:p w14:paraId="77616B5E">
      <w:pPr>
        <w:pStyle w:val="4"/>
        <w:keepNext w:val="0"/>
        <w:keepLines w:val="0"/>
        <w:pageBreakBefore w:val="0"/>
        <w:kinsoku/>
        <w:wordWrap/>
        <w:overflowPunct/>
        <w:topLinePunct w:val="0"/>
        <w:bidi w:val="0"/>
        <w:snapToGrid w:val="0"/>
        <w:spacing w:line="360" w:lineRule="auto"/>
        <w:ind w:firstLine="408" w:firstLineChars="200"/>
        <w:textAlignment w:val="auto"/>
        <w:rPr>
          <w:rFonts w:hint="eastAsia" w:asciiTheme="minorEastAsia" w:hAnsiTheme="minorEastAsia" w:eastAsiaTheme="minorEastAsia" w:cstheme="minorEastAsia"/>
          <w:b w:val="0"/>
          <w:spacing w:val="-3"/>
          <w:sz w:val="21"/>
          <w:szCs w:val="21"/>
          <w:highlight w:val="none"/>
        </w:rPr>
      </w:pPr>
      <w:r>
        <w:rPr>
          <w:rFonts w:hint="eastAsia" w:asciiTheme="minorEastAsia" w:hAnsiTheme="minorEastAsia" w:eastAsiaTheme="minorEastAsia" w:cstheme="minorEastAsia"/>
          <w:b w:val="0"/>
          <w:spacing w:val="-3"/>
          <w:sz w:val="21"/>
          <w:szCs w:val="21"/>
          <w:highlight w:val="none"/>
        </w:rPr>
        <w:t>2、汽车衡智能管理系统培训</w:t>
      </w:r>
      <w:r>
        <w:rPr>
          <w:rFonts w:hint="eastAsia" w:asciiTheme="minorEastAsia" w:hAnsiTheme="minorEastAsia" w:eastAsiaTheme="minorEastAsia" w:cstheme="minorEastAsia"/>
          <w:b w:val="0"/>
          <w:spacing w:val="-3"/>
          <w:sz w:val="21"/>
          <w:szCs w:val="21"/>
          <w:highlight w:val="none"/>
          <w:lang w:eastAsia="zh-CN"/>
        </w:rPr>
        <w:t>：</w:t>
      </w:r>
      <w:r>
        <w:rPr>
          <w:rFonts w:hint="eastAsia" w:asciiTheme="minorEastAsia" w:hAnsiTheme="minorEastAsia" w:eastAsiaTheme="minorEastAsia" w:cstheme="minorEastAsia"/>
          <w:b w:val="0"/>
          <w:spacing w:val="-3"/>
          <w:sz w:val="21"/>
          <w:szCs w:val="21"/>
          <w:highlight w:val="none"/>
        </w:rPr>
        <w:t>在用户现场安装调试检定合格后，由</w:t>
      </w:r>
      <w:r>
        <w:rPr>
          <w:rFonts w:hint="eastAsia" w:asciiTheme="minorEastAsia" w:hAnsiTheme="minorEastAsia" w:eastAsiaTheme="minorEastAsia" w:cstheme="minorEastAsia"/>
          <w:b w:val="0"/>
          <w:spacing w:val="-3"/>
          <w:sz w:val="21"/>
          <w:szCs w:val="21"/>
          <w:highlight w:val="none"/>
          <w:lang w:eastAsia="zh-CN"/>
        </w:rPr>
        <w:t>成交人</w:t>
      </w:r>
      <w:r>
        <w:rPr>
          <w:rFonts w:hint="eastAsia" w:asciiTheme="minorEastAsia" w:hAnsiTheme="minorEastAsia" w:eastAsiaTheme="minorEastAsia" w:cstheme="minorEastAsia"/>
          <w:b w:val="0"/>
          <w:spacing w:val="-3"/>
          <w:sz w:val="21"/>
          <w:szCs w:val="21"/>
          <w:highlight w:val="none"/>
        </w:rPr>
        <w:t>技术服务人员在现场对</w:t>
      </w:r>
      <w:r>
        <w:rPr>
          <w:rFonts w:hint="eastAsia" w:asciiTheme="minorEastAsia" w:hAnsiTheme="minorEastAsia" w:eastAsiaTheme="minorEastAsia" w:cstheme="minorEastAsia"/>
          <w:b w:val="0"/>
          <w:spacing w:val="-3"/>
          <w:sz w:val="21"/>
          <w:szCs w:val="21"/>
          <w:highlight w:val="none"/>
          <w:lang w:eastAsia="zh-CN"/>
        </w:rPr>
        <w:t>采购人</w:t>
      </w:r>
      <w:r>
        <w:rPr>
          <w:rFonts w:hint="eastAsia" w:asciiTheme="minorEastAsia" w:hAnsiTheme="minorEastAsia" w:eastAsiaTheme="minorEastAsia" w:cstheme="minorEastAsia"/>
          <w:b w:val="0"/>
          <w:spacing w:val="-3"/>
          <w:sz w:val="21"/>
          <w:szCs w:val="21"/>
          <w:highlight w:val="none"/>
        </w:rPr>
        <w:t>人员进行操作使用培训。</w:t>
      </w:r>
    </w:p>
    <w:p w14:paraId="6F60F7BF">
      <w:pPr>
        <w:pStyle w:val="4"/>
        <w:keepNext w:val="0"/>
        <w:keepLines w:val="0"/>
        <w:pageBreakBefore w:val="0"/>
        <w:kinsoku/>
        <w:wordWrap/>
        <w:overflowPunct/>
        <w:topLinePunct w:val="0"/>
        <w:bidi w:val="0"/>
        <w:snapToGrid w:val="0"/>
        <w:spacing w:line="360" w:lineRule="auto"/>
        <w:ind w:firstLine="408" w:firstLineChars="200"/>
        <w:textAlignment w:val="auto"/>
        <w:rPr>
          <w:rFonts w:hint="eastAsia" w:asciiTheme="minorEastAsia" w:hAnsiTheme="minorEastAsia" w:eastAsiaTheme="minorEastAsia" w:cstheme="minorEastAsia"/>
          <w:b w:val="0"/>
          <w:spacing w:val="-3"/>
          <w:sz w:val="21"/>
          <w:szCs w:val="21"/>
          <w:highlight w:val="none"/>
        </w:rPr>
      </w:pPr>
      <w:r>
        <w:rPr>
          <w:rFonts w:hint="eastAsia" w:asciiTheme="minorEastAsia" w:hAnsiTheme="minorEastAsia" w:eastAsiaTheme="minorEastAsia" w:cstheme="minorEastAsia"/>
          <w:b w:val="0"/>
          <w:spacing w:val="-3"/>
          <w:sz w:val="21"/>
          <w:szCs w:val="21"/>
          <w:highlight w:val="none"/>
        </w:rPr>
        <w:t>3、培训计划：至少包括操作员的培训和技术、管理人员的培训。</w:t>
      </w:r>
    </w:p>
    <w:p w14:paraId="760D4B4D">
      <w:pPr>
        <w:pStyle w:val="4"/>
        <w:keepNext w:val="0"/>
        <w:keepLines w:val="0"/>
        <w:pageBreakBefore w:val="0"/>
        <w:kinsoku/>
        <w:wordWrap/>
        <w:overflowPunct/>
        <w:topLinePunct w:val="0"/>
        <w:bidi w:val="0"/>
        <w:snapToGrid w:val="0"/>
        <w:spacing w:line="360" w:lineRule="auto"/>
        <w:ind w:firstLine="408" w:firstLineChars="200"/>
        <w:textAlignment w:val="auto"/>
        <w:rPr>
          <w:rFonts w:hint="eastAsia" w:asciiTheme="minorEastAsia" w:hAnsiTheme="minorEastAsia" w:eastAsiaTheme="minorEastAsia" w:cstheme="minorEastAsia"/>
          <w:b w:val="0"/>
          <w:spacing w:val="-3"/>
          <w:sz w:val="21"/>
          <w:szCs w:val="21"/>
          <w:highlight w:val="none"/>
        </w:rPr>
      </w:pPr>
      <w:r>
        <w:rPr>
          <w:rFonts w:hint="eastAsia" w:asciiTheme="minorEastAsia" w:hAnsiTheme="minorEastAsia" w:eastAsiaTheme="minorEastAsia" w:cstheme="minorEastAsia"/>
          <w:b w:val="0"/>
          <w:spacing w:val="-3"/>
          <w:sz w:val="21"/>
          <w:szCs w:val="21"/>
          <w:highlight w:val="none"/>
        </w:rPr>
        <w:t>4、培训内容：至少包括电子衡器基本原理；称重传感器原理和运用介绍；电子称重技术基本原理；仪表使用操作；仪表原理和运用的熟悉；称量系统的安装、设定和调试；仪表操作和设定过程的熟悉；仪表、打印机和其它终端设备的连接维护；如何解决问题及修理。</w:t>
      </w:r>
    </w:p>
    <w:p w14:paraId="18204F3D">
      <w:pPr>
        <w:pStyle w:val="4"/>
        <w:keepNext w:val="0"/>
        <w:keepLines w:val="0"/>
        <w:pageBreakBefore w:val="0"/>
        <w:kinsoku/>
        <w:wordWrap/>
        <w:overflowPunct/>
        <w:topLinePunct w:val="0"/>
        <w:bidi w:val="0"/>
        <w:snapToGrid w:val="0"/>
        <w:spacing w:line="360" w:lineRule="auto"/>
        <w:ind w:firstLine="422"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六、</w:t>
      </w:r>
      <w:bookmarkEnd w:id="10"/>
      <w:bookmarkEnd w:id="11"/>
      <w:r>
        <w:rPr>
          <w:rFonts w:hint="eastAsia" w:asciiTheme="minorEastAsia" w:hAnsiTheme="minorEastAsia" w:eastAsiaTheme="minorEastAsia" w:cstheme="minorEastAsia"/>
          <w:sz w:val="21"/>
          <w:szCs w:val="21"/>
          <w:highlight w:val="none"/>
        </w:rPr>
        <w:t>安全文明施工</w:t>
      </w:r>
    </w:p>
    <w:p w14:paraId="7ED24798">
      <w:pPr>
        <w:pStyle w:val="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bookmarkStart w:id="12" w:name="_Toc22034"/>
      <w:bookmarkStart w:id="13" w:name="_Toc4936"/>
      <w:r>
        <w:rPr>
          <w:rFonts w:hint="eastAsia" w:asciiTheme="minorEastAsia" w:hAnsiTheme="minorEastAsia" w:eastAsiaTheme="minorEastAsia" w:cstheme="minorEastAsia"/>
          <w:sz w:val="21"/>
          <w:szCs w:val="21"/>
          <w:highlight w:val="none"/>
        </w:rPr>
        <w:t>1.</w:t>
      </w:r>
      <w:r>
        <w:rPr>
          <w:rFonts w:hint="eastAsia" w:asciiTheme="minorEastAsia" w:hAnsiTheme="minorEastAsia" w:eastAsiaTheme="minorEastAsia" w:cstheme="minorEastAsia"/>
          <w:sz w:val="21"/>
          <w:szCs w:val="21"/>
          <w:highlight w:val="none"/>
          <w:lang w:eastAsia="zh-CN"/>
        </w:rPr>
        <w:t>采购人</w:t>
      </w:r>
      <w:r>
        <w:rPr>
          <w:rFonts w:hint="eastAsia" w:asciiTheme="minorEastAsia" w:hAnsiTheme="minorEastAsia" w:eastAsiaTheme="minorEastAsia" w:cstheme="minorEastAsia"/>
          <w:sz w:val="21"/>
          <w:szCs w:val="21"/>
          <w:highlight w:val="none"/>
        </w:rPr>
        <w:t>不提供施工所需的食宿场地，临时办公及材料加工场地由</w:t>
      </w:r>
      <w:r>
        <w:rPr>
          <w:rFonts w:hint="eastAsia" w:asciiTheme="minorEastAsia" w:hAnsiTheme="minorEastAsia" w:eastAsiaTheme="minorEastAsia" w:cstheme="minorEastAsia"/>
          <w:sz w:val="21"/>
          <w:szCs w:val="21"/>
          <w:highlight w:val="none"/>
          <w:lang w:eastAsia="zh-CN"/>
        </w:rPr>
        <w:t>采购人</w:t>
      </w:r>
      <w:r>
        <w:rPr>
          <w:rFonts w:hint="eastAsia" w:asciiTheme="minorEastAsia" w:hAnsiTheme="minorEastAsia" w:eastAsiaTheme="minorEastAsia" w:cstheme="minorEastAsia"/>
          <w:sz w:val="21"/>
          <w:szCs w:val="21"/>
          <w:highlight w:val="none"/>
        </w:rPr>
        <w:t>现场指定。</w:t>
      </w:r>
    </w:p>
    <w:p w14:paraId="64119C29">
      <w:pPr>
        <w:pStyle w:val="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必须服从</w:t>
      </w:r>
      <w:r>
        <w:rPr>
          <w:rFonts w:hint="eastAsia" w:asciiTheme="minorEastAsia" w:hAnsiTheme="minorEastAsia" w:eastAsiaTheme="minorEastAsia" w:cstheme="minorEastAsia"/>
          <w:sz w:val="21"/>
          <w:szCs w:val="21"/>
          <w:highlight w:val="none"/>
          <w:lang w:eastAsia="zh-CN"/>
        </w:rPr>
        <w:t>采购人</w:t>
      </w:r>
      <w:r>
        <w:rPr>
          <w:rFonts w:hint="eastAsia" w:asciiTheme="minorEastAsia" w:hAnsiTheme="minorEastAsia" w:eastAsiaTheme="minorEastAsia" w:cstheme="minorEastAsia"/>
          <w:sz w:val="21"/>
          <w:szCs w:val="21"/>
          <w:highlight w:val="none"/>
        </w:rPr>
        <w:t>的项目管理要求，配备必要的安全文明施工设施，未能按项目管理要求落实执行，造成一切责任后果由</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负责。</w:t>
      </w:r>
    </w:p>
    <w:p w14:paraId="2DED7BD3">
      <w:pPr>
        <w:pStyle w:val="2"/>
        <w:keepNext w:val="0"/>
        <w:keepLines w:val="0"/>
        <w:pageBreakBefore w:val="0"/>
        <w:kinsoku/>
        <w:wordWrap/>
        <w:overflowPunct/>
        <w:topLinePunct w:val="0"/>
        <w:bidi w:val="0"/>
        <w:snapToGrid w:val="0"/>
        <w:spacing w:line="360" w:lineRule="auto"/>
        <w:ind w:firstLine="422" w:firstLineChars="200"/>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七、</w:t>
      </w:r>
      <w:bookmarkEnd w:id="12"/>
      <w:bookmarkEnd w:id="13"/>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验收要求</w:t>
      </w:r>
    </w:p>
    <w:p w14:paraId="5E0DA804">
      <w:pPr>
        <w:pStyle w:val="2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1.验收标准及方法：</w:t>
      </w:r>
      <w:r>
        <w:rPr>
          <w:rFonts w:hint="eastAsia" w:asciiTheme="minorEastAsia" w:hAnsiTheme="minorEastAsia" w:eastAsiaTheme="minorEastAsia" w:cstheme="minorEastAsia"/>
          <w:kern w:val="0"/>
          <w:sz w:val="21"/>
          <w:szCs w:val="21"/>
          <w:highlight w:val="none"/>
          <w:lang w:eastAsia="zh-CN"/>
        </w:rPr>
        <w:t>成交人</w:t>
      </w:r>
      <w:r>
        <w:rPr>
          <w:rFonts w:hint="eastAsia" w:asciiTheme="minorEastAsia" w:hAnsiTheme="minorEastAsia" w:eastAsiaTheme="minorEastAsia" w:cstheme="minorEastAsia"/>
          <w:kern w:val="0"/>
          <w:sz w:val="21"/>
          <w:szCs w:val="21"/>
          <w:highlight w:val="none"/>
        </w:rPr>
        <w:t>在设备安装、调试完成后一个月内联系当地计量检验监督部门到现场进行性能验收，</w:t>
      </w:r>
      <w:r>
        <w:rPr>
          <w:rFonts w:hint="eastAsia" w:asciiTheme="minorEastAsia" w:hAnsiTheme="minorEastAsia" w:eastAsiaTheme="minorEastAsia" w:cstheme="minorEastAsia"/>
          <w:kern w:val="0"/>
          <w:sz w:val="21"/>
          <w:szCs w:val="21"/>
          <w:highlight w:val="none"/>
          <w:lang w:eastAsia="zh-CN"/>
        </w:rPr>
        <w:t>采购人</w:t>
      </w:r>
      <w:r>
        <w:rPr>
          <w:rFonts w:hint="eastAsia" w:asciiTheme="minorEastAsia" w:hAnsiTheme="minorEastAsia" w:eastAsiaTheme="minorEastAsia" w:cstheme="minorEastAsia"/>
          <w:kern w:val="0"/>
          <w:sz w:val="21"/>
          <w:szCs w:val="21"/>
          <w:highlight w:val="none"/>
        </w:rPr>
        <w:t>参与，以取得当地计量检验监督部门签发的计量检验合格证为准。</w:t>
      </w:r>
    </w:p>
    <w:p w14:paraId="4CF393F1">
      <w:pPr>
        <w:pStyle w:val="2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kern w:val="0"/>
          <w:sz w:val="21"/>
          <w:szCs w:val="21"/>
          <w:highlight w:val="none"/>
        </w:rPr>
      </w:pPr>
      <w:r>
        <w:rPr>
          <w:rFonts w:hint="eastAsia" w:asciiTheme="minorEastAsia" w:hAnsiTheme="minorEastAsia" w:eastAsiaTheme="minorEastAsia" w:cstheme="minorEastAsia"/>
          <w:kern w:val="0"/>
          <w:sz w:val="21"/>
          <w:szCs w:val="21"/>
          <w:highlight w:val="none"/>
        </w:rPr>
        <w:t>2.</w:t>
      </w:r>
      <w:r>
        <w:rPr>
          <w:rFonts w:hint="eastAsia" w:asciiTheme="minorEastAsia" w:hAnsiTheme="minorEastAsia" w:eastAsiaTheme="minorEastAsia" w:cstheme="minorEastAsia"/>
          <w:kern w:val="0"/>
          <w:sz w:val="21"/>
          <w:szCs w:val="21"/>
          <w:highlight w:val="none"/>
          <w:lang w:eastAsia="zh-CN"/>
        </w:rPr>
        <w:t>成交人</w:t>
      </w:r>
      <w:r>
        <w:rPr>
          <w:rFonts w:hint="eastAsia" w:asciiTheme="minorEastAsia" w:hAnsiTheme="minorEastAsia" w:eastAsiaTheme="minorEastAsia" w:cstheme="minorEastAsia"/>
          <w:kern w:val="0"/>
          <w:sz w:val="21"/>
          <w:szCs w:val="21"/>
          <w:highlight w:val="none"/>
        </w:rPr>
        <w:t>应在设备进场时及安装完成后提交相应的质量证文件、出场检测报告等质量证明资料，并对文件的准确性、真实性负责。</w:t>
      </w:r>
    </w:p>
    <w:p w14:paraId="524BC9E2">
      <w:pPr>
        <w:pStyle w:val="2"/>
        <w:snapToGrid w:val="0"/>
        <w:ind w:firstLine="422" w:firstLineChars="200"/>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pPr>
      <w:bookmarkStart w:id="14" w:name="_Toc17509"/>
      <w:bookmarkStart w:id="15" w:name="_Toc12765"/>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八、付款方式</w:t>
      </w:r>
    </w:p>
    <w:p w14:paraId="784E09F7">
      <w:pPr>
        <w:pStyle w:val="2"/>
        <w:keepNext w:val="0"/>
        <w:keepLines w:val="0"/>
        <w:pageBreakBefore w:val="0"/>
        <w:kinsoku/>
        <w:wordWrap/>
        <w:overflowPunct/>
        <w:topLinePunct w:val="0"/>
        <w:bidi w:val="0"/>
        <w:snapToGrid w:val="0"/>
        <w:spacing w:line="360" w:lineRule="auto"/>
        <w:ind w:firstLineChars="200"/>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1.设备验收合格并交付使用后，成交人提供合同总价格的60%有效增值税专用发票及请款报告后，采购人在30天内向成交人支付合同额的60%；</w:t>
      </w:r>
    </w:p>
    <w:p w14:paraId="1E55BCD7">
      <w:pPr>
        <w:pStyle w:val="2"/>
        <w:keepNext w:val="0"/>
        <w:keepLines w:val="0"/>
        <w:pageBreakBefore w:val="0"/>
        <w:kinsoku/>
        <w:wordWrap/>
        <w:overflowPunct/>
        <w:topLinePunct w:val="0"/>
        <w:bidi w:val="0"/>
        <w:snapToGrid w:val="0"/>
        <w:spacing w:line="360" w:lineRule="auto"/>
        <w:ind w:firstLineChars="200"/>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2.设备通过当地计量检验监督部门验收并签发计量检验合格证后且采购人结算完毕后，成交人提供结算总价格的20%有效增值税专用发票及请款报告后30天内，采购人向成交人支付合同额的95%；</w:t>
      </w:r>
    </w:p>
    <w:p w14:paraId="4A601A8D">
      <w:pPr>
        <w:pStyle w:val="2"/>
        <w:keepNext w:val="0"/>
        <w:keepLines w:val="0"/>
        <w:pageBreakBefore w:val="0"/>
        <w:kinsoku/>
        <w:wordWrap/>
        <w:overflowPunct/>
        <w:topLinePunct w:val="0"/>
        <w:bidi w:val="0"/>
        <w:snapToGrid w:val="0"/>
        <w:spacing w:line="360" w:lineRule="auto"/>
        <w:ind w:firstLineChars="200"/>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3.剩余5%作为质保金，质保期届满且无质量问题，采购人在收到成交人提供的相关资料及请款报告后30天内支付。</w:t>
      </w:r>
      <w:bookmarkStart w:id="16" w:name="_GoBack"/>
      <w:bookmarkEnd w:id="16"/>
    </w:p>
    <w:p w14:paraId="113A0E3A">
      <w:pPr>
        <w:pStyle w:val="2"/>
        <w:keepNext w:val="0"/>
        <w:keepLines w:val="0"/>
        <w:pageBreakBefore w:val="0"/>
        <w:kinsoku/>
        <w:wordWrap/>
        <w:overflowPunct/>
        <w:topLinePunct w:val="0"/>
        <w:bidi w:val="0"/>
        <w:snapToGrid w:val="0"/>
        <w:spacing w:line="360" w:lineRule="auto"/>
        <w:ind w:firstLineChars="200"/>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九</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w:t>
      </w:r>
      <w:bookmarkEnd w:id="14"/>
      <w:bookmarkEnd w:id="15"/>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质量保证</w:t>
      </w:r>
    </w:p>
    <w:p w14:paraId="4CBE63E4">
      <w:pPr>
        <w:pStyle w:val="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1.</w:t>
      </w:r>
      <w:r>
        <w:rPr>
          <w:rFonts w:hint="eastAsia" w:asciiTheme="minorEastAsia" w:hAnsiTheme="minorEastAsia" w:eastAsiaTheme="minorEastAsia" w:cstheme="minorEastAsia"/>
          <w:sz w:val="21"/>
          <w:szCs w:val="21"/>
          <w:highlight w:val="none"/>
        </w:rPr>
        <w:t>质保期：自当地计量检验监督部门签发计量检验合格证之日起一年。</w:t>
      </w:r>
    </w:p>
    <w:p w14:paraId="5D839789">
      <w:pPr>
        <w:pStyle w:val="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2</w:t>
      </w:r>
      <w:r>
        <w:rPr>
          <w:rFonts w:hint="eastAsia" w:asciiTheme="minorEastAsia" w:hAnsiTheme="minorEastAsia" w:eastAsiaTheme="minorEastAsia" w:cstheme="minorEastAsia"/>
          <w:sz w:val="21"/>
          <w:szCs w:val="21"/>
          <w:highlight w:val="none"/>
        </w:rPr>
        <w:t>.无论质保期内外，为保证系统正常运行，</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必须提供售后跟踪服务。质保期内属使用过程中自然损坏，由</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负责免费维修并校准；属非正常使用损坏，查明原因后由双方协商处理。</w:t>
      </w:r>
    </w:p>
    <w:p w14:paraId="1C594EF8">
      <w:pPr>
        <w:pStyle w:val="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3</w:t>
      </w:r>
      <w:r>
        <w:rPr>
          <w:rFonts w:hint="eastAsia" w:asciiTheme="minorEastAsia" w:hAnsiTheme="minorEastAsia" w:eastAsiaTheme="minorEastAsia" w:cstheme="minorEastAsia"/>
          <w:sz w:val="21"/>
          <w:szCs w:val="21"/>
          <w:highlight w:val="none"/>
        </w:rPr>
        <w:t>.质保期后损坏，由</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负责备品备件供应和维修，只收取相应的材料费。</w:t>
      </w:r>
    </w:p>
    <w:p w14:paraId="29373EA9">
      <w:pPr>
        <w:pStyle w:val="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4</w:t>
      </w:r>
      <w:r>
        <w:rPr>
          <w:rFonts w:hint="eastAsia" w:asciiTheme="minorEastAsia" w:hAnsiTheme="minorEastAsia" w:eastAsiaTheme="minorEastAsia" w:cstheme="minorEastAsia"/>
          <w:sz w:val="21"/>
          <w:szCs w:val="21"/>
          <w:highlight w:val="none"/>
        </w:rPr>
        <w:t>.质保期内，</w:t>
      </w:r>
      <w:r>
        <w:rPr>
          <w:rFonts w:hint="eastAsia" w:asciiTheme="minorEastAsia" w:hAnsiTheme="minorEastAsia" w:eastAsiaTheme="minorEastAsia" w:cstheme="minorEastAsia"/>
          <w:sz w:val="21"/>
          <w:szCs w:val="21"/>
          <w:highlight w:val="none"/>
          <w:lang w:eastAsia="zh-CN"/>
        </w:rPr>
        <w:t>采购人</w:t>
      </w:r>
      <w:r>
        <w:rPr>
          <w:rFonts w:hint="eastAsia" w:asciiTheme="minorEastAsia" w:hAnsiTheme="minorEastAsia" w:eastAsiaTheme="minorEastAsia" w:cstheme="minorEastAsia"/>
          <w:sz w:val="21"/>
          <w:szCs w:val="21"/>
          <w:highlight w:val="none"/>
        </w:rPr>
        <w:t>根据设备的使用频率及计量检定要求通知</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校准时，</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必须12小时内完成，并承担校准费用。</w:t>
      </w:r>
    </w:p>
    <w:p w14:paraId="476BA692">
      <w:pPr>
        <w:pStyle w:val="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5</w:t>
      </w:r>
      <w:r>
        <w:rPr>
          <w:rFonts w:hint="eastAsia" w:asciiTheme="minorEastAsia" w:hAnsiTheme="minorEastAsia" w:eastAsiaTheme="minorEastAsia" w:cstheme="minorEastAsia"/>
          <w:sz w:val="21"/>
          <w:szCs w:val="21"/>
          <w:highlight w:val="none"/>
        </w:rPr>
        <w:t>.质量保证期过后，</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将终身提供如下服务：技术咨询，技术培训，根据报修记录建立用户档案，回复报修响应意见，及时上门维护和维修服务，定期巡访用户等。</w:t>
      </w:r>
    </w:p>
    <w:p w14:paraId="07E20C54">
      <w:pPr>
        <w:pStyle w:val="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rPr>
        <w:t>.无论质保期内外，如果系统出现故障，</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在用户出现故障报修在2小时内响应，12小时内赶到现场进行检修和排除故障。属计算机管理系统无法运行的故障，</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将及时更换备件，以保证系统的连续运行和数据不丢失。</w:t>
      </w:r>
    </w:p>
    <w:p w14:paraId="05FFAB77">
      <w:pPr>
        <w:pStyle w:val="2"/>
        <w:keepNext w:val="0"/>
        <w:keepLines w:val="0"/>
        <w:pageBreakBefore w:val="0"/>
        <w:kinsoku/>
        <w:wordWrap/>
        <w:overflowPunct/>
        <w:topLinePunct w:val="0"/>
        <w:bidi w:val="0"/>
        <w:snapToGrid/>
        <w:spacing w:line="240" w:lineRule="auto"/>
        <w:ind w:firstLine="422" w:firstLineChars="200"/>
        <w:textAlignment w:val="auto"/>
        <w:rPr>
          <w:rFonts w:hint="eastAsia" w:asciiTheme="minorEastAsia" w:hAnsiTheme="minorEastAsia" w:eastAsiaTheme="minorEastAsia" w:cstheme="minorEastAsia"/>
          <w:b/>
          <w:bCs/>
          <w:color w:val="C00000"/>
          <w:sz w:val="21"/>
          <w:szCs w:val="21"/>
          <w:highlight w:val="none"/>
        </w:rPr>
      </w:pPr>
      <w:r>
        <w:rPr>
          <w:rFonts w:hint="eastAsia" w:asciiTheme="minorEastAsia" w:hAnsiTheme="minorEastAsia" w:eastAsiaTheme="minorEastAsia" w:cstheme="minorEastAsia"/>
          <w:b/>
          <w:bCs/>
          <w:color w:val="C00000"/>
          <w:sz w:val="21"/>
          <w:szCs w:val="21"/>
          <w:highlight w:val="none"/>
          <w:lang w:val="en-US" w:eastAsia="zh-CN"/>
        </w:rPr>
        <w:t>☆7</w:t>
      </w:r>
      <w:r>
        <w:rPr>
          <w:rFonts w:hint="eastAsia" w:asciiTheme="minorEastAsia" w:hAnsiTheme="minorEastAsia" w:eastAsiaTheme="minorEastAsia" w:cstheme="minorEastAsia"/>
          <w:b/>
          <w:bCs/>
          <w:color w:val="C00000"/>
          <w:sz w:val="21"/>
          <w:szCs w:val="21"/>
          <w:highlight w:val="none"/>
        </w:rPr>
        <w:t>.</w:t>
      </w:r>
      <w:r>
        <w:rPr>
          <w:rFonts w:hint="eastAsia" w:asciiTheme="minorEastAsia" w:hAnsiTheme="minorEastAsia" w:eastAsiaTheme="minorEastAsia" w:cstheme="minorEastAsia"/>
          <w:b/>
          <w:bCs/>
          <w:color w:val="C00000"/>
          <w:sz w:val="21"/>
          <w:szCs w:val="21"/>
          <w:highlight w:val="none"/>
          <w:lang w:eastAsia="zh-CN"/>
        </w:rPr>
        <w:t>报价人</w:t>
      </w:r>
      <w:r>
        <w:rPr>
          <w:rFonts w:hint="eastAsia" w:asciiTheme="minorEastAsia" w:hAnsiTheme="minorEastAsia" w:eastAsiaTheme="minorEastAsia" w:cstheme="minorEastAsia"/>
          <w:b/>
          <w:bCs/>
          <w:color w:val="C00000"/>
          <w:sz w:val="21"/>
          <w:szCs w:val="21"/>
          <w:highlight w:val="none"/>
        </w:rPr>
        <w:t>应在</w:t>
      </w:r>
      <w:r>
        <w:rPr>
          <w:rFonts w:hint="eastAsia" w:asciiTheme="minorEastAsia" w:hAnsiTheme="minorEastAsia" w:eastAsiaTheme="minorEastAsia" w:cstheme="minorEastAsia"/>
          <w:b/>
          <w:bCs/>
          <w:color w:val="C00000"/>
          <w:sz w:val="21"/>
          <w:szCs w:val="21"/>
          <w:highlight w:val="none"/>
          <w:lang w:eastAsia="zh-CN"/>
        </w:rPr>
        <w:t>报价文件</w:t>
      </w:r>
      <w:r>
        <w:rPr>
          <w:rFonts w:hint="eastAsia" w:asciiTheme="minorEastAsia" w:hAnsiTheme="minorEastAsia" w:eastAsiaTheme="minorEastAsia" w:cstheme="minorEastAsia"/>
          <w:b/>
          <w:bCs/>
          <w:color w:val="C00000"/>
          <w:sz w:val="21"/>
          <w:szCs w:val="21"/>
          <w:highlight w:val="none"/>
        </w:rPr>
        <w:t>中提供详细的售后服务方案，包含售后服务网点及服务人员资质等。</w:t>
      </w:r>
    </w:p>
    <w:p w14:paraId="3C61A981">
      <w:pPr>
        <w:pStyle w:val="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8</w:t>
      </w:r>
      <w:r>
        <w:rPr>
          <w:rFonts w:hint="eastAsia" w:asciiTheme="minorEastAsia" w:hAnsiTheme="minorEastAsia" w:eastAsiaTheme="minorEastAsia" w:cstheme="minorEastAsia"/>
          <w:sz w:val="21"/>
          <w:szCs w:val="21"/>
          <w:highlight w:val="none"/>
        </w:rPr>
        <w:t>.关键设备及部件的质量，必要时</w:t>
      </w:r>
      <w:r>
        <w:rPr>
          <w:rFonts w:hint="eastAsia" w:asciiTheme="minorEastAsia" w:hAnsiTheme="minorEastAsia" w:eastAsiaTheme="minorEastAsia" w:cstheme="minorEastAsia"/>
          <w:sz w:val="21"/>
          <w:szCs w:val="21"/>
          <w:highlight w:val="none"/>
          <w:lang w:eastAsia="zh-CN"/>
        </w:rPr>
        <w:t>采购人</w:t>
      </w:r>
      <w:r>
        <w:rPr>
          <w:rFonts w:hint="eastAsia" w:asciiTheme="minorEastAsia" w:hAnsiTheme="minorEastAsia" w:eastAsiaTheme="minorEastAsia" w:cstheme="minorEastAsia"/>
          <w:sz w:val="21"/>
          <w:szCs w:val="21"/>
          <w:highlight w:val="none"/>
        </w:rPr>
        <w:t>有权聘请有资质的第三方检测单位检测，检测不合规时，一切费用由</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承担，并承担由此给</w:t>
      </w:r>
      <w:r>
        <w:rPr>
          <w:rFonts w:hint="eastAsia" w:asciiTheme="minorEastAsia" w:hAnsiTheme="minorEastAsia" w:eastAsiaTheme="minorEastAsia" w:cstheme="minorEastAsia"/>
          <w:sz w:val="21"/>
          <w:szCs w:val="21"/>
          <w:highlight w:val="none"/>
          <w:lang w:eastAsia="zh-CN"/>
        </w:rPr>
        <w:t>采购人</w:t>
      </w:r>
      <w:r>
        <w:rPr>
          <w:rFonts w:hint="eastAsia" w:asciiTheme="minorEastAsia" w:hAnsiTheme="minorEastAsia" w:eastAsiaTheme="minorEastAsia" w:cstheme="minorEastAsia"/>
          <w:sz w:val="21"/>
          <w:szCs w:val="21"/>
          <w:highlight w:val="none"/>
        </w:rPr>
        <w:t>造成的一切损失。</w:t>
      </w:r>
    </w:p>
    <w:p w14:paraId="09B09953">
      <w:pPr>
        <w:pStyle w:val="2"/>
        <w:keepNext w:val="0"/>
        <w:keepLines w:val="0"/>
        <w:pageBreakBefore w:val="0"/>
        <w:kinsoku/>
        <w:wordWrap/>
        <w:overflowPunct/>
        <w:topLinePunct w:val="0"/>
        <w:bidi w:val="0"/>
        <w:snapToGrid w:val="0"/>
        <w:spacing w:line="360" w:lineRule="auto"/>
        <w:ind w:firstLine="420"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9</w:t>
      </w:r>
      <w:r>
        <w:rPr>
          <w:rFonts w:hint="eastAsia" w:asciiTheme="minorEastAsia" w:hAnsiTheme="minorEastAsia" w:eastAsiaTheme="minorEastAsia" w:cstheme="minorEastAsia"/>
          <w:sz w:val="21"/>
          <w:szCs w:val="21"/>
          <w:highlight w:val="none"/>
        </w:rPr>
        <w:t>.智能汽车衡系统因</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原因，包括但不限于设备质量、方案设计、安装质量等，</w:t>
      </w:r>
      <w:r>
        <w:rPr>
          <w:rFonts w:hint="eastAsia" w:asciiTheme="minorEastAsia" w:hAnsiTheme="minorEastAsia" w:eastAsiaTheme="minorEastAsia" w:cstheme="minorEastAsia"/>
          <w:sz w:val="21"/>
          <w:szCs w:val="21"/>
          <w:highlight w:val="none"/>
          <w:lang w:eastAsia="zh-CN"/>
        </w:rPr>
        <w:t>成交人</w:t>
      </w:r>
      <w:r>
        <w:rPr>
          <w:rFonts w:hint="eastAsia" w:asciiTheme="minorEastAsia" w:hAnsiTheme="minorEastAsia" w:eastAsiaTheme="minorEastAsia" w:cstheme="minorEastAsia"/>
          <w:sz w:val="21"/>
          <w:szCs w:val="21"/>
          <w:highlight w:val="none"/>
        </w:rPr>
        <w:t>承担因此造成的连带损失。</w:t>
      </w:r>
    </w:p>
    <w:p w14:paraId="3814E575">
      <w:pPr>
        <w:pStyle w:val="2"/>
        <w:keepNext w:val="0"/>
        <w:keepLines w:val="0"/>
        <w:pageBreakBefore w:val="0"/>
        <w:kinsoku/>
        <w:wordWrap/>
        <w:overflowPunct/>
        <w:topLinePunct w:val="0"/>
        <w:bidi w:val="0"/>
        <w:snapToGrid w:val="0"/>
        <w:spacing w:line="360" w:lineRule="auto"/>
        <w:ind w:firstLine="420" w:firstLineChars="200"/>
        <w:textAlignment w:val="auto"/>
        <w:rPr>
          <w:rFonts w:hint="default"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10.成交人在验收前的现场材料及零件应自行妥善保管，如在现场出现损坏或丢失的情况，采购人均不给予赔偿。</w:t>
      </w:r>
    </w:p>
    <w:p w14:paraId="27DF3E36">
      <w:pPr>
        <w:pStyle w:val="4"/>
        <w:keepNext w:val="0"/>
        <w:keepLines w:val="0"/>
        <w:pageBreakBefore w:val="0"/>
        <w:kinsoku/>
        <w:wordWrap/>
        <w:overflowPunct/>
        <w:topLinePunct w:val="0"/>
        <w:bidi w:val="0"/>
        <w:snapToGrid w:val="0"/>
        <w:spacing w:line="360" w:lineRule="auto"/>
        <w:ind w:firstLine="422" w:firstLineChars="200"/>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lang w:val="en-US" w:eastAsia="zh-CN"/>
        </w:rPr>
        <w:t>十</w:t>
      </w:r>
      <w:r>
        <w:rPr>
          <w:rFonts w:hint="eastAsia" w:asciiTheme="minorEastAsia" w:hAnsiTheme="minorEastAsia" w:eastAsiaTheme="minorEastAsia" w:cstheme="minorEastAsia"/>
          <w:sz w:val="21"/>
          <w:szCs w:val="21"/>
          <w:highlight w:val="none"/>
        </w:rPr>
        <w:t>、参考品牌表</w:t>
      </w:r>
    </w:p>
    <w:tbl>
      <w:tblPr>
        <w:tblStyle w:val="12"/>
        <w:tblW w:w="8358"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8"/>
        <w:gridCol w:w="1545"/>
        <w:gridCol w:w="3929"/>
        <w:gridCol w:w="2156"/>
      </w:tblGrid>
      <w:tr w14:paraId="3FF8A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6BE173F4">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序号</w:t>
            </w:r>
          </w:p>
        </w:tc>
        <w:tc>
          <w:tcPr>
            <w:tcW w:w="1545" w:type="dxa"/>
            <w:tcBorders>
              <w:top w:val="single" w:color="000000" w:sz="4" w:space="0"/>
              <w:left w:val="single" w:color="000000" w:sz="4" w:space="0"/>
              <w:bottom w:val="single" w:color="000000" w:sz="4" w:space="0"/>
              <w:right w:val="single" w:color="000000" w:sz="4" w:space="0"/>
            </w:tcBorders>
            <w:vAlign w:val="center"/>
          </w:tcPr>
          <w:p w14:paraId="432A46C2">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名称</w:t>
            </w:r>
          </w:p>
        </w:tc>
        <w:tc>
          <w:tcPr>
            <w:tcW w:w="3929" w:type="dxa"/>
            <w:tcBorders>
              <w:top w:val="single" w:color="000000" w:sz="4" w:space="0"/>
              <w:left w:val="single" w:color="000000" w:sz="4" w:space="0"/>
              <w:bottom w:val="single" w:color="000000" w:sz="4" w:space="0"/>
              <w:right w:val="single" w:color="000000" w:sz="4" w:space="0"/>
            </w:tcBorders>
            <w:vAlign w:val="center"/>
          </w:tcPr>
          <w:p w14:paraId="47E968B4">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品牌</w:t>
            </w:r>
            <w:r>
              <w:rPr>
                <w:rFonts w:hint="eastAsia" w:asciiTheme="minorEastAsia" w:hAnsiTheme="minorEastAsia" w:eastAsiaTheme="minorEastAsia" w:cstheme="minorEastAsia"/>
                <w:sz w:val="21"/>
                <w:szCs w:val="21"/>
                <w:highlight w:val="none"/>
                <w:lang w:val="en-US" w:eastAsia="zh-CN"/>
              </w:rPr>
              <w:t>推荐</w:t>
            </w:r>
          </w:p>
        </w:tc>
        <w:tc>
          <w:tcPr>
            <w:tcW w:w="2156" w:type="dxa"/>
            <w:tcBorders>
              <w:top w:val="single" w:color="000000" w:sz="4" w:space="0"/>
              <w:left w:val="single" w:color="000000" w:sz="4" w:space="0"/>
              <w:bottom w:val="single" w:color="000000" w:sz="4" w:space="0"/>
              <w:right w:val="single" w:color="000000" w:sz="4" w:space="0"/>
            </w:tcBorders>
            <w:vAlign w:val="center"/>
          </w:tcPr>
          <w:p w14:paraId="60628E44">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备注</w:t>
            </w:r>
          </w:p>
        </w:tc>
      </w:tr>
      <w:tr w14:paraId="44D7B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3C6F28AD">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w:t>
            </w:r>
          </w:p>
        </w:tc>
        <w:tc>
          <w:tcPr>
            <w:tcW w:w="1545" w:type="dxa"/>
            <w:tcBorders>
              <w:top w:val="single" w:color="000000" w:sz="4" w:space="0"/>
              <w:left w:val="single" w:color="000000" w:sz="4" w:space="0"/>
              <w:bottom w:val="single" w:color="000000" w:sz="4" w:space="0"/>
              <w:right w:val="single" w:color="000000" w:sz="4" w:space="0"/>
            </w:tcBorders>
            <w:vAlign w:val="center"/>
          </w:tcPr>
          <w:p w14:paraId="12A3C7D1">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称重传感器</w:t>
            </w:r>
          </w:p>
        </w:tc>
        <w:tc>
          <w:tcPr>
            <w:tcW w:w="3929" w:type="dxa"/>
            <w:tcBorders>
              <w:top w:val="single" w:color="000000" w:sz="4" w:space="0"/>
              <w:left w:val="single" w:color="000000" w:sz="4" w:space="0"/>
              <w:bottom w:val="single" w:color="000000" w:sz="4" w:space="0"/>
              <w:right w:val="single" w:color="000000" w:sz="4" w:space="0"/>
            </w:tcBorders>
            <w:vAlign w:val="center"/>
          </w:tcPr>
          <w:p w14:paraId="06D6428D">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宁波柯力、托利多</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、中航电测</w:t>
            </w:r>
          </w:p>
        </w:tc>
        <w:tc>
          <w:tcPr>
            <w:tcW w:w="2156" w:type="dxa"/>
            <w:tcBorders>
              <w:top w:val="single" w:color="000000" w:sz="4" w:space="0"/>
              <w:left w:val="single" w:color="000000" w:sz="4" w:space="0"/>
              <w:bottom w:val="single" w:color="000000" w:sz="4" w:space="0"/>
              <w:right w:val="single" w:color="000000" w:sz="4" w:space="0"/>
            </w:tcBorders>
            <w:vAlign w:val="center"/>
          </w:tcPr>
          <w:p w14:paraId="64C3E181">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配套同品牌称重仪</w:t>
            </w:r>
          </w:p>
          <w:p w14:paraId="64ABAB41">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表、传感器接线盒等</w:t>
            </w:r>
          </w:p>
        </w:tc>
      </w:tr>
      <w:tr w14:paraId="0AA15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5"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2CC73FDF">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2</w:t>
            </w:r>
          </w:p>
        </w:tc>
        <w:tc>
          <w:tcPr>
            <w:tcW w:w="1545" w:type="dxa"/>
            <w:tcBorders>
              <w:top w:val="single" w:color="000000" w:sz="4" w:space="0"/>
              <w:left w:val="single" w:color="000000" w:sz="4" w:space="0"/>
              <w:bottom w:val="single" w:color="000000" w:sz="4" w:space="0"/>
              <w:right w:val="single" w:color="000000" w:sz="4" w:space="0"/>
            </w:tcBorders>
            <w:vAlign w:val="center"/>
          </w:tcPr>
          <w:p w14:paraId="1BDC89CF">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道闸系统</w:t>
            </w:r>
          </w:p>
        </w:tc>
        <w:tc>
          <w:tcPr>
            <w:tcW w:w="3929" w:type="dxa"/>
            <w:tcBorders>
              <w:top w:val="single" w:color="000000" w:sz="4" w:space="0"/>
              <w:left w:val="single" w:color="000000" w:sz="4" w:space="0"/>
              <w:bottom w:val="single" w:color="000000" w:sz="4" w:space="0"/>
              <w:right w:val="single" w:color="000000" w:sz="4" w:space="0"/>
            </w:tcBorders>
            <w:vAlign w:val="center"/>
          </w:tcPr>
          <w:p w14:paraId="769F94C0">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富士智能、科拓、捷顺</w:t>
            </w:r>
          </w:p>
        </w:tc>
        <w:tc>
          <w:tcPr>
            <w:tcW w:w="2156" w:type="dxa"/>
            <w:tcBorders>
              <w:top w:val="single" w:color="000000" w:sz="4" w:space="0"/>
              <w:left w:val="single" w:color="000000" w:sz="4" w:space="0"/>
              <w:bottom w:val="single" w:color="000000" w:sz="4" w:space="0"/>
              <w:right w:val="single" w:color="000000" w:sz="4" w:space="0"/>
            </w:tcBorders>
            <w:vAlign w:val="center"/>
          </w:tcPr>
          <w:p w14:paraId="631A7FAF">
            <w:pPr>
              <w:snapToGrid w:val="0"/>
              <w:jc w:val="center"/>
              <w:rPr>
                <w:rFonts w:hint="eastAsia" w:asciiTheme="minorEastAsia" w:hAnsiTheme="minorEastAsia" w:eastAsiaTheme="minorEastAsia" w:cstheme="minorEastAsia"/>
                <w:sz w:val="21"/>
                <w:szCs w:val="21"/>
                <w:highlight w:val="none"/>
              </w:rPr>
            </w:pPr>
          </w:p>
        </w:tc>
      </w:tr>
      <w:tr w14:paraId="263CD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6AE7162C">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w:t>
            </w:r>
          </w:p>
        </w:tc>
        <w:tc>
          <w:tcPr>
            <w:tcW w:w="1545" w:type="dxa"/>
            <w:tcBorders>
              <w:top w:val="single" w:color="000000" w:sz="4" w:space="0"/>
              <w:left w:val="single" w:color="000000" w:sz="4" w:space="0"/>
              <w:bottom w:val="single" w:color="000000" w:sz="4" w:space="0"/>
              <w:right w:val="single" w:color="000000" w:sz="4" w:space="0"/>
            </w:tcBorders>
            <w:vAlign w:val="center"/>
          </w:tcPr>
          <w:p w14:paraId="3E4A755E">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针式打印机</w:t>
            </w:r>
          </w:p>
        </w:tc>
        <w:tc>
          <w:tcPr>
            <w:tcW w:w="3929" w:type="dxa"/>
            <w:tcBorders>
              <w:top w:val="single" w:color="000000" w:sz="4" w:space="0"/>
              <w:left w:val="single" w:color="000000" w:sz="4" w:space="0"/>
              <w:bottom w:val="single" w:color="000000" w:sz="4" w:space="0"/>
              <w:right w:val="single" w:color="000000" w:sz="4" w:space="0"/>
            </w:tcBorders>
            <w:vAlign w:val="center"/>
          </w:tcPr>
          <w:p w14:paraId="498579D4">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爱普生、惠普、佳能</w:t>
            </w:r>
          </w:p>
        </w:tc>
        <w:tc>
          <w:tcPr>
            <w:tcW w:w="2156" w:type="dxa"/>
            <w:tcBorders>
              <w:top w:val="single" w:color="000000" w:sz="4" w:space="0"/>
              <w:left w:val="single" w:color="000000" w:sz="4" w:space="0"/>
              <w:bottom w:val="single" w:color="000000" w:sz="4" w:space="0"/>
              <w:right w:val="single" w:color="000000" w:sz="4" w:space="0"/>
            </w:tcBorders>
            <w:vAlign w:val="center"/>
          </w:tcPr>
          <w:p w14:paraId="209F9C53">
            <w:pPr>
              <w:snapToGrid w:val="0"/>
              <w:jc w:val="center"/>
              <w:rPr>
                <w:rFonts w:hint="eastAsia" w:asciiTheme="minorEastAsia" w:hAnsiTheme="minorEastAsia" w:eastAsiaTheme="minorEastAsia" w:cstheme="minorEastAsia"/>
                <w:sz w:val="21"/>
                <w:szCs w:val="21"/>
                <w:highlight w:val="none"/>
              </w:rPr>
            </w:pPr>
          </w:p>
        </w:tc>
      </w:tr>
      <w:tr w14:paraId="2C7A3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7"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07C21079">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4</w:t>
            </w:r>
          </w:p>
        </w:tc>
        <w:tc>
          <w:tcPr>
            <w:tcW w:w="1545" w:type="dxa"/>
            <w:tcBorders>
              <w:top w:val="single" w:color="000000" w:sz="4" w:space="0"/>
              <w:left w:val="single" w:color="000000" w:sz="4" w:space="0"/>
              <w:bottom w:val="single" w:color="000000" w:sz="4" w:space="0"/>
              <w:right w:val="single" w:color="000000" w:sz="4" w:space="0"/>
            </w:tcBorders>
            <w:vAlign w:val="center"/>
          </w:tcPr>
          <w:p w14:paraId="3AFE9DCA">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视频监控摄像系统</w:t>
            </w:r>
          </w:p>
        </w:tc>
        <w:tc>
          <w:tcPr>
            <w:tcW w:w="3929" w:type="dxa"/>
            <w:tcBorders>
              <w:top w:val="single" w:color="000000" w:sz="4" w:space="0"/>
              <w:left w:val="single" w:color="000000" w:sz="4" w:space="0"/>
              <w:bottom w:val="single" w:color="000000" w:sz="4" w:space="0"/>
              <w:right w:val="single" w:color="000000" w:sz="4" w:space="0"/>
            </w:tcBorders>
            <w:vAlign w:val="center"/>
          </w:tcPr>
          <w:p w14:paraId="54F83230">
            <w:pPr>
              <w:snapToGrid w:val="0"/>
              <w:jc w:val="center"/>
              <w:rPr>
                <w:rFonts w:hint="eastAsia" w:asciiTheme="minorEastAsia" w:hAnsiTheme="minorEastAsia" w:eastAsiaTheme="minorEastAsia" w:cstheme="minorEastAsia"/>
                <w:sz w:val="21"/>
                <w:szCs w:val="21"/>
                <w:highlight w:val="none"/>
                <w:lang w:eastAsia="zh-CN"/>
              </w:rPr>
            </w:pPr>
            <w:r>
              <w:rPr>
                <w:rFonts w:hint="eastAsia" w:asciiTheme="minorEastAsia" w:hAnsiTheme="minorEastAsia" w:eastAsiaTheme="minorEastAsia" w:cstheme="minorEastAsia"/>
                <w:sz w:val="21"/>
                <w:szCs w:val="21"/>
                <w:highlight w:val="none"/>
              </w:rPr>
              <w:t>海康威视</w:t>
            </w:r>
            <w:r>
              <w:rPr>
                <w:rFonts w:hint="eastAsia" w:asciiTheme="minorEastAsia" w:hAnsiTheme="minorEastAsia" w:eastAsiaTheme="minorEastAsia" w:cstheme="minorEastAsia"/>
                <w:sz w:val="21"/>
                <w:szCs w:val="21"/>
                <w:highlight w:val="none"/>
                <w:lang w:eastAsia="zh-CN"/>
              </w:rPr>
              <w:t>、大华、华为</w:t>
            </w:r>
          </w:p>
        </w:tc>
        <w:tc>
          <w:tcPr>
            <w:tcW w:w="2156" w:type="dxa"/>
            <w:tcBorders>
              <w:top w:val="single" w:color="000000" w:sz="4" w:space="0"/>
              <w:left w:val="single" w:color="000000" w:sz="4" w:space="0"/>
              <w:bottom w:val="single" w:color="000000" w:sz="4" w:space="0"/>
              <w:right w:val="single" w:color="000000" w:sz="4" w:space="0"/>
            </w:tcBorders>
            <w:vAlign w:val="center"/>
          </w:tcPr>
          <w:p w14:paraId="50AA332E">
            <w:pPr>
              <w:snapToGrid w:val="0"/>
              <w:jc w:val="center"/>
              <w:rPr>
                <w:rFonts w:hint="eastAsia" w:asciiTheme="minorEastAsia" w:hAnsiTheme="minorEastAsia" w:eastAsiaTheme="minorEastAsia" w:cstheme="minorEastAsia"/>
                <w:sz w:val="21"/>
                <w:szCs w:val="21"/>
                <w:highlight w:val="none"/>
              </w:rPr>
            </w:pPr>
          </w:p>
        </w:tc>
      </w:tr>
      <w:tr w14:paraId="3A484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728" w:type="dxa"/>
            <w:tcBorders>
              <w:top w:val="single" w:color="000000" w:sz="4" w:space="0"/>
              <w:left w:val="single" w:color="000000" w:sz="4" w:space="0"/>
              <w:bottom w:val="single" w:color="000000" w:sz="4" w:space="0"/>
              <w:right w:val="single" w:color="000000" w:sz="4" w:space="0"/>
            </w:tcBorders>
            <w:vAlign w:val="center"/>
          </w:tcPr>
          <w:p w14:paraId="431F2308">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5</w:t>
            </w:r>
          </w:p>
        </w:tc>
        <w:tc>
          <w:tcPr>
            <w:tcW w:w="1545" w:type="dxa"/>
            <w:tcBorders>
              <w:top w:val="single" w:color="000000" w:sz="4" w:space="0"/>
              <w:left w:val="single" w:color="000000" w:sz="4" w:space="0"/>
              <w:bottom w:val="single" w:color="000000" w:sz="4" w:space="0"/>
              <w:right w:val="single" w:color="000000" w:sz="4" w:space="0"/>
            </w:tcBorders>
            <w:vAlign w:val="center"/>
          </w:tcPr>
          <w:p w14:paraId="1C8FCDCA">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UPS</w:t>
            </w:r>
          </w:p>
        </w:tc>
        <w:tc>
          <w:tcPr>
            <w:tcW w:w="3929" w:type="dxa"/>
            <w:tcBorders>
              <w:top w:val="single" w:color="000000" w:sz="4" w:space="0"/>
              <w:left w:val="single" w:color="000000" w:sz="4" w:space="0"/>
              <w:bottom w:val="single" w:color="000000" w:sz="4" w:space="0"/>
              <w:right w:val="single" w:color="000000" w:sz="4" w:space="0"/>
            </w:tcBorders>
            <w:vAlign w:val="center"/>
          </w:tcPr>
          <w:p w14:paraId="53D676BA">
            <w:pPr>
              <w:snapToGrid w:val="0"/>
              <w:jc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深圳山特、艾默生、APC</w:t>
            </w:r>
          </w:p>
        </w:tc>
        <w:tc>
          <w:tcPr>
            <w:tcW w:w="2156" w:type="dxa"/>
            <w:tcBorders>
              <w:top w:val="single" w:color="000000" w:sz="4" w:space="0"/>
              <w:left w:val="single" w:color="000000" w:sz="4" w:space="0"/>
              <w:bottom w:val="single" w:color="000000" w:sz="4" w:space="0"/>
              <w:right w:val="single" w:color="000000" w:sz="4" w:space="0"/>
            </w:tcBorders>
            <w:vAlign w:val="center"/>
          </w:tcPr>
          <w:p w14:paraId="6595AE30">
            <w:pPr>
              <w:snapToGrid w:val="0"/>
              <w:jc w:val="center"/>
              <w:rPr>
                <w:rFonts w:hint="eastAsia" w:asciiTheme="minorEastAsia" w:hAnsiTheme="minorEastAsia" w:eastAsiaTheme="minorEastAsia" w:cstheme="minorEastAsia"/>
                <w:sz w:val="21"/>
                <w:szCs w:val="21"/>
                <w:highlight w:val="none"/>
              </w:rPr>
            </w:pPr>
          </w:p>
        </w:tc>
      </w:tr>
    </w:tbl>
    <w:p w14:paraId="752558B3">
      <w:pPr>
        <w:pStyle w:val="2"/>
        <w:rPr>
          <w:rFonts w:hint="eastAsia" w:asciiTheme="minorEastAsia" w:hAnsiTheme="minorEastAsia" w:eastAsiaTheme="minorEastAsia" w:cstheme="minorEastAsia"/>
          <w:sz w:val="21"/>
          <w:szCs w:val="21"/>
          <w:highlight w:val="none"/>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8135200"/>
      <w:docPartObj>
        <w:docPartGallery w:val="autotext"/>
      </w:docPartObj>
    </w:sdtPr>
    <w:sdtContent>
      <w:p w14:paraId="66731CAC">
        <w:pPr>
          <w:pStyle w:val="9"/>
          <w:jc w:val="center"/>
        </w:pPr>
        <w:r>
          <w:fldChar w:fldCharType="begin"/>
        </w:r>
        <w:r>
          <w:instrText xml:space="preserve">PAGE   \* MERGEFORMAT</w:instrText>
        </w:r>
        <w:r>
          <w:fldChar w:fldCharType="separate"/>
        </w:r>
        <w:r>
          <w:rPr>
            <w:lang w:val="zh-CN"/>
          </w:rPr>
          <w:t>2</w:t>
        </w:r>
        <w:r>
          <w:fldChar w:fldCharType="end"/>
        </w:r>
      </w:p>
    </w:sdtContent>
  </w:sdt>
  <w:p w14:paraId="2DC64920">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9AFB5">
    <w:r>
      <w:pict>
        <v:shape id="PowerPlusWaterMarkObject29210" o:spid="_x0000_s4097" o:spt="136" type="#_x0000_t136" style="position:absolute;left:0pt;height:106.15pt;width:481.1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8010f" focussize="0,0"/>
          <v:stroke on="f"/>
          <v:imagedata o:title=""/>
          <o:lock v:ext="edit" aspectratio="t"/>
          <v:textpath on="t" fitshape="t" fitpath="t" trim="t" xscale="f" string="新东湾  2024"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2YWYwMWY1ZmM2ZjgzYWI2ZjkwMmQ5YTJlYzJkMjEifQ=="/>
  </w:docVars>
  <w:rsids>
    <w:rsidRoot w:val="54C92D90"/>
    <w:rsid w:val="00056A7A"/>
    <w:rsid w:val="000570EF"/>
    <w:rsid w:val="00057B36"/>
    <w:rsid w:val="00080C4A"/>
    <w:rsid w:val="000A64B4"/>
    <w:rsid w:val="000C5372"/>
    <w:rsid w:val="000D1355"/>
    <w:rsid w:val="00126104"/>
    <w:rsid w:val="00133AA3"/>
    <w:rsid w:val="00155A05"/>
    <w:rsid w:val="00166646"/>
    <w:rsid w:val="00186ABC"/>
    <w:rsid w:val="001A292B"/>
    <w:rsid w:val="001F32CC"/>
    <w:rsid w:val="00200ED4"/>
    <w:rsid w:val="00203A26"/>
    <w:rsid w:val="0020471B"/>
    <w:rsid w:val="00210698"/>
    <w:rsid w:val="00241190"/>
    <w:rsid w:val="00247CEB"/>
    <w:rsid w:val="002856AE"/>
    <w:rsid w:val="002872AE"/>
    <w:rsid w:val="002D5ACE"/>
    <w:rsid w:val="002E26BE"/>
    <w:rsid w:val="002E5BC6"/>
    <w:rsid w:val="002F102F"/>
    <w:rsid w:val="002F10A8"/>
    <w:rsid w:val="002F61CB"/>
    <w:rsid w:val="003020F0"/>
    <w:rsid w:val="00335BDF"/>
    <w:rsid w:val="00372D73"/>
    <w:rsid w:val="003A28CC"/>
    <w:rsid w:val="003E7566"/>
    <w:rsid w:val="00446053"/>
    <w:rsid w:val="0046092E"/>
    <w:rsid w:val="004A0217"/>
    <w:rsid w:val="004A0378"/>
    <w:rsid w:val="004B71F3"/>
    <w:rsid w:val="004E1AD1"/>
    <w:rsid w:val="004E310B"/>
    <w:rsid w:val="005207EB"/>
    <w:rsid w:val="00523357"/>
    <w:rsid w:val="005604D0"/>
    <w:rsid w:val="0059186F"/>
    <w:rsid w:val="005A1BBB"/>
    <w:rsid w:val="005B12A4"/>
    <w:rsid w:val="005B7376"/>
    <w:rsid w:val="005B7A02"/>
    <w:rsid w:val="005D2AEC"/>
    <w:rsid w:val="00603633"/>
    <w:rsid w:val="0062414E"/>
    <w:rsid w:val="006352C1"/>
    <w:rsid w:val="00642F32"/>
    <w:rsid w:val="00643770"/>
    <w:rsid w:val="00647AF1"/>
    <w:rsid w:val="00665378"/>
    <w:rsid w:val="006673D7"/>
    <w:rsid w:val="006B581D"/>
    <w:rsid w:val="00705572"/>
    <w:rsid w:val="00720915"/>
    <w:rsid w:val="00733AD0"/>
    <w:rsid w:val="007439B9"/>
    <w:rsid w:val="007620DD"/>
    <w:rsid w:val="00773682"/>
    <w:rsid w:val="00782457"/>
    <w:rsid w:val="0079107D"/>
    <w:rsid w:val="007B696A"/>
    <w:rsid w:val="007E1D78"/>
    <w:rsid w:val="007F1D7C"/>
    <w:rsid w:val="00804268"/>
    <w:rsid w:val="00807D20"/>
    <w:rsid w:val="008161A8"/>
    <w:rsid w:val="00826CE5"/>
    <w:rsid w:val="00856143"/>
    <w:rsid w:val="008564B4"/>
    <w:rsid w:val="008630E8"/>
    <w:rsid w:val="008738E0"/>
    <w:rsid w:val="00897849"/>
    <w:rsid w:val="008F002A"/>
    <w:rsid w:val="009304D7"/>
    <w:rsid w:val="00991FF2"/>
    <w:rsid w:val="009B235E"/>
    <w:rsid w:val="009B7A6F"/>
    <w:rsid w:val="009C21C1"/>
    <w:rsid w:val="009C70EB"/>
    <w:rsid w:val="009D542A"/>
    <w:rsid w:val="009F0438"/>
    <w:rsid w:val="009F1677"/>
    <w:rsid w:val="009F4CA7"/>
    <w:rsid w:val="00A0511E"/>
    <w:rsid w:val="00A375B4"/>
    <w:rsid w:val="00A6119F"/>
    <w:rsid w:val="00A8653A"/>
    <w:rsid w:val="00A93648"/>
    <w:rsid w:val="00A97AB8"/>
    <w:rsid w:val="00AB7B9D"/>
    <w:rsid w:val="00AC087D"/>
    <w:rsid w:val="00AD6D5A"/>
    <w:rsid w:val="00B014FC"/>
    <w:rsid w:val="00B068A2"/>
    <w:rsid w:val="00B555FB"/>
    <w:rsid w:val="00B808B3"/>
    <w:rsid w:val="00B83C0F"/>
    <w:rsid w:val="00B858BC"/>
    <w:rsid w:val="00B91644"/>
    <w:rsid w:val="00B96DF2"/>
    <w:rsid w:val="00BC1DA6"/>
    <w:rsid w:val="00BF1A44"/>
    <w:rsid w:val="00BF7DD0"/>
    <w:rsid w:val="00C076FD"/>
    <w:rsid w:val="00C80709"/>
    <w:rsid w:val="00C840F9"/>
    <w:rsid w:val="00C92801"/>
    <w:rsid w:val="00CA5944"/>
    <w:rsid w:val="00CB3610"/>
    <w:rsid w:val="00CC0DE9"/>
    <w:rsid w:val="00CC5927"/>
    <w:rsid w:val="00CD582A"/>
    <w:rsid w:val="00D038AA"/>
    <w:rsid w:val="00D05762"/>
    <w:rsid w:val="00D2780E"/>
    <w:rsid w:val="00D3032C"/>
    <w:rsid w:val="00D40075"/>
    <w:rsid w:val="00D567B6"/>
    <w:rsid w:val="00D95B37"/>
    <w:rsid w:val="00D96294"/>
    <w:rsid w:val="00DE3239"/>
    <w:rsid w:val="00E03874"/>
    <w:rsid w:val="00E25B8F"/>
    <w:rsid w:val="00E31661"/>
    <w:rsid w:val="00E3537D"/>
    <w:rsid w:val="00E46B51"/>
    <w:rsid w:val="00E5774E"/>
    <w:rsid w:val="00EA643C"/>
    <w:rsid w:val="00EC6460"/>
    <w:rsid w:val="00F1494B"/>
    <w:rsid w:val="00F436FA"/>
    <w:rsid w:val="00F7642B"/>
    <w:rsid w:val="00F82DFE"/>
    <w:rsid w:val="00F857DA"/>
    <w:rsid w:val="00F91117"/>
    <w:rsid w:val="00FC6020"/>
    <w:rsid w:val="00FD14D1"/>
    <w:rsid w:val="07DA7770"/>
    <w:rsid w:val="0A951754"/>
    <w:rsid w:val="0E9C09EC"/>
    <w:rsid w:val="16A36AA3"/>
    <w:rsid w:val="1C956668"/>
    <w:rsid w:val="2BB1567F"/>
    <w:rsid w:val="321A1DFA"/>
    <w:rsid w:val="35564D35"/>
    <w:rsid w:val="37865C12"/>
    <w:rsid w:val="39A700C1"/>
    <w:rsid w:val="3C4D4F50"/>
    <w:rsid w:val="41126C32"/>
    <w:rsid w:val="42483CA8"/>
    <w:rsid w:val="48EB1D78"/>
    <w:rsid w:val="4E7B1E89"/>
    <w:rsid w:val="521A547C"/>
    <w:rsid w:val="54C92D90"/>
    <w:rsid w:val="59036C6A"/>
    <w:rsid w:val="5FAC5508"/>
    <w:rsid w:val="66246347"/>
    <w:rsid w:val="6AA22ED7"/>
    <w:rsid w:val="76A96FB8"/>
    <w:rsid w:val="7A2B11EB"/>
    <w:rsid w:val="7BA53B43"/>
    <w:rsid w:val="7BBD0A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styleId="3">
    <w:name w:val="heading 1"/>
    <w:basedOn w:val="1"/>
    <w:next w:val="1"/>
    <w:qFormat/>
    <w:uiPriority w:val="0"/>
    <w:pPr>
      <w:outlineLvl w:val="0"/>
    </w:pPr>
  </w:style>
  <w:style w:type="paragraph" w:styleId="4">
    <w:name w:val="heading 2"/>
    <w:basedOn w:val="1"/>
    <w:next w:val="1"/>
    <w:qFormat/>
    <w:uiPriority w:val="0"/>
    <w:pPr>
      <w:outlineLvl w:val="1"/>
    </w:pPr>
    <w:rPr>
      <w:rFonts w:hAnsi="宋体"/>
      <w:b/>
    </w:rPr>
  </w:style>
  <w:style w:type="character" w:default="1" w:styleId="13">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Indent 3"/>
    <w:basedOn w:val="1"/>
    <w:qFormat/>
    <w:uiPriority w:val="0"/>
    <w:pPr>
      <w:spacing w:line="360" w:lineRule="auto"/>
      <w:ind w:firstLine="480" w:firstLineChars="200"/>
    </w:pPr>
  </w:style>
  <w:style w:type="paragraph" w:styleId="5">
    <w:name w:val="Normal Indent"/>
    <w:basedOn w:val="1"/>
    <w:qFormat/>
    <w:uiPriority w:val="0"/>
    <w:pPr>
      <w:widowControl/>
      <w:autoSpaceDE/>
      <w:autoSpaceDN/>
      <w:adjustRightInd/>
      <w:ind w:firstLine="420" w:firstLineChars="200"/>
    </w:pPr>
    <w:rPr>
      <w:rFonts w:ascii="Calibri"/>
      <w:sz w:val="20"/>
      <w:szCs w:val="20"/>
    </w:rPr>
  </w:style>
  <w:style w:type="paragraph" w:styleId="6">
    <w:name w:val="annotation text"/>
    <w:basedOn w:val="1"/>
    <w:qFormat/>
    <w:uiPriority w:val="0"/>
  </w:style>
  <w:style w:type="paragraph" w:styleId="7">
    <w:name w:val="Body Text"/>
    <w:basedOn w:val="1"/>
    <w:next w:val="8"/>
    <w:qFormat/>
    <w:uiPriority w:val="0"/>
    <w:pPr>
      <w:ind w:right="-26"/>
      <w:jc w:val="center"/>
    </w:pPr>
    <w:rPr>
      <w:rFonts w:hAnsi="Times New Roman"/>
      <w:b/>
      <w:bCs/>
      <w:kern w:val="2"/>
      <w:sz w:val="84"/>
      <w:szCs w:val="84"/>
      <w:lang w:val="zh-CN"/>
    </w:rPr>
  </w:style>
  <w:style w:type="paragraph" w:styleId="8">
    <w:name w:val="Body Text First Indent"/>
    <w:basedOn w:val="7"/>
    <w:qFormat/>
    <w:uiPriority w:val="0"/>
    <w:pPr>
      <w:widowControl/>
      <w:autoSpaceDE/>
      <w:autoSpaceDN/>
      <w:adjustRightInd/>
      <w:spacing w:after="120"/>
      <w:ind w:right="0" w:firstLine="420" w:firstLineChars="100"/>
      <w:jc w:val="left"/>
    </w:pPr>
    <w:rPr>
      <w:rFonts w:ascii="Times New Roman"/>
      <w:b w:val="0"/>
      <w:bCs w:val="0"/>
      <w:kern w:val="0"/>
      <w:sz w:val="21"/>
      <w:szCs w:val="20"/>
      <w:lang w:val="en-US"/>
    </w:rPr>
  </w:style>
  <w:style w:type="paragraph" w:styleId="9">
    <w:name w:val="footer"/>
    <w:basedOn w:val="1"/>
    <w:link w:val="18"/>
    <w:qFormat/>
    <w:uiPriority w:val="99"/>
    <w:pPr>
      <w:tabs>
        <w:tab w:val="center" w:pos="4153"/>
        <w:tab w:val="right" w:pos="8306"/>
      </w:tabs>
      <w:snapToGrid w:val="0"/>
    </w:pPr>
    <w:rPr>
      <w:sz w:val="18"/>
      <w:szCs w:val="18"/>
    </w:rPr>
  </w:style>
  <w:style w:type="paragraph" w:styleId="10">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widowControl/>
      <w:autoSpaceDE/>
      <w:autoSpaceDN/>
      <w:adjustRightInd/>
      <w:spacing w:before="100" w:beforeAutospacing="1" w:after="100" w:afterAutospacing="1"/>
    </w:pPr>
    <w:rPr>
      <w:rFonts w:hAnsi="宋体"/>
    </w:r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annotation reference"/>
    <w:basedOn w:val="13"/>
    <w:qFormat/>
    <w:uiPriority w:val="0"/>
    <w:rPr>
      <w:sz w:val="21"/>
      <w:szCs w:val="21"/>
    </w:rPr>
  </w:style>
  <w:style w:type="character" w:customStyle="1" w:styleId="17">
    <w:name w:val="页眉 字符"/>
    <w:basedOn w:val="13"/>
    <w:link w:val="10"/>
    <w:qFormat/>
    <w:uiPriority w:val="0"/>
    <w:rPr>
      <w:rFonts w:ascii="宋体" w:hAnsi="Calibri" w:eastAsia="宋体" w:cs="宋体"/>
      <w:sz w:val="18"/>
      <w:szCs w:val="18"/>
    </w:rPr>
  </w:style>
  <w:style w:type="character" w:customStyle="1" w:styleId="18">
    <w:name w:val="页脚 字符"/>
    <w:basedOn w:val="13"/>
    <w:link w:val="9"/>
    <w:qFormat/>
    <w:uiPriority w:val="99"/>
    <w:rPr>
      <w:rFonts w:ascii="宋体" w:hAnsi="Calibri" w:eastAsia="宋体" w:cs="宋体"/>
      <w:sz w:val="18"/>
      <w:szCs w:val="18"/>
    </w:rPr>
  </w:style>
  <w:style w:type="paragraph" w:styleId="19">
    <w:name w:val="List Paragraph"/>
    <w:basedOn w:val="1"/>
    <w:qFormat/>
    <w:uiPriority w:val="99"/>
    <w:pPr>
      <w:ind w:firstLine="420" w:firstLineChars="200"/>
    </w:pPr>
  </w:style>
  <w:style w:type="table" w:customStyle="1" w:styleId="20">
    <w:name w:val="Table Normal"/>
    <w:basedOn w:val="12"/>
    <w:qFormat/>
    <w:uiPriority w:val="0"/>
    <w:rPr>
      <w:rFonts w:ascii="Times New Roman" w:hAnsi="Times New Roman" w:eastAsia="Times New Roman" w:cs="Times New Roman"/>
    </w:rPr>
    <w:tblPr>
      <w:tblCellMar>
        <w:left w:w="0" w:type="dxa"/>
        <w:right w:w="0" w:type="dxa"/>
      </w:tblCellMar>
    </w:tblPr>
  </w:style>
  <w:style w:type="paragraph" w:customStyle="1" w:styleId="21">
    <w:name w:val="Table Text"/>
    <w:basedOn w:val="1"/>
    <w:semiHidden/>
    <w:qFormat/>
    <w:uiPriority w:val="0"/>
    <w:pPr>
      <w:widowControl/>
      <w:kinsoku w:val="0"/>
      <w:snapToGrid w:val="0"/>
      <w:textAlignment w:val="baseline"/>
    </w:pPr>
    <w:rPr>
      <w:rFonts w:ascii="Arial" w:hAnsi="Arial" w:cs="Arial"/>
      <w:color w:val="000000"/>
      <w:sz w:val="21"/>
      <w:szCs w:val="21"/>
    </w:rPr>
  </w:style>
  <w:style w:type="paragraph" w:customStyle="1" w:styleId="22">
    <w:name w:val="正文1"/>
    <w:qFormat/>
    <w:uiPriority w:val="0"/>
    <w:pPr>
      <w:jc w:val="both"/>
    </w:pPr>
    <w:rPr>
      <w:rFonts w:ascii="Arial" w:hAnsi="Arial" w:eastAsia="宋体" w:cs="Arial"/>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8050</Words>
  <Characters>8983</Characters>
  <Lines>69</Lines>
  <Paragraphs>19</Paragraphs>
  <TotalTime>1</TotalTime>
  <ScaleCrop>false</ScaleCrop>
  <LinksUpToDate>false</LinksUpToDate>
  <CharactersWithSpaces>8985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2024-08-22T07:09:00Z</dcterms:created>
  <dc:creator>漏戈</dc:creator>
  <cp:lastModifiedBy> </cp:lastModifiedBy>
  <cp:lastPrinted>2024-08-27T03:26:59Z</cp:lastPrinted>
  <dcterms:modified xsi:type="dcterms:W3CDTF">2024-08-27T03:36:45Z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A70B511410884E92AFDA3AC274296E2A_13</vt:lpwstr>
  </property>
</Properties>
</file>