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heme="minorEastAsia" w:hAnsiTheme="minorEastAsia" w:eastAsiaTheme="minorEastAsia"/>
          <w:color w:val="auto"/>
          <w:szCs w:val="21"/>
          <w:highlight w:val="none"/>
        </w:rPr>
      </w:pPr>
    </w:p>
    <w:p>
      <w:pPr>
        <w:pStyle w:val="38"/>
        <w:ind w:firstLine="400"/>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ind w:right="-28"/>
        <w:jc w:val="center"/>
        <w:textAlignment w:val="bottom"/>
        <w:rPr>
          <w:rFonts w:cs="黑体" w:asciiTheme="minorEastAsia" w:hAnsiTheme="minorEastAsia" w:eastAsiaTheme="minorEastAsia"/>
          <w:bCs/>
          <w:color w:val="auto"/>
          <w:spacing w:val="57"/>
          <w:sz w:val="96"/>
          <w:szCs w:val="96"/>
          <w:highlight w:val="none"/>
        </w:rPr>
      </w:pPr>
      <w:r>
        <w:rPr>
          <w:rFonts w:hint="eastAsia" w:cs="黑体" w:asciiTheme="minorEastAsia" w:hAnsiTheme="minorEastAsia" w:eastAsiaTheme="minorEastAsia"/>
          <w:bCs/>
          <w:color w:val="auto"/>
          <w:spacing w:val="57"/>
          <w:sz w:val="96"/>
          <w:szCs w:val="96"/>
          <w:highlight w:val="none"/>
        </w:rPr>
        <w:t>公开采购文件</w:t>
      </w:r>
    </w:p>
    <w:p>
      <w:pPr>
        <w:rPr>
          <w:rFonts w:asciiTheme="minorEastAsia" w:hAnsiTheme="minorEastAsia" w:eastAsiaTheme="minorEastAsia"/>
          <w:color w:val="auto"/>
          <w:highlight w:val="none"/>
        </w:rPr>
      </w:pPr>
    </w:p>
    <w:p>
      <w:pPr>
        <w:pStyle w:val="9"/>
        <w:rPr>
          <w:rFonts w:asciiTheme="minorEastAsia" w:hAnsiTheme="minorEastAsia" w:eastAsiaTheme="minorEastAsia"/>
          <w:color w:val="auto"/>
          <w:highlight w:val="none"/>
        </w:rPr>
      </w:pPr>
    </w:p>
    <w:tbl>
      <w:tblPr>
        <w:tblStyle w:val="31"/>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ign w:val="center"/>
          </w:tcPr>
          <w:p>
            <w:pPr>
              <w:spacing w:before="200"/>
              <w:jc w:val="both"/>
              <w:rPr>
                <w:rFonts w:cs="黑体" w:asciiTheme="minorEastAsia" w:hAnsiTheme="minorEastAsia" w:eastAsiaTheme="minorEastAsia"/>
                <w:bCs/>
                <w:color w:val="auto"/>
                <w:sz w:val="32"/>
                <w:szCs w:val="24"/>
                <w:highlight w:val="none"/>
              </w:rPr>
            </w:pPr>
            <w:r>
              <w:rPr>
                <w:rFonts w:hint="eastAsia" w:cs="黑体" w:asciiTheme="minorEastAsia" w:hAnsiTheme="minorEastAsia" w:eastAsiaTheme="minorEastAsia"/>
                <w:bCs/>
                <w:color w:val="auto"/>
                <w:sz w:val="32"/>
                <w:szCs w:val="24"/>
                <w:highlight w:val="none"/>
              </w:rPr>
              <w:t>项目名称：</w:t>
            </w:r>
          </w:p>
        </w:tc>
        <w:tc>
          <w:tcPr>
            <w:tcW w:w="6203" w:type="dxa"/>
            <w:noWrap/>
            <w:vAlign w:val="center"/>
          </w:tcPr>
          <w:p>
            <w:pPr>
              <w:spacing w:before="200"/>
              <w:jc w:val="both"/>
              <w:rPr>
                <w:rFonts w:hint="eastAsia" w:cs="黑体" w:asciiTheme="minorEastAsia" w:hAnsiTheme="minorEastAsia" w:eastAsiaTheme="minorEastAsia"/>
                <w:bCs/>
                <w:color w:val="auto"/>
                <w:sz w:val="32"/>
                <w:szCs w:val="24"/>
                <w:highlight w:val="none"/>
                <w:lang w:eastAsia="zh-CN"/>
              </w:rPr>
            </w:pPr>
            <w:r>
              <w:rPr>
                <w:rFonts w:hint="eastAsia" w:cs="黑体" w:asciiTheme="minorEastAsia" w:hAnsiTheme="minorEastAsia" w:eastAsiaTheme="minorEastAsia"/>
                <w:bCs/>
                <w:color w:val="auto"/>
                <w:sz w:val="32"/>
                <w:szCs w:val="24"/>
                <w:highlight w:val="none"/>
                <w:u w:val="single"/>
                <w:lang w:eastAsia="zh-CN"/>
              </w:rPr>
              <w:t>东莞市海心沙资源综合利用中心环保热电厂2025年度活性炭、熟石灰采购项目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pPr>
              <w:spacing w:before="200"/>
              <w:jc w:val="both"/>
              <w:rPr>
                <w:rFonts w:cs="黑体" w:asciiTheme="minorEastAsia" w:hAnsiTheme="minorEastAsia" w:eastAsiaTheme="minorEastAsia"/>
                <w:bCs/>
                <w:color w:val="auto"/>
                <w:sz w:val="32"/>
                <w:szCs w:val="24"/>
                <w:highlight w:val="none"/>
              </w:rPr>
            </w:pPr>
            <w:r>
              <w:rPr>
                <w:rFonts w:hint="eastAsia" w:cs="黑体" w:asciiTheme="minorEastAsia" w:hAnsiTheme="minorEastAsia" w:eastAsiaTheme="minorEastAsia"/>
                <w:bCs/>
                <w:color w:val="auto"/>
                <w:sz w:val="32"/>
                <w:szCs w:val="24"/>
                <w:highlight w:val="none"/>
              </w:rPr>
              <w:t>项目采购编号：</w:t>
            </w:r>
          </w:p>
        </w:tc>
        <w:tc>
          <w:tcPr>
            <w:tcW w:w="6203" w:type="dxa"/>
            <w:noWrap/>
            <w:vAlign w:val="center"/>
          </w:tcPr>
          <w:p>
            <w:pPr>
              <w:spacing w:before="200"/>
              <w:jc w:val="both"/>
              <w:rPr>
                <w:rFonts w:hint="eastAsia" w:cs="黑体" w:asciiTheme="minorEastAsia" w:hAnsiTheme="minorEastAsia" w:eastAsiaTheme="minorEastAsia"/>
                <w:bCs/>
                <w:color w:val="auto"/>
                <w:sz w:val="32"/>
                <w:szCs w:val="24"/>
                <w:highlight w:val="none"/>
                <w:lang w:eastAsia="zh-CN"/>
              </w:rPr>
            </w:pPr>
            <w:r>
              <w:rPr>
                <w:rFonts w:hint="eastAsia" w:cs="黑体" w:asciiTheme="minorEastAsia" w:hAnsiTheme="minorEastAsia" w:eastAsiaTheme="minorEastAsia"/>
                <w:bCs/>
                <w:color w:val="auto"/>
                <w:sz w:val="32"/>
                <w:szCs w:val="24"/>
                <w:highlight w:val="none"/>
                <w:u w:val="single"/>
                <w:lang w:eastAsia="zh-CN"/>
              </w:rPr>
              <w:t>XDY-GK-2025-001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pPr>
              <w:spacing w:before="200"/>
              <w:jc w:val="both"/>
              <w:rPr>
                <w:rFonts w:cs="黑体" w:asciiTheme="minorEastAsia" w:hAnsiTheme="minorEastAsia" w:eastAsiaTheme="minorEastAsia"/>
                <w:bCs/>
                <w:color w:val="auto"/>
                <w:sz w:val="32"/>
                <w:szCs w:val="24"/>
                <w:highlight w:val="none"/>
              </w:rPr>
            </w:pPr>
            <w:r>
              <w:rPr>
                <w:rFonts w:hint="eastAsia" w:cs="黑体" w:asciiTheme="minorEastAsia" w:hAnsiTheme="minorEastAsia" w:eastAsiaTheme="minorEastAsia"/>
                <w:bCs/>
                <w:color w:val="auto"/>
                <w:sz w:val="32"/>
                <w:szCs w:val="24"/>
                <w:highlight w:val="none"/>
              </w:rPr>
              <w:t>采购人：</w:t>
            </w:r>
          </w:p>
        </w:tc>
        <w:tc>
          <w:tcPr>
            <w:tcW w:w="6203" w:type="dxa"/>
            <w:noWrap/>
            <w:vAlign w:val="center"/>
          </w:tcPr>
          <w:p>
            <w:pPr>
              <w:spacing w:before="200"/>
              <w:jc w:val="both"/>
              <w:rPr>
                <w:rFonts w:hint="eastAsia" w:cs="黑体" w:asciiTheme="minorEastAsia" w:hAnsiTheme="minorEastAsia" w:eastAsiaTheme="minorEastAsia"/>
                <w:bCs/>
                <w:color w:val="auto"/>
                <w:sz w:val="32"/>
                <w:szCs w:val="24"/>
                <w:highlight w:val="none"/>
                <w:lang w:eastAsia="zh-CN"/>
              </w:rPr>
            </w:pPr>
            <w:r>
              <w:rPr>
                <w:rFonts w:hint="eastAsia" w:cs="黑体" w:asciiTheme="minorEastAsia" w:hAnsiTheme="minorEastAsia" w:eastAsiaTheme="minorEastAsia"/>
                <w:bCs/>
                <w:color w:val="auto"/>
                <w:sz w:val="32"/>
                <w:szCs w:val="24"/>
                <w:highlight w:val="none"/>
                <w:u w:val="single"/>
                <w:lang w:eastAsia="zh-CN"/>
              </w:rPr>
              <w:t>东莞市新东元环保投资有限公司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pPr>
              <w:spacing w:before="200"/>
              <w:jc w:val="both"/>
              <w:rPr>
                <w:rFonts w:cs="黑体" w:asciiTheme="minorEastAsia" w:hAnsiTheme="minorEastAsia" w:eastAsiaTheme="minorEastAsia"/>
                <w:bCs/>
                <w:color w:val="auto"/>
                <w:sz w:val="32"/>
                <w:szCs w:val="24"/>
                <w:highlight w:val="none"/>
              </w:rPr>
            </w:pPr>
            <w:r>
              <w:rPr>
                <w:rFonts w:hint="eastAsia" w:cs="黑体" w:asciiTheme="minorEastAsia" w:hAnsiTheme="minorEastAsia" w:eastAsiaTheme="minorEastAsia"/>
                <w:bCs/>
                <w:color w:val="auto"/>
                <w:sz w:val="32"/>
                <w:szCs w:val="24"/>
                <w:highlight w:val="none"/>
              </w:rPr>
              <w:t>采购代理：</w:t>
            </w:r>
          </w:p>
        </w:tc>
        <w:tc>
          <w:tcPr>
            <w:tcW w:w="6203" w:type="dxa"/>
            <w:noWrap/>
            <w:vAlign w:val="center"/>
          </w:tcPr>
          <w:p>
            <w:pPr>
              <w:spacing w:before="200"/>
              <w:jc w:val="both"/>
              <w:rPr>
                <w:rFonts w:hint="eastAsia" w:cs="黑体" w:asciiTheme="minorEastAsia" w:hAnsiTheme="minorEastAsia" w:eastAsiaTheme="minorEastAsia"/>
                <w:bCs/>
                <w:color w:val="auto"/>
                <w:sz w:val="32"/>
                <w:szCs w:val="24"/>
                <w:highlight w:val="none"/>
                <w:lang w:eastAsia="zh-CN"/>
              </w:rPr>
            </w:pPr>
            <w:r>
              <w:rPr>
                <w:rFonts w:hint="eastAsia" w:cs="黑体" w:asciiTheme="minorEastAsia" w:hAnsiTheme="minorEastAsia" w:eastAsiaTheme="minorEastAsia"/>
                <w:bCs/>
                <w:color w:val="auto"/>
                <w:sz w:val="32"/>
                <w:szCs w:val="24"/>
                <w:highlight w:val="none"/>
                <w:u w:val="single"/>
                <w:lang w:eastAsia="zh-CN"/>
              </w:rPr>
              <w:t>三方诚信招标有限公司东莞分公司</w:t>
            </w:r>
          </w:p>
        </w:tc>
      </w:tr>
    </w:tbl>
    <w:p>
      <w:pPr>
        <w:jc w:val="center"/>
        <w:rPr>
          <w:rFonts w:asciiTheme="minorEastAsia" w:hAnsiTheme="minorEastAsia" w:eastAsiaTheme="minorEastAsia"/>
          <w:color w:val="auto"/>
          <w:szCs w:val="21"/>
          <w:highlight w:val="none"/>
        </w:rPr>
      </w:pPr>
    </w:p>
    <w:p>
      <w:pPr>
        <w:jc w:val="center"/>
        <w:rPr>
          <w:rFonts w:asciiTheme="minorEastAsia" w:hAnsiTheme="minorEastAsia" w:eastAsiaTheme="minorEastAsia"/>
          <w:color w:val="auto"/>
          <w:szCs w:val="21"/>
          <w:highlight w:val="none"/>
        </w:rPr>
      </w:pPr>
    </w:p>
    <w:p>
      <w:pPr>
        <w:jc w:val="center"/>
        <w:rPr>
          <w:rFonts w:asciiTheme="minorEastAsia" w:hAnsiTheme="minorEastAsia" w:eastAsiaTheme="minorEastAsia"/>
          <w:color w:val="auto"/>
          <w:szCs w:val="21"/>
          <w:highlight w:val="none"/>
        </w:rPr>
      </w:pPr>
    </w:p>
    <w:p>
      <w:pPr>
        <w:pStyle w:val="38"/>
        <w:ind w:firstLine="400"/>
        <w:rPr>
          <w:rFonts w:asciiTheme="minorEastAsia" w:hAnsiTheme="minorEastAsia" w:eastAsiaTheme="minorEastAsia"/>
          <w:color w:val="auto"/>
          <w:highlight w:val="none"/>
        </w:rPr>
      </w:pPr>
    </w:p>
    <w:p>
      <w:pPr>
        <w:jc w:val="center"/>
        <w:rPr>
          <w:rFonts w:asciiTheme="minorEastAsia" w:hAnsiTheme="minorEastAsia" w:eastAsiaTheme="minorEastAsia"/>
          <w:color w:val="auto"/>
          <w:szCs w:val="21"/>
          <w:highlight w:val="none"/>
        </w:rPr>
      </w:pPr>
    </w:p>
    <w:p>
      <w:pPr>
        <w:jc w:val="center"/>
        <w:rPr>
          <w:rFonts w:asciiTheme="minorEastAsia" w:hAnsiTheme="minorEastAsia" w:eastAsiaTheme="minorEastAsia"/>
          <w:color w:val="auto"/>
          <w:szCs w:val="21"/>
          <w:highlight w:val="none"/>
        </w:rPr>
      </w:pPr>
    </w:p>
    <w:p>
      <w:pPr>
        <w:spacing w:before="200"/>
        <w:jc w:val="center"/>
        <w:rPr>
          <w:rFonts w:cs="黑体" w:asciiTheme="minorEastAsia" w:hAnsiTheme="minorEastAsia" w:eastAsiaTheme="minorEastAsia"/>
          <w:bCs/>
          <w:color w:val="auto"/>
          <w:sz w:val="32"/>
          <w:szCs w:val="24"/>
          <w:highlight w:val="none"/>
        </w:rPr>
      </w:pPr>
      <w:r>
        <w:rPr>
          <w:rFonts w:hint="eastAsia" w:cs="黑体" w:asciiTheme="minorEastAsia" w:hAnsiTheme="minorEastAsia" w:eastAsiaTheme="minorEastAsia"/>
          <w:bCs/>
          <w:color w:val="auto"/>
          <w:sz w:val="32"/>
          <w:szCs w:val="24"/>
          <w:highlight w:val="none"/>
          <w:lang w:val="en-US" w:eastAsia="zh-CN"/>
        </w:rPr>
        <w:t>2025</w:t>
      </w:r>
      <w:r>
        <w:rPr>
          <w:rFonts w:hint="eastAsia" w:cs="黑体" w:asciiTheme="minorEastAsia" w:hAnsiTheme="minorEastAsia" w:eastAsiaTheme="minorEastAsia"/>
          <w:bCs/>
          <w:color w:val="auto"/>
          <w:sz w:val="32"/>
          <w:szCs w:val="24"/>
          <w:highlight w:val="none"/>
          <w:lang w:eastAsia="zh-CN"/>
        </w:rPr>
        <w:t>年</w:t>
      </w:r>
      <w:r>
        <w:rPr>
          <w:rFonts w:hint="eastAsia" w:cs="黑体" w:asciiTheme="minorEastAsia" w:hAnsiTheme="minorEastAsia" w:eastAsiaTheme="minorEastAsia"/>
          <w:bCs/>
          <w:color w:val="auto"/>
          <w:sz w:val="32"/>
          <w:szCs w:val="24"/>
          <w:highlight w:val="none"/>
          <w:lang w:val="en-US" w:eastAsia="zh-CN"/>
        </w:rPr>
        <w:t>8月</w:t>
      </w:r>
    </w:p>
    <w:p>
      <w:pPr>
        <w:adjustRightInd/>
        <w:snapToGrid/>
        <w:spacing w:line="240"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26"/>
        <w:ind w:left="0" w:leftChars="0"/>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40"/>
          <w:szCs w:val="40"/>
          <w:highlight w:val="none"/>
        </w:rPr>
        <w:t>目录</w:t>
      </w:r>
    </w:p>
    <w:p>
      <w:pPr>
        <w:pStyle w:val="26"/>
        <w:ind w:left="0" w:leftChars="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fldChar w:fldCharType="begin"/>
      </w:r>
      <w:r>
        <w:rPr>
          <w:rFonts w:hint="eastAsia" w:cs="宋体" w:asciiTheme="minorEastAsia" w:hAnsiTheme="minorEastAsia" w:eastAsiaTheme="minorEastAsia"/>
          <w:color w:val="auto"/>
          <w:sz w:val="21"/>
          <w:szCs w:val="21"/>
          <w:highlight w:val="none"/>
        </w:rPr>
        <w:instrText xml:space="preserve"> TOC \o "1-4" \h \z \u </w:instrText>
      </w:r>
      <w:r>
        <w:rPr>
          <w:rFonts w:hint="eastAsia" w:cs="宋体" w:asciiTheme="minorEastAsia" w:hAnsiTheme="minorEastAsia" w:eastAsiaTheme="minorEastAsia"/>
          <w:color w:val="auto"/>
          <w:sz w:val="21"/>
          <w:szCs w:val="21"/>
          <w:highlight w:val="none"/>
        </w:rPr>
        <w:fldChar w:fldCharType="separate"/>
      </w:r>
      <w:r>
        <w:rPr>
          <w:color w:val="auto"/>
          <w:highlight w:val="none"/>
        </w:rPr>
        <w:fldChar w:fldCharType="begin"/>
      </w:r>
      <w:r>
        <w:rPr>
          <w:color w:val="auto"/>
          <w:highlight w:val="none"/>
        </w:rPr>
        <w:instrText xml:space="preserve"> HYPERLINK \l "_Toc160826257"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第一部分投标邀请</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_Toc160826257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4</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"_Toc160826258"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投标邀请书</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_Toc160826258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4</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"_Toc160826259"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第二部分相关资料表格</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_Toc160826259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9</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"_Toc160826260"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附表一：投标资料表</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_Toc160826260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9</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"_Toc160826261"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第三部分用户需求书</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_Toc160826261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14</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"_Toc160826262"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第一章</w:t>
      </w:r>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商务需求书</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_Toc160826262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14</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"_Toc160826263"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第二章</w:t>
      </w:r>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技术需求书</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_Toc160826263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17</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"_Toc160826264"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第四部分投标人须知</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_Toc160826264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23</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"_Toc160826309"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第五部分</w:t>
      </w:r>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合同条款格式</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_Toc160826309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41</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"_Toc160826348"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第六部分附件－投标文件格式</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_Toc160826348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67</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"_Toc160826349"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投标文件目录</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_Toc160826349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67</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"_Toc160826350"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rPr>
        <w:t>评分标准索引表</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_Toc160826350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68</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"_Toc160826351"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价格文件</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_Toc160826351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69</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"_Toc160826352"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cs="宋体" w:asciiTheme="minorEastAsia" w:hAnsiTheme="minorEastAsia" w:eastAsiaTheme="minorEastAsia"/>
          <w:color w:val="auto"/>
          <w:sz w:val="21"/>
          <w:szCs w:val="21"/>
          <w:highlight w:val="none"/>
        </w:rPr>
        <w:t>2.</w:t>
      </w:r>
      <w:r>
        <w:rPr>
          <w:rFonts w:hint="eastAsia" w:cs="宋体" w:asciiTheme="minorEastAsia" w:hAnsiTheme="minorEastAsia" w:eastAsiaTheme="minorEastAsia"/>
          <w:color w:val="auto"/>
          <w:sz w:val="21"/>
          <w:szCs w:val="21"/>
          <w:highlight w:val="none"/>
        </w:rPr>
        <w:t>开标一览表格式</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_Toc160826352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70</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"_Toc160826354"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商务文件</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_Toc160826354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72</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"_Toc160826355"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hint="eastAsia" w:cs="宋体" w:asciiTheme="minorEastAsia" w:hAnsiTheme="minorEastAsia" w:eastAsiaTheme="minorEastAsia"/>
          <w:color w:val="auto"/>
          <w:sz w:val="21"/>
          <w:szCs w:val="21"/>
          <w:highlight w:val="none"/>
          <w:lang w:val="en-US" w:eastAsia="zh-CN"/>
        </w:rPr>
        <w:t>3</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投标书格式</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_Toc160826355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73</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"_Toc160826356"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hint="eastAsia" w:cs="宋体" w:asciiTheme="minorEastAsia" w:hAnsiTheme="minorEastAsia" w:eastAsiaTheme="minorEastAsia"/>
          <w:color w:val="auto"/>
          <w:sz w:val="21"/>
          <w:szCs w:val="21"/>
          <w:highlight w:val="none"/>
          <w:lang w:val="en-US" w:eastAsia="zh-CN"/>
        </w:rPr>
        <w:t>4</w:t>
      </w:r>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法定代表人证明书格式</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_Toc160826356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74</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"_Toc160826357"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hint="eastAsia" w:cs="宋体" w:asciiTheme="minorEastAsia" w:hAnsiTheme="minorEastAsia" w:eastAsiaTheme="minorEastAsia"/>
          <w:color w:val="auto"/>
          <w:sz w:val="21"/>
          <w:szCs w:val="21"/>
          <w:highlight w:val="none"/>
          <w:lang w:val="en-US" w:eastAsia="zh-CN"/>
        </w:rPr>
        <w:t>5</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法定代表人授权书格式</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_Toc160826357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75</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"_Toc160826358"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hint="eastAsia" w:cs="宋体" w:asciiTheme="minorEastAsia" w:hAnsiTheme="minorEastAsia" w:eastAsiaTheme="minorEastAsia"/>
          <w:color w:val="auto"/>
          <w:sz w:val="21"/>
          <w:szCs w:val="21"/>
          <w:highlight w:val="none"/>
          <w:lang w:val="en-US" w:eastAsia="zh-CN"/>
        </w:rPr>
        <w:t>6</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资格申明</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_Toc160826358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76</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"_Toc160826359"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hint="eastAsia" w:cs="宋体" w:asciiTheme="minorEastAsia" w:hAnsiTheme="minorEastAsia" w:eastAsiaTheme="minorEastAsia"/>
          <w:color w:val="auto"/>
          <w:sz w:val="21"/>
          <w:szCs w:val="21"/>
          <w:highlight w:val="none"/>
          <w:lang w:val="en-US" w:eastAsia="zh-CN"/>
        </w:rPr>
        <w:t>7</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营业执照</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_Toc160826359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77</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"_Toc160826360"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hint="eastAsia" w:cs="宋体" w:asciiTheme="minorEastAsia" w:hAnsiTheme="minorEastAsia" w:eastAsiaTheme="minorEastAsia"/>
          <w:color w:val="auto"/>
          <w:sz w:val="21"/>
          <w:szCs w:val="21"/>
          <w:highlight w:val="none"/>
          <w:lang w:val="en-US" w:eastAsia="zh-CN"/>
        </w:rPr>
        <w:t>8</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相关资质证明文件</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_Toc160826360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78</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"_Toc160826361"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hint="eastAsia" w:cs="宋体" w:asciiTheme="minorEastAsia" w:hAnsiTheme="minorEastAsia" w:eastAsiaTheme="minorEastAsia"/>
          <w:color w:val="auto"/>
          <w:sz w:val="21"/>
          <w:szCs w:val="21"/>
          <w:highlight w:val="none"/>
          <w:lang w:val="en-US" w:eastAsia="zh-CN"/>
        </w:rPr>
        <w:t>9</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在经营活动中没有重大违法记录的书面声明格式</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_Toc160826361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81</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"_Toc160826362"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lang w:val="en-US" w:eastAsia="zh-CN"/>
        </w:rPr>
        <w:t>0</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承诺书格式</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_Toc160826362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82</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"_Toc160826363"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lang w:val="en-US" w:eastAsia="zh-CN"/>
        </w:rPr>
        <w:t>1</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商务需求条款偏离表格式</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_Toc160826363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83</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"_Toc160826364"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lang w:val="en-US" w:eastAsia="zh-CN"/>
        </w:rPr>
        <w:t>2</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业绩表</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_Toc160826364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84</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"_Toc160826365"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技术文件</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_Toc160826365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85</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"_Toc160826366"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lang w:val="en-US" w:eastAsia="zh-CN"/>
        </w:rPr>
        <w:t>3</w:t>
      </w:r>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技术规格偏离表格式</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_Toc160826366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86</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"_Toc160826367"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lang w:val="en-US" w:eastAsia="zh-CN"/>
        </w:rPr>
        <w:t>4</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项目实施方案格式</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_Toc160826367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87</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"_Toc160826368"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lang w:val="en-US" w:eastAsia="zh-CN"/>
        </w:rPr>
        <w:t>5</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实施本项目的有关人员资料表格式</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_Toc160826368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88</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"_Toc160826369"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lang w:val="en-US" w:eastAsia="zh-CN"/>
        </w:rPr>
        <w:t>6</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投标保证金汇入情况说明格式</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_Toc160826369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89</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"_Toc160826370"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lang w:val="en-US" w:eastAsia="zh-CN"/>
        </w:rPr>
        <w:t>7</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不可撤销履约保函</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_Toc160826370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91</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"_Toc160826371"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hint="eastAsia" w:cs="宋体" w:asciiTheme="minorEastAsia" w:hAnsiTheme="minorEastAsia" w:eastAsiaTheme="minorEastAsia"/>
          <w:color w:val="auto"/>
          <w:sz w:val="21"/>
          <w:szCs w:val="21"/>
          <w:highlight w:val="none"/>
          <w:lang w:val="en-US" w:eastAsia="zh-CN"/>
        </w:rPr>
        <w:t>18</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预付款保函（适用于预付款支付）</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_Toc160826371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92</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"_Toc160826372"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唱标信封</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_Toc160826372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93</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ind w:left="0" w:leftChars="0"/>
        <w:rPr>
          <w:rFonts w:cs="宋体" w:asciiTheme="minorEastAsia" w:hAnsiTheme="minorEastAsia" w:eastAsiaTheme="minorEastAsia"/>
          <w:color w:val="auto"/>
          <w:sz w:val="21"/>
          <w:szCs w:val="21"/>
          <w:highlight w:val="none"/>
        </w:rPr>
      </w:pPr>
      <w:r>
        <w:rPr>
          <w:color w:val="auto"/>
          <w:highlight w:val="none"/>
        </w:rPr>
        <w:fldChar w:fldCharType="begin"/>
      </w:r>
      <w:r>
        <w:rPr>
          <w:color w:val="auto"/>
          <w:highlight w:val="none"/>
        </w:rPr>
        <w:instrText xml:space="preserve"> HYPERLINK \l "_Toc160826373" </w:instrText>
      </w:r>
      <w:r>
        <w:rPr>
          <w:color w:val="auto"/>
          <w:highlight w:val="none"/>
        </w:rPr>
        <w:fldChar w:fldCharType="separate"/>
      </w:r>
      <w:r>
        <w:rPr>
          <w:rFonts w:hint="eastAsia" w:cs="宋体" w:asciiTheme="minorEastAsia" w:hAnsiTheme="minorEastAsia" w:eastAsiaTheme="minorEastAsia"/>
          <w:color w:val="auto"/>
          <w:sz w:val="21"/>
          <w:szCs w:val="21"/>
          <w:highlight w:val="none"/>
        </w:rPr>
        <w:t>附件</w:t>
      </w:r>
      <w:r>
        <w:rPr>
          <w:rFonts w:hint="eastAsia" w:cs="宋体" w:asciiTheme="minorEastAsia" w:hAnsiTheme="minorEastAsia" w:eastAsiaTheme="minorEastAsia"/>
          <w:color w:val="auto"/>
          <w:sz w:val="21"/>
          <w:szCs w:val="21"/>
          <w:highlight w:val="none"/>
          <w:lang w:val="en-US" w:eastAsia="zh-CN"/>
        </w:rPr>
        <w:t>19</w:t>
      </w:r>
      <w:r>
        <w:rPr>
          <w:rFonts w:hint="eastAsia" w:cs="宋体" w:asciiTheme="minorEastAsia" w:hAnsiTheme="minorEastAsia" w:eastAsiaTheme="minorEastAsia"/>
          <w:color w:val="auto"/>
          <w:sz w:val="21"/>
          <w:szCs w:val="21"/>
          <w:highlight w:val="none"/>
        </w:rPr>
        <w:t>唱标信封内装（内容务必与投标文件正本一致）</w:t>
      </w:r>
      <w:r>
        <w:rPr>
          <w:rFonts w:cs="宋体" w:asciiTheme="minorEastAsia" w:hAnsiTheme="minorEastAsia" w:eastAsiaTheme="minorEastAsia"/>
          <w:color w:val="auto"/>
          <w:sz w:val="21"/>
          <w:szCs w:val="21"/>
          <w:highlight w:val="none"/>
        </w:rPr>
        <w:tab/>
      </w:r>
      <w:r>
        <w:rPr>
          <w:rFonts w:cs="宋体" w:asciiTheme="minorEastAsia" w:hAnsiTheme="minorEastAsia" w:eastAsiaTheme="minorEastAsia"/>
          <w:color w:val="auto"/>
          <w:sz w:val="21"/>
          <w:szCs w:val="21"/>
          <w:highlight w:val="none"/>
        </w:rPr>
        <w:fldChar w:fldCharType="begin"/>
      </w:r>
      <w:r>
        <w:rPr>
          <w:rFonts w:cs="宋体" w:asciiTheme="minorEastAsia" w:hAnsiTheme="minorEastAsia" w:eastAsiaTheme="minorEastAsia"/>
          <w:color w:val="auto"/>
          <w:sz w:val="21"/>
          <w:szCs w:val="21"/>
          <w:highlight w:val="none"/>
        </w:rPr>
        <w:instrText xml:space="preserve"> PAGEREF _Toc160826373 \h </w:instrText>
      </w:r>
      <w:r>
        <w:rPr>
          <w:rFonts w:cs="宋体" w:asciiTheme="minorEastAsia" w:hAnsiTheme="minorEastAsia" w:eastAsiaTheme="minorEastAsia"/>
          <w:color w:val="auto"/>
          <w:sz w:val="21"/>
          <w:szCs w:val="21"/>
          <w:highlight w:val="none"/>
        </w:rPr>
        <w:fldChar w:fldCharType="separate"/>
      </w:r>
      <w:r>
        <w:rPr>
          <w:rFonts w:cs="宋体" w:asciiTheme="minorEastAsia" w:hAnsiTheme="minorEastAsia" w:eastAsiaTheme="minorEastAsia"/>
          <w:color w:val="auto"/>
          <w:sz w:val="21"/>
          <w:szCs w:val="21"/>
          <w:highlight w:val="none"/>
        </w:rPr>
        <w:t>94</w:t>
      </w:r>
      <w:r>
        <w:rPr>
          <w:rFonts w:cs="宋体" w:asciiTheme="minorEastAsia" w:hAnsiTheme="minorEastAsia" w:eastAsiaTheme="minorEastAsia"/>
          <w:color w:val="auto"/>
          <w:sz w:val="21"/>
          <w:szCs w:val="21"/>
          <w:highlight w:val="none"/>
        </w:rPr>
        <w:fldChar w:fldCharType="end"/>
      </w:r>
      <w:r>
        <w:rPr>
          <w:rFonts w:cs="宋体" w:asciiTheme="minorEastAsia" w:hAnsiTheme="minorEastAsia" w:eastAsiaTheme="minorEastAsia"/>
          <w:color w:val="auto"/>
          <w:sz w:val="21"/>
          <w:szCs w:val="21"/>
          <w:highlight w:val="none"/>
        </w:rPr>
        <w:fldChar w:fldCharType="end"/>
      </w:r>
    </w:p>
    <w:p>
      <w:pPr>
        <w:pStyle w:val="26"/>
        <w:tabs>
          <w:tab w:val="right" w:leader="dot" w:pos="8306"/>
          <w:tab w:val="clear" w:pos="8296"/>
        </w:tabs>
        <w:ind w:left="0" w:leftChars="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fldChar w:fldCharType="end"/>
      </w:r>
    </w:p>
    <w:p>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br w:type="page"/>
      </w:r>
    </w:p>
    <w:p>
      <w:pPr>
        <w:pStyle w:val="3"/>
        <w:spacing w:before="0" w:after="0" w:line="240" w:lineRule="auto"/>
        <w:rPr>
          <w:rFonts w:asciiTheme="minorEastAsia" w:hAnsiTheme="minorEastAsia" w:eastAsiaTheme="minorEastAsia"/>
          <w:color w:val="auto"/>
          <w:sz w:val="28"/>
          <w:szCs w:val="28"/>
          <w:highlight w:val="none"/>
        </w:rPr>
      </w:pPr>
      <w:bookmarkStart w:id="0" w:name="_Toc160826257"/>
      <w:r>
        <w:rPr>
          <w:rFonts w:hint="eastAsia" w:asciiTheme="minorEastAsia" w:hAnsiTheme="minorEastAsia" w:eastAsiaTheme="minorEastAsia"/>
          <w:color w:val="auto"/>
          <w:sz w:val="28"/>
          <w:szCs w:val="28"/>
          <w:highlight w:val="none"/>
        </w:rPr>
        <w:t>第一部分投标邀请</w:t>
      </w:r>
      <w:bookmarkEnd w:id="0"/>
    </w:p>
    <w:p>
      <w:pPr>
        <w:pStyle w:val="4"/>
        <w:ind w:left="210" w:right="210"/>
        <w:rPr>
          <w:color w:val="auto"/>
          <w:highlight w:val="none"/>
        </w:rPr>
      </w:pPr>
      <w:bookmarkStart w:id="1" w:name="_Toc160826258"/>
      <w:r>
        <w:rPr>
          <w:rFonts w:hint="eastAsia"/>
          <w:color w:val="auto"/>
          <w:highlight w:val="none"/>
        </w:rPr>
        <w:t>投标邀请书</w:t>
      </w:r>
      <w:bookmarkEnd w:id="1"/>
    </w:p>
    <w:p>
      <w:pPr>
        <w:ind w:firstLine="422" w:firstLineChars="200"/>
        <w:rPr>
          <w:rFonts w:asciiTheme="minorEastAsia" w:hAnsiTheme="minorEastAsia" w:eastAsiaTheme="minorEastAsia"/>
          <w:color w:val="auto"/>
          <w:szCs w:val="21"/>
          <w:highlight w:val="none"/>
        </w:rPr>
      </w:pPr>
      <w:r>
        <w:rPr>
          <w:rFonts w:hint="eastAsia" w:asciiTheme="minorEastAsia" w:hAnsiTheme="minorEastAsia" w:eastAsiaTheme="minorEastAsia"/>
          <w:b/>
          <w:bCs/>
          <w:color w:val="auto"/>
          <w:szCs w:val="21"/>
          <w:highlight w:val="none"/>
          <w:u w:val="single"/>
          <w:lang w:eastAsia="zh-CN"/>
        </w:rPr>
        <w:t>三方诚信招标有限公司东莞分公司</w:t>
      </w:r>
      <w:r>
        <w:rPr>
          <w:rFonts w:asciiTheme="minorEastAsia" w:hAnsiTheme="minorEastAsia" w:eastAsiaTheme="minorEastAsia"/>
          <w:color w:val="auto"/>
          <w:szCs w:val="21"/>
          <w:highlight w:val="none"/>
        </w:rPr>
        <w:t>（以下简称</w:t>
      </w:r>
      <w:r>
        <w:rPr>
          <w:rFonts w:hint="eastAsia" w:asciiTheme="minorEastAsia" w:hAnsiTheme="minorEastAsia" w:eastAsiaTheme="minorEastAsia"/>
          <w:color w:val="auto"/>
          <w:szCs w:val="21"/>
          <w:highlight w:val="none"/>
        </w:rPr>
        <w:t>“采购代理机构”</w:t>
      </w:r>
      <w:r>
        <w:rPr>
          <w:rFonts w:asciiTheme="minorEastAsia" w:hAnsiTheme="minorEastAsia" w:eastAsiaTheme="minorEastAsia"/>
          <w:color w:val="auto"/>
          <w:szCs w:val="21"/>
          <w:highlight w:val="none"/>
        </w:rPr>
        <w:t>）受</w:t>
      </w:r>
      <w:r>
        <w:rPr>
          <w:rFonts w:hint="eastAsia" w:asciiTheme="minorEastAsia" w:hAnsiTheme="minorEastAsia" w:eastAsiaTheme="minorEastAsia"/>
          <w:b/>
          <w:color w:val="auto"/>
          <w:szCs w:val="21"/>
          <w:highlight w:val="none"/>
          <w:u w:val="single"/>
          <w:lang w:eastAsia="zh-CN"/>
        </w:rPr>
        <w:t>东莞市新东元环保投资有限公司</w:t>
      </w:r>
      <w:r>
        <w:rPr>
          <w:rFonts w:asciiTheme="minorEastAsia" w:hAnsiTheme="minorEastAsia" w:eastAsiaTheme="minorEastAsia"/>
          <w:color w:val="auto"/>
          <w:szCs w:val="21"/>
          <w:highlight w:val="none"/>
        </w:rPr>
        <w:t>（以下简称</w:t>
      </w:r>
      <w:r>
        <w:rPr>
          <w:rFonts w:hint="eastAsia" w:asciiTheme="minorEastAsia" w:hAnsiTheme="minorEastAsia" w:eastAsiaTheme="minorEastAsia"/>
          <w:color w:val="auto"/>
          <w:szCs w:val="21"/>
          <w:highlight w:val="none"/>
        </w:rPr>
        <w:t>“采购人”</w:t>
      </w:r>
      <w:r>
        <w:rPr>
          <w:rFonts w:asciiTheme="minorEastAsia" w:hAnsiTheme="minorEastAsia" w:eastAsiaTheme="minorEastAsia"/>
          <w:color w:val="auto"/>
          <w:szCs w:val="21"/>
          <w:highlight w:val="none"/>
        </w:rPr>
        <w:t>）委托，</w:t>
      </w:r>
      <w:r>
        <w:rPr>
          <w:rFonts w:hint="eastAsia" w:asciiTheme="minorEastAsia" w:hAnsiTheme="minorEastAsia" w:eastAsiaTheme="minorEastAsia"/>
          <w:color w:val="auto"/>
          <w:szCs w:val="21"/>
          <w:highlight w:val="none"/>
        </w:rPr>
        <w:t>现</w:t>
      </w:r>
      <w:r>
        <w:rPr>
          <w:rFonts w:asciiTheme="minorEastAsia" w:hAnsiTheme="minorEastAsia" w:eastAsiaTheme="minorEastAsia"/>
          <w:color w:val="auto"/>
          <w:szCs w:val="21"/>
          <w:highlight w:val="none"/>
        </w:rPr>
        <w:t>就</w:t>
      </w:r>
      <w:r>
        <w:rPr>
          <w:rFonts w:hint="eastAsia" w:asciiTheme="minorEastAsia" w:hAnsiTheme="minorEastAsia" w:eastAsiaTheme="minorEastAsia"/>
          <w:b/>
          <w:color w:val="auto"/>
          <w:szCs w:val="21"/>
          <w:highlight w:val="none"/>
          <w:u w:val="single"/>
          <w:lang w:eastAsia="zh-CN"/>
        </w:rPr>
        <w:t>东莞市海心沙资源综合利用中心环保热电厂2025年度活性炭、熟石灰采购项目</w:t>
      </w:r>
      <w:r>
        <w:rPr>
          <w:rFonts w:hint="eastAsia" w:asciiTheme="minorEastAsia" w:hAnsiTheme="minorEastAsia" w:eastAsiaTheme="minorEastAsia"/>
          <w:color w:val="auto"/>
          <w:szCs w:val="21"/>
          <w:highlight w:val="none"/>
        </w:rPr>
        <w:t>（项目编号：</w:t>
      </w:r>
      <w:r>
        <w:rPr>
          <w:rFonts w:hint="eastAsia" w:asciiTheme="minorEastAsia" w:hAnsiTheme="minorEastAsia" w:eastAsiaTheme="minorEastAsia"/>
          <w:b/>
          <w:bCs/>
          <w:color w:val="auto"/>
          <w:szCs w:val="21"/>
          <w:highlight w:val="none"/>
          <w:lang w:eastAsia="zh-CN"/>
        </w:rPr>
        <w:t>XDY-GK-2025-001</w:t>
      </w:r>
      <w:r>
        <w:rPr>
          <w:rFonts w:hint="eastAsia" w:asciiTheme="minorEastAsia" w:hAnsiTheme="minorEastAsia" w:eastAsiaTheme="minorEastAsia"/>
          <w:color w:val="auto"/>
          <w:szCs w:val="21"/>
          <w:highlight w:val="none"/>
        </w:rPr>
        <w:t>）</w:t>
      </w:r>
      <w:r>
        <w:rPr>
          <w:rFonts w:hint="eastAsia" w:cs="Times New Roman" w:asciiTheme="minorEastAsia" w:hAnsiTheme="minorEastAsia" w:eastAsiaTheme="minorEastAsia"/>
          <w:color w:val="auto"/>
          <w:szCs w:val="21"/>
          <w:highlight w:val="none"/>
        </w:rPr>
        <w:t>进行国内公开采购</w:t>
      </w:r>
      <w:r>
        <w:rPr>
          <w:rFonts w:hint="eastAsia" w:asciiTheme="minorEastAsia" w:hAnsiTheme="minorEastAsia" w:eastAsiaTheme="minorEastAsia"/>
          <w:color w:val="auto"/>
          <w:szCs w:val="21"/>
          <w:highlight w:val="none"/>
        </w:rPr>
        <w:t>，欢迎符合采购文件要求的国内投标人参加投标</w:t>
      </w:r>
      <w:r>
        <w:rPr>
          <w:rFonts w:asciiTheme="minorEastAsia" w:hAnsiTheme="minorEastAsia" w:eastAsiaTheme="minorEastAsia"/>
          <w:color w:val="auto"/>
          <w:szCs w:val="21"/>
          <w:highlight w:val="none"/>
        </w:rPr>
        <w:t>。有关事项如下：</w:t>
      </w:r>
    </w:p>
    <w:p>
      <w:pPr>
        <w:ind w:firstLine="413" w:firstLineChars="196"/>
        <w:rPr>
          <w:rFonts w:asciiTheme="minorEastAsia" w:hAnsiTheme="minorEastAsia" w:eastAsiaTheme="minorEastAsia"/>
          <w:b/>
          <w:color w:val="auto"/>
          <w:szCs w:val="21"/>
          <w:highlight w:val="none"/>
        </w:rPr>
      </w:pPr>
    </w:p>
    <w:p>
      <w:pPr>
        <w:ind w:firstLine="413"/>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一、采购项目概况</w:t>
      </w:r>
    </w:p>
    <w:p>
      <w:pPr>
        <w:ind w:firstLine="420" w:firstLineChars="200"/>
        <w:rPr>
          <w:rFonts w:hint="eastAsia" w:asciiTheme="minorEastAsia" w:hAnsiTheme="minorEastAsia" w:eastAsiaTheme="minorEastAsia"/>
          <w:color w:val="auto"/>
          <w:szCs w:val="21"/>
          <w:highlight w:val="none"/>
          <w:lang w:eastAsia="zh-CN"/>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、采购</w:t>
      </w:r>
      <w:r>
        <w:rPr>
          <w:rFonts w:asciiTheme="minorEastAsia" w:hAnsiTheme="minorEastAsia" w:eastAsiaTheme="minorEastAsia"/>
          <w:color w:val="auto"/>
          <w:szCs w:val="21"/>
          <w:highlight w:val="none"/>
        </w:rPr>
        <w:t>项目名称</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b/>
          <w:color w:val="auto"/>
          <w:szCs w:val="21"/>
          <w:highlight w:val="none"/>
          <w:u w:val="single"/>
          <w:lang w:eastAsia="zh-CN"/>
        </w:rPr>
        <w:t>东莞市海心沙资源综合利用中心环保热电厂2025年度活性炭、熟石灰采购项目</w:t>
      </w:r>
    </w:p>
    <w:p>
      <w:pPr>
        <w:numPr>
          <w:ilvl w:val="255"/>
          <w:numId w:val="0"/>
        </w:num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2、采购范围：详见第三部分《用户需求书》；</w:t>
      </w:r>
    </w:p>
    <w:p>
      <w:pPr>
        <w:numPr>
          <w:ilvl w:val="255"/>
          <w:numId w:val="0"/>
        </w:num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3、供货地点：东莞市海心沙资源综合利用中心环保热电厂指定地点；</w:t>
      </w:r>
    </w:p>
    <w:p>
      <w:pPr>
        <w:numPr>
          <w:ilvl w:val="255"/>
          <w:numId w:val="0"/>
        </w:num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lang w:val="en-US" w:eastAsia="zh-CN"/>
        </w:rPr>
        <w:t>合同期限</w:t>
      </w:r>
      <w:r>
        <w:rPr>
          <w:rFonts w:hint="eastAsia" w:asciiTheme="minorEastAsia" w:hAnsiTheme="minorEastAsia" w:eastAsiaTheme="minorEastAsia"/>
          <w:color w:val="auto"/>
          <w:szCs w:val="21"/>
          <w:highlight w:val="none"/>
        </w:rPr>
        <w:t>：</w:t>
      </w:r>
    </w:p>
    <w:p>
      <w:pPr>
        <w:numPr>
          <w:ilvl w:val="255"/>
          <w:numId w:val="0"/>
        </w:numPr>
        <w:ind w:firstLine="420" w:firstLineChars="200"/>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A包（活性炭）：20</w:t>
      </w:r>
      <w:r>
        <w:rPr>
          <w:rFonts w:hint="eastAsia" w:asciiTheme="majorEastAsia" w:hAnsiTheme="majorEastAsia" w:eastAsiaTheme="majorEastAsia"/>
          <w:color w:val="auto"/>
          <w:szCs w:val="21"/>
          <w:highlight w:val="none"/>
          <w:lang w:val="en-US" w:eastAsia="zh-CN"/>
        </w:rPr>
        <w:t>25</w:t>
      </w:r>
      <w:r>
        <w:rPr>
          <w:rFonts w:hint="eastAsia" w:asciiTheme="majorEastAsia" w:hAnsiTheme="majorEastAsia" w:eastAsiaTheme="majorEastAsia"/>
          <w:color w:val="auto"/>
          <w:szCs w:val="21"/>
          <w:highlight w:val="none"/>
        </w:rPr>
        <w:t>年</w:t>
      </w:r>
      <w:r>
        <w:rPr>
          <w:rFonts w:hint="eastAsia" w:asciiTheme="majorEastAsia" w:hAnsiTheme="majorEastAsia" w:eastAsiaTheme="majorEastAsia"/>
          <w:color w:val="auto"/>
          <w:szCs w:val="21"/>
          <w:highlight w:val="none"/>
          <w:lang w:val="en-US" w:eastAsia="zh-CN"/>
        </w:rPr>
        <w:t>11</w:t>
      </w:r>
      <w:r>
        <w:rPr>
          <w:rFonts w:hint="eastAsia" w:asciiTheme="majorEastAsia" w:hAnsiTheme="majorEastAsia" w:eastAsiaTheme="majorEastAsia"/>
          <w:color w:val="auto"/>
          <w:szCs w:val="21"/>
          <w:highlight w:val="none"/>
        </w:rPr>
        <w:t>月1日至</w:t>
      </w:r>
      <w:r>
        <w:rPr>
          <w:rFonts w:hint="eastAsia" w:asciiTheme="majorEastAsia" w:hAnsiTheme="majorEastAsia" w:eastAsiaTheme="majorEastAsia"/>
          <w:color w:val="auto"/>
          <w:szCs w:val="21"/>
          <w:highlight w:val="none"/>
          <w:lang w:val="en-US" w:eastAsia="zh-CN"/>
        </w:rPr>
        <w:t>2026</w:t>
      </w:r>
      <w:r>
        <w:rPr>
          <w:rFonts w:hint="eastAsia" w:asciiTheme="majorEastAsia" w:hAnsiTheme="majorEastAsia" w:eastAsiaTheme="majorEastAsia"/>
          <w:color w:val="auto"/>
          <w:szCs w:val="21"/>
          <w:highlight w:val="none"/>
        </w:rPr>
        <w:t>年</w:t>
      </w:r>
      <w:r>
        <w:rPr>
          <w:rFonts w:hint="eastAsia" w:asciiTheme="majorEastAsia" w:hAnsiTheme="majorEastAsia" w:eastAsiaTheme="majorEastAsia"/>
          <w:color w:val="auto"/>
          <w:szCs w:val="21"/>
          <w:highlight w:val="none"/>
          <w:lang w:val="en-US" w:eastAsia="zh-CN"/>
        </w:rPr>
        <w:t>10</w:t>
      </w:r>
      <w:r>
        <w:rPr>
          <w:rFonts w:hint="eastAsia" w:asciiTheme="majorEastAsia" w:hAnsiTheme="majorEastAsia" w:eastAsiaTheme="majorEastAsia"/>
          <w:color w:val="auto"/>
          <w:szCs w:val="21"/>
          <w:highlight w:val="none"/>
        </w:rPr>
        <w:t>月</w:t>
      </w:r>
      <w:r>
        <w:rPr>
          <w:rFonts w:hint="eastAsia" w:asciiTheme="majorEastAsia" w:hAnsiTheme="majorEastAsia" w:eastAsiaTheme="majorEastAsia"/>
          <w:color w:val="auto"/>
          <w:szCs w:val="21"/>
          <w:highlight w:val="none"/>
          <w:lang w:val="en-US" w:eastAsia="zh-CN"/>
        </w:rPr>
        <w:t>31</w:t>
      </w:r>
      <w:r>
        <w:rPr>
          <w:rFonts w:hint="eastAsia" w:asciiTheme="majorEastAsia" w:hAnsiTheme="majorEastAsia" w:eastAsiaTheme="majorEastAsia"/>
          <w:color w:val="auto"/>
          <w:szCs w:val="21"/>
          <w:highlight w:val="none"/>
        </w:rPr>
        <w:t>日；</w:t>
      </w:r>
    </w:p>
    <w:p>
      <w:pPr>
        <w:numPr>
          <w:ilvl w:val="255"/>
          <w:numId w:val="0"/>
        </w:numPr>
        <w:ind w:firstLine="420" w:firstLineChars="200"/>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B包（熟石灰）：20</w:t>
      </w:r>
      <w:r>
        <w:rPr>
          <w:rFonts w:hint="eastAsia" w:asciiTheme="majorEastAsia" w:hAnsiTheme="majorEastAsia" w:eastAsiaTheme="majorEastAsia"/>
          <w:color w:val="auto"/>
          <w:szCs w:val="21"/>
          <w:highlight w:val="none"/>
          <w:lang w:val="en-US" w:eastAsia="zh-CN"/>
        </w:rPr>
        <w:t>25</w:t>
      </w:r>
      <w:r>
        <w:rPr>
          <w:rFonts w:hint="eastAsia" w:asciiTheme="majorEastAsia" w:hAnsiTheme="majorEastAsia" w:eastAsiaTheme="majorEastAsia"/>
          <w:color w:val="auto"/>
          <w:szCs w:val="21"/>
          <w:highlight w:val="none"/>
        </w:rPr>
        <w:t>年</w:t>
      </w:r>
      <w:r>
        <w:rPr>
          <w:rFonts w:hint="eastAsia" w:asciiTheme="majorEastAsia" w:hAnsiTheme="majorEastAsia" w:eastAsiaTheme="majorEastAsia"/>
          <w:color w:val="auto"/>
          <w:szCs w:val="21"/>
          <w:highlight w:val="none"/>
          <w:lang w:val="en-US" w:eastAsia="zh-CN"/>
        </w:rPr>
        <w:t>11</w:t>
      </w:r>
      <w:r>
        <w:rPr>
          <w:rFonts w:hint="eastAsia" w:asciiTheme="majorEastAsia" w:hAnsiTheme="majorEastAsia" w:eastAsiaTheme="majorEastAsia"/>
          <w:color w:val="auto"/>
          <w:szCs w:val="21"/>
          <w:highlight w:val="none"/>
        </w:rPr>
        <w:t>月1日至</w:t>
      </w:r>
      <w:r>
        <w:rPr>
          <w:rFonts w:hint="eastAsia" w:asciiTheme="majorEastAsia" w:hAnsiTheme="majorEastAsia" w:eastAsiaTheme="majorEastAsia"/>
          <w:color w:val="auto"/>
          <w:szCs w:val="21"/>
          <w:highlight w:val="none"/>
          <w:lang w:val="en-US" w:eastAsia="zh-CN"/>
        </w:rPr>
        <w:t>2026</w:t>
      </w:r>
      <w:r>
        <w:rPr>
          <w:rFonts w:hint="eastAsia" w:asciiTheme="majorEastAsia" w:hAnsiTheme="majorEastAsia" w:eastAsiaTheme="majorEastAsia"/>
          <w:color w:val="auto"/>
          <w:szCs w:val="21"/>
          <w:highlight w:val="none"/>
        </w:rPr>
        <w:t>年</w:t>
      </w:r>
      <w:r>
        <w:rPr>
          <w:rFonts w:hint="eastAsia" w:asciiTheme="majorEastAsia" w:hAnsiTheme="majorEastAsia" w:eastAsiaTheme="majorEastAsia"/>
          <w:color w:val="auto"/>
          <w:szCs w:val="21"/>
          <w:highlight w:val="none"/>
          <w:lang w:val="en-US" w:eastAsia="zh-CN"/>
        </w:rPr>
        <w:t>10</w:t>
      </w:r>
      <w:r>
        <w:rPr>
          <w:rFonts w:hint="eastAsia" w:asciiTheme="majorEastAsia" w:hAnsiTheme="majorEastAsia" w:eastAsiaTheme="majorEastAsia"/>
          <w:color w:val="auto"/>
          <w:szCs w:val="21"/>
          <w:highlight w:val="none"/>
        </w:rPr>
        <w:t>月</w:t>
      </w:r>
      <w:r>
        <w:rPr>
          <w:rFonts w:hint="eastAsia" w:asciiTheme="majorEastAsia" w:hAnsiTheme="majorEastAsia" w:eastAsiaTheme="majorEastAsia"/>
          <w:color w:val="auto"/>
          <w:szCs w:val="21"/>
          <w:highlight w:val="none"/>
          <w:lang w:val="en-US" w:eastAsia="zh-CN"/>
        </w:rPr>
        <w:t>31</w:t>
      </w:r>
      <w:r>
        <w:rPr>
          <w:rFonts w:hint="eastAsia" w:asciiTheme="majorEastAsia" w:hAnsiTheme="majorEastAsia" w:eastAsiaTheme="majorEastAsia"/>
          <w:color w:val="auto"/>
          <w:szCs w:val="21"/>
          <w:highlight w:val="none"/>
        </w:rPr>
        <w:t>日。</w:t>
      </w:r>
    </w:p>
    <w:p>
      <w:pPr>
        <w:numPr>
          <w:ilvl w:val="255"/>
          <w:numId w:val="0"/>
        </w:numPr>
        <w:ind w:firstLine="420" w:firstLineChars="200"/>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lang w:val="en-US" w:eastAsia="zh-CN"/>
        </w:rPr>
        <w:t>实际</w:t>
      </w:r>
      <w:r>
        <w:rPr>
          <w:rFonts w:hint="eastAsia" w:asciiTheme="majorEastAsia" w:hAnsiTheme="majorEastAsia" w:eastAsiaTheme="majorEastAsia"/>
          <w:color w:val="auto"/>
          <w:szCs w:val="21"/>
          <w:highlight w:val="none"/>
        </w:rPr>
        <w:t>送货时间以采购人通知为准。</w:t>
      </w:r>
    </w:p>
    <w:p>
      <w:pPr>
        <w:numPr>
          <w:ilvl w:val="255"/>
          <w:numId w:val="0"/>
        </w:num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5、报价方式：本项目共划分</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个标包，兼投兼中</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采用固定含税单价形式进行报价。</w:t>
      </w:r>
      <w:r>
        <w:rPr>
          <w:rFonts w:hint="default" w:asciiTheme="minorEastAsia" w:hAnsiTheme="minorEastAsia" w:eastAsiaTheme="minorEastAsia"/>
          <w:color w:val="auto"/>
          <w:szCs w:val="21"/>
          <w:highlight w:val="none"/>
          <w:lang w:val="en-US"/>
        </w:rPr>
        <w:t>各</w:t>
      </w:r>
      <w:r>
        <w:rPr>
          <w:rFonts w:hint="eastAsia" w:asciiTheme="minorEastAsia" w:hAnsiTheme="minorEastAsia" w:eastAsiaTheme="minorEastAsia"/>
          <w:color w:val="auto"/>
          <w:szCs w:val="21"/>
          <w:highlight w:val="none"/>
          <w:lang w:val="en-US" w:eastAsia="zh-CN"/>
        </w:rPr>
        <w:t>投标人</w:t>
      </w:r>
      <w:r>
        <w:rPr>
          <w:rFonts w:hint="eastAsia" w:asciiTheme="minorEastAsia" w:hAnsiTheme="minorEastAsia" w:eastAsiaTheme="minorEastAsia"/>
          <w:color w:val="auto"/>
          <w:szCs w:val="21"/>
          <w:highlight w:val="none"/>
        </w:rPr>
        <w:t>对下列清单中其中一个包号或多个包号内容进行报价，含税单价报价不得超过最高含税单价限价；含税单价报价超过最高含税单价限价或未按要求进行报价，作无效报价处理。</w:t>
      </w:r>
    </w:p>
    <w:p>
      <w:pPr>
        <w:numPr>
          <w:ilvl w:val="255"/>
          <w:numId w:val="0"/>
        </w:num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实际采购数量以</w:t>
      </w:r>
      <w:r>
        <w:rPr>
          <w:rFonts w:hint="eastAsia" w:asciiTheme="minorEastAsia" w:hAnsiTheme="minorEastAsia" w:eastAsiaTheme="minorEastAsia"/>
          <w:color w:val="auto"/>
          <w:szCs w:val="21"/>
          <w:highlight w:val="none"/>
          <w:lang w:val="en-US" w:eastAsia="zh-CN"/>
        </w:rPr>
        <w:t>采购人</w:t>
      </w:r>
      <w:r>
        <w:rPr>
          <w:rFonts w:hint="eastAsia" w:asciiTheme="minorEastAsia" w:hAnsiTheme="minorEastAsia" w:eastAsiaTheme="minorEastAsia"/>
          <w:color w:val="auto"/>
          <w:szCs w:val="21"/>
          <w:highlight w:val="none"/>
        </w:rPr>
        <w:t>具体项目需求为准。</w:t>
      </w:r>
    </w:p>
    <w:p>
      <w:pPr>
        <w:numPr>
          <w:ilvl w:val="255"/>
          <w:numId w:val="0"/>
        </w:num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6、最高限价：单项限价，具体如下</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3177"/>
        <w:gridCol w:w="1350"/>
        <w:gridCol w:w="1842"/>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56" w:type="pct"/>
            <w:shd w:val="clear" w:color="auto" w:fill="auto"/>
            <w:vAlign w:val="center"/>
          </w:tcPr>
          <w:p>
            <w:pPr>
              <w:adjustRightInd/>
              <w:snapToGrid/>
              <w:spacing w:line="240" w:lineRule="auto"/>
              <w:jc w:val="center"/>
              <w:rPr>
                <w:rFonts w:ascii="宋体" w:hAnsi="宋体" w:cs="宋体"/>
                <w:color w:val="auto"/>
                <w:szCs w:val="21"/>
                <w:highlight w:val="none"/>
              </w:rPr>
            </w:pPr>
            <w:r>
              <w:rPr>
                <w:rFonts w:hint="eastAsia" w:ascii="宋体" w:hAnsi="宋体" w:cs="宋体"/>
                <w:color w:val="auto"/>
                <w:szCs w:val="21"/>
                <w:highlight w:val="none"/>
              </w:rPr>
              <w:t>采购包号</w:t>
            </w:r>
          </w:p>
        </w:tc>
        <w:tc>
          <w:tcPr>
            <w:tcW w:w="1864" w:type="pct"/>
            <w:shd w:val="clear" w:color="auto" w:fill="auto"/>
            <w:vAlign w:val="center"/>
          </w:tcPr>
          <w:p>
            <w:pPr>
              <w:adjustRightInd/>
              <w:snapToGrid/>
              <w:spacing w:line="240" w:lineRule="auto"/>
              <w:jc w:val="center"/>
              <w:rPr>
                <w:rFonts w:ascii="宋体" w:hAnsi="宋体" w:cs="宋体"/>
                <w:color w:val="auto"/>
                <w:szCs w:val="21"/>
                <w:highlight w:val="none"/>
              </w:rPr>
            </w:pPr>
            <w:r>
              <w:rPr>
                <w:rFonts w:hint="eastAsia" w:ascii="宋体" w:hAnsi="宋体" w:cs="宋体"/>
                <w:color w:val="auto"/>
                <w:szCs w:val="21"/>
                <w:highlight w:val="none"/>
              </w:rPr>
              <w:t>采购内容</w:t>
            </w:r>
          </w:p>
        </w:tc>
        <w:tc>
          <w:tcPr>
            <w:tcW w:w="792" w:type="pct"/>
            <w:shd w:val="clear" w:color="auto" w:fill="auto"/>
            <w:vAlign w:val="center"/>
          </w:tcPr>
          <w:p>
            <w:pPr>
              <w:adjustRightInd/>
              <w:snapToGrid/>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采购供货单位数量</w:t>
            </w:r>
          </w:p>
        </w:tc>
        <w:tc>
          <w:tcPr>
            <w:tcW w:w="1081" w:type="pct"/>
            <w:shd w:val="clear" w:color="auto" w:fill="auto"/>
            <w:vAlign w:val="center"/>
          </w:tcPr>
          <w:p>
            <w:pPr>
              <w:adjustRightInd/>
              <w:snapToGrid/>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含税单项限价</w:t>
            </w:r>
          </w:p>
          <w:p>
            <w:pPr>
              <w:adjustRightInd/>
              <w:snapToGrid/>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元/吨</w:t>
            </w:r>
            <w:r>
              <w:rPr>
                <w:rFonts w:hint="eastAsia" w:ascii="宋体" w:hAnsi="宋体" w:cs="宋体"/>
                <w:color w:val="auto"/>
                <w:sz w:val="21"/>
                <w:szCs w:val="21"/>
                <w:highlight w:val="none"/>
                <w:lang w:eastAsia="zh-CN"/>
              </w:rPr>
              <w:t>）</w:t>
            </w:r>
          </w:p>
        </w:tc>
        <w:tc>
          <w:tcPr>
            <w:tcW w:w="805" w:type="pct"/>
            <w:shd w:val="clear" w:color="auto" w:fill="auto"/>
            <w:vAlign w:val="center"/>
          </w:tcPr>
          <w:p>
            <w:pPr>
              <w:adjustRightInd/>
              <w:snapToGrid/>
              <w:spacing w:line="240" w:lineRule="auto"/>
              <w:jc w:val="center"/>
              <w:rPr>
                <w:rFonts w:ascii="宋体" w:hAnsi="宋体" w:cs="宋体"/>
                <w:color w:val="auto"/>
                <w:szCs w:val="21"/>
                <w:highlight w:val="none"/>
              </w:rPr>
            </w:pPr>
            <w:r>
              <w:rPr>
                <w:rFonts w:hint="eastAsia" w:ascii="宋体" w:hAnsi="宋体" w:cs="宋体"/>
                <w:color w:val="auto"/>
                <w:szCs w:val="21"/>
                <w:highlight w:val="none"/>
              </w:rPr>
              <w:t>暂定数量（</w:t>
            </w:r>
            <w:r>
              <w:rPr>
                <w:rFonts w:hint="eastAsia" w:ascii="宋体" w:hAnsi="宋体" w:cs="宋体"/>
                <w:color w:val="auto"/>
                <w:szCs w:val="21"/>
                <w:highlight w:val="none"/>
                <w:lang w:val="en-US" w:eastAsia="zh-CN"/>
              </w:rPr>
              <w:t>吨</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56" w:type="pct"/>
            <w:shd w:val="clear" w:color="auto" w:fill="auto"/>
            <w:vAlign w:val="center"/>
          </w:tcPr>
          <w:p>
            <w:pPr>
              <w:adjustRightInd/>
              <w:snapToGrid/>
              <w:spacing w:line="240" w:lineRule="auto"/>
              <w:jc w:val="center"/>
              <w:rPr>
                <w:rFonts w:ascii="宋体" w:hAnsi="宋体" w:cs="宋体"/>
                <w:color w:val="auto"/>
                <w:szCs w:val="21"/>
                <w:highlight w:val="none"/>
              </w:rPr>
            </w:pPr>
            <w:r>
              <w:rPr>
                <w:rFonts w:hint="eastAsia" w:ascii="宋体" w:hAnsi="宋体" w:cs="宋体"/>
                <w:color w:val="auto"/>
                <w:szCs w:val="21"/>
                <w:highlight w:val="none"/>
              </w:rPr>
              <w:t>A</w:t>
            </w:r>
          </w:p>
        </w:tc>
        <w:tc>
          <w:tcPr>
            <w:tcW w:w="1864" w:type="pct"/>
            <w:shd w:val="clear" w:color="auto" w:fill="auto"/>
            <w:vAlign w:val="center"/>
          </w:tcPr>
          <w:p>
            <w:pPr>
              <w:adjustRightInd/>
              <w:snapToGrid/>
              <w:spacing w:line="24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活性炭</w:t>
            </w:r>
          </w:p>
        </w:tc>
        <w:tc>
          <w:tcPr>
            <w:tcW w:w="792" w:type="pct"/>
            <w:shd w:val="clear" w:color="auto" w:fill="auto"/>
            <w:vAlign w:val="center"/>
          </w:tcPr>
          <w:p>
            <w:pPr>
              <w:adjustRightInd/>
              <w:snapToGrid/>
              <w:spacing w:line="240" w:lineRule="auto"/>
              <w:jc w:val="center"/>
              <w:rPr>
                <w:rFonts w:ascii="宋体" w:hAnsi="宋体" w:cs="宋体"/>
                <w:color w:val="auto"/>
                <w:szCs w:val="21"/>
                <w:highlight w:val="none"/>
              </w:rPr>
            </w:pPr>
            <w:r>
              <w:rPr>
                <w:rFonts w:hint="eastAsia" w:ascii="宋体" w:hAnsi="宋体" w:cs="宋体"/>
                <w:color w:val="auto"/>
                <w:szCs w:val="21"/>
                <w:highlight w:val="none"/>
              </w:rPr>
              <w:t>1家</w:t>
            </w:r>
          </w:p>
        </w:tc>
        <w:tc>
          <w:tcPr>
            <w:tcW w:w="1081" w:type="pct"/>
            <w:shd w:val="clear" w:color="auto" w:fill="auto"/>
            <w:vAlign w:val="center"/>
          </w:tcPr>
          <w:p>
            <w:pPr>
              <w:adjustRightInd/>
              <w:snapToGrid/>
              <w:spacing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3,950.00</w:t>
            </w:r>
          </w:p>
        </w:tc>
        <w:tc>
          <w:tcPr>
            <w:tcW w:w="805" w:type="pct"/>
            <w:shd w:val="clear" w:color="auto" w:fill="auto"/>
            <w:vAlign w:val="center"/>
          </w:tcPr>
          <w:p>
            <w:pPr>
              <w:adjustRightInd/>
              <w:snapToGrid/>
              <w:spacing w:line="240" w:lineRule="auto"/>
              <w:jc w:val="center"/>
              <w:rPr>
                <w:rFonts w:ascii="宋体" w:hAnsi="宋体" w:cs="宋体"/>
                <w:color w:val="auto"/>
                <w:szCs w:val="21"/>
                <w:highlight w:val="none"/>
              </w:rPr>
            </w:pPr>
            <w:r>
              <w:rPr>
                <w:rFonts w:hint="eastAsia" w:ascii="宋体" w:hAnsi="宋体" w:cs="宋体"/>
                <w:color w:val="auto"/>
                <w:sz w:val="21"/>
                <w:szCs w:val="21"/>
                <w:highlight w:val="none"/>
              </w:rPr>
              <w:t>约</w:t>
            </w:r>
            <w:r>
              <w:rPr>
                <w:rFonts w:ascii="宋体" w:hAnsi="宋体" w:cs="宋体"/>
                <w:color w:val="auto"/>
                <w:sz w:val="21"/>
                <w:szCs w:val="21"/>
                <w:highlight w:val="none"/>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6" w:type="pct"/>
            <w:vMerge w:val="restart"/>
            <w:shd w:val="clear" w:color="auto" w:fill="auto"/>
            <w:vAlign w:val="center"/>
          </w:tcPr>
          <w:p>
            <w:pPr>
              <w:adjustRightInd/>
              <w:snapToGrid/>
              <w:spacing w:line="240" w:lineRule="auto"/>
              <w:jc w:val="center"/>
              <w:rPr>
                <w:rFonts w:ascii="宋体" w:hAnsi="宋体" w:cs="宋体"/>
                <w:color w:val="auto"/>
                <w:szCs w:val="21"/>
                <w:highlight w:val="none"/>
              </w:rPr>
            </w:pPr>
            <w:r>
              <w:rPr>
                <w:rFonts w:hint="eastAsia" w:ascii="宋体" w:hAnsi="宋体" w:cs="宋体"/>
                <w:color w:val="auto"/>
                <w:szCs w:val="21"/>
                <w:highlight w:val="none"/>
              </w:rPr>
              <w:t>B</w:t>
            </w:r>
          </w:p>
        </w:tc>
        <w:tc>
          <w:tcPr>
            <w:tcW w:w="1864" w:type="pct"/>
            <w:shd w:val="clear" w:color="auto" w:fill="auto"/>
            <w:vAlign w:val="center"/>
          </w:tcPr>
          <w:p>
            <w:pPr>
              <w:adjustRightInd/>
              <w:snapToGrid/>
              <w:spacing w:line="24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熟石灰（200目过筛）</w:t>
            </w:r>
          </w:p>
        </w:tc>
        <w:tc>
          <w:tcPr>
            <w:tcW w:w="792" w:type="pct"/>
            <w:vMerge w:val="restart"/>
            <w:shd w:val="clear" w:color="auto" w:fill="auto"/>
            <w:vAlign w:val="center"/>
          </w:tcPr>
          <w:p>
            <w:pPr>
              <w:adjustRightInd/>
              <w:snapToGrid/>
              <w:spacing w:line="240" w:lineRule="auto"/>
              <w:jc w:val="center"/>
              <w:rPr>
                <w:rFonts w:ascii="宋体" w:hAnsi="宋体" w:cs="宋体"/>
                <w:color w:val="auto"/>
                <w:szCs w:val="21"/>
                <w:highlight w:val="none"/>
              </w:rPr>
            </w:pPr>
            <w:r>
              <w:rPr>
                <w:rFonts w:hint="eastAsia" w:ascii="宋体" w:hAnsi="宋体" w:cs="宋体"/>
                <w:color w:val="auto"/>
                <w:szCs w:val="21"/>
                <w:highlight w:val="none"/>
              </w:rPr>
              <w:t>1家</w:t>
            </w:r>
          </w:p>
        </w:tc>
        <w:tc>
          <w:tcPr>
            <w:tcW w:w="1081" w:type="pct"/>
            <w:shd w:val="clear" w:color="auto" w:fill="auto"/>
            <w:vAlign w:val="center"/>
          </w:tcPr>
          <w:p>
            <w:pPr>
              <w:adjustRightInd/>
              <w:snapToGrid/>
              <w:spacing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532.00</w:t>
            </w:r>
          </w:p>
        </w:tc>
        <w:tc>
          <w:tcPr>
            <w:tcW w:w="805" w:type="pct"/>
            <w:shd w:val="clear" w:color="auto" w:fill="auto"/>
            <w:vAlign w:val="center"/>
          </w:tcPr>
          <w:p>
            <w:pPr>
              <w:adjustRightInd/>
              <w:snapToGrid/>
              <w:spacing w:line="240" w:lineRule="auto"/>
              <w:jc w:val="center"/>
              <w:rPr>
                <w:rFonts w:ascii="宋体" w:hAnsi="宋体" w:cs="宋体"/>
                <w:color w:val="auto"/>
                <w:szCs w:val="21"/>
                <w:highlight w:val="none"/>
              </w:rPr>
            </w:pPr>
            <w:r>
              <w:rPr>
                <w:rFonts w:hint="eastAsia" w:ascii="宋体" w:hAnsi="宋体" w:cs="宋体"/>
                <w:color w:val="auto"/>
                <w:szCs w:val="21"/>
                <w:highlight w:val="none"/>
              </w:rPr>
              <w:t>约</w:t>
            </w:r>
            <w:r>
              <w:rPr>
                <w:rFonts w:hint="eastAsia" w:ascii="宋体" w:hAnsi="宋体" w:cs="宋体"/>
                <w:color w:val="auto"/>
                <w:szCs w:val="21"/>
                <w:highlight w:val="none"/>
                <w:lang w:val="en-US" w:eastAsia="zh-CN"/>
              </w:rPr>
              <w:t>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6" w:type="pct"/>
            <w:vMerge w:val="continue"/>
            <w:shd w:val="clear" w:color="auto" w:fill="auto"/>
            <w:vAlign w:val="center"/>
          </w:tcPr>
          <w:p>
            <w:pPr>
              <w:adjustRightInd/>
              <w:snapToGrid/>
              <w:spacing w:line="240" w:lineRule="auto"/>
              <w:jc w:val="center"/>
              <w:rPr>
                <w:rFonts w:hint="eastAsia" w:ascii="宋体" w:hAnsi="宋体" w:cs="宋体"/>
                <w:color w:val="auto"/>
                <w:szCs w:val="21"/>
                <w:highlight w:val="none"/>
              </w:rPr>
            </w:pPr>
          </w:p>
        </w:tc>
        <w:tc>
          <w:tcPr>
            <w:tcW w:w="1864" w:type="pct"/>
            <w:shd w:val="clear" w:color="auto" w:fill="auto"/>
            <w:vAlign w:val="center"/>
          </w:tcPr>
          <w:p>
            <w:pPr>
              <w:adjustRightInd/>
              <w:snapToGrid/>
              <w:spacing w:line="24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熟石灰（325目过筛）</w:t>
            </w:r>
          </w:p>
        </w:tc>
        <w:tc>
          <w:tcPr>
            <w:tcW w:w="792" w:type="pct"/>
            <w:vMerge w:val="continue"/>
            <w:shd w:val="clear" w:color="auto" w:fill="auto"/>
            <w:vAlign w:val="center"/>
          </w:tcPr>
          <w:p>
            <w:pPr>
              <w:adjustRightInd/>
              <w:snapToGrid/>
              <w:spacing w:line="240" w:lineRule="auto"/>
              <w:jc w:val="center"/>
              <w:rPr>
                <w:rFonts w:hint="eastAsia" w:ascii="宋体" w:hAnsi="宋体" w:cs="宋体"/>
                <w:color w:val="auto"/>
                <w:szCs w:val="21"/>
                <w:highlight w:val="none"/>
              </w:rPr>
            </w:pPr>
          </w:p>
        </w:tc>
        <w:tc>
          <w:tcPr>
            <w:tcW w:w="1081" w:type="pct"/>
            <w:shd w:val="clear" w:color="auto" w:fill="auto"/>
            <w:vAlign w:val="center"/>
          </w:tcPr>
          <w:p>
            <w:pPr>
              <w:adjustRightInd/>
              <w:snapToGrid/>
              <w:spacing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537.00</w:t>
            </w:r>
          </w:p>
        </w:tc>
        <w:tc>
          <w:tcPr>
            <w:tcW w:w="805" w:type="pct"/>
            <w:shd w:val="clear" w:color="auto" w:fill="auto"/>
            <w:vAlign w:val="center"/>
          </w:tcPr>
          <w:p>
            <w:pPr>
              <w:adjustRightInd/>
              <w:snapToGrid/>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约</w:t>
            </w:r>
            <w:r>
              <w:rPr>
                <w:rFonts w:hint="eastAsia" w:ascii="宋体" w:hAnsi="宋体" w:cs="宋体"/>
                <w:color w:val="auto"/>
                <w:szCs w:val="21"/>
                <w:highlight w:val="none"/>
                <w:lang w:val="en-US" w:eastAsia="zh-CN"/>
              </w:rPr>
              <w:t>3300</w:t>
            </w:r>
          </w:p>
        </w:tc>
      </w:tr>
    </w:tbl>
    <w:p>
      <w:pPr>
        <w:rPr>
          <w:color w:val="auto"/>
          <w:highlight w:val="none"/>
        </w:rPr>
      </w:pPr>
    </w:p>
    <w:p>
      <w:pPr>
        <w:ind w:firstLine="413" w:firstLineChars="196"/>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二、投标人资格要求</w:t>
      </w:r>
    </w:p>
    <w:p>
      <w:pPr>
        <w:ind w:firstLine="413" w:firstLineChars="196"/>
        <w:rPr>
          <w:b/>
          <w:color w:val="auto"/>
          <w:highlight w:val="none"/>
        </w:rPr>
      </w:pPr>
      <w:r>
        <w:rPr>
          <w:rFonts w:hint="eastAsia" w:asciiTheme="minorEastAsia" w:hAnsiTheme="minorEastAsia" w:eastAsiaTheme="minorEastAsia"/>
          <w:b/>
          <w:color w:val="auto"/>
          <w:szCs w:val="21"/>
          <w:highlight w:val="none"/>
        </w:rPr>
        <w:t>1、适用于包A资格要求：</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（1）</w:t>
      </w:r>
      <w:r>
        <w:rPr>
          <w:rFonts w:hint="eastAsia" w:asciiTheme="minorEastAsia" w:hAnsiTheme="minorEastAsia" w:eastAsiaTheme="minorEastAsia"/>
          <w:color w:val="auto"/>
          <w:highlight w:val="none"/>
        </w:rPr>
        <w:t>在中华人民共和国境内注册具有独立承担民事责任能力的企业法人</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投标人提供营业执照、税务登记证书、企业组织机构代码证（如三证合一，仅需提供营业执照）复印件加盖投标人公章</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（2）</w:t>
      </w:r>
      <w:r>
        <w:rPr>
          <w:rFonts w:hint="eastAsia" w:asciiTheme="minorEastAsia" w:hAnsiTheme="minorEastAsia" w:eastAsiaTheme="minorEastAsia"/>
          <w:color w:val="auto"/>
          <w:highlight w:val="none"/>
        </w:rPr>
        <w:t>投标人须为所投产品生产厂家或授权经销商：</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①如投标人为所投产品生产厂家的，须提供生态环境主管部门或相关行政主管部门核发的合法有效的环评批复（批复内容须体现含投标产品）及《排污许可证》（或固定污染源排污相关登记证明）（提供相关证明文件复印件加盖投标人公章）；</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②如投标人为所投产品授权经销商的，须提供所投产品生产厂家的(1)营业执照、税务登记证书、企业组织机构代码证（如三证合一，仅需提供营业执照）(2)生态环境主管部门或相关行政主管部门核发的合法有效的环评批复（批复内容须体现含投标产品）(3)《排污许可证》（或固定污染源排污相关登记证明）(4)所投产品生产厂家针对本项目授权销售函原件（提供相关证明文件加盖投标人公章）。</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（3）</w:t>
      </w:r>
      <w:r>
        <w:rPr>
          <w:rFonts w:hint="eastAsia" w:asciiTheme="minorEastAsia" w:hAnsiTheme="minorEastAsia" w:eastAsiaTheme="minorEastAsia"/>
          <w:color w:val="auto"/>
          <w:highlight w:val="none"/>
        </w:rPr>
        <w:t>投标人20</w:t>
      </w:r>
      <w:r>
        <w:rPr>
          <w:rFonts w:hint="eastAsia" w:asciiTheme="minorEastAsia" w:hAnsiTheme="minorEastAsia" w:eastAsiaTheme="minorEastAsia"/>
          <w:color w:val="auto"/>
          <w:highlight w:val="none"/>
          <w:lang w:val="en-US" w:eastAsia="zh-CN"/>
        </w:rPr>
        <w:t>22</w:t>
      </w:r>
      <w:r>
        <w:rPr>
          <w:rFonts w:hint="eastAsia" w:asciiTheme="minorEastAsia" w:hAnsiTheme="minorEastAsia" w:eastAsiaTheme="minorEastAsia"/>
          <w:color w:val="auto"/>
          <w:highlight w:val="none"/>
        </w:rPr>
        <w:t>年1月1日至</w:t>
      </w:r>
      <w:r>
        <w:rPr>
          <w:rFonts w:hint="eastAsia" w:asciiTheme="minorEastAsia" w:hAnsiTheme="minorEastAsia" w:eastAsiaTheme="minorEastAsia"/>
          <w:color w:val="auto"/>
          <w:highlight w:val="none"/>
          <w:lang w:eastAsia="zh-CN"/>
        </w:rPr>
        <w:t>采购</w:t>
      </w:r>
      <w:r>
        <w:rPr>
          <w:rFonts w:hint="eastAsia" w:asciiTheme="minorEastAsia" w:hAnsiTheme="minorEastAsia" w:eastAsiaTheme="minorEastAsia"/>
          <w:color w:val="auto"/>
          <w:highlight w:val="none"/>
        </w:rPr>
        <w:t>公告发布之日（以合同签订时间或合同有效期为准）至少具有活性炭销售业绩合同2份，且每份不小于400吨的供货合同（需提供合同关键页及供货期限内任意一期发票复印件加盖投标人公章）。如投标人合同关键页不能体现供货量的，则除上述材料外还需提供供货量证明（签字确认的送货单或相关验收证明材料或由买方出具的证明文件）。</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（4）</w:t>
      </w:r>
      <w:r>
        <w:rPr>
          <w:rFonts w:hint="eastAsia" w:asciiTheme="minorEastAsia" w:hAnsiTheme="minorEastAsia" w:eastAsiaTheme="minorEastAsia"/>
          <w:color w:val="auto"/>
          <w:highlight w:val="none"/>
        </w:rPr>
        <w:t>投标人须提供所投产品202</w:t>
      </w:r>
      <w:r>
        <w:rPr>
          <w:rFonts w:hint="eastAsia" w:asciiTheme="minorEastAsia" w:hAnsiTheme="minorEastAsia" w:eastAsiaTheme="minorEastAsia"/>
          <w:color w:val="auto"/>
          <w:highlight w:val="none"/>
          <w:lang w:val="en-US" w:eastAsia="zh-CN"/>
        </w:rPr>
        <w:t>4</w:t>
      </w:r>
      <w:r>
        <w:rPr>
          <w:rFonts w:hint="eastAsia" w:asciiTheme="minorEastAsia" w:hAnsiTheme="minorEastAsia" w:eastAsiaTheme="minorEastAsia"/>
          <w:color w:val="auto"/>
          <w:highlight w:val="none"/>
        </w:rPr>
        <w:t>年1月1日至</w:t>
      </w:r>
      <w:r>
        <w:rPr>
          <w:rFonts w:hint="eastAsia" w:asciiTheme="minorEastAsia" w:hAnsiTheme="minorEastAsia" w:eastAsiaTheme="minorEastAsia"/>
          <w:color w:val="auto"/>
          <w:highlight w:val="none"/>
          <w:lang w:eastAsia="zh-CN"/>
        </w:rPr>
        <w:t>采购</w:t>
      </w:r>
      <w:r>
        <w:rPr>
          <w:rFonts w:hint="eastAsia" w:asciiTheme="minorEastAsia" w:hAnsiTheme="minorEastAsia" w:eastAsiaTheme="minorEastAsia"/>
          <w:color w:val="auto"/>
          <w:highlight w:val="none"/>
        </w:rPr>
        <w:t>公告发布之日具有检测资质的第三方检测公司出具的检测报告复印件加盖投标人公章（检测报告须含目数325目且通过率≥85%、比表面积≥900</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rPr>
        <w:t>/g、碘值≥900mg/g和水份＜3%等指标）。</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（5）</w:t>
      </w:r>
      <w:r>
        <w:rPr>
          <w:rFonts w:hint="eastAsia" w:asciiTheme="minorEastAsia" w:hAnsiTheme="minorEastAsia" w:eastAsiaTheme="minorEastAsia"/>
          <w:color w:val="auto"/>
          <w:highlight w:val="none"/>
        </w:rPr>
        <w:t>投标人须采用罐车运输，须具有履行合同所必需的专用运输车1辆或以上，并配备相应数量的驾驶员，提供车辆自有或租赁合同及车辆允许运营的证明材料（包括但不限于道路运输经营许可证、机动车行驶证、驾驶证等复印件加盖投标人公章）。</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（6）</w:t>
      </w:r>
      <w:r>
        <w:rPr>
          <w:rFonts w:hint="eastAsia" w:asciiTheme="minorEastAsia" w:hAnsiTheme="minorEastAsia" w:eastAsiaTheme="minorEastAsia"/>
          <w:color w:val="auto"/>
          <w:highlight w:val="none"/>
        </w:rPr>
        <w:t>凡两家或以上投标人参加同一项目的投标，有如下情况之一的，一经发现将视同串标处理：A、为同一法定代表人的；B、为同一股东控股的；C、其中一家公司为其他公司最大股东的。</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（7）</w:t>
      </w:r>
      <w:r>
        <w:rPr>
          <w:rFonts w:hint="eastAsia" w:asciiTheme="minorEastAsia" w:hAnsiTheme="minorEastAsia" w:eastAsiaTheme="minorEastAsia"/>
          <w:color w:val="auto"/>
          <w:highlight w:val="none"/>
        </w:rPr>
        <w:t>未被列入“信用中国”网站(www.creditchina.gov.cn )“记录失信被执行人或税收违法黑名单”记录名单。以招标代理机构于投标截止日当天在“信用中国”网站查询结果为准，如相关失信记录已失效，投标人须提供相关证明资料。</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（8）</w:t>
      </w:r>
      <w:r>
        <w:rPr>
          <w:rFonts w:hint="eastAsia" w:asciiTheme="minorEastAsia" w:hAnsiTheme="minorEastAsia" w:eastAsiaTheme="minorEastAsia"/>
          <w:color w:val="auto"/>
          <w:highlight w:val="none"/>
        </w:rPr>
        <w:t>投标人（含投标人依法设立的分公司）在投标前1年内（202</w:t>
      </w:r>
      <w:r>
        <w:rPr>
          <w:rFonts w:hint="eastAsia" w:asciiTheme="minorEastAsia" w:hAnsiTheme="minorEastAsia" w:eastAsiaTheme="minorEastAsia"/>
          <w:color w:val="auto"/>
          <w:highlight w:val="none"/>
          <w:lang w:val="en-US" w:eastAsia="zh-CN"/>
        </w:rPr>
        <w:t>4</w:t>
      </w:r>
      <w:r>
        <w:rPr>
          <w:rFonts w:hint="eastAsia" w:asciiTheme="minorEastAsia" w:hAnsiTheme="minorEastAsia" w:eastAsiaTheme="minorEastAsia"/>
          <w:color w:val="auto"/>
          <w:highlight w:val="none"/>
        </w:rPr>
        <w:t>年1月1日以来）未受到生态环境主管部门给予的暂扣许可证件、降低资质等级、吊销许可证件、限制开展生产经营活动、责令停产停业、责令关闭和限制从业等行政处罚，投标人提供书面声明函加盖投标人法人公章。如投标人在此项内容中作出虚假声明（或未能如实声明）的，一经发现视为虚假应标，取消其投标（中标）资格，</w:t>
      </w:r>
      <w:r>
        <w:rPr>
          <w:rFonts w:hint="eastAsia" w:asciiTheme="minorEastAsia" w:hAnsiTheme="minorEastAsia" w:eastAsiaTheme="minorEastAsia"/>
          <w:color w:val="auto"/>
          <w:highlight w:val="none"/>
          <w:lang w:eastAsia="zh-CN"/>
        </w:rPr>
        <w:t>采购人</w:t>
      </w:r>
      <w:r>
        <w:rPr>
          <w:rFonts w:hint="eastAsia" w:asciiTheme="minorEastAsia" w:hAnsiTheme="minorEastAsia" w:eastAsiaTheme="minorEastAsia"/>
          <w:color w:val="auto"/>
          <w:highlight w:val="none"/>
        </w:rPr>
        <w:t>将没收其投标保证金。（格式详见第</w:t>
      </w:r>
      <w:r>
        <w:rPr>
          <w:rFonts w:hint="eastAsia" w:asciiTheme="minorEastAsia" w:hAnsiTheme="minorEastAsia" w:eastAsiaTheme="minorEastAsia"/>
          <w:color w:val="auto"/>
          <w:highlight w:val="none"/>
          <w:lang w:eastAsia="zh-CN"/>
        </w:rPr>
        <w:t>六部分</w:t>
      </w:r>
      <w:r>
        <w:rPr>
          <w:rFonts w:hint="eastAsia" w:asciiTheme="minorEastAsia" w:hAnsiTheme="minorEastAsia" w:eastAsiaTheme="minorEastAsia"/>
          <w:color w:val="auto"/>
          <w:highlight w:val="none"/>
        </w:rPr>
        <w:t>附件</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lang w:eastAsia="zh-CN"/>
        </w:rPr>
        <w:t>投标文件格式“</w:t>
      </w:r>
      <w:r>
        <w:rPr>
          <w:rFonts w:hint="eastAsia" w:asciiTheme="minorEastAsia" w:hAnsiTheme="minorEastAsia" w:eastAsiaTheme="minorEastAsia"/>
          <w:color w:val="auto"/>
          <w:highlight w:val="none"/>
          <w:lang w:val="en-US" w:eastAsia="zh-CN"/>
        </w:rPr>
        <w:t>8</w:t>
      </w:r>
      <w:r>
        <w:rPr>
          <w:rFonts w:hint="eastAsia" w:asciiTheme="minorEastAsia" w:hAnsiTheme="minorEastAsia" w:eastAsiaTheme="minorEastAsia"/>
          <w:color w:val="auto"/>
          <w:highlight w:val="none"/>
          <w:lang w:eastAsia="zh-CN"/>
        </w:rPr>
        <w:t>-1 关于行政处罚</w:t>
      </w:r>
      <w:r>
        <w:rPr>
          <w:rFonts w:hint="eastAsia" w:asciiTheme="minorEastAsia" w:hAnsiTheme="minorEastAsia" w:eastAsiaTheme="minorEastAsia"/>
          <w:color w:val="auto"/>
          <w:highlight w:val="none"/>
          <w:lang w:val="en-US" w:eastAsia="zh-CN"/>
        </w:rPr>
        <w:t>声</w:t>
      </w:r>
      <w:r>
        <w:rPr>
          <w:rFonts w:hint="eastAsia" w:asciiTheme="minorEastAsia" w:hAnsiTheme="minorEastAsia" w:eastAsiaTheme="minorEastAsia"/>
          <w:color w:val="auto"/>
          <w:highlight w:val="none"/>
          <w:lang w:eastAsia="zh-CN"/>
        </w:rPr>
        <w:t>明”</w:t>
      </w:r>
      <w:r>
        <w:rPr>
          <w:rFonts w:hint="eastAsia" w:asciiTheme="minorEastAsia" w:hAnsiTheme="minorEastAsia" w:eastAsiaTheme="minorEastAsia"/>
          <w:color w:val="auto"/>
          <w:highlight w:val="none"/>
        </w:rPr>
        <w:t>）</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（9）投标人</w:t>
      </w:r>
      <w:r>
        <w:rPr>
          <w:rFonts w:hint="eastAsia" w:asciiTheme="minorEastAsia" w:hAnsiTheme="minorEastAsia" w:eastAsiaTheme="minorEastAsia"/>
          <w:color w:val="auto"/>
          <w:highlight w:val="none"/>
        </w:rPr>
        <w:t>（含投标人依法设立的分公司）</w:t>
      </w:r>
      <w:r>
        <w:rPr>
          <w:rFonts w:hint="eastAsia" w:asciiTheme="minorEastAsia" w:hAnsiTheme="minorEastAsia" w:eastAsiaTheme="minorEastAsia"/>
          <w:color w:val="auto"/>
          <w:highlight w:val="none"/>
          <w:lang w:val="en-US" w:eastAsia="zh-CN"/>
        </w:rPr>
        <w:t>最近3年内（2022年1月1日以来）在参与采购人任一采购项目时未出现过提供虚假资料或未通过资格后审的情形，投标人提供书面声明函加盖投标人法人公章。如投标人在此项内容中作出虚假声明（或未能如实声明）的，一经发现视为虚假应标，取消其投标（中标）资格，采购人将没收其投标保证金。（格式详见第六部分附件-投标文件格式“8-2 诚信声明”）</w:t>
      </w:r>
    </w:p>
    <w:p>
      <w:pPr>
        <w:ind w:firstLine="420" w:firstLineChars="200"/>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（10）</w:t>
      </w:r>
      <w:r>
        <w:rPr>
          <w:rFonts w:hint="eastAsia" w:asciiTheme="minorEastAsia" w:hAnsiTheme="minorEastAsia" w:eastAsiaTheme="minorEastAsia"/>
          <w:color w:val="auto"/>
          <w:highlight w:val="none"/>
        </w:rPr>
        <w:t>本项目不接受联合体</w:t>
      </w:r>
      <w:r>
        <w:rPr>
          <w:rFonts w:hint="eastAsia" w:asciiTheme="minorEastAsia" w:hAnsiTheme="minorEastAsia" w:eastAsiaTheme="minorEastAsia"/>
          <w:color w:val="auto"/>
          <w:highlight w:val="none"/>
          <w:lang w:val="en-US" w:eastAsia="zh-CN"/>
        </w:rPr>
        <w:t>.</w:t>
      </w:r>
    </w:p>
    <w:p>
      <w:pPr>
        <w:ind w:firstLine="413" w:firstLineChars="196"/>
        <w:rPr>
          <w:b/>
          <w:color w:val="auto"/>
          <w:highlight w:val="none"/>
        </w:rPr>
      </w:pPr>
      <w:r>
        <w:rPr>
          <w:rFonts w:asciiTheme="minorEastAsia" w:hAnsiTheme="minorEastAsia" w:eastAsiaTheme="minorEastAsia"/>
          <w:b/>
          <w:color w:val="auto"/>
          <w:szCs w:val="21"/>
          <w:highlight w:val="none"/>
        </w:rPr>
        <w:t>2</w:t>
      </w:r>
      <w:r>
        <w:rPr>
          <w:rFonts w:hint="eastAsia" w:asciiTheme="minorEastAsia" w:hAnsiTheme="minorEastAsia" w:eastAsiaTheme="minorEastAsia"/>
          <w:b/>
          <w:color w:val="auto"/>
          <w:szCs w:val="21"/>
          <w:highlight w:val="none"/>
        </w:rPr>
        <w:t>、适用于包</w:t>
      </w:r>
      <w:r>
        <w:rPr>
          <w:rFonts w:hint="eastAsia" w:asciiTheme="minorEastAsia" w:hAnsiTheme="minorEastAsia" w:eastAsiaTheme="minorEastAsia"/>
          <w:b/>
          <w:color w:val="auto"/>
          <w:szCs w:val="21"/>
          <w:highlight w:val="none"/>
          <w:lang w:val="en-US" w:eastAsia="zh-CN"/>
        </w:rPr>
        <w:t>B</w:t>
      </w:r>
      <w:r>
        <w:rPr>
          <w:rFonts w:hint="eastAsia" w:asciiTheme="minorEastAsia" w:hAnsiTheme="minorEastAsia" w:eastAsiaTheme="minorEastAsia"/>
          <w:b/>
          <w:color w:val="auto"/>
          <w:szCs w:val="21"/>
          <w:highlight w:val="none"/>
        </w:rPr>
        <w:t>资格要求：</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（1）</w:t>
      </w:r>
      <w:r>
        <w:rPr>
          <w:rFonts w:hint="eastAsia" w:asciiTheme="minorEastAsia" w:hAnsiTheme="minorEastAsia" w:eastAsiaTheme="minorEastAsia"/>
          <w:color w:val="auto"/>
          <w:highlight w:val="none"/>
        </w:rPr>
        <w:t>在中华人民共和国境内注册具有独立承担民事责任能力的企业法人</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rPr>
        <w:t>投标人提供营业执照、税务登记证书、企业组织机构代码证（如三证合一，仅需提供营业执照）复印件加盖投标人公章</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rPr>
        <w:t>。</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（2）</w:t>
      </w:r>
      <w:r>
        <w:rPr>
          <w:rFonts w:hint="eastAsia" w:asciiTheme="minorEastAsia" w:hAnsiTheme="minorEastAsia" w:eastAsiaTheme="minorEastAsia"/>
          <w:color w:val="auto"/>
          <w:highlight w:val="none"/>
        </w:rPr>
        <w:t>投标人须为所投产品生产厂家：提供生态环境主管部门或相关行政主管部门核发的合法有效的环评批复（批复内容须体现含投标产品）及《排污许可证》（或固定污染源排污相关登记证明）（提供相关证明文件复印件加盖投标人公章）。</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lang w:val="en-US" w:eastAsia="zh-CN"/>
        </w:rPr>
        <w:t>（3）</w:t>
      </w:r>
      <w:r>
        <w:rPr>
          <w:rFonts w:hint="eastAsia" w:asciiTheme="minorEastAsia" w:hAnsiTheme="minorEastAsia" w:eastAsiaTheme="minorEastAsia"/>
          <w:color w:val="auto"/>
          <w:highlight w:val="none"/>
        </w:rPr>
        <w:t>投标人20</w:t>
      </w:r>
      <w:r>
        <w:rPr>
          <w:rFonts w:hint="eastAsia" w:asciiTheme="minorEastAsia" w:hAnsiTheme="minorEastAsia" w:eastAsiaTheme="minorEastAsia"/>
          <w:color w:val="auto"/>
          <w:highlight w:val="none"/>
          <w:lang w:val="en-US" w:eastAsia="zh-CN"/>
        </w:rPr>
        <w:t>22</w:t>
      </w:r>
      <w:r>
        <w:rPr>
          <w:rFonts w:hint="eastAsia" w:asciiTheme="minorEastAsia" w:hAnsiTheme="minorEastAsia" w:eastAsiaTheme="minorEastAsia"/>
          <w:color w:val="auto"/>
          <w:highlight w:val="none"/>
        </w:rPr>
        <w:t>年1月1日至</w:t>
      </w:r>
      <w:r>
        <w:rPr>
          <w:rFonts w:hint="eastAsia" w:asciiTheme="minorEastAsia" w:hAnsiTheme="minorEastAsia" w:eastAsiaTheme="minorEastAsia"/>
          <w:color w:val="auto"/>
          <w:highlight w:val="none"/>
          <w:lang w:eastAsia="zh-CN"/>
        </w:rPr>
        <w:t>采购</w:t>
      </w:r>
      <w:r>
        <w:rPr>
          <w:rFonts w:hint="eastAsia" w:asciiTheme="minorEastAsia" w:hAnsiTheme="minorEastAsia" w:eastAsiaTheme="minorEastAsia"/>
          <w:color w:val="auto"/>
          <w:highlight w:val="none"/>
        </w:rPr>
        <w:t>公告发布之日（以合同签订时间或合同有效期为准）至少具有垃圾发电厂熟石灰业绩合同2份，且每份不小于7000吨的供货合同</w:t>
      </w:r>
      <w:bookmarkStart w:id="2" w:name="_Hlk104292509"/>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rPr>
        <w:t>需提供合同关键页及供货期限内任意一期发票</w:t>
      </w:r>
      <w:bookmarkEnd w:id="2"/>
      <w:r>
        <w:rPr>
          <w:rFonts w:hint="eastAsia" w:asciiTheme="minorEastAsia" w:hAnsiTheme="minorEastAsia" w:eastAsiaTheme="minorEastAsia"/>
          <w:color w:val="auto"/>
          <w:highlight w:val="none"/>
        </w:rPr>
        <w:t>复印件加盖投标人公章</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rPr>
        <w:t>。如投标人合同关键页不能体现供货量的，则除上述材料外还需提供供货量证明（签字确认的送货单或相关验收证明材料或由买方出具的证明文件）。</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（4）</w:t>
      </w:r>
      <w:r>
        <w:rPr>
          <w:rFonts w:hint="eastAsia" w:asciiTheme="minorEastAsia" w:hAnsiTheme="minorEastAsia" w:eastAsiaTheme="minorEastAsia"/>
          <w:color w:val="auto"/>
          <w:highlight w:val="none"/>
        </w:rPr>
        <w:t>投标人须提供所投产品202</w:t>
      </w:r>
      <w:r>
        <w:rPr>
          <w:rFonts w:hint="eastAsia" w:asciiTheme="minorEastAsia" w:hAnsiTheme="minorEastAsia" w:eastAsiaTheme="minorEastAsia"/>
          <w:color w:val="auto"/>
          <w:highlight w:val="none"/>
          <w:lang w:val="en-US" w:eastAsia="zh-CN"/>
        </w:rPr>
        <w:t>4</w:t>
      </w:r>
      <w:r>
        <w:rPr>
          <w:rFonts w:hint="eastAsia" w:asciiTheme="minorEastAsia" w:hAnsiTheme="minorEastAsia" w:eastAsiaTheme="minorEastAsia"/>
          <w:color w:val="auto"/>
          <w:highlight w:val="none"/>
        </w:rPr>
        <w:t>年1月1日至</w:t>
      </w:r>
      <w:r>
        <w:rPr>
          <w:rFonts w:hint="eastAsia" w:asciiTheme="minorEastAsia" w:hAnsiTheme="minorEastAsia" w:eastAsiaTheme="minorEastAsia"/>
          <w:color w:val="auto"/>
          <w:highlight w:val="none"/>
          <w:lang w:eastAsia="zh-CN"/>
        </w:rPr>
        <w:t>采购</w:t>
      </w:r>
      <w:r>
        <w:rPr>
          <w:rFonts w:hint="eastAsia" w:asciiTheme="minorEastAsia" w:hAnsiTheme="minorEastAsia" w:eastAsiaTheme="minorEastAsia"/>
          <w:color w:val="auto"/>
          <w:highlight w:val="none"/>
        </w:rPr>
        <w:t>公告发布之日具有检测资质的第三方检测公司出具的检测报告复印件加盖投标人公章</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rPr>
        <w:t>检测报告须</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1、</w:t>
      </w:r>
      <w:r>
        <w:rPr>
          <w:rFonts w:hint="eastAsia" w:asciiTheme="minorEastAsia" w:hAnsiTheme="minorEastAsia" w:eastAsiaTheme="minorEastAsia"/>
          <w:color w:val="auto"/>
          <w:highlight w:val="none"/>
        </w:rPr>
        <w:t>含Ca(OH) 2纯度 ≥95%、粒度：325</w:t>
      </w:r>
      <w:r>
        <w:rPr>
          <w:rFonts w:hint="eastAsia" w:asciiTheme="minorEastAsia" w:hAnsiTheme="minorEastAsia" w:eastAsiaTheme="minorEastAsia"/>
          <w:color w:val="auto"/>
          <w:highlight w:val="none"/>
          <w:lang w:eastAsia="zh-CN"/>
        </w:rPr>
        <w:t>目过筛</w:t>
      </w:r>
      <w:r>
        <w:rPr>
          <w:rFonts w:hint="eastAsia" w:asciiTheme="minorEastAsia" w:hAnsiTheme="minorEastAsia" w:eastAsiaTheme="minorEastAsia"/>
          <w:color w:val="auto"/>
          <w:highlight w:val="none"/>
        </w:rPr>
        <w:t>通过率≥95%、比表面积（BET）≥18㎡/g等指标</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2、</w:t>
      </w:r>
      <w:r>
        <w:rPr>
          <w:rFonts w:hint="eastAsia" w:asciiTheme="minorEastAsia" w:hAnsiTheme="minorEastAsia" w:eastAsiaTheme="minorEastAsia"/>
          <w:color w:val="auto"/>
          <w:highlight w:val="none"/>
        </w:rPr>
        <w:t>含Ca(OH) 2纯度 ≥95%、粒度：</w:t>
      </w:r>
      <w:r>
        <w:rPr>
          <w:rFonts w:hint="eastAsia" w:asciiTheme="minorEastAsia" w:hAnsiTheme="minorEastAsia" w:eastAsiaTheme="minorEastAsia"/>
          <w:color w:val="auto"/>
          <w:highlight w:val="none"/>
          <w:lang w:val="en-US" w:eastAsia="zh-CN"/>
        </w:rPr>
        <w:t>200</w:t>
      </w:r>
      <w:r>
        <w:rPr>
          <w:rFonts w:hint="eastAsia" w:asciiTheme="minorEastAsia" w:hAnsiTheme="minorEastAsia" w:eastAsiaTheme="minorEastAsia"/>
          <w:color w:val="auto"/>
          <w:highlight w:val="none"/>
          <w:lang w:eastAsia="zh-CN"/>
        </w:rPr>
        <w:t>目过筛</w:t>
      </w:r>
      <w:r>
        <w:rPr>
          <w:rFonts w:hint="eastAsia" w:asciiTheme="minorEastAsia" w:hAnsiTheme="minorEastAsia" w:eastAsiaTheme="minorEastAsia"/>
          <w:color w:val="auto"/>
          <w:highlight w:val="none"/>
        </w:rPr>
        <w:t>通过率≥95%、比表面积（BET）≥18㎡/g等指标</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rPr>
        <w:t>。</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（5）</w:t>
      </w:r>
      <w:r>
        <w:rPr>
          <w:rFonts w:hint="eastAsia" w:asciiTheme="minorEastAsia" w:hAnsiTheme="minorEastAsia" w:eastAsiaTheme="minorEastAsia"/>
          <w:color w:val="auto"/>
          <w:highlight w:val="none"/>
        </w:rPr>
        <w:t>凡两家或以上投标人参加同一项目的投标，有如下情况之一的，一经发现将视同串标处理：A、为同一法定代表人的；B、为同一股东控股的；C、其中一家公司为其他公司最大股东的。</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（6）</w:t>
      </w:r>
      <w:r>
        <w:rPr>
          <w:rFonts w:hint="eastAsia" w:asciiTheme="minorEastAsia" w:hAnsiTheme="minorEastAsia" w:eastAsiaTheme="minorEastAsia"/>
          <w:color w:val="auto"/>
          <w:highlight w:val="none"/>
        </w:rPr>
        <w:t>未被列入“信用中国”网站(www.creditchina.gov.cn )“记录失信被执行人或税收违法黑名单”记录名单。以招标代理机构于投标截止日当天在“信用中国”网站查询结果为准，如相关失信记录已失效，投标人须提供相关证明资料。</w:t>
      </w:r>
    </w:p>
    <w:p>
      <w:pPr>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（7）</w:t>
      </w:r>
      <w:r>
        <w:rPr>
          <w:rFonts w:hint="eastAsia" w:asciiTheme="minorEastAsia" w:hAnsiTheme="minorEastAsia" w:eastAsiaTheme="minorEastAsia"/>
          <w:color w:val="auto"/>
          <w:highlight w:val="none"/>
        </w:rPr>
        <w:t>投标人（含投标人依法设立的分公司）在投标前1年内（202</w:t>
      </w:r>
      <w:r>
        <w:rPr>
          <w:rFonts w:hint="eastAsia" w:asciiTheme="minorEastAsia" w:hAnsiTheme="minorEastAsia" w:eastAsiaTheme="minorEastAsia"/>
          <w:color w:val="auto"/>
          <w:highlight w:val="none"/>
          <w:lang w:val="en-US" w:eastAsia="zh-CN"/>
        </w:rPr>
        <w:t>4</w:t>
      </w:r>
      <w:r>
        <w:rPr>
          <w:rFonts w:hint="eastAsia" w:asciiTheme="minorEastAsia" w:hAnsiTheme="minorEastAsia" w:eastAsiaTheme="minorEastAsia"/>
          <w:color w:val="auto"/>
          <w:highlight w:val="none"/>
        </w:rPr>
        <w:t>年1月1日以来）未受到生态环境主管部门给予的暂扣许可证件、降低资质等级、吊销许可证件、限制开展生产经营活动、责令停产停业、责令关闭和限制从业等行政处罚，投标人提供书面声明函加盖投标人法人公章。如投标人在此项内容中作出虚假声明（或未能如实声明）的，一经发现视为虚假应标，取消其投标（中标）资格，</w:t>
      </w:r>
      <w:r>
        <w:rPr>
          <w:rFonts w:hint="eastAsia" w:asciiTheme="minorEastAsia" w:hAnsiTheme="minorEastAsia" w:eastAsiaTheme="minorEastAsia"/>
          <w:color w:val="auto"/>
          <w:highlight w:val="none"/>
          <w:lang w:eastAsia="zh-CN"/>
        </w:rPr>
        <w:t>采购人</w:t>
      </w:r>
      <w:r>
        <w:rPr>
          <w:rFonts w:hint="eastAsia" w:asciiTheme="minorEastAsia" w:hAnsiTheme="minorEastAsia" w:eastAsiaTheme="minorEastAsia"/>
          <w:color w:val="auto"/>
          <w:highlight w:val="none"/>
        </w:rPr>
        <w:t>将没收其投标保证金。（格式详见第六部分附件-投标文件格式“8-1 关于行政处罚声明”）</w:t>
      </w:r>
    </w:p>
    <w:p>
      <w:pPr>
        <w:ind w:firstLine="420" w:firstLineChars="200"/>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（8）投标人</w:t>
      </w:r>
      <w:r>
        <w:rPr>
          <w:rFonts w:hint="eastAsia" w:asciiTheme="minorEastAsia" w:hAnsiTheme="minorEastAsia" w:eastAsiaTheme="minorEastAsia"/>
          <w:color w:val="auto"/>
          <w:highlight w:val="none"/>
        </w:rPr>
        <w:t>（含投标人依法设立的分公司）</w:t>
      </w:r>
      <w:r>
        <w:rPr>
          <w:rFonts w:hint="eastAsia" w:asciiTheme="minorEastAsia" w:hAnsiTheme="minorEastAsia" w:eastAsiaTheme="minorEastAsia"/>
          <w:color w:val="auto"/>
          <w:highlight w:val="none"/>
          <w:lang w:val="en-US" w:eastAsia="zh-CN"/>
        </w:rPr>
        <w:t>最近3年内（2022年1月1日以来）在参与采购人任一采购项目时未出现过提供虚假资料或未通过资格后审的情形，投标人提供书面声明函加盖投标人法人公章。如投标人在此项内容中作出虚假声明（或未能如实声明）的，一经发现视为虚假应标，取消其投标（中标）资格，采购人将没收其投标保证金。（格式详见第六部分附件-投标文件格式“8-2 诚信声明”）</w:t>
      </w:r>
    </w:p>
    <w:p>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（9）</w:t>
      </w:r>
      <w:r>
        <w:rPr>
          <w:rFonts w:hint="eastAsia" w:asciiTheme="minorEastAsia" w:hAnsiTheme="minorEastAsia" w:eastAsiaTheme="minorEastAsia"/>
          <w:color w:val="auto"/>
          <w:highlight w:val="none"/>
        </w:rPr>
        <w:t>本项目不接受联合体。</w:t>
      </w:r>
    </w:p>
    <w:p>
      <w:pPr>
        <w:ind w:firstLine="413" w:firstLineChars="196"/>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三、获取采购文件方式及要求：</w:t>
      </w:r>
    </w:p>
    <w:p>
      <w:pPr>
        <w:wordWrap w:val="0"/>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本项目不进行实名登记报名，拟参加投标的投标人可于投标截止时间前自行网上下载采购文件。</w:t>
      </w:r>
      <w:r>
        <w:rPr>
          <w:rFonts w:cs="宋体" w:asciiTheme="minorEastAsia" w:hAnsiTheme="minorEastAsia" w:eastAsiaTheme="minorEastAsia"/>
          <w:color w:val="auto"/>
          <w:szCs w:val="21"/>
          <w:highlight w:val="none"/>
        </w:rPr>
        <w:t>采购文件下载地址：</w:t>
      </w:r>
      <w:r>
        <w:rPr>
          <w:rFonts w:hint="eastAsia" w:cs="宋体" w:asciiTheme="minorEastAsia" w:hAnsiTheme="minorEastAsia" w:eastAsiaTheme="minorEastAsia"/>
          <w:color w:val="auto"/>
          <w:szCs w:val="21"/>
          <w:highlight w:val="none"/>
          <w:u w:val="single"/>
        </w:rPr>
        <w:t>中国招标投标公共服务平台（http://www.cebpubservice.com/）、东莞实业投资控股集团有限公司-招标采购栏目（http://www.dgsy.com.cn/）、广东东实环境股份有限公司官网—招标公告（http://www.dshuanbao.com.cn/）、</w:t>
      </w:r>
      <w:r>
        <w:rPr>
          <w:rFonts w:hint="eastAsia" w:cs="宋体" w:asciiTheme="minorEastAsia" w:hAnsiTheme="minorEastAsia" w:eastAsiaTheme="minorEastAsia"/>
          <w:color w:val="auto"/>
          <w:szCs w:val="21"/>
          <w:highlight w:val="none"/>
          <w:u w:val="single"/>
          <w:lang w:eastAsia="zh-CN"/>
        </w:rPr>
        <w:t>三方诚信招标有限网站</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u w:val="single"/>
          <w:lang w:eastAsia="zh-CN"/>
        </w:rPr>
        <w:t>http://www.sfcx.cn/</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rPr>
        <w:t>。</w:t>
      </w:r>
    </w:p>
    <w:p>
      <w:pPr>
        <w:ind w:firstLine="413" w:firstLineChars="196"/>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四、投标文件的递交</w:t>
      </w:r>
    </w:p>
    <w:p>
      <w:pPr>
        <w:ind w:firstLine="420" w:firstLineChars="200"/>
        <w:rPr>
          <w:rFonts w:ascii="宋体" w:hAnsi="宋体"/>
          <w:color w:val="auto"/>
          <w:szCs w:val="21"/>
          <w:highlight w:val="none"/>
        </w:rPr>
      </w:pPr>
      <w:r>
        <w:rPr>
          <w:rFonts w:hint="eastAsia" w:ascii="宋体" w:hAnsi="宋体"/>
          <w:color w:val="auto"/>
          <w:szCs w:val="21"/>
          <w:highlight w:val="none"/>
        </w:rPr>
        <w:t>1、递交投标文件时间：</w:t>
      </w: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9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8 </w:t>
      </w:r>
      <w:r>
        <w:rPr>
          <w:rFonts w:hint="eastAsia" w:ascii="宋体" w:hAnsi="宋体" w:cs="宋体"/>
          <w:color w:val="auto"/>
          <w:szCs w:val="21"/>
          <w:highlight w:val="none"/>
        </w:rPr>
        <w:t>日（</w:t>
      </w:r>
      <w:r>
        <w:rPr>
          <w:rFonts w:hint="eastAsia" w:ascii="宋体" w:hAnsi="宋体"/>
          <w:color w:val="auto"/>
          <w:szCs w:val="21"/>
          <w:highlight w:val="none"/>
        </w:rPr>
        <w:t>北京时间）</w:t>
      </w:r>
      <w:r>
        <w:rPr>
          <w:rFonts w:hint="eastAsia" w:ascii="宋体" w:hAnsi="宋体" w:cs="宋体"/>
          <w:color w:val="auto"/>
          <w:szCs w:val="21"/>
          <w:highlight w:val="none"/>
          <w:u w:val="single"/>
          <w:lang w:val="en-US" w:eastAsia="zh-CN"/>
        </w:rPr>
        <w:t>14</w:t>
      </w:r>
      <w:r>
        <w:rPr>
          <w:rFonts w:hint="eastAsia" w:ascii="宋体" w:hAnsi="宋体"/>
          <w:color w:val="auto"/>
          <w:szCs w:val="21"/>
          <w:highlight w:val="none"/>
        </w:rPr>
        <w:t>:</w:t>
      </w:r>
      <w:r>
        <w:rPr>
          <w:rFonts w:hint="eastAsia" w:ascii="宋体" w:hAnsi="宋体" w:cs="宋体"/>
          <w:color w:val="auto"/>
          <w:szCs w:val="21"/>
          <w:highlight w:val="none"/>
          <w:u w:val="single"/>
          <w:lang w:val="en-US" w:eastAsia="zh-CN"/>
        </w:rPr>
        <w:t>00</w:t>
      </w:r>
      <w:r>
        <w:rPr>
          <w:rFonts w:ascii="宋体" w:hAnsi="宋体"/>
          <w:color w:val="auto"/>
          <w:szCs w:val="21"/>
          <w:highlight w:val="none"/>
        </w:rPr>
        <w:t>-</w:t>
      </w:r>
      <w:r>
        <w:rPr>
          <w:rFonts w:hint="eastAsia" w:ascii="宋体" w:hAnsi="宋体" w:cs="宋体"/>
          <w:color w:val="auto"/>
          <w:szCs w:val="21"/>
          <w:highlight w:val="none"/>
          <w:u w:val="single"/>
          <w:lang w:val="en-US" w:eastAsia="zh-CN"/>
        </w:rPr>
        <w:t>14</w:t>
      </w:r>
      <w:r>
        <w:rPr>
          <w:rFonts w:hint="eastAsia" w:ascii="宋体" w:hAnsi="宋体"/>
          <w:color w:val="auto"/>
          <w:szCs w:val="21"/>
          <w:highlight w:val="none"/>
        </w:rPr>
        <w:t>:</w:t>
      </w:r>
      <w:r>
        <w:rPr>
          <w:rFonts w:hint="eastAsia" w:ascii="宋体" w:hAnsi="宋体" w:cs="宋体"/>
          <w:color w:val="auto"/>
          <w:szCs w:val="21"/>
          <w:highlight w:val="none"/>
          <w:u w:val="single"/>
          <w:lang w:val="en-US" w:eastAsia="zh-CN"/>
        </w:rPr>
        <w:t xml:space="preserve">30 </w:t>
      </w:r>
      <w:r>
        <w:rPr>
          <w:rFonts w:hint="eastAsia" w:ascii="宋体" w:hAnsi="宋体"/>
          <w:color w:val="auto"/>
          <w:szCs w:val="21"/>
          <w:highlight w:val="none"/>
        </w:rPr>
        <w:t>。</w:t>
      </w:r>
    </w:p>
    <w:p>
      <w:pPr>
        <w:ind w:firstLine="420" w:firstLineChars="200"/>
        <w:rPr>
          <w:rFonts w:ascii="宋体" w:hAnsi="宋体"/>
          <w:b/>
          <w:color w:val="auto"/>
          <w:szCs w:val="21"/>
          <w:highlight w:val="none"/>
        </w:rPr>
      </w:pPr>
      <w:r>
        <w:rPr>
          <w:rFonts w:hint="eastAsia" w:ascii="宋体" w:hAnsi="宋体"/>
          <w:color w:val="auto"/>
          <w:szCs w:val="21"/>
          <w:highlight w:val="none"/>
        </w:rPr>
        <w:t>2、递交投标文件</w:t>
      </w:r>
      <w:r>
        <w:rPr>
          <w:rFonts w:ascii="宋体" w:hAnsi="宋体"/>
          <w:color w:val="auto"/>
          <w:szCs w:val="21"/>
          <w:highlight w:val="none"/>
        </w:rPr>
        <w:t>截止</w:t>
      </w:r>
      <w:r>
        <w:rPr>
          <w:rFonts w:hint="eastAsia" w:ascii="宋体" w:hAnsi="宋体"/>
          <w:color w:val="auto"/>
          <w:szCs w:val="21"/>
          <w:highlight w:val="none"/>
        </w:rPr>
        <w:t>及开标时间：</w:t>
      </w: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9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8 </w:t>
      </w:r>
      <w:r>
        <w:rPr>
          <w:rFonts w:hint="eastAsia" w:ascii="宋体" w:hAnsi="宋体" w:cs="宋体"/>
          <w:color w:val="auto"/>
          <w:szCs w:val="21"/>
          <w:highlight w:val="none"/>
        </w:rPr>
        <w:t>日</w:t>
      </w:r>
      <w:r>
        <w:rPr>
          <w:rFonts w:hint="eastAsia" w:ascii="宋体" w:hAnsi="宋体"/>
          <w:color w:val="auto"/>
          <w:szCs w:val="21"/>
          <w:highlight w:val="none"/>
          <w:u w:val="single"/>
          <w:lang w:val="en-US" w:eastAsia="zh-CN"/>
        </w:rPr>
        <w:t>14</w:t>
      </w:r>
      <w:r>
        <w:rPr>
          <w:rFonts w:hint="eastAsia" w:ascii="宋体" w:hAnsi="宋体"/>
          <w:color w:val="auto"/>
          <w:szCs w:val="21"/>
          <w:highlight w:val="none"/>
        </w:rPr>
        <w:t>:</w:t>
      </w:r>
      <w:r>
        <w:rPr>
          <w:rFonts w:hint="eastAsia" w:ascii="宋体" w:hAnsi="宋体"/>
          <w:color w:val="auto"/>
          <w:szCs w:val="21"/>
          <w:highlight w:val="none"/>
          <w:u w:val="single"/>
          <w:lang w:val="en-US" w:eastAsia="zh-CN"/>
        </w:rPr>
        <w:t>30</w:t>
      </w:r>
      <w:r>
        <w:rPr>
          <w:rFonts w:hint="eastAsia" w:ascii="宋体" w:hAnsi="宋体"/>
          <w:color w:val="auto"/>
          <w:szCs w:val="21"/>
          <w:highlight w:val="none"/>
        </w:rPr>
        <w:t>（北京时间），所有投标文件应于截止时间之前递交，迟交或以电报、传真形式的投标文件将拒绝接收。</w:t>
      </w:r>
    </w:p>
    <w:p>
      <w:pPr>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开标地点</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eastAsia="zh-CN"/>
        </w:rPr>
        <w:t>广东省东莞市南城街道鸿福西路国际商会大厦</w:t>
      </w:r>
      <w:r>
        <w:rPr>
          <w:rFonts w:hint="eastAsia" w:asciiTheme="minorEastAsia" w:hAnsiTheme="minorEastAsia" w:eastAsiaTheme="minorEastAsia"/>
          <w:color w:val="auto"/>
          <w:szCs w:val="21"/>
          <w:highlight w:val="none"/>
          <w:u w:val="single"/>
          <w:lang w:val="en-US" w:eastAsia="zh-CN"/>
        </w:rPr>
        <w:t xml:space="preserve"> 601 </w:t>
      </w:r>
      <w:r>
        <w:rPr>
          <w:rFonts w:hint="eastAsia" w:asciiTheme="minorEastAsia" w:hAnsiTheme="minorEastAsia" w:eastAsiaTheme="minorEastAsia"/>
          <w:color w:val="auto"/>
          <w:szCs w:val="21"/>
          <w:highlight w:val="none"/>
          <w:lang w:eastAsia="zh-CN"/>
        </w:rPr>
        <w:t>室。</w:t>
      </w:r>
    </w:p>
    <w:p>
      <w:pPr>
        <w:ind w:firstLine="411" w:firstLineChars="196"/>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4、开标事宜：</w:t>
      </w:r>
      <w:r>
        <w:rPr>
          <w:rFonts w:hint="eastAsia" w:asciiTheme="minorEastAsia" w:hAnsiTheme="minorEastAsia" w:eastAsiaTheme="minorEastAsia"/>
          <w:b/>
          <w:bCs/>
          <w:color w:val="auto"/>
          <w:szCs w:val="21"/>
          <w:highlight w:val="none"/>
        </w:rPr>
        <w:t>届时请投标人的法定代表人或其授权代表务必携带有效身份证明出席开标会</w:t>
      </w:r>
      <w:r>
        <w:rPr>
          <w:rFonts w:hint="eastAsia" w:asciiTheme="minorEastAsia" w:hAnsiTheme="minorEastAsia" w:eastAsiaTheme="minorEastAsia"/>
          <w:bCs/>
          <w:color w:val="auto"/>
          <w:szCs w:val="21"/>
          <w:highlight w:val="none"/>
        </w:rPr>
        <w:t>。</w:t>
      </w:r>
    </w:p>
    <w:p>
      <w:pPr>
        <w:pStyle w:val="38"/>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5、出现以下情形时，采购代理机构不予接收投标（响应）文件：</w:t>
      </w:r>
    </w:p>
    <w:p>
      <w:pPr>
        <w:pStyle w:val="38"/>
        <w:spacing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ab/>
      </w:r>
      <w:r>
        <w:rPr>
          <w:rFonts w:hint="eastAsia" w:asciiTheme="minorEastAsia" w:hAnsiTheme="minorEastAsia" w:eastAsiaTheme="minorEastAsia"/>
          <w:color w:val="auto"/>
          <w:sz w:val="21"/>
          <w:szCs w:val="21"/>
          <w:highlight w:val="none"/>
        </w:rPr>
        <w:t>（1）逾期送达或者未送达指定地点的；</w:t>
      </w:r>
    </w:p>
    <w:p>
      <w:pPr>
        <w:pStyle w:val="38"/>
        <w:spacing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ab/>
      </w:r>
      <w:r>
        <w:rPr>
          <w:rFonts w:hint="eastAsia" w:asciiTheme="minorEastAsia" w:hAnsiTheme="minorEastAsia" w:eastAsiaTheme="minorEastAsia"/>
          <w:color w:val="auto"/>
          <w:sz w:val="21"/>
          <w:szCs w:val="21"/>
          <w:highlight w:val="none"/>
        </w:rPr>
        <w:t>（2）未按采购文件要求密封的。</w:t>
      </w:r>
    </w:p>
    <w:p>
      <w:pPr>
        <w:pStyle w:val="38"/>
        <w:ind w:firstLine="422"/>
        <w:rPr>
          <w:rFonts w:asciiTheme="minorEastAsia" w:hAnsiTheme="minorEastAsia" w:eastAsiaTheme="minorEastAsia" w:cstheme="minorBidi"/>
          <w:b/>
          <w:color w:val="auto"/>
          <w:sz w:val="21"/>
          <w:szCs w:val="21"/>
          <w:highlight w:val="none"/>
        </w:rPr>
      </w:pPr>
      <w:r>
        <w:rPr>
          <w:rFonts w:hint="eastAsia" w:asciiTheme="minorEastAsia" w:hAnsiTheme="minorEastAsia" w:eastAsiaTheme="minorEastAsia" w:cstheme="minorBidi"/>
          <w:b/>
          <w:color w:val="auto"/>
          <w:sz w:val="21"/>
          <w:szCs w:val="21"/>
          <w:highlight w:val="none"/>
        </w:rPr>
        <w:t>五</w:t>
      </w:r>
      <w:r>
        <w:rPr>
          <w:rFonts w:asciiTheme="minorEastAsia" w:hAnsiTheme="minorEastAsia" w:eastAsiaTheme="minorEastAsia" w:cstheme="minorBidi"/>
          <w:b/>
          <w:color w:val="auto"/>
          <w:sz w:val="21"/>
          <w:szCs w:val="21"/>
          <w:highlight w:val="none"/>
        </w:rPr>
        <w:t>、发布公告的媒介</w:t>
      </w:r>
    </w:p>
    <w:p>
      <w:pPr>
        <w:pStyle w:val="38"/>
        <w:spacing w:line="360" w:lineRule="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1、采购公告发布媒介：</w:t>
      </w:r>
    </w:p>
    <w:p>
      <w:pPr>
        <w:pStyle w:val="38"/>
        <w:spacing w:line="360" w:lineRule="auto"/>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u w:val="single"/>
        </w:rPr>
        <w:t>中国招标投标公共服务平台（http://www.cebpubservice.com/）、东莞实业投资控股集团有限公司-招标采购栏目（http://www.dgsy.com.cn/）、广东东实环境股份有限公司官网—招标公告（http://www.dshuanbao.com.cn/）、</w:t>
      </w:r>
      <w:r>
        <w:rPr>
          <w:rFonts w:hint="eastAsia" w:cs="宋体" w:asciiTheme="minorEastAsia" w:hAnsiTheme="minorEastAsia" w:eastAsiaTheme="minorEastAsia"/>
          <w:color w:val="auto"/>
          <w:sz w:val="21"/>
          <w:szCs w:val="21"/>
          <w:highlight w:val="none"/>
          <w:u w:val="single"/>
          <w:lang w:eastAsia="zh-CN"/>
        </w:rPr>
        <w:t>三方诚信招标有限网站</w:t>
      </w:r>
      <w:r>
        <w:rPr>
          <w:rFonts w:hint="eastAsia" w:cs="宋体" w:asciiTheme="minorEastAsia" w:hAnsiTheme="minorEastAsia" w:eastAsiaTheme="minorEastAsia"/>
          <w:color w:val="auto"/>
          <w:sz w:val="21"/>
          <w:szCs w:val="21"/>
          <w:highlight w:val="none"/>
          <w:u w:val="single"/>
        </w:rPr>
        <w:t>(</w:t>
      </w:r>
      <w:r>
        <w:rPr>
          <w:rFonts w:hint="eastAsia" w:cs="宋体" w:asciiTheme="minorEastAsia" w:hAnsiTheme="minorEastAsia" w:eastAsiaTheme="minorEastAsia"/>
          <w:color w:val="auto"/>
          <w:sz w:val="21"/>
          <w:szCs w:val="21"/>
          <w:highlight w:val="none"/>
          <w:u w:val="single"/>
          <w:lang w:eastAsia="zh-CN"/>
        </w:rPr>
        <w:t>http://www.sfcx.cn/</w:t>
      </w:r>
      <w:r>
        <w:rPr>
          <w:rFonts w:hint="eastAsia" w:cs="宋体" w:asciiTheme="minorEastAsia" w:hAnsiTheme="minorEastAsia" w:eastAsiaTheme="minorEastAsia"/>
          <w:color w:val="auto"/>
          <w:sz w:val="21"/>
          <w:szCs w:val="21"/>
          <w:highlight w:val="none"/>
          <w:u w:val="single"/>
        </w:rPr>
        <w:t>）</w:t>
      </w:r>
      <w:r>
        <w:rPr>
          <w:rFonts w:hint="eastAsia" w:cs="宋体" w:asciiTheme="minorEastAsia" w:hAnsiTheme="minorEastAsia" w:eastAsiaTheme="minorEastAsia"/>
          <w:color w:val="auto"/>
          <w:sz w:val="21"/>
          <w:szCs w:val="21"/>
          <w:highlight w:val="none"/>
        </w:rPr>
        <w:t>。</w:t>
      </w:r>
    </w:p>
    <w:p>
      <w:pPr>
        <w:pStyle w:val="38"/>
        <w:spacing w:line="360" w:lineRule="auto"/>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2、结果公告发布媒介：</w:t>
      </w:r>
    </w:p>
    <w:p>
      <w:pPr>
        <w:pStyle w:val="38"/>
        <w:spacing w:line="360" w:lineRule="auto"/>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color w:val="auto"/>
          <w:sz w:val="21"/>
          <w:szCs w:val="21"/>
          <w:highlight w:val="none"/>
        </w:rPr>
        <w:t>东莞实业投资控股集团有限公司-招标采购栏目（http://www.dgsy.com.cn/）。</w:t>
      </w:r>
    </w:p>
    <w:p>
      <w:pPr>
        <w:ind w:firstLine="413" w:firstLineChars="196"/>
        <w:rPr>
          <w:rFonts w:asciiTheme="minorEastAsia" w:hAnsiTheme="minorEastAsia" w:eastAsiaTheme="minorEastAsia"/>
          <w:bCs/>
          <w:color w:val="auto"/>
          <w:szCs w:val="21"/>
          <w:highlight w:val="none"/>
        </w:rPr>
      </w:pPr>
      <w:r>
        <w:rPr>
          <w:rFonts w:hint="eastAsia" w:asciiTheme="minorEastAsia" w:hAnsiTheme="minorEastAsia" w:eastAsiaTheme="minorEastAsia"/>
          <w:b/>
          <w:color w:val="auto"/>
          <w:szCs w:val="21"/>
          <w:highlight w:val="none"/>
        </w:rPr>
        <w:t>六、采购人及采购代理机构的名称、地址和联系方法：</w:t>
      </w:r>
    </w:p>
    <w:p>
      <w:pPr>
        <w:ind w:firstLine="420" w:firstLineChars="200"/>
        <w:rPr>
          <w:rFonts w:hint="eastAsia" w:asciiTheme="minorEastAsia" w:hAnsiTheme="minorEastAsia" w:eastAsiaTheme="minorEastAsia"/>
          <w:bCs/>
          <w:color w:val="auto"/>
          <w:szCs w:val="21"/>
          <w:highlight w:val="none"/>
          <w:lang w:eastAsia="zh-CN"/>
        </w:rPr>
      </w:pPr>
      <w:r>
        <w:rPr>
          <w:rFonts w:hint="eastAsia" w:asciiTheme="minorEastAsia" w:hAnsiTheme="minorEastAsia" w:eastAsiaTheme="minorEastAsia"/>
          <w:bCs/>
          <w:color w:val="auto"/>
          <w:szCs w:val="21"/>
          <w:highlight w:val="none"/>
        </w:rPr>
        <w:t>采购人</w:t>
      </w:r>
      <w:r>
        <w:rPr>
          <w:rFonts w:asciiTheme="minorEastAsia" w:hAnsiTheme="minorEastAsia" w:eastAsiaTheme="minorEastAsia"/>
          <w:bCs/>
          <w:color w:val="auto"/>
          <w:szCs w:val="21"/>
          <w:highlight w:val="none"/>
        </w:rPr>
        <w:t>名称</w:t>
      </w:r>
      <w:r>
        <w:rPr>
          <w:rFonts w:hint="eastAsia" w:asciiTheme="minorEastAsia" w:hAnsiTheme="minorEastAsia" w:eastAsiaTheme="minorEastAsia"/>
          <w:bCs/>
          <w:color w:val="auto"/>
          <w:szCs w:val="21"/>
          <w:highlight w:val="none"/>
        </w:rPr>
        <w:t>：</w:t>
      </w:r>
      <w:r>
        <w:rPr>
          <w:rFonts w:hint="eastAsia" w:asciiTheme="minorEastAsia" w:hAnsiTheme="minorEastAsia" w:eastAsiaTheme="minorEastAsia"/>
          <w:bCs/>
          <w:color w:val="auto"/>
          <w:szCs w:val="21"/>
          <w:highlight w:val="none"/>
          <w:lang w:eastAsia="zh-CN"/>
        </w:rPr>
        <w:t>东莞市新东元环保投资有限公司</w:t>
      </w:r>
    </w:p>
    <w:p>
      <w:pPr>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采购人联系人：徐小姐</w:t>
      </w:r>
    </w:p>
    <w:p>
      <w:pPr>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采购人地址：东莞市麻涌镇大步村海心沙岛</w:t>
      </w:r>
    </w:p>
    <w:p>
      <w:pPr>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采购人联系电话：</w:t>
      </w:r>
      <w:r>
        <w:rPr>
          <w:rFonts w:hint="eastAsia" w:asciiTheme="minorEastAsia" w:hAnsiTheme="minorEastAsia" w:eastAsiaTheme="minorEastAsia"/>
          <w:bCs/>
          <w:color w:val="auto"/>
          <w:szCs w:val="21"/>
          <w:highlight w:val="none"/>
          <w:lang w:eastAsia="zh-CN"/>
        </w:rPr>
        <w:t>0769-81219261-6010</w:t>
      </w:r>
    </w:p>
    <w:p>
      <w:pPr>
        <w:ind w:firstLine="420" w:firstLineChars="200"/>
        <w:rPr>
          <w:rFonts w:asciiTheme="minorEastAsia" w:hAnsiTheme="minorEastAsia" w:eastAsiaTheme="minorEastAsia"/>
          <w:color w:val="auto"/>
          <w:szCs w:val="21"/>
          <w:highlight w:val="none"/>
        </w:rPr>
      </w:pPr>
    </w:p>
    <w:p>
      <w:pPr>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采购代理机构名称：</w:t>
      </w:r>
      <w:r>
        <w:rPr>
          <w:rFonts w:hint="eastAsia" w:asciiTheme="minorEastAsia" w:hAnsiTheme="minorEastAsia" w:eastAsiaTheme="minorEastAsia"/>
          <w:color w:val="auto"/>
          <w:szCs w:val="21"/>
          <w:highlight w:val="none"/>
          <w:lang w:eastAsia="zh-CN"/>
        </w:rPr>
        <w:t>三方诚信招标有限公司东莞分公司</w:t>
      </w:r>
    </w:p>
    <w:p>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采购代理机构地址：</w:t>
      </w:r>
      <w:r>
        <w:rPr>
          <w:rFonts w:hint="eastAsia" w:asciiTheme="minorEastAsia" w:hAnsiTheme="minorEastAsia" w:eastAsiaTheme="minorEastAsia"/>
          <w:color w:val="auto"/>
          <w:szCs w:val="21"/>
          <w:highlight w:val="none"/>
          <w:lang w:eastAsia="zh-CN"/>
        </w:rPr>
        <w:t>广东省东莞市南城街道鸿福西路国际商会大厦706室</w:t>
      </w:r>
    </w:p>
    <w:p>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采购代理机构联系人：</w:t>
      </w:r>
      <w:r>
        <w:rPr>
          <w:rFonts w:hint="eastAsia" w:asciiTheme="minorEastAsia" w:hAnsiTheme="minorEastAsia" w:eastAsiaTheme="minorEastAsia"/>
          <w:color w:val="auto"/>
          <w:szCs w:val="21"/>
          <w:highlight w:val="none"/>
          <w:lang w:val="en-US" w:eastAsia="zh-CN"/>
        </w:rPr>
        <w:t>陈先生</w:t>
      </w:r>
    </w:p>
    <w:p>
      <w:pPr>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采购代理机构联系电话：</w:t>
      </w:r>
      <w:r>
        <w:rPr>
          <w:rFonts w:hint="eastAsia" w:asciiTheme="minorEastAsia" w:hAnsiTheme="minorEastAsia" w:eastAsiaTheme="minorEastAsia"/>
          <w:color w:val="auto"/>
          <w:szCs w:val="21"/>
          <w:highlight w:val="none"/>
          <w:lang w:eastAsia="zh-CN"/>
        </w:rPr>
        <w:t>0769-21682660</w:t>
      </w:r>
    </w:p>
    <w:p>
      <w:pPr>
        <w:ind w:firstLine="42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szCs w:val="21"/>
          <w:highlight w:val="none"/>
        </w:rPr>
        <w:t>采购代理机构邮箱：</w:t>
      </w:r>
      <w:r>
        <w:rPr>
          <w:rFonts w:hint="eastAsia" w:asciiTheme="minorEastAsia" w:hAnsiTheme="minorEastAsia" w:eastAsiaTheme="minorEastAsia"/>
          <w:color w:val="auto"/>
          <w:szCs w:val="21"/>
          <w:highlight w:val="none"/>
          <w:lang w:eastAsia="zh-CN"/>
        </w:rPr>
        <w:t>2726688173@qq.com</w:t>
      </w:r>
    </w:p>
    <w:p>
      <w:pPr>
        <w:ind w:right="752" w:rightChars="358"/>
        <w:jc w:val="right"/>
        <w:rPr>
          <w:rFonts w:hint="eastAsia" w:cs="宋体" w:asciiTheme="minorEastAsia" w:hAnsiTheme="minorEastAsia" w:eastAsiaTheme="minorEastAsia"/>
          <w:color w:val="auto"/>
          <w:szCs w:val="21"/>
          <w:highlight w:val="none"/>
          <w:lang w:eastAsia="zh-CN"/>
        </w:rPr>
      </w:pPr>
    </w:p>
    <w:p>
      <w:pPr>
        <w:ind w:right="752" w:rightChars="358"/>
        <w:jc w:val="right"/>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东莞市新东元环保投资有限公司</w:t>
      </w:r>
    </w:p>
    <w:p>
      <w:pPr>
        <w:ind w:right="752" w:rightChars="358"/>
        <w:jc w:val="right"/>
        <w:rPr>
          <w:rFonts w:hint="eastAsia" w:cs="宋体" w:asciiTheme="minorEastAsia" w:hAnsiTheme="minorEastAsia" w:eastAsiaTheme="minorEastAsia"/>
          <w:color w:val="auto"/>
          <w:szCs w:val="21"/>
          <w:highlight w:val="none"/>
          <w:lang w:eastAsia="zh-CN"/>
        </w:rPr>
      </w:pPr>
    </w:p>
    <w:p>
      <w:pPr>
        <w:ind w:right="752" w:rightChars="358"/>
        <w:jc w:val="right"/>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三方诚信招标有限公司东莞分公司</w:t>
      </w:r>
    </w:p>
    <w:p>
      <w:pPr>
        <w:ind w:right="752" w:rightChars="358"/>
        <w:jc w:val="right"/>
        <w:rPr>
          <w:rFonts w:hint="eastAsia" w:cs="宋体" w:asciiTheme="minorEastAsia" w:hAnsiTheme="minorEastAsia" w:eastAsiaTheme="minorEastAsia"/>
          <w:color w:val="auto"/>
          <w:szCs w:val="21"/>
          <w:highlight w:val="none"/>
        </w:rPr>
      </w:pPr>
    </w:p>
    <w:p>
      <w:pPr>
        <w:ind w:right="752" w:rightChars="358"/>
        <w:jc w:val="righ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2025</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lang w:val="en-US" w:eastAsia="zh-CN"/>
        </w:rPr>
        <w:t>8月18</w:t>
      </w:r>
      <w:bookmarkStart w:id="223" w:name="_GoBack"/>
      <w:bookmarkEnd w:id="223"/>
      <w:r>
        <w:rPr>
          <w:rFonts w:cs="宋体" w:asciiTheme="minorEastAsia" w:hAnsiTheme="minorEastAsia" w:eastAsiaTheme="minorEastAsia"/>
          <w:color w:val="auto"/>
          <w:szCs w:val="21"/>
          <w:highlight w:val="none"/>
        </w:rPr>
        <w:t>日</w:t>
      </w:r>
    </w:p>
    <w:p>
      <w:pPr>
        <w:ind w:left="6205" w:leftChars="2755" w:hanging="420" w:hangingChars="200"/>
        <w:rPr>
          <w:rFonts w:asciiTheme="minorEastAsia" w:hAnsiTheme="minorEastAsia" w:eastAsiaTheme="minorEastAsia"/>
          <w:color w:val="auto"/>
          <w:highlight w:val="none"/>
        </w:rPr>
      </w:pPr>
      <w:r>
        <w:rPr>
          <w:rFonts w:hint="eastAsia" w:cs="宋体" w:asciiTheme="minorEastAsia" w:hAnsiTheme="minorEastAsia" w:eastAsiaTheme="minorEastAsia"/>
          <w:color w:val="auto"/>
          <w:szCs w:val="21"/>
          <w:highlight w:val="none"/>
        </w:rPr>
        <w:br w:type="page"/>
      </w:r>
    </w:p>
    <w:p>
      <w:pPr>
        <w:pStyle w:val="3"/>
        <w:spacing w:before="0" w:after="0" w:line="240" w:lineRule="auto"/>
        <w:rPr>
          <w:rFonts w:asciiTheme="minorEastAsia" w:hAnsiTheme="minorEastAsia" w:eastAsiaTheme="minorEastAsia"/>
          <w:color w:val="auto"/>
          <w:sz w:val="28"/>
          <w:szCs w:val="28"/>
          <w:highlight w:val="none"/>
        </w:rPr>
      </w:pPr>
      <w:bookmarkStart w:id="3" w:name="_Toc160826259"/>
      <w:r>
        <w:rPr>
          <w:rFonts w:hint="eastAsia" w:asciiTheme="minorEastAsia" w:hAnsiTheme="minorEastAsia" w:eastAsiaTheme="minorEastAsia"/>
          <w:color w:val="auto"/>
          <w:sz w:val="28"/>
          <w:szCs w:val="28"/>
          <w:highlight w:val="none"/>
        </w:rPr>
        <w:t>第二部分相关资料表格</w:t>
      </w:r>
      <w:bookmarkEnd w:id="3"/>
    </w:p>
    <w:p>
      <w:pPr>
        <w:pStyle w:val="4"/>
        <w:ind w:left="210" w:right="210"/>
        <w:rPr>
          <w:color w:val="auto"/>
          <w:highlight w:val="none"/>
        </w:rPr>
      </w:pPr>
      <w:bookmarkStart w:id="4" w:name="_Toc160826260"/>
      <w:r>
        <w:rPr>
          <w:rFonts w:hint="eastAsia"/>
          <w:color w:val="auto"/>
          <w:highlight w:val="none"/>
        </w:rPr>
        <w:t>附表一：投标资料表</w:t>
      </w:r>
      <w:bookmarkEnd w:id="4"/>
    </w:p>
    <w:tbl>
      <w:tblPr>
        <w:tblStyle w:val="30"/>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997"/>
        <w:gridCol w:w="1611"/>
        <w:gridCol w:w="1296"/>
        <w:gridCol w:w="36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7532" w:type="dxa"/>
            <w:gridSpan w:val="4"/>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8410" w:type="dxa"/>
            <w:gridSpan w:val="5"/>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997" w:type="dxa"/>
            <w:tcBorders>
              <w:tl2br w:val="nil"/>
              <w:tr2bl w:val="nil"/>
            </w:tcBorders>
            <w:vAlign w:val="center"/>
          </w:tcPr>
          <w:p>
            <w:pPr>
              <w:jc w:val="center"/>
              <w:rPr>
                <w:rFonts w:asciiTheme="minorEastAsia" w:hAnsiTheme="minorEastAsia" w:eastAsiaTheme="minorEastAsia"/>
                <w:b/>
                <w:bCs/>
                <w:color w:val="auto"/>
                <w:sz w:val="13"/>
                <w:szCs w:val="13"/>
                <w:highlight w:val="none"/>
              </w:rPr>
            </w:pPr>
            <w:r>
              <w:rPr>
                <w:rFonts w:hint="eastAsia" w:asciiTheme="minorEastAsia" w:hAnsiTheme="minorEastAsia" w:eastAsiaTheme="minorEastAsia"/>
                <w:b/>
                <w:bCs/>
                <w:color w:val="auto"/>
                <w:szCs w:val="21"/>
                <w:highlight w:val="none"/>
              </w:rPr>
              <w:t>采购包号</w:t>
            </w:r>
          </w:p>
        </w:tc>
        <w:tc>
          <w:tcPr>
            <w:tcW w:w="2907" w:type="dxa"/>
            <w:gridSpan w:val="2"/>
            <w:tcBorders>
              <w:tl2br w:val="nil"/>
              <w:tr2bl w:val="nil"/>
            </w:tcBorders>
            <w:vAlign w:val="center"/>
          </w:tcPr>
          <w:p>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内容</w:t>
            </w:r>
          </w:p>
        </w:tc>
        <w:tc>
          <w:tcPr>
            <w:tcW w:w="3628" w:type="dxa"/>
            <w:tcBorders>
              <w:tl2br w:val="nil"/>
              <w:tr2bl w:val="nil"/>
            </w:tcBorders>
            <w:vAlign w:val="center"/>
          </w:tcPr>
          <w:p>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含税单项限价</w:t>
            </w:r>
            <w:r>
              <w:rPr>
                <w:rFonts w:hint="eastAsia" w:asciiTheme="minorEastAsia" w:hAnsiTheme="minorEastAsia" w:eastAsiaTheme="minorEastAsia"/>
                <w:b/>
                <w:bCs/>
                <w:color w:val="auto"/>
                <w:szCs w:val="21"/>
                <w:highlight w:val="none"/>
                <w:lang w:eastAsia="zh-CN"/>
              </w:rPr>
              <w:t>（</w:t>
            </w:r>
            <w:r>
              <w:rPr>
                <w:rFonts w:hint="eastAsia" w:asciiTheme="minorEastAsia" w:hAnsiTheme="minorEastAsia" w:eastAsiaTheme="minorEastAsia"/>
                <w:b/>
                <w:bCs/>
                <w:color w:val="auto"/>
                <w:szCs w:val="21"/>
                <w:highlight w:val="none"/>
              </w:rPr>
              <w:t>元/吨</w:t>
            </w:r>
            <w:r>
              <w:rPr>
                <w:rFonts w:hint="eastAsia" w:asciiTheme="minorEastAsia" w:hAnsiTheme="minorEastAsia" w:eastAsiaTheme="minorEastAsia"/>
                <w:b/>
                <w:bCs/>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997" w:type="dxa"/>
            <w:tcBorders>
              <w:tl2br w:val="nil"/>
              <w:tr2bl w:val="nil"/>
            </w:tcBorders>
            <w:vAlign w:val="center"/>
          </w:tcPr>
          <w:p>
            <w:pPr>
              <w:spacing w:line="240" w:lineRule="auto"/>
              <w:jc w:val="center"/>
              <w:rPr>
                <w:rFonts w:ascii="宋体" w:hAnsi="宋体" w:cs="宋体"/>
                <w:color w:val="auto"/>
                <w:szCs w:val="21"/>
                <w:highlight w:val="none"/>
              </w:rPr>
            </w:pPr>
            <w:r>
              <w:rPr>
                <w:rFonts w:ascii="宋体" w:hAnsi="宋体" w:cs="宋体"/>
                <w:color w:val="auto"/>
                <w:szCs w:val="21"/>
                <w:highlight w:val="none"/>
              </w:rPr>
              <w:t>A</w:t>
            </w:r>
          </w:p>
        </w:tc>
        <w:tc>
          <w:tcPr>
            <w:tcW w:w="2907" w:type="dxa"/>
            <w:gridSpan w:val="2"/>
            <w:tcBorders>
              <w:tl2br w:val="nil"/>
              <w:tr2bl w:val="nil"/>
            </w:tcBorders>
            <w:vAlign w:val="center"/>
          </w:tcPr>
          <w:p>
            <w:pPr>
              <w:adjustRightInd/>
              <w:snapToGrid/>
              <w:spacing w:line="24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活性炭</w:t>
            </w:r>
          </w:p>
        </w:tc>
        <w:tc>
          <w:tcPr>
            <w:tcW w:w="3628" w:type="dxa"/>
            <w:tcBorders>
              <w:tl2br w:val="nil"/>
              <w:tr2bl w:val="nil"/>
            </w:tcBorders>
            <w:vAlign w:val="center"/>
          </w:tcPr>
          <w:p>
            <w:pPr>
              <w:spacing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3,950.00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997" w:type="dxa"/>
            <w:vMerge w:val="restart"/>
            <w:tcBorders>
              <w:tl2br w:val="nil"/>
              <w:tr2bl w:val="nil"/>
            </w:tcBorders>
            <w:vAlign w:val="center"/>
          </w:tcPr>
          <w:p>
            <w:pPr>
              <w:spacing w:line="240" w:lineRule="auto"/>
              <w:jc w:val="center"/>
              <w:rPr>
                <w:rFonts w:ascii="宋体" w:hAnsi="宋体" w:cs="宋体"/>
                <w:color w:val="auto"/>
                <w:szCs w:val="21"/>
                <w:highlight w:val="none"/>
              </w:rPr>
            </w:pPr>
            <w:r>
              <w:rPr>
                <w:rFonts w:ascii="宋体" w:hAnsi="宋体" w:cs="宋体"/>
                <w:color w:val="auto"/>
                <w:szCs w:val="21"/>
                <w:highlight w:val="none"/>
              </w:rPr>
              <w:t>B</w:t>
            </w:r>
          </w:p>
        </w:tc>
        <w:tc>
          <w:tcPr>
            <w:tcW w:w="2907" w:type="dxa"/>
            <w:gridSpan w:val="2"/>
            <w:tcBorders>
              <w:tl2br w:val="nil"/>
              <w:tr2bl w:val="nil"/>
            </w:tcBorders>
            <w:vAlign w:val="center"/>
          </w:tcPr>
          <w:p>
            <w:pPr>
              <w:adjustRightInd/>
              <w:snapToGrid/>
              <w:spacing w:line="24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熟石灰（200目过筛）</w:t>
            </w:r>
          </w:p>
        </w:tc>
        <w:tc>
          <w:tcPr>
            <w:tcW w:w="3628" w:type="dxa"/>
            <w:tcBorders>
              <w:tl2br w:val="nil"/>
              <w:tr2bl w:val="nil"/>
            </w:tcBorders>
            <w:vAlign w:val="center"/>
          </w:tcPr>
          <w:p>
            <w:pPr>
              <w:spacing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532.00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997" w:type="dxa"/>
            <w:vMerge w:val="continue"/>
            <w:tcBorders>
              <w:tl2br w:val="nil"/>
              <w:tr2bl w:val="nil"/>
            </w:tcBorders>
            <w:vAlign w:val="center"/>
          </w:tcPr>
          <w:p>
            <w:pPr>
              <w:spacing w:line="240" w:lineRule="auto"/>
              <w:jc w:val="center"/>
              <w:rPr>
                <w:rFonts w:ascii="宋体" w:hAnsi="宋体" w:cs="宋体"/>
                <w:color w:val="auto"/>
                <w:szCs w:val="21"/>
                <w:highlight w:val="none"/>
              </w:rPr>
            </w:pPr>
          </w:p>
        </w:tc>
        <w:tc>
          <w:tcPr>
            <w:tcW w:w="2907" w:type="dxa"/>
            <w:gridSpan w:val="2"/>
            <w:tcBorders>
              <w:tl2br w:val="nil"/>
              <w:tr2bl w:val="nil"/>
            </w:tcBorders>
            <w:vAlign w:val="center"/>
          </w:tcPr>
          <w:p>
            <w:pPr>
              <w:adjustRightInd/>
              <w:snapToGrid/>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熟石灰（325目过筛）</w:t>
            </w:r>
          </w:p>
        </w:tc>
        <w:tc>
          <w:tcPr>
            <w:tcW w:w="3628" w:type="dxa"/>
            <w:tcBorders>
              <w:tl2br w:val="nil"/>
              <w:tr2bl w:val="nil"/>
            </w:tcBorders>
            <w:vAlign w:val="center"/>
          </w:tcPr>
          <w:p>
            <w:pPr>
              <w:spacing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537.00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7532" w:type="dxa"/>
            <w:gridSpan w:val="4"/>
            <w:tcBorders>
              <w:tl2br w:val="nil"/>
              <w:tr2bl w:val="nil"/>
            </w:tcBorders>
            <w:vAlign w:val="center"/>
          </w:tcPr>
          <w:p>
            <w:pP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发包方式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rPr>
                <w:rFonts w:asciiTheme="minorEastAsia" w:hAnsiTheme="minorEastAsia" w:eastAsiaTheme="minorEastAsia"/>
                <w:b/>
                <w:bCs/>
                <w:color w:val="auto"/>
                <w:szCs w:val="21"/>
                <w:highlight w:val="none"/>
              </w:rPr>
            </w:pPr>
            <w:r>
              <w:rPr>
                <w:rFonts w:hint="eastAsia" w:asciiTheme="minorEastAsia" w:hAnsiTheme="minorEastAsia" w:eastAsiaTheme="minorEastAsia"/>
                <w:color w:val="auto"/>
                <w:szCs w:val="21"/>
                <w:highlight w:val="none"/>
              </w:rPr>
              <w:sym w:font="Wingdings 2" w:char="00A3"/>
            </w:r>
            <w:r>
              <w:rPr>
                <w:rFonts w:hint="eastAsia" w:asciiTheme="minorEastAsia" w:hAnsiTheme="minorEastAsia" w:eastAsiaTheme="minorEastAsia"/>
                <w:b/>
                <w:bCs/>
                <w:color w:val="auto"/>
                <w:szCs w:val="21"/>
                <w:highlight w:val="none"/>
              </w:rPr>
              <w:t>固定总价包干；</w:t>
            </w:r>
          </w:p>
          <w:p>
            <w:pPr>
              <w:rPr>
                <w:rFonts w:asciiTheme="minorEastAsia" w:hAnsiTheme="minorEastAsia" w:eastAsiaTheme="minorEastAsia"/>
                <w:b/>
                <w:bCs/>
                <w:color w:val="auto"/>
                <w:szCs w:val="21"/>
                <w:highlight w:val="none"/>
              </w:rPr>
            </w:pPr>
            <w:r>
              <w:rPr>
                <w:rFonts w:ascii="Segoe UI Symbol" w:hAnsi="Segoe UI Symbol" w:cs="Segoe UI Symbol" w:eastAsiaTheme="minorEastAsia"/>
                <w:color w:val="auto"/>
                <w:szCs w:val="21"/>
                <w:highlight w:val="none"/>
              </w:rPr>
              <w:t>☑</w:t>
            </w:r>
            <w:r>
              <w:rPr>
                <w:rFonts w:hint="eastAsia" w:asciiTheme="minorEastAsia" w:hAnsiTheme="minorEastAsia" w:eastAsiaTheme="minorEastAsia"/>
                <w:b/>
                <w:bCs/>
                <w:color w:val="auto"/>
                <w:szCs w:val="21"/>
                <w:highlight w:val="none"/>
              </w:rPr>
              <w:t>固定单价暂定总价包干；</w:t>
            </w:r>
          </w:p>
          <w:p>
            <w:pPr>
              <w:rPr>
                <w:rFonts w:asciiTheme="minorEastAsia" w:hAnsiTheme="minorEastAsia" w:eastAsiaTheme="minorEastAsia"/>
                <w:b/>
                <w:bCs/>
                <w:color w:val="auto"/>
                <w:szCs w:val="21"/>
                <w:highlight w:val="none"/>
                <w:u w:val="single"/>
              </w:rPr>
            </w:pPr>
            <w:r>
              <w:rPr>
                <w:rFonts w:hint="eastAsia" w:asciiTheme="minorEastAsia" w:hAnsiTheme="minorEastAsia" w:eastAsiaTheme="minorEastAsia"/>
                <w:color w:val="auto"/>
                <w:szCs w:val="21"/>
                <w:highlight w:val="none"/>
              </w:rPr>
              <w:sym w:font="Wingdings 2" w:char="00A3"/>
            </w:r>
            <w:r>
              <w:rPr>
                <w:rFonts w:hint="eastAsia" w:asciiTheme="minorEastAsia" w:hAnsiTheme="minorEastAsia" w:eastAsiaTheme="minorEastAsia"/>
                <w:b/>
                <w:bCs/>
                <w:color w:val="auto"/>
                <w:szCs w:val="21"/>
                <w:highlight w:val="none"/>
              </w:rPr>
              <w:t>费率</w:t>
            </w:r>
            <w:r>
              <w:rPr>
                <w:rFonts w:hint="eastAsia" w:asciiTheme="minorEastAsia" w:hAnsiTheme="minorEastAsia" w:eastAsiaTheme="minorEastAsia"/>
                <w:b/>
                <w:bCs/>
                <w:color w:val="auto"/>
                <w:szCs w:val="21"/>
                <w:highlight w:val="none"/>
                <w:u w:val="single"/>
              </w:rPr>
              <w:t xml:space="preserve">         ；</w:t>
            </w:r>
          </w:p>
          <w:p>
            <w:pPr>
              <w:rPr>
                <w:rFonts w:asciiTheme="minorEastAsia" w:hAnsiTheme="minorEastAsia" w:eastAsiaTheme="minorEastAsia"/>
                <w:b/>
                <w:bCs/>
                <w:color w:val="auto"/>
                <w:szCs w:val="21"/>
                <w:highlight w:val="none"/>
              </w:rPr>
            </w:pPr>
            <w:r>
              <w:rPr>
                <w:rFonts w:hint="eastAsia" w:asciiTheme="minorEastAsia" w:hAnsiTheme="minorEastAsia" w:eastAsiaTheme="minorEastAsia"/>
                <w:color w:val="auto"/>
                <w:szCs w:val="21"/>
                <w:highlight w:val="none"/>
              </w:rPr>
              <w:sym w:font="Wingdings 2" w:char="00A3"/>
            </w:r>
            <w:r>
              <w:rPr>
                <w:rFonts w:hint="eastAsia" w:asciiTheme="minorEastAsia" w:hAnsiTheme="minorEastAsia" w:eastAsiaTheme="minorEastAsia"/>
                <w:b/>
                <w:bCs/>
                <w:color w:val="auto"/>
                <w:szCs w:val="21"/>
                <w:highlight w:val="none"/>
              </w:rPr>
              <w:t>其他</w:t>
            </w:r>
            <w:r>
              <w:rPr>
                <w:rFonts w:hint="eastAsia" w:asciiTheme="minorEastAsia" w:hAnsiTheme="minorEastAsia" w:eastAsiaTheme="minorEastAsia"/>
                <w:b/>
                <w:bCs/>
                <w:color w:val="auto"/>
                <w:szCs w:val="21"/>
                <w:highlight w:val="none"/>
                <w:u w:val="single"/>
              </w:rPr>
              <w:t xml:space="preserve">           </w:t>
            </w:r>
            <w:r>
              <w:rPr>
                <w:rFonts w:hint="eastAsia" w:asciiTheme="minorEastAsia" w:hAnsiTheme="minorEastAsia" w:eastAsiaTheme="minorEastAsia"/>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7532" w:type="dxa"/>
            <w:gridSpan w:val="4"/>
            <w:tcBorders>
              <w:tl2br w:val="nil"/>
              <w:tr2bl w:val="nil"/>
            </w:tcBorders>
            <w:vAlign w:val="center"/>
          </w:tcPr>
          <w:p>
            <w:pP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是否接受联合体投标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pStyle w:val="41"/>
              <w:ind w:firstLine="0" w:firstLineChars="0"/>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sym w:font="Wingdings 2" w:char="00A3"/>
            </w:r>
            <w:r>
              <w:rPr>
                <w:rFonts w:hint="eastAsia" w:cs="宋体" w:asciiTheme="minorEastAsia" w:hAnsiTheme="minorEastAsia" w:eastAsiaTheme="minorEastAsia"/>
                <w:color w:val="auto"/>
                <w:szCs w:val="21"/>
                <w:highlight w:val="none"/>
              </w:rPr>
              <w:t>是，</w:t>
            </w:r>
            <w:r>
              <w:rPr>
                <w:rFonts w:hint="eastAsia" w:asciiTheme="minorEastAsia" w:hAnsiTheme="minorEastAsia" w:eastAsiaTheme="minorEastAsia"/>
                <w:color w:val="auto"/>
                <w:szCs w:val="21"/>
                <w:highlight w:val="none"/>
              </w:rPr>
              <w:t>联合体投标的，应满足下列要求：</w:t>
            </w:r>
            <w:r>
              <w:rPr>
                <w:rFonts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pPr>
              <w:rPr>
                <w:rFonts w:asciiTheme="minorEastAsia" w:hAnsiTheme="minorEastAsia" w:eastAsiaTheme="minorEastAsia"/>
                <w:b/>
                <w:bCs/>
                <w:color w:val="auto"/>
                <w:szCs w:val="21"/>
                <w:highlight w:val="none"/>
              </w:rPr>
            </w:pPr>
            <w:r>
              <w:rPr>
                <w:rFonts w:ascii="Segoe UI Symbol" w:hAnsi="Segoe UI Symbol" w:cs="Segoe UI Symbol" w:eastAsiaTheme="minorEastAsia"/>
                <w:color w:val="auto"/>
                <w:szCs w:val="21"/>
                <w:highlight w:val="none"/>
              </w:rPr>
              <w:t>☑</w:t>
            </w:r>
            <w:r>
              <w:rPr>
                <w:rFonts w:hint="eastAsia" w:cs="宋体" w:asciiTheme="minorEastAsia" w:hAnsiTheme="minorEastAsia" w:eastAsiaTheme="minorEastAsia"/>
                <w:color w:val="auto"/>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7532" w:type="dxa"/>
            <w:gridSpan w:val="4"/>
            <w:tcBorders>
              <w:tl2br w:val="nil"/>
              <w:tr2bl w:val="nil"/>
            </w:tcBorders>
            <w:vAlign w:val="center"/>
          </w:tcPr>
          <w:p>
            <w:pP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资金来源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rPr>
                <w:rFonts w:asciiTheme="minorEastAsia" w:hAnsiTheme="minorEastAsia" w:eastAsiaTheme="minorEastAsia"/>
                <w:b/>
                <w:bCs/>
                <w:color w:val="auto"/>
                <w:szCs w:val="21"/>
                <w:highlight w:val="none"/>
              </w:rPr>
            </w:pPr>
            <w:r>
              <w:rPr>
                <w:rFonts w:hint="eastAsia" w:asciiTheme="minorEastAsia" w:hAnsiTheme="minorEastAsia" w:eastAsiaTheme="minorEastAsia"/>
                <w:color w:val="auto"/>
                <w:szCs w:val="21"/>
                <w:highlight w:val="none"/>
                <w:u w:val="singl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7532" w:type="dxa"/>
            <w:gridSpan w:val="4"/>
            <w:tcBorders>
              <w:tl2br w:val="nil"/>
              <w:tr2bl w:val="nil"/>
            </w:tcBorders>
            <w:vAlign w:val="center"/>
          </w:tcPr>
          <w:p>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踏勘现场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rPr>
                <w:rFonts w:asciiTheme="minorEastAsia" w:hAnsiTheme="minorEastAsia" w:eastAsiaTheme="minorEastAsia"/>
                <w:bCs/>
                <w:color w:val="auto"/>
                <w:szCs w:val="21"/>
                <w:highlight w:val="none"/>
              </w:rPr>
            </w:pPr>
            <w:r>
              <w:rPr>
                <w:rFonts w:ascii="Segoe UI Symbol" w:hAnsi="Segoe UI Symbol" w:cs="Segoe UI Symbol" w:eastAsiaTheme="minorEastAsia"/>
                <w:color w:val="auto"/>
                <w:szCs w:val="21"/>
                <w:highlight w:val="none"/>
              </w:rPr>
              <w:t>☑</w:t>
            </w:r>
            <w:r>
              <w:rPr>
                <w:rFonts w:hint="eastAsia" w:asciiTheme="minorEastAsia" w:hAnsiTheme="minorEastAsia" w:eastAsiaTheme="minorEastAsia"/>
                <w:bCs/>
                <w:color w:val="auto"/>
                <w:szCs w:val="21"/>
                <w:highlight w:val="none"/>
              </w:rPr>
              <w:t>不组织 。</w:t>
            </w:r>
          </w:p>
          <w:p>
            <w:pPr>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□组织，踏勘现场时间、地点：</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8410" w:type="dxa"/>
            <w:gridSpan w:val="5"/>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二、投标文件的编制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7532" w:type="dxa"/>
            <w:gridSpan w:val="4"/>
            <w:tcBorders>
              <w:tl2br w:val="nil"/>
              <w:tr2bl w:val="nil"/>
            </w:tcBorders>
            <w:vAlign w:val="center"/>
          </w:tcPr>
          <w:p>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投标语言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7532" w:type="dxa"/>
            <w:gridSpan w:val="4"/>
            <w:tcBorders>
              <w:tl2br w:val="nil"/>
              <w:tr2bl w:val="nil"/>
            </w:tcBorders>
            <w:vAlign w:val="center"/>
          </w:tcPr>
          <w:p>
            <w:pPr>
              <w:jc w:val="both"/>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详见投标人须知。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7532" w:type="dxa"/>
            <w:gridSpan w:val="4"/>
            <w:tcBorders>
              <w:tl2br w:val="nil"/>
              <w:tr2bl w:val="nil"/>
            </w:tcBorders>
            <w:vAlign w:val="center"/>
          </w:tcPr>
          <w:p>
            <w:pPr>
              <w:jc w:val="both"/>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219"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（1）投标保证金金额：</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241"/>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2" w:type="pct"/>
                  <w:vAlign w:val="center"/>
                </w:tcPr>
                <w:p>
                  <w:pPr>
                    <w:spacing w:line="24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采购包号</w:t>
                  </w:r>
                </w:p>
              </w:tc>
              <w:tc>
                <w:tcPr>
                  <w:tcW w:w="1500" w:type="pct"/>
                  <w:vAlign w:val="center"/>
                </w:tcPr>
                <w:p>
                  <w:pPr>
                    <w:spacing w:line="24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小写</w:t>
                  </w:r>
                </w:p>
              </w:tc>
              <w:tc>
                <w:tcPr>
                  <w:tcW w:w="2246" w:type="pct"/>
                  <w:vAlign w:val="center"/>
                </w:tcPr>
                <w:p>
                  <w:pPr>
                    <w:spacing w:line="24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vAlign w:val="center"/>
                </w:tcPr>
                <w:p>
                  <w:pPr>
                    <w:spacing w:line="240" w:lineRule="auto"/>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A</w:t>
                  </w:r>
                </w:p>
              </w:tc>
              <w:tc>
                <w:tcPr>
                  <w:tcW w:w="1500" w:type="pct"/>
                  <w:vAlign w:val="bottom"/>
                </w:tcPr>
                <w:p>
                  <w:pPr>
                    <w:spacing w:line="24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highlight w:val="none"/>
                      <w:lang w:val="en-US" w:eastAsia="zh-CN"/>
                    </w:rPr>
                    <w:t>55</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0</w:t>
                  </w:r>
                  <w:r>
                    <w:rPr>
                      <w:rFonts w:asciiTheme="minorEastAsia" w:hAnsiTheme="minorEastAsia" w:eastAsiaTheme="minorEastAsia"/>
                      <w:color w:val="auto"/>
                      <w:highlight w:val="none"/>
                    </w:rPr>
                    <w:t>00.00</w:t>
                  </w:r>
                </w:p>
              </w:tc>
              <w:tc>
                <w:tcPr>
                  <w:tcW w:w="2246" w:type="pct"/>
                  <w:vAlign w:val="bottom"/>
                </w:tcPr>
                <w:p>
                  <w:pPr>
                    <w:spacing w:line="24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人民币伍万伍仟</w:t>
                  </w:r>
                  <w:r>
                    <w:rPr>
                      <w:rFonts w:hint="eastAsia" w:asciiTheme="minorEastAsia" w:hAnsiTheme="minorEastAsia" w:eastAsiaTheme="minorEastAsia"/>
                      <w:color w:val="auto"/>
                      <w:szCs w:val="21"/>
                      <w:highlight w:val="none"/>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vAlign w:val="center"/>
                </w:tcPr>
                <w:p>
                  <w:pPr>
                    <w:spacing w:line="240" w:lineRule="auto"/>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B</w:t>
                  </w:r>
                </w:p>
              </w:tc>
              <w:tc>
                <w:tcPr>
                  <w:tcW w:w="1500" w:type="pct"/>
                  <w:vAlign w:val="bottom"/>
                </w:tcPr>
                <w:p>
                  <w:pPr>
                    <w:spacing w:line="24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highlight w:val="none"/>
                      <w:lang w:val="en-US" w:eastAsia="zh-CN"/>
                    </w:rPr>
                    <w:t>118</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0</w:t>
                  </w:r>
                  <w:r>
                    <w:rPr>
                      <w:rFonts w:asciiTheme="minorEastAsia" w:hAnsiTheme="minorEastAsia" w:eastAsiaTheme="minorEastAsia"/>
                      <w:color w:val="auto"/>
                      <w:highlight w:val="none"/>
                    </w:rPr>
                    <w:t>00.00</w:t>
                  </w:r>
                </w:p>
              </w:tc>
              <w:tc>
                <w:tcPr>
                  <w:tcW w:w="2246" w:type="pct"/>
                  <w:vAlign w:val="bottom"/>
                </w:tcPr>
                <w:p>
                  <w:pPr>
                    <w:spacing w:line="24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lang w:val="en-US" w:eastAsia="zh-CN"/>
                    </w:rPr>
                    <w:t>人民币壹拾壹万捌仟</w:t>
                  </w:r>
                  <w:r>
                    <w:rPr>
                      <w:rFonts w:hint="eastAsia" w:asciiTheme="minorEastAsia" w:hAnsiTheme="minorEastAsia" w:eastAsiaTheme="minorEastAsia"/>
                      <w:color w:val="auto"/>
                      <w:szCs w:val="21"/>
                      <w:highlight w:val="none"/>
                    </w:rPr>
                    <w:t>元整</w:t>
                  </w:r>
                </w:p>
              </w:tc>
            </w:tr>
          </w:tbl>
          <w:p>
            <w:pPr>
              <w:rPr>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tabs>
                <w:tab w:val="left" w:pos="567"/>
              </w:tabs>
              <w:jc w:val="both"/>
              <w:rPr>
                <w:rFonts w:asciiTheme="minorEastAsia" w:hAnsiTheme="minorEastAsia" w:eastAsiaTheme="minorEastAsia"/>
                <w:color w:val="auto"/>
                <w:kern w:val="2"/>
                <w:szCs w:val="21"/>
                <w:highlight w:val="none"/>
                <w:lang w:val="zh-CN"/>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kern w:val="2"/>
                <w:szCs w:val="21"/>
                <w:highlight w:val="none"/>
                <w:lang w:val="zh-CN"/>
              </w:rPr>
              <w:t>投标保证金采用转账、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pPr>
              <w:tabs>
                <w:tab w:val="left" w:pos="567"/>
              </w:tabs>
              <w:ind w:left="567" w:hanging="567"/>
              <w:jc w:val="both"/>
              <w:rPr>
                <w:rFonts w:asciiTheme="minorEastAsia" w:hAnsiTheme="minorEastAsia" w:eastAsiaTheme="minorEastAsia"/>
                <w:color w:val="auto"/>
                <w:kern w:val="2"/>
                <w:szCs w:val="21"/>
                <w:highlight w:val="none"/>
                <w:lang w:val="zh-CN"/>
              </w:rPr>
            </w:pPr>
            <w:r>
              <w:rPr>
                <w:rFonts w:hint="eastAsia" w:asciiTheme="minorEastAsia" w:hAnsiTheme="minorEastAsia" w:eastAsiaTheme="minorEastAsia"/>
                <w:color w:val="auto"/>
                <w:kern w:val="2"/>
                <w:szCs w:val="21"/>
                <w:highlight w:val="none"/>
                <w:lang w:val="zh-CN"/>
              </w:rPr>
              <w:t>投标保证金专用账户如下：</w:t>
            </w:r>
          </w:p>
          <w:p>
            <w:pPr>
              <w:tabs>
                <w:tab w:val="left" w:pos="567"/>
              </w:tabs>
              <w:ind w:firstLine="420" w:firstLineChars="200"/>
              <w:jc w:val="both"/>
              <w:rPr>
                <w:rFonts w:cs="宋体" w:asciiTheme="minorEastAsia" w:hAnsiTheme="minorEastAsia" w:eastAsiaTheme="minorEastAsia"/>
                <w:color w:val="auto"/>
                <w:kern w:val="2"/>
                <w:szCs w:val="21"/>
                <w:highlight w:val="none"/>
                <w:lang w:val="zh-CN"/>
              </w:rPr>
            </w:pPr>
            <w:r>
              <w:rPr>
                <w:rFonts w:hint="eastAsia" w:cs="宋体" w:asciiTheme="minorEastAsia" w:hAnsiTheme="minorEastAsia" w:eastAsiaTheme="minorEastAsia"/>
                <w:color w:val="auto"/>
                <w:kern w:val="2"/>
                <w:szCs w:val="21"/>
                <w:highlight w:val="none"/>
                <w:lang w:val="zh-CN"/>
              </w:rPr>
              <w:t>帐户名称：</w:t>
            </w:r>
            <w:r>
              <w:rPr>
                <w:rFonts w:hint="eastAsia" w:cs="宋体" w:asciiTheme="minorEastAsia" w:hAnsiTheme="minorEastAsia" w:eastAsiaTheme="minorEastAsia"/>
                <w:color w:val="auto"/>
                <w:kern w:val="2"/>
                <w:szCs w:val="21"/>
                <w:highlight w:val="none"/>
                <w:u w:val="single"/>
                <w:lang w:val="zh-CN"/>
              </w:rPr>
              <w:t>东莞市新东元环保投资有限公司</w:t>
            </w:r>
            <w:r>
              <w:rPr>
                <w:rFonts w:hint="eastAsia" w:cs="宋体" w:asciiTheme="minorEastAsia" w:hAnsiTheme="minorEastAsia" w:eastAsiaTheme="minorEastAsia"/>
                <w:color w:val="auto"/>
                <w:kern w:val="2"/>
                <w:szCs w:val="21"/>
                <w:highlight w:val="none"/>
                <w:lang w:val="zh-CN"/>
              </w:rPr>
              <w:t>；</w:t>
            </w:r>
          </w:p>
          <w:p>
            <w:pPr>
              <w:tabs>
                <w:tab w:val="left" w:pos="567"/>
              </w:tabs>
              <w:ind w:firstLine="420" w:firstLineChars="200"/>
              <w:jc w:val="both"/>
              <w:rPr>
                <w:rFonts w:cs="宋体" w:asciiTheme="minorEastAsia" w:hAnsiTheme="minorEastAsia" w:eastAsiaTheme="minorEastAsia"/>
                <w:color w:val="auto"/>
                <w:kern w:val="2"/>
                <w:szCs w:val="21"/>
                <w:highlight w:val="none"/>
                <w:lang w:val="zh-CN"/>
              </w:rPr>
            </w:pPr>
            <w:r>
              <w:rPr>
                <w:rFonts w:hint="eastAsia" w:cs="宋体" w:asciiTheme="minorEastAsia" w:hAnsiTheme="minorEastAsia" w:eastAsiaTheme="minorEastAsia"/>
                <w:color w:val="auto"/>
                <w:kern w:val="2"/>
                <w:szCs w:val="21"/>
                <w:highlight w:val="none"/>
                <w:lang w:val="zh-CN"/>
              </w:rPr>
              <w:t>开户银行：</w:t>
            </w:r>
            <w:r>
              <w:rPr>
                <w:rFonts w:hint="eastAsia" w:ascii="宋体" w:hAnsi="宋体" w:cs="宋体"/>
                <w:bCs/>
                <w:color w:val="auto"/>
                <w:sz w:val="21"/>
                <w:szCs w:val="21"/>
                <w:highlight w:val="none"/>
                <w:u w:val="single"/>
              </w:rPr>
              <w:t>中国银行股份有限公司东莞分行</w:t>
            </w:r>
            <w:r>
              <w:rPr>
                <w:rFonts w:hint="eastAsia" w:cs="宋体" w:asciiTheme="minorEastAsia" w:hAnsiTheme="minorEastAsia" w:eastAsiaTheme="minorEastAsia"/>
                <w:color w:val="auto"/>
                <w:kern w:val="2"/>
                <w:szCs w:val="21"/>
                <w:highlight w:val="none"/>
                <w:lang w:val="zh-CN"/>
              </w:rPr>
              <w:t>；</w:t>
            </w:r>
          </w:p>
          <w:p>
            <w:pPr>
              <w:tabs>
                <w:tab w:val="left" w:pos="567"/>
              </w:tabs>
              <w:ind w:firstLine="420" w:firstLineChars="200"/>
              <w:jc w:val="both"/>
              <w:rPr>
                <w:rFonts w:cs="宋体" w:asciiTheme="minorEastAsia" w:hAnsiTheme="minorEastAsia" w:eastAsiaTheme="minorEastAsia"/>
                <w:color w:val="auto"/>
                <w:kern w:val="2"/>
                <w:szCs w:val="21"/>
                <w:highlight w:val="none"/>
                <w:lang w:val="zh-CN"/>
              </w:rPr>
            </w:pPr>
            <w:r>
              <w:rPr>
                <w:rFonts w:hint="eastAsia" w:cs="宋体" w:asciiTheme="minorEastAsia" w:hAnsiTheme="minorEastAsia" w:eastAsiaTheme="minorEastAsia"/>
                <w:color w:val="auto"/>
                <w:kern w:val="2"/>
                <w:szCs w:val="21"/>
                <w:highlight w:val="none"/>
                <w:lang w:val="zh-CN"/>
              </w:rPr>
              <w:t>银行帐号：</w:t>
            </w:r>
            <w:r>
              <w:rPr>
                <w:rFonts w:ascii="宋体" w:hAnsi="宋体"/>
                <w:color w:val="auto"/>
                <w:sz w:val="21"/>
                <w:szCs w:val="21"/>
                <w:highlight w:val="none"/>
                <w:u w:val="single"/>
              </w:rPr>
              <w:t>669170104633</w:t>
            </w:r>
            <w:r>
              <w:rPr>
                <w:rFonts w:hint="eastAsia" w:cs="宋体" w:asciiTheme="minorEastAsia" w:hAnsiTheme="minorEastAsia" w:eastAsiaTheme="minorEastAsia"/>
                <w:color w:val="auto"/>
                <w:kern w:val="2"/>
                <w:szCs w:val="21"/>
                <w:highlight w:val="none"/>
                <w:lang w:val="zh-CN"/>
              </w:rPr>
              <w:t>；</w:t>
            </w:r>
          </w:p>
          <w:p>
            <w:pPr>
              <w:tabs>
                <w:tab w:val="left" w:pos="567"/>
              </w:tabs>
              <w:ind w:firstLine="422" w:firstLineChars="200"/>
              <w:jc w:val="both"/>
              <w:rPr>
                <w:rFonts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（注：各投标人在转账或电汇时须在用途栏上备注项目编号，及项目名称，如有字数限制项目名称可简写。）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w:t>
            </w:r>
          </w:p>
        </w:tc>
        <w:tc>
          <w:tcPr>
            <w:tcW w:w="7532" w:type="dxa"/>
            <w:gridSpan w:val="4"/>
            <w:tcBorders>
              <w:tl2br w:val="nil"/>
              <w:tr2bl w:val="nil"/>
            </w:tcBorders>
            <w:vAlign w:val="center"/>
          </w:tcPr>
          <w:p>
            <w:pPr>
              <w:jc w:val="both"/>
              <w:rPr>
                <w:rFonts w:asciiTheme="minorEastAsia" w:hAnsiTheme="minorEastAsia" w:eastAsiaTheme="minorEastAsia"/>
                <w:b/>
                <w:bCs/>
                <w:color w:val="auto"/>
                <w:szCs w:val="21"/>
                <w:highlight w:val="none"/>
                <w:lang w:val="zh-CN"/>
              </w:rPr>
            </w:pPr>
            <w:r>
              <w:rPr>
                <w:rFonts w:hint="eastAsia" w:asciiTheme="minorEastAsia" w:hAnsiTheme="minorEastAsia" w:eastAsiaTheme="minorEastAsia"/>
                <w:b/>
                <w:bCs/>
                <w:color w:val="auto"/>
                <w:szCs w:val="21"/>
                <w:highlight w:val="none"/>
                <w:lang w:val="zh-CN"/>
              </w:rPr>
              <w:t>投标保证金退还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jc w:val="both"/>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w:t>
            </w: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zh-CN"/>
              </w:rPr>
              <w:t>）未中标的投标人的保证金应当在中标通知书发出后退还，中标</w:t>
            </w:r>
            <w:r>
              <w:rPr>
                <w:rFonts w:hint="eastAsia" w:asciiTheme="minorEastAsia" w:hAnsiTheme="minorEastAsia" w:eastAsiaTheme="minorEastAsia"/>
                <w:color w:val="auto"/>
                <w:szCs w:val="21"/>
                <w:highlight w:val="none"/>
              </w:rPr>
              <w:t>的</w:t>
            </w:r>
            <w:r>
              <w:rPr>
                <w:rFonts w:hint="eastAsia" w:asciiTheme="minorEastAsia" w:hAnsiTheme="minorEastAsia" w:eastAsiaTheme="minorEastAsia"/>
                <w:color w:val="auto"/>
                <w:szCs w:val="21"/>
                <w:highlight w:val="none"/>
                <w:lang w:val="zh-CN"/>
              </w:rPr>
              <w:t>投标人的保证金应当在采购合同签订</w:t>
            </w:r>
            <w:r>
              <w:rPr>
                <w:rFonts w:hint="eastAsia" w:asciiTheme="minorEastAsia" w:hAnsiTheme="minorEastAsia" w:eastAsiaTheme="minorEastAsia"/>
                <w:color w:val="auto"/>
                <w:szCs w:val="21"/>
                <w:highlight w:val="none"/>
              </w:rPr>
              <w:t>并缴纳履约保证金</w:t>
            </w:r>
            <w:r>
              <w:rPr>
                <w:rFonts w:hint="eastAsia" w:asciiTheme="minorEastAsia" w:hAnsiTheme="minorEastAsia" w:eastAsiaTheme="minorEastAsia"/>
                <w:color w:val="auto"/>
                <w:szCs w:val="21"/>
                <w:highlight w:val="none"/>
                <w:lang w:val="zh-CN"/>
              </w:rPr>
              <w:t>后退还。</w:t>
            </w:r>
          </w:p>
          <w:p>
            <w:pPr>
              <w:jc w:val="both"/>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lang w:val="zh-CN"/>
              </w:rPr>
              <w:t>（</w:t>
            </w: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zh-CN"/>
              </w:rPr>
              <w:t>）为方便退还未中标的投标人的保证金，投标人应制作《投标保证金汇入情况说明》随唱标信封一并递交。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w:t>
            </w:r>
          </w:p>
        </w:tc>
        <w:tc>
          <w:tcPr>
            <w:tcW w:w="7532" w:type="dxa"/>
            <w:gridSpan w:val="4"/>
            <w:tcBorders>
              <w:tl2br w:val="nil"/>
              <w:tr2bl w:val="nil"/>
            </w:tcBorders>
            <w:vAlign w:val="center"/>
          </w:tcPr>
          <w:p>
            <w:pPr>
              <w:rPr>
                <w:rFonts w:asciiTheme="minorEastAsia" w:hAnsiTheme="minorEastAsia" w:eastAsiaTheme="minorEastAsia"/>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rPr>
              <w:t>报价方式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numPr>
                <w:ilvl w:val="255"/>
                <w:numId w:val="0"/>
              </w:num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用固定含税单价形式进行报价。各供应商对清单中其中一个包号或多个包号内容进行报价，含税单价报价不得超过最高含税单价限价；含税单价报价超过最高含税单价限价或未按要求进行报价，作无效报价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w:t>
            </w:r>
          </w:p>
        </w:tc>
        <w:tc>
          <w:tcPr>
            <w:tcW w:w="7532" w:type="dxa"/>
            <w:gridSpan w:val="4"/>
            <w:tcBorders>
              <w:tl2br w:val="nil"/>
              <w:tr2bl w:val="nil"/>
            </w:tcBorders>
            <w:vAlign w:val="center"/>
          </w:tcPr>
          <w:p>
            <w:pPr>
              <w:jc w:val="both"/>
              <w:rPr>
                <w:rFonts w:asciiTheme="minorEastAsia" w:hAnsiTheme="minorEastAsia" w:eastAsiaTheme="minorEastAsia"/>
                <w:color w:val="auto"/>
                <w:szCs w:val="21"/>
                <w:highlight w:val="none"/>
                <w:lang w:val="zh-CN"/>
              </w:rPr>
            </w:pPr>
            <w:r>
              <w:rPr>
                <w:rFonts w:hint="eastAsia" w:ascii="宋体" w:hAnsi="宋体"/>
                <w:b/>
                <w:bCs/>
                <w:color w:val="auto"/>
                <w:szCs w:val="21"/>
                <w:highlight w:val="none"/>
              </w:rPr>
              <w:t>中标方式及推荐原则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jc w:val="both"/>
              <w:rPr>
                <w:rFonts w:ascii="宋体" w:hAnsi="宋体"/>
                <w:color w:val="auto"/>
                <w:szCs w:val="21"/>
                <w:highlight w:val="none"/>
              </w:rPr>
            </w:pPr>
            <w:r>
              <w:rPr>
                <w:rFonts w:hint="eastAsia" w:ascii="宋体" w:hAnsi="宋体"/>
                <w:color w:val="auto"/>
                <w:szCs w:val="21"/>
                <w:highlight w:val="none"/>
              </w:rPr>
              <w:t>本项目按包A、B顺序进行评审，</w:t>
            </w:r>
            <w:r>
              <w:rPr>
                <w:rFonts w:hint="eastAsia" w:ascii="宋体" w:hAnsi="宋体"/>
                <w:color w:val="auto"/>
                <w:szCs w:val="21"/>
                <w:highlight w:val="none"/>
                <w:lang w:val="en-US" w:eastAsia="zh-CN"/>
              </w:rPr>
              <w:t>每个包组按投标报价（暂定总价）由</w:t>
            </w:r>
            <w:r>
              <w:rPr>
                <w:rFonts w:hint="eastAsia" w:ascii="宋体" w:hAnsi="宋体"/>
                <w:color w:val="auto"/>
                <w:szCs w:val="21"/>
                <w:highlight w:val="none"/>
              </w:rPr>
              <w:t>低</w:t>
            </w:r>
            <w:r>
              <w:rPr>
                <w:rFonts w:hint="eastAsia" w:ascii="宋体" w:hAnsi="宋体"/>
                <w:color w:val="auto"/>
                <w:szCs w:val="21"/>
                <w:highlight w:val="none"/>
                <w:lang w:val="en-US" w:eastAsia="zh-CN"/>
              </w:rPr>
              <w:t>到高排序，</w:t>
            </w:r>
            <w:r>
              <w:rPr>
                <w:rFonts w:hint="eastAsia" w:ascii="宋体" w:hAnsi="宋体"/>
                <w:color w:val="auto"/>
                <w:szCs w:val="21"/>
                <w:highlight w:val="none"/>
              </w:rPr>
              <w:t>每个包组各推荐3名中标候选人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排名第一的中标候选人</w:t>
            </w:r>
            <w:r>
              <w:rPr>
                <w:rFonts w:hint="eastAsia" w:ascii="宋体" w:hAnsi="宋体"/>
                <w:color w:val="auto"/>
                <w:szCs w:val="21"/>
                <w:highlight w:val="none"/>
              </w:rPr>
              <w:t>为中标人。</w:t>
            </w:r>
          </w:p>
          <w:p>
            <w:pPr>
              <w:jc w:val="both"/>
              <w:rPr>
                <w:rFonts w:asciiTheme="minorEastAsia" w:hAnsiTheme="minorEastAsia" w:eastAsiaTheme="minorEastAsia"/>
                <w:color w:val="auto"/>
                <w:szCs w:val="21"/>
                <w:highlight w:val="none"/>
                <w:lang w:val="zh-CN"/>
              </w:rPr>
            </w:pPr>
            <w:r>
              <w:rPr>
                <w:rFonts w:hint="eastAsia" w:ascii="宋体" w:hAnsi="宋体"/>
                <w:color w:val="auto"/>
                <w:szCs w:val="21"/>
                <w:highlight w:val="none"/>
              </w:rPr>
              <w:t>如出现统一</w:t>
            </w:r>
            <w:r>
              <w:rPr>
                <w:rFonts w:hint="eastAsia" w:ascii="宋体" w:hAnsi="宋体"/>
                <w:color w:val="auto"/>
                <w:szCs w:val="21"/>
                <w:highlight w:val="none"/>
                <w:lang w:val="en-US" w:eastAsia="zh-CN"/>
              </w:rPr>
              <w:t>投标报价（暂定总价）</w:t>
            </w:r>
            <w:r>
              <w:rPr>
                <w:rFonts w:hint="eastAsia" w:ascii="宋体" w:hAnsi="宋体"/>
                <w:color w:val="auto"/>
                <w:szCs w:val="21"/>
                <w:highlight w:val="none"/>
              </w:rPr>
              <w:t>一致的情况，则采用随机抽取的方法，确定报价排序。抽取方法及具体步骤：①确定球数及球号：按报价一致的投标人家数确定球数，并按1、2、3、4……的顺序编号；②确定编号：按投标人签到的先后顺序对报价一致的投标人进行编号，如1、2、3、4……；③将球放入不透明的抽签箱中；④由评标委员会组长进行抽取，优先抽取出的球号对应的投标人报价排序在前，后续抽取出的球号对应的投标人报价排序在后，以此类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w:t>
            </w:r>
          </w:p>
        </w:tc>
        <w:tc>
          <w:tcPr>
            <w:tcW w:w="7532" w:type="dxa"/>
            <w:gridSpan w:val="4"/>
            <w:tcBorders>
              <w:tl2br w:val="nil"/>
              <w:tr2bl w:val="nil"/>
            </w:tcBorders>
            <w:vAlign w:val="center"/>
          </w:tcPr>
          <w:p>
            <w:pPr>
              <w:jc w:val="both"/>
              <w:rPr>
                <w:rFonts w:asciiTheme="minorEastAsia" w:hAnsiTheme="minorEastAsia" w:eastAsiaTheme="minorEastAsia"/>
                <w:color w:val="auto"/>
                <w:szCs w:val="21"/>
                <w:highlight w:val="none"/>
                <w:lang w:val="zh-CN"/>
              </w:rPr>
            </w:pPr>
            <w:r>
              <w:rPr>
                <w:rFonts w:hint="eastAsia" w:ascii="宋体" w:hAnsi="宋体"/>
                <w:b/>
                <w:bCs/>
                <w:color w:val="auto"/>
                <w:szCs w:val="21"/>
                <w:highlight w:val="none"/>
              </w:rPr>
              <w:t>投标文件的制作及提交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jc w:val="both"/>
              <w:rPr>
                <w:rFonts w:ascii="宋体" w:hAnsi="宋体"/>
                <w:b/>
                <w:bCs/>
                <w:color w:val="auto"/>
                <w:szCs w:val="21"/>
                <w:highlight w:val="none"/>
              </w:rPr>
            </w:pPr>
            <w:r>
              <w:rPr>
                <w:rFonts w:hint="eastAsia" w:ascii="宋体" w:hAnsi="宋体"/>
                <w:color w:val="auto"/>
                <w:szCs w:val="21"/>
                <w:highlight w:val="none"/>
              </w:rPr>
              <w:t>投标人如同时投取本项目多个包组的，应当按照采购文件要求分别制作对应包组的投标文件，分包组提交投标文件。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w:t>
            </w:r>
          </w:p>
        </w:tc>
        <w:tc>
          <w:tcPr>
            <w:tcW w:w="7532" w:type="dxa"/>
            <w:gridSpan w:val="4"/>
            <w:tcBorders>
              <w:tl2br w:val="nil"/>
              <w:tr2bl w:val="nil"/>
            </w:tcBorders>
            <w:vAlign w:val="center"/>
          </w:tcPr>
          <w:p>
            <w:pPr>
              <w:jc w:val="both"/>
              <w:rPr>
                <w:rFonts w:ascii="宋体" w:hAnsi="宋体"/>
                <w:color w:val="auto"/>
                <w:szCs w:val="21"/>
                <w:highlight w:val="none"/>
              </w:rPr>
            </w:pPr>
            <w:r>
              <w:rPr>
                <w:rFonts w:hint="eastAsia" w:ascii="宋体" w:hAnsi="宋体"/>
                <w:b/>
                <w:bCs/>
                <w:color w:val="auto"/>
                <w:szCs w:val="21"/>
                <w:highlight w:val="none"/>
              </w:rPr>
              <w:t>实质性响应要求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jc w:val="both"/>
              <w:rPr>
                <w:rFonts w:ascii="宋体" w:hAnsi="宋体"/>
                <w:color w:val="auto"/>
                <w:szCs w:val="21"/>
                <w:highlight w:val="none"/>
              </w:rPr>
            </w:pPr>
            <w:r>
              <w:rPr>
                <w:rFonts w:hint="eastAsia" w:ascii="宋体" w:hAnsi="宋体"/>
                <w:color w:val="auto"/>
                <w:szCs w:val="21"/>
                <w:highlight w:val="none"/>
              </w:rPr>
              <w:t>本项目用户需求书标注有“★”为实质性响应条款，投标人应当按用户需求书要求进行响应或提供具体证明材料。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w:t>
            </w:r>
          </w:p>
        </w:tc>
        <w:tc>
          <w:tcPr>
            <w:tcW w:w="7532" w:type="dxa"/>
            <w:gridSpan w:val="4"/>
            <w:tcBorders>
              <w:tl2br w:val="nil"/>
              <w:tr2bl w:val="nil"/>
            </w:tcBorders>
            <w:vAlign w:val="center"/>
          </w:tcPr>
          <w:p>
            <w:pPr>
              <w:jc w:val="both"/>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jc w:val="both"/>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九十天。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w:t>
            </w:r>
          </w:p>
        </w:tc>
        <w:tc>
          <w:tcPr>
            <w:tcW w:w="7532" w:type="dxa"/>
            <w:gridSpan w:val="4"/>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2608" w:type="dxa"/>
            <w:gridSpan w:val="2"/>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投标文件类型</w:t>
            </w:r>
          </w:p>
        </w:tc>
        <w:tc>
          <w:tcPr>
            <w:tcW w:w="4924" w:type="dxa"/>
            <w:gridSpan w:val="2"/>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份数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2608" w:type="dxa"/>
            <w:gridSpan w:val="2"/>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唱标信封</w:t>
            </w:r>
          </w:p>
        </w:tc>
        <w:tc>
          <w:tcPr>
            <w:tcW w:w="4924" w:type="dxa"/>
            <w:gridSpan w:val="2"/>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2608" w:type="dxa"/>
            <w:gridSpan w:val="2"/>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投标文件正本</w:t>
            </w:r>
          </w:p>
        </w:tc>
        <w:tc>
          <w:tcPr>
            <w:tcW w:w="4924" w:type="dxa"/>
            <w:gridSpan w:val="2"/>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2608" w:type="dxa"/>
            <w:gridSpan w:val="2"/>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投标文件副本</w:t>
            </w:r>
          </w:p>
        </w:tc>
        <w:tc>
          <w:tcPr>
            <w:tcW w:w="4924" w:type="dxa"/>
            <w:gridSpan w:val="2"/>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sym w:font="Wingdings 2" w:char="0052"/>
            </w:r>
            <w:r>
              <w:rPr>
                <w:rFonts w:hint="eastAsia" w:asciiTheme="minorEastAsia" w:hAnsiTheme="minorEastAsia" w:eastAsiaTheme="minorEastAsia"/>
                <w:b/>
                <w:color w:val="auto"/>
                <w:szCs w:val="21"/>
                <w:highlight w:val="none"/>
              </w:rPr>
              <w:t xml:space="preserve">5  </w:t>
            </w:r>
            <w:r>
              <w:rPr>
                <w:rFonts w:hint="eastAsia" w:ascii="Segoe UI Symbol" w:hAnsi="Segoe UI Symbol" w:cs="Segoe UI Symbol" w:eastAsiaTheme="minorEastAsia"/>
                <w:b/>
                <w:color w:val="auto"/>
                <w:szCs w:val="21"/>
                <w:highlight w:val="none"/>
              </w:rPr>
              <w:t>□</w:t>
            </w:r>
            <w:r>
              <w:rPr>
                <w:rFonts w:hint="eastAsia" w:asciiTheme="minorEastAsia" w:hAnsiTheme="minorEastAsia" w:eastAsiaTheme="minorEastAsia"/>
                <w:b/>
                <w:color w:val="auto"/>
                <w:szCs w:val="21"/>
                <w:highlight w:val="none"/>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2608" w:type="dxa"/>
            <w:gridSpan w:val="2"/>
            <w:vMerge w:val="restart"/>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电子文档</w:t>
            </w:r>
          </w:p>
        </w:tc>
        <w:tc>
          <w:tcPr>
            <w:tcW w:w="4924" w:type="dxa"/>
            <w:gridSpan w:val="2"/>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2608" w:type="dxa"/>
            <w:gridSpan w:val="2"/>
            <w:vMerge w:val="continue"/>
            <w:tcBorders>
              <w:tl2br w:val="nil"/>
              <w:tr2bl w:val="nil"/>
            </w:tcBorders>
            <w:vAlign w:val="center"/>
          </w:tcPr>
          <w:p>
            <w:pPr>
              <w:jc w:val="center"/>
              <w:rPr>
                <w:rFonts w:asciiTheme="minorEastAsia" w:hAnsiTheme="minorEastAsia" w:eastAsiaTheme="minorEastAsia"/>
                <w:b/>
                <w:color w:val="auto"/>
                <w:szCs w:val="21"/>
                <w:highlight w:val="none"/>
              </w:rPr>
            </w:pPr>
          </w:p>
        </w:tc>
        <w:tc>
          <w:tcPr>
            <w:tcW w:w="4924" w:type="dxa"/>
            <w:gridSpan w:val="2"/>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U盘，须含盖章版PDF投标文件和WORD版投标文件各一版，文字采用WORD文档，计算表格采用 EXCEL文档。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410" w:type="dxa"/>
            <w:gridSpan w:val="5"/>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三、开标与评标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w:t>
            </w:r>
          </w:p>
        </w:tc>
        <w:tc>
          <w:tcPr>
            <w:tcW w:w="7532" w:type="dxa"/>
            <w:gridSpan w:val="4"/>
            <w:tcBorders>
              <w:tl2br w:val="nil"/>
              <w:tr2bl w:val="nil"/>
            </w:tcBorders>
            <w:vAlign w:val="center"/>
          </w:tcPr>
          <w:p>
            <w:pPr>
              <w:jc w:val="both"/>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本项目评标方法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jc w:val="both"/>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最低评标价法。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w:t>
            </w:r>
          </w:p>
        </w:tc>
        <w:tc>
          <w:tcPr>
            <w:tcW w:w="7532" w:type="dxa"/>
            <w:gridSpan w:val="4"/>
            <w:tcBorders>
              <w:tl2br w:val="nil"/>
              <w:tr2bl w:val="nil"/>
            </w:tcBorders>
            <w:vAlign w:val="center"/>
          </w:tcPr>
          <w:p>
            <w:pPr>
              <w:rPr>
                <w:rFonts w:ascii="宋体" w:hAnsi="宋体"/>
                <w:b/>
                <w:color w:val="auto"/>
                <w:szCs w:val="21"/>
                <w:highlight w:val="none"/>
              </w:rPr>
            </w:pPr>
            <w:r>
              <w:rPr>
                <w:rFonts w:hint="eastAsia" w:ascii="宋体" w:hAnsi="宋体"/>
                <w:b/>
                <w:color w:val="auto"/>
                <w:szCs w:val="21"/>
                <w:highlight w:val="none"/>
              </w:rPr>
              <w:t>最低评标价法，是指投标文件满足采购文件全部实质性要求：</w:t>
            </w:r>
          </w:p>
          <w:p>
            <w:pPr>
              <w:rPr>
                <w:rFonts w:asciiTheme="minorEastAsia" w:hAnsiTheme="minorEastAsia" w:eastAsiaTheme="minorEastAsia"/>
                <w:b/>
                <w:color w:val="auto"/>
                <w:szCs w:val="21"/>
                <w:highlight w:val="none"/>
              </w:rPr>
            </w:pPr>
            <w:r>
              <w:rPr>
                <w:rFonts w:hint="eastAsia" w:ascii="宋体" w:hAnsi="宋体"/>
                <w:b/>
                <w:color w:val="auto"/>
                <w:szCs w:val="21"/>
                <w:highlight w:val="none"/>
                <w:lang w:val="en-US" w:eastAsia="zh-CN"/>
              </w:rPr>
              <w:t>投标报价（暂定总价）</w:t>
            </w:r>
            <w:r>
              <w:rPr>
                <w:rFonts w:hint="eastAsia" w:ascii="宋体" w:hAnsi="宋体"/>
                <w:b/>
                <w:color w:val="auto"/>
                <w:szCs w:val="21"/>
                <w:highlight w:val="none"/>
              </w:rPr>
              <w:t>最低的投标人为中标候选人的评标方法。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jc w:val="both"/>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w:t>
            </w:r>
          </w:p>
        </w:tc>
        <w:tc>
          <w:tcPr>
            <w:tcW w:w="7532" w:type="dxa"/>
            <w:gridSpan w:val="4"/>
            <w:tcBorders>
              <w:tl2br w:val="nil"/>
              <w:tr2bl w:val="nil"/>
            </w:tcBorders>
            <w:vAlign w:val="center"/>
          </w:tcPr>
          <w:p>
            <w:pPr>
              <w:jc w:val="both"/>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评标委员会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评标委员会成员共</w:t>
            </w:r>
            <w:r>
              <w:rPr>
                <w:rFonts w:hint="eastAsia" w:asciiTheme="minorEastAsia" w:hAnsiTheme="minorEastAsia" w:eastAsiaTheme="minorEastAsia"/>
                <w:color w:val="auto"/>
                <w:szCs w:val="21"/>
                <w:highlight w:val="none"/>
                <w:u w:val="single"/>
              </w:rPr>
              <w:t xml:space="preserve"> 5 </w:t>
            </w:r>
            <w:r>
              <w:rPr>
                <w:rFonts w:hint="eastAsia" w:asciiTheme="minorEastAsia" w:hAnsiTheme="minorEastAsia" w:eastAsiaTheme="minorEastAsia"/>
                <w:color w:val="auto"/>
                <w:szCs w:val="21"/>
                <w:highlight w:val="none"/>
              </w:rPr>
              <w:t>人：</w:t>
            </w:r>
            <w:r>
              <w:rPr>
                <w:rFonts w:hint="eastAsia" w:asciiTheme="minorEastAsia" w:hAnsiTheme="minorEastAsia" w:eastAsiaTheme="minorEastAsia"/>
                <w:color w:val="auto"/>
                <w:szCs w:val="21"/>
                <w:highlight w:val="none"/>
                <w:lang w:val="zh-CN"/>
              </w:rPr>
              <w:t>评标委员会由采购人</w:t>
            </w:r>
            <w:r>
              <w:rPr>
                <w:rFonts w:hint="eastAsia" w:asciiTheme="minorEastAsia" w:hAnsiTheme="minorEastAsia" w:eastAsiaTheme="minorEastAsia"/>
                <w:color w:val="auto"/>
                <w:szCs w:val="21"/>
                <w:highlight w:val="none"/>
              </w:rPr>
              <w:t>的</w:t>
            </w:r>
            <w:r>
              <w:rPr>
                <w:rFonts w:hint="eastAsia" w:asciiTheme="minorEastAsia" w:hAnsiTheme="minorEastAsia" w:eastAsiaTheme="minorEastAsia"/>
                <w:color w:val="auto"/>
                <w:szCs w:val="21"/>
                <w:highlight w:val="none"/>
                <w:lang w:val="zh-CN"/>
              </w:rPr>
              <w:t>代表和</w:t>
            </w:r>
            <w:r>
              <w:rPr>
                <w:rFonts w:hint="eastAsia" w:asciiTheme="minorEastAsia" w:hAnsiTheme="minorEastAsia" w:eastAsiaTheme="minorEastAsia"/>
                <w:color w:val="auto"/>
                <w:szCs w:val="21"/>
                <w:highlight w:val="none"/>
              </w:rPr>
              <w:t>有关方面的</w:t>
            </w:r>
            <w:r>
              <w:rPr>
                <w:rFonts w:hint="eastAsia" w:asciiTheme="minorEastAsia" w:hAnsiTheme="minorEastAsia" w:eastAsiaTheme="minorEastAsia"/>
                <w:color w:val="auto"/>
                <w:szCs w:val="21"/>
                <w:highlight w:val="none"/>
                <w:lang w:val="zh-CN"/>
              </w:rPr>
              <w:t>专家组成，</w:t>
            </w:r>
            <w:r>
              <w:rPr>
                <w:rFonts w:hint="eastAsia" w:asciiTheme="minorEastAsia" w:hAnsiTheme="minorEastAsia" w:eastAsiaTheme="minorEastAsia"/>
                <w:color w:val="auto"/>
                <w:szCs w:val="21"/>
                <w:highlight w:val="none"/>
              </w:rPr>
              <w:t>成员人数为五人或五人以上单数</w:t>
            </w:r>
            <w:r>
              <w:rPr>
                <w:rFonts w:hint="eastAsia" w:asciiTheme="minorEastAsia" w:hAnsiTheme="minorEastAsia" w:eastAsiaTheme="minorEastAsia"/>
                <w:color w:val="auto"/>
                <w:szCs w:val="21"/>
                <w:highlight w:val="none"/>
                <w:lang w:val="zh-CN"/>
              </w:rPr>
              <w:t>，其中专家不得少于成员总数的三分之二。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8410" w:type="dxa"/>
            <w:gridSpan w:val="5"/>
            <w:tcBorders>
              <w:tl2br w:val="nil"/>
              <w:tr2bl w:val="nil"/>
            </w:tcBorders>
            <w:vAlign w:val="center"/>
          </w:tcPr>
          <w:p>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四、授予合同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w:t>
            </w:r>
          </w:p>
        </w:tc>
        <w:tc>
          <w:tcPr>
            <w:tcW w:w="7532" w:type="dxa"/>
            <w:gridSpan w:val="4"/>
            <w:tcBorders>
              <w:tl2br w:val="nil"/>
              <w:tr2bl w:val="nil"/>
            </w:tcBorders>
            <w:shd w:val="clear" w:color="auto" w:fill="auto"/>
            <w:vAlign w:val="center"/>
          </w:tcPr>
          <w:p>
            <w:pPr>
              <w:jc w:val="both"/>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履约担保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shd w:val="clear" w:color="auto" w:fill="auto"/>
            <w:vAlign w:val="center"/>
          </w:tcPr>
          <w:p>
            <w:pPr>
              <w:numPr>
                <w:ilvl w:val="0"/>
                <w:numId w:val="0"/>
              </w:numPr>
              <w:jc w:val="both"/>
              <w:rPr>
                <w:rFonts w:asciiTheme="minorEastAsia" w:hAnsiTheme="minorEastAsia" w:eastAsiaTheme="minorEastAsia"/>
                <w:color w:val="auto"/>
                <w:szCs w:val="21"/>
                <w:highlight w:val="none"/>
              </w:rPr>
            </w:pPr>
            <w:r>
              <w:rPr>
                <w:rFonts w:asciiTheme="minorEastAsia" w:hAnsiTheme="minorEastAsia" w:eastAsiaTheme="minorEastAsia" w:cstheme="minorBidi"/>
                <w:color w:val="auto"/>
                <w:sz w:val="21"/>
                <w:szCs w:val="21"/>
                <w:highlight w:val="none"/>
                <w:lang w:val="en-US" w:eastAsia="zh-CN" w:bidi="ar-SA"/>
              </w:rPr>
              <w:t>1.</w:t>
            </w:r>
            <w:r>
              <w:rPr>
                <w:rFonts w:hint="eastAsia" w:asciiTheme="minorEastAsia" w:hAnsiTheme="minorEastAsia" w:eastAsiaTheme="minorEastAsia"/>
                <w:color w:val="auto"/>
                <w:szCs w:val="21"/>
                <w:highlight w:val="none"/>
              </w:rPr>
              <w:t>履约担保金额为：</w:t>
            </w:r>
          </w:p>
          <w:p>
            <w:pPr>
              <w:jc w:val="both"/>
              <w:rPr>
                <w:rFonts w:ascii="宋体" w:hAnsi="宋体"/>
                <w:color w:val="auto"/>
                <w:szCs w:val="21"/>
                <w:highlight w:val="none"/>
                <w:u w:val="single"/>
              </w:rPr>
            </w:pPr>
            <w:r>
              <w:rPr>
                <w:rFonts w:hint="eastAsia" w:ascii="宋体" w:hAnsi="宋体"/>
                <w:color w:val="auto"/>
                <w:szCs w:val="21"/>
                <w:highlight w:val="none"/>
                <w:u w:val="single"/>
              </w:rPr>
              <w:t>包A须提交的履约担保金额为暂定合同总价的10%；</w:t>
            </w:r>
          </w:p>
          <w:p>
            <w:pPr>
              <w:jc w:val="both"/>
              <w:rPr>
                <w:rFonts w:ascii="宋体" w:hAnsi="宋体"/>
                <w:color w:val="auto"/>
                <w:szCs w:val="21"/>
                <w:highlight w:val="none"/>
                <w:u w:val="single"/>
              </w:rPr>
            </w:pPr>
            <w:r>
              <w:rPr>
                <w:rFonts w:hint="eastAsia" w:ascii="宋体" w:hAnsi="宋体"/>
                <w:color w:val="auto"/>
                <w:szCs w:val="21"/>
                <w:highlight w:val="none"/>
                <w:u w:val="single"/>
              </w:rPr>
              <w:t>包B须提交的履约担保金额为暂定合同总价的10%；</w:t>
            </w:r>
          </w:p>
          <w:p>
            <w:pPr>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履约保证金账户信息：</w:t>
            </w:r>
          </w:p>
          <w:p>
            <w:pPr>
              <w:ind w:firstLine="420" w:firstLineChars="200"/>
              <w:jc w:val="both"/>
              <w:rPr>
                <w:rFonts w:ascii="宋体" w:hAnsi="宋体"/>
                <w:color w:val="auto"/>
                <w:szCs w:val="21"/>
                <w:highlight w:val="none"/>
              </w:rPr>
            </w:pPr>
            <w:r>
              <w:rPr>
                <w:rFonts w:hint="eastAsia" w:ascii="宋体" w:hAnsi="宋体"/>
                <w:color w:val="auto"/>
                <w:szCs w:val="21"/>
                <w:highlight w:val="none"/>
              </w:rPr>
              <w:t>账户名称：</w:t>
            </w:r>
            <w:r>
              <w:rPr>
                <w:rFonts w:hint="eastAsia" w:hAnsi="宋体" w:cs="宋体"/>
                <w:color w:val="auto"/>
                <w:kern w:val="2"/>
                <w:szCs w:val="21"/>
                <w:highlight w:val="none"/>
                <w:u w:val="single"/>
                <w:lang w:eastAsia="zh-CN"/>
              </w:rPr>
              <w:t>东莞市新东元环保投资有限公司</w:t>
            </w:r>
            <w:r>
              <w:rPr>
                <w:rFonts w:hint="eastAsia" w:hAnsi="宋体" w:cs="宋体"/>
                <w:color w:val="auto"/>
                <w:kern w:val="2"/>
                <w:szCs w:val="21"/>
                <w:highlight w:val="none"/>
                <w:lang w:val="zh-CN"/>
              </w:rPr>
              <w:t>；</w:t>
            </w:r>
          </w:p>
          <w:p>
            <w:pPr>
              <w:ind w:firstLine="420" w:firstLineChars="200"/>
              <w:jc w:val="both"/>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s="宋体"/>
                <w:bCs/>
                <w:color w:val="auto"/>
                <w:sz w:val="21"/>
                <w:szCs w:val="21"/>
                <w:highlight w:val="none"/>
                <w:u w:val="single"/>
              </w:rPr>
              <w:t>中国银行股份有限公司东莞分行</w:t>
            </w:r>
            <w:r>
              <w:rPr>
                <w:rFonts w:hint="eastAsia" w:hAnsi="宋体" w:cs="宋体"/>
                <w:color w:val="auto"/>
                <w:kern w:val="2"/>
                <w:szCs w:val="21"/>
                <w:highlight w:val="none"/>
                <w:lang w:val="zh-CN"/>
              </w:rPr>
              <w:t>；</w:t>
            </w:r>
          </w:p>
          <w:p>
            <w:pPr>
              <w:ind w:firstLine="420" w:firstLineChars="200"/>
              <w:jc w:val="both"/>
              <w:rPr>
                <w:rFonts w:ascii="宋体" w:hAnsi="宋体"/>
                <w:color w:val="auto"/>
                <w:szCs w:val="21"/>
                <w:highlight w:val="none"/>
              </w:rPr>
            </w:pPr>
            <w:r>
              <w:rPr>
                <w:rFonts w:hint="eastAsia" w:ascii="宋体" w:hAnsi="宋体"/>
                <w:color w:val="auto"/>
                <w:szCs w:val="21"/>
                <w:highlight w:val="none"/>
              </w:rPr>
              <w:t>银行账号：</w:t>
            </w:r>
            <w:r>
              <w:rPr>
                <w:rFonts w:hint="eastAsia" w:hAnsi="宋体" w:cs="宋体"/>
                <w:color w:val="auto"/>
                <w:kern w:val="2"/>
                <w:szCs w:val="21"/>
                <w:highlight w:val="none"/>
                <w:lang w:val="zh-CN"/>
              </w:rPr>
              <w:t xml:space="preserve"> </w:t>
            </w:r>
            <w:r>
              <w:rPr>
                <w:rFonts w:ascii="宋体" w:hAnsi="宋体"/>
                <w:color w:val="auto"/>
                <w:sz w:val="21"/>
                <w:szCs w:val="21"/>
                <w:highlight w:val="none"/>
                <w:u w:val="single"/>
              </w:rPr>
              <w:t>669170104633</w:t>
            </w:r>
            <w:r>
              <w:rPr>
                <w:rFonts w:hint="eastAsia" w:hAnsi="宋体" w:cs="宋体"/>
                <w:color w:val="auto"/>
                <w:kern w:val="2"/>
                <w:szCs w:val="21"/>
                <w:highlight w:val="none"/>
                <w:lang w:val="zh-CN"/>
              </w:rPr>
              <w:t>；</w:t>
            </w:r>
          </w:p>
          <w:p>
            <w:pPr>
              <w:pStyle w:val="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3.中标人在采购（合同签署）时</w:t>
            </w:r>
            <w:r>
              <w:rPr>
                <w:rFonts w:hint="eastAsia" w:ascii="宋体" w:hAnsi="宋体"/>
                <w:color w:val="auto"/>
                <w:szCs w:val="21"/>
                <w:highlight w:val="none"/>
              </w:rPr>
              <w:t>按照中标包组向采购人提交对应包组金额的</w:t>
            </w:r>
            <w:r>
              <w:rPr>
                <w:rFonts w:hint="eastAsia" w:ascii="宋体" w:hAnsi="宋体"/>
                <w:b/>
                <w:bCs/>
                <w:color w:val="auto"/>
                <w:szCs w:val="21"/>
                <w:highlight w:val="none"/>
              </w:rPr>
              <w:t>履约保证金或银行履约保函</w:t>
            </w:r>
            <w:r>
              <w:rPr>
                <w:rFonts w:hint="eastAsia" w:ascii="宋体" w:hAnsi="宋体"/>
                <w:color w:val="auto"/>
                <w:szCs w:val="21"/>
                <w:highlight w:val="none"/>
              </w:rPr>
              <w:t>作为履行合同的担保，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账户。</w:t>
            </w:r>
          </w:p>
          <w:p>
            <w:pPr>
              <w:pStyle w:val="8"/>
              <w:rPr>
                <w:color w:val="auto"/>
                <w:highlight w:val="none"/>
              </w:rPr>
            </w:pPr>
            <w:r>
              <w:rPr>
                <w:rFonts w:hint="eastAsia" w:asciiTheme="minorEastAsia" w:hAnsiTheme="minorEastAsia" w:eastAsiaTheme="minorEastAsia"/>
                <w:color w:val="auto"/>
                <w:szCs w:val="21"/>
                <w:highlight w:val="none"/>
              </w:rPr>
              <w:t>4.履约担保期限从合同签订之日起</w:t>
            </w:r>
            <w:r>
              <w:rPr>
                <w:rFonts w:hint="eastAsia" w:cs="宋体" w:asciiTheme="minorEastAsia" w:hAnsiTheme="minorEastAsia" w:eastAsiaTheme="minorEastAsia"/>
                <w:color w:val="auto"/>
                <w:szCs w:val="21"/>
                <w:highlight w:val="none"/>
              </w:rPr>
              <w:t>至</w:t>
            </w:r>
            <w:r>
              <w:rPr>
                <w:rFonts w:hint="eastAsia" w:ascii="宋体" w:hAnsi="宋体"/>
                <w:color w:val="auto"/>
                <w:szCs w:val="21"/>
                <w:highlight w:val="none"/>
                <w:lang w:eastAsia="zh-CN"/>
              </w:rPr>
              <w:t>完成</w:t>
            </w:r>
            <w:r>
              <w:rPr>
                <w:rFonts w:hint="eastAsia" w:cs="宋体" w:asciiTheme="minorEastAsia" w:hAnsiTheme="minorEastAsia" w:eastAsiaTheme="minorEastAsia"/>
                <w:color w:val="auto"/>
                <w:szCs w:val="21"/>
                <w:highlight w:val="none"/>
              </w:rPr>
              <w:t>标包内</w:t>
            </w:r>
            <w:r>
              <w:rPr>
                <w:rFonts w:hint="eastAsia" w:ascii="宋体" w:hAnsi="宋体"/>
                <w:color w:val="auto"/>
                <w:szCs w:val="21"/>
                <w:highlight w:val="none"/>
                <w:lang w:eastAsia="zh-CN"/>
              </w:rPr>
              <w:t>最后一批供货并验收合格</w:t>
            </w:r>
            <w:r>
              <w:rPr>
                <w:rFonts w:hint="eastAsia" w:ascii="宋体" w:hAnsi="宋体"/>
                <w:color w:val="auto"/>
                <w:szCs w:val="21"/>
                <w:highlight w:val="none"/>
              </w:rPr>
              <w:t>后</w:t>
            </w:r>
            <w:r>
              <w:rPr>
                <w:rFonts w:hint="eastAsia" w:cs="宋体" w:asciiTheme="minorEastAsia" w:hAnsiTheme="minorEastAsia" w:eastAsiaTheme="minorEastAsia"/>
                <w:color w:val="auto"/>
                <w:szCs w:val="21"/>
                <w:highlight w:val="none"/>
              </w:rPr>
              <w:t>，经双方签字7天内保持有效。</w:t>
            </w:r>
          </w:p>
          <w:p>
            <w:pPr>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5、履约担保要求：</w:t>
            </w:r>
          </w:p>
          <w:p>
            <w:pPr>
              <w:jc w:val="both"/>
              <w:rPr>
                <w:rFonts w:ascii="宋体" w:hAnsi="宋体"/>
                <w:color w:val="auto"/>
                <w:szCs w:val="21"/>
                <w:highlight w:val="none"/>
              </w:rPr>
            </w:pPr>
            <w:r>
              <w:rPr>
                <w:rFonts w:hint="eastAsia" w:ascii="宋体" w:hAnsi="宋体"/>
                <w:color w:val="auto"/>
                <w:szCs w:val="21"/>
                <w:highlight w:val="none"/>
              </w:rPr>
              <w:t>（1）履约保函。如果中标人的履约担保是以银行保函形式提供的，则该银行保函应：</w:t>
            </w:r>
          </w:p>
          <w:p>
            <w:pPr>
              <w:jc w:val="both"/>
              <w:rPr>
                <w:rFonts w:ascii="宋体" w:hAnsi="宋体"/>
                <w:color w:val="auto"/>
                <w:szCs w:val="21"/>
                <w:highlight w:val="none"/>
              </w:rPr>
            </w:pPr>
            <w:r>
              <w:rPr>
                <w:rFonts w:hint="eastAsia" w:ascii="宋体" w:hAnsi="宋体"/>
                <w:color w:val="auto"/>
                <w:szCs w:val="21"/>
                <w:highlight w:val="none"/>
              </w:rPr>
              <w:t>①保函应由银行支行或以上银行机构开具。</w:t>
            </w:r>
          </w:p>
          <w:p>
            <w:pPr>
              <w:jc w:val="both"/>
              <w:rPr>
                <w:rFonts w:ascii="宋体" w:hAnsi="宋体"/>
                <w:color w:val="auto"/>
                <w:szCs w:val="21"/>
                <w:highlight w:val="none"/>
              </w:rPr>
            </w:pPr>
            <w:r>
              <w:rPr>
                <w:rFonts w:hint="eastAsia" w:ascii="宋体" w:hAnsi="宋体"/>
                <w:color w:val="auto"/>
                <w:szCs w:val="21"/>
                <w:highlight w:val="none"/>
              </w:rPr>
              <w:t>②保函的格式参考本采购文件附件中提供的无条件不可撤销履约保函格式，保函担保期内若项目需延长合同期，保函必须延期，办理延期手续时在银行方面所产生费用由中标人负责。</w:t>
            </w:r>
          </w:p>
          <w:p>
            <w:pPr>
              <w:jc w:val="both"/>
              <w:rPr>
                <w:rFonts w:ascii="宋体" w:hAnsi="宋体"/>
                <w:color w:val="auto"/>
                <w:szCs w:val="21"/>
                <w:highlight w:val="none"/>
              </w:rPr>
            </w:pPr>
            <w:r>
              <w:rPr>
                <w:rFonts w:hint="eastAsia" w:ascii="宋体" w:hAnsi="宋体"/>
                <w:color w:val="auto"/>
                <w:szCs w:val="21"/>
                <w:highlight w:val="none"/>
              </w:rPr>
              <w:t>③履约保函必须打印，手写、涂改无效。</w:t>
            </w:r>
          </w:p>
          <w:p>
            <w:pPr>
              <w:jc w:val="both"/>
              <w:rPr>
                <w:rFonts w:ascii="宋体" w:hAnsi="宋体"/>
                <w:color w:val="auto"/>
                <w:szCs w:val="21"/>
                <w:highlight w:val="none"/>
              </w:rPr>
            </w:pPr>
            <w:r>
              <w:rPr>
                <w:rFonts w:hint="eastAsia" w:ascii="宋体" w:hAnsi="宋体"/>
                <w:color w:val="auto"/>
                <w:szCs w:val="21"/>
                <w:highlight w:val="none"/>
              </w:rPr>
              <w:t>（2）履约保证金。可采用电汇、银行汇票等银行转账方式提交，但不可以采用现金方式提交。中标人必须保证履约保证金以中标人名称在签订合同前提交至采购人指定账户。</w:t>
            </w:r>
          </w:p>
          <w:p>
            <w:pPr>
              <w:jc w:val="both"/>
              <w:rPr>
                <w:rFonts w:ascii="宋体" w:hAnsi="宋体"/>
                <w:color w:val="auto"/>
                <w:szCs w:val="21"/>
                <w:highlight w:val="none"/>
              </w:rPr>
            </w:pPr>
            <w:r>
              <w:rPr>
                <w:rFonts w:hint="eastAsia" w:ascii="宋体" w:hAnsi="宋体"/>
                <w:color w:val="auto"/>
                <w:szCs w:val="21"/>
                <w:highlight w:val="none"/>
              </w:rPr>
              <w:t>（3）若中标人不能按本采购文件的规定提交履约担保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如已签订合同的，采购人有权没收投标保证金并单方面无责解除合同，如造成采购人损失，采购人有权追责。</w:t>
            </w:r>
          </w:p>
          <w:p>
            <w:pPr>
              <w:jc w:val="both"/>
              <w:rPr>
                <w:rFonts w:ascii="宋体" w:hAnsi="宋体"/>
                <w:color w:val="auto"/>
                <w:szCs w:val="21"/>
                <w:highlight w:val="none"/>
              </w:rPr>
            </w:pPr>
            <w:r>
              <w:rPr>
                <w:rFonts w:hint="eastAsia" w:ascii="宋体" w:hAnsi="宋体"/>
                <w:color w:val="auto"/>
                <w:szCs w:val="21"/>
                <w:highlight w:val="none"/>
              </w:rPr>
              <w:t>（4）为取得履约担保所需的费用，由中标人承担；若工期延误，履约担保时间延长，延长费用由中标人承担。</w:t>
            </w:r>
          </w:p>
          <w:p>
            <w:pPr>
              <w:jc w:val="both"/>
              <w:rPr>
                <w:rFonts w:ascii="宋体" w:hAnsi="宋体"/>
                <w:color w:val="auto"/>
                <w:szCs w:val="21"/>
                <w:highlight w:val="none"/>
              </w:rPr>
            </w:pPr>
            <w:r>
              <w:rPr>
                <w:rFonts w:hint="eastAsia" w:ascii="宋体" w:hAnsi="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jc w:val="both"/>
              <w:rPr>
                <w:rFonts w:ascii="宋体" w:hAnsi="宋体"/>
                <w:color w:val="auto"/>
                <w:szCs w:val="21"/>
                <w:highlight w:val="none"/>
              </w:rPr>
            </w:pPr>
            <w:r>
              <w:rPr>
                <w:rFonts w:hint="eastAsia" w:ascii="宋体" w:hAnsi="宋体"/>
                <w:color w:val="auto"/>
                <w:szCs w:val="21"/>
                <w:highlight w:val="none"/>
              </w:rPr>
              <w:t>（6）下列任何情况发生时，采购人有权行使享有的担保权利：</w:t>
            </w:r>
          </w:p>
          <w:p>
            <w:pPr>
              <w:jc w:val="both"/>
              <w:rPr>
                <w:rFonts w:ascii="宋体" w:hAnsi="宋体"/>
                <w:color w:val="auto"/>
                <w:szCs w:val="21"/>
                <w:highlight w:val="none"/>
              </w:rPr>
            </w:pPr>
            <w:r>
              <w:rPr>
                <w:rFonts w:hint="eastAsia" w:ascii="宋体" w:hAnsi="宋体"/>
                <w:color w:val="auto"/>
                <w:szCs w:val="21"/>
                <w:highlight w:val="none"/>
              </w:rPr>
              <w:t>①中标人将本项目转让给他人，或者在投标文件中未说明，且未经采购人同意，将中标项目分包给他人的；</w:t>
            </w:r>
          </w:p>
          <w:p>
            <w:pPr>
              <w:jc w:val="both"/>
              <w:rPr>
                <w:rFonts w:ascii="宋体" w:hAnsi="宋体"/>
                <w:color w:val="auto"/>
                <w:szCs w:val="21"/>
                <w:highlight w:val="none"/>
              </w:rPr>
            </w:pPr>
            <w:r>
              <w:rPr>
                <w:rFonts w:hint="eastAsia" w:ascii="宋体" w:hAnsi="宋体"/>
                <w:color w:val="auto"/>
                <w:szCs w:val="21"/>
                <w:highlight w:val="none"/>
              </w:rPr>
              <w:t>②中标人在履行采购合同期间，违反有关法律法规的规定及合同约定的条款，损害了采购人的利益。</w:t>
            </w:r>
          </w:p>
          <w:p>
            <w:pPr>
              <w:jc w:val="both"/>
              <w:rPr>
                <w:rFonts w:asciiTheme="minorEastAsia" w:hAnsiTheme="minorEastAsia" w:eastAsiaTheme="minorEastAsia"/>
                <w:b/>
                <w:color w:val="auto"/>
                <w:szCs w:val="21"/>
                <w:highlight w:val="none"/>
              </w:rPr>
            </w:pPr>
            <w:r>
              <w:rPr>
                <w:rFonts w:hint="eastAsia" w:ascii="宋体" w:hAnsi="宋体"/>
                <w:color w:val="auto"/>
                <w:szCs w:val="21"/>
                <w:highlight w:val="none"/>
              </w:rPr>
              <w:t>（7）在合同有效期满后，中标人向采购人提交退回履约担保的申请，若中标人无违约行为或虽有违约行为但已按采购人要求整改到位的，采购人扣除应当由中标人承担的违约金、赔偿金后对剩余的金额办理退还手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restart"/>
            <w:tcBorders>
              <w:tl2br w:val="nil"/>
              <w:tr2bl w:val="nil"/>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w:t>
            </w:r>
          </w:p>
        </w:tc>
        <w:tc>
          <w:tcPr>
            <w:tcW w:w="7532" w:type="dxa"/>
            <w:gridSpan w:val="4"/>
            <w:tcBorders>
              <w:tl2br w:val="nil"/>
              <w:tr2bl w:val="nil"/>
            </w:tcBorders>
            <w:vAlign w:val="center"/>
          </w:tcPr>
          <w:p>
            <w:pPr>
              <w:jc w:val="both"/>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中标服务费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8" w:type="dxa"/>
            <w:vMerge w:val="continue"/>
            <w:tcBorders>
              <w:tl2br w:val="nil"/>
              <w:tr2bl w:val="nil"/>
            </w:tcBorders>
            <w:vAlign w:val="center"/>
          </w:tcPr>
          <w:p>
            <w:pPr>
              <w:jc w:val="center"/>
              <w:rPr>
                <w:rFonts w:asciiTheme="minorEastAsia" w:hAnsiTheme="minorEastAsia" w:eastAsiaTheme="minorEastAsia"/>
                <w:color w:val="auto"/>
                <w:szCs w:val="21"/>
                <w:highlight w:val="none"/>
              </w:rPr>
            </w:pPr>
          </w:p>
        </w:tc>
        <w:tc>
          <w:tcPr>
            <w:tcW w:w="7532" w:type="dxa"/>
            <w:gridSpan w:val="4"/>
            <w:tcBorders>
              <w:tl2br w:val="nil"/>
              <w:tr2bl w:val="nil"/>
            </w:tcBorders>
            <w:vAlign w:val="center"/>
          </w:tcPr>
          <w:p>
            <w:pPr>
              <w:widowControl w:val="0"/>
              <w:tabs>
                <w:tab w:val="left" w:pos="907"/>
              </w:tabs>
              <w:adjustRightInd/>
              <w:snapToGrid/>
              <w:spacing w:line="360" w:lineRule="exact"/>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本项目中标服务费由采购人支付。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410" w:type="dxa"/>
            <w:gridSpan w:val="5"/>
            <w:tcBorders>
              <w:tl2br w:val="nil"/>
              <w:tr2bl w:val="nil"/>
            </w:tcBorders>
            <w:vAlign w:val="center"/>
          </w:tcPr>
          <w:p>
            <w:pPr>
              <w:widowControl w:val="0"/>
              <w:tabs>
                <w:tab w:val="left" w:pos="907"/>
              </w:tabs>
              <w:adjustRightInd/>
              <w:snapToGrid/>
              <w:spacing w:line="360" w:lineRule="exact"/>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注：本表关于要采购项目的具体资料，是对投标人须知的具体补充和修改，如有矛盾，应以本资料表为准。不满足采购文件中 “★”条款的投标文件将作无效投标处理。</w:t>
            </w:r>
          </w:p>
        </w:tc>
      </w:tr>
    </w:tbl>
    <w:p>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pPr>
        <w:pStyle w:val="3"/>
        <w:spacing w:before="0" w:after="0" w:line="240" w:lineRule="auto"/>
        <w:rPr>
          <w:rFonts w:asciiTheme="minorEastAsia" w:hAnsiTheme="minorEastAsia" w:eastAsiaTheme="minorEastAsia"/>
          <w:color w:val="auto"/>
          <w:sz w:val="21"/>
          <w:szCs w:val="21"/>
          <w:highlight w:val="none"/>
        </w:rPr>
      </w:pPr>
      <w:bookmarkStart w:id="5" w:name="_Toc160826261"/>
      <w:r>
        <w:rPr>
          <w:rFonts w:hint="eastAsia" w:asciiTheme="minorEastAsia" w:hAnsiTheme="minorEastAsia" w:eastAsiaTheme="minorEastAsia"/>
          <w:color w:val="auto"/>
          <w:sz w:val="21"/>
          <w:szCs w:val="21"/>
          <w:highlight w:val="none"/>
        </w:rPr>
        <w:t>第三部分用户需求书</w:t>
      </w:r>
      <w:bookmarkEnd w:id="5"/>
    </w:p>
    <w:p>
      <w:pPr>
        <w:jc w:val="center"/>
        <w:outlineLvl w:val="3"/>
        <w:rPr>
          <w:rFonts w:asciiTheme="majorEastAsia" w:hAnsiTheme="majorEastAsia" w:eastAsiaTheme="majorEastAsia"/>
          <w:b/>
          <w:color w:val="auto"/>
          <w:szCs w:val="21"/>
          <w:highlight w:val="none"/>
        </w:rPr>
      </w:pPr>
      <w:bookmarkStart w:id="6" w:name="_Toc160826262"/>
      <w:bookmarkStart w:id="7" w:name="_Toc1593"/>
      <w:bookmarkStart w:id="8" w:name="_Toc31278"/>
      <w:bookmarkStart w:id="9" w:name="_Toc14462"/>
      <w:bookmarkStart w:id="10" w:name="_Toc13112"/>
      <w:bookmarkStart w:id="11" w:name="_Toc24679"/>
      <w:bookmarkStart w:id="12" w:name="_Toc308786492"/>
      <w:r>
        <w:rPr>
          <w:rFonts w:hint="eastAsia" w:asciiTheme="majorEastAsia" w:hAnsiTheme="majorEastAsia" w:eastAsiaTheme="majorEastAsia"/>
          <w:b/>
          <w:color w:val="auto"/>
          <w:szCs w:val="21"/>
          <w:highlight w:val="none"/>
        </w:rPr>
        <w:t>第一章 商务需求书</w:t>
      </w:r>
      <w:bookmarkEnd w:id="6"/>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325"/>
        <w:gridCol w:w="6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序号</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条款名称</w:t>
            </w:r>
          </w:p>
        </w:tc>
        <w:tc>
          <w:tcPr>
            <w:tcW w:w="3818"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1</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合格投标人</w:t>
            </w:r>
          </w:p>
        </w:tc>
        <w:tc>
          <w:tcPr>
            <w:tcW w:w="3818" w:type="pct"/>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cs="宋体" w:asciiTheme="majorEastAsia" w:hAnsiTheme="majorEastAsia" w:eastAsiaTheme="majorEastAsia"/>
                <w:bCs/>
                <w:color w:val="auto"/>
                <w:kern w:val="44"/>
                <w:sz w:val="21"/>
                <w:szCs w:val="21"/>
                <w:highlight w:val="none"/>
              </w:rPr>
            </w:pPr>
            <w:r>
              <w:rPr>
                <w:rFonts w:hint="eastAsia" w:cs="宋体" w:asciiTheme="majorEastAsia" w:hAnsiTheme="majorEastAsia" w:eastAsiaTheme="majorEastAsia"/>
                <w:color w:val="auto"/>
                <w:sz w:val="21"/>
                <w:szCs w:val="21"/>
                <w:highlight w:val="none"/>
              </w:rPr>
              <w:t>详见“第一部分 投标邀请”中“二、投标人资格要求”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2</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供货期</w:t>
            </w:r>
          </w:p>
        </w:tc>
        <w:tc>
          <w:tcPr>
            <w:tcW w:w="3818" w:type="pct"/>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A包（活性炭）：202</w:t>
            </w:r>
            <w:r>
              <w:rPr>
                <w:rFonts w:hint="eastAsia" w:cs="宋体" w:asciiTheme="majorEastAsia" w:hAnsiTheme="majorEastAsia" w:eastAsiaTheme="majorEastAsia"/>
                <w:color w:val="auto"/>
                <w:sz w:val="21"/>
                <w:szCs w:val="21"/>
                <w:highlight w:val="none"/>
                <w:lang w:val="en-US" w:eastAsia="zh-CN"/>
              </w:rPr>
              <w:t>5</w:t>
            </w:r>
            <w:r>
              <w:rPr>
                <w:rFonts w:hint="eastAsia" w:cs="宋体" w:asciiTheme="majorEastAsia" w:hAnsiTheme="majorEastAsia" w:eastAsiaTheme="majorEastAsia"/>
                <w:color w:val="auto"/>
                <w:sz w:val="21"/>
                <w:szCs w:val="21"/>
                <w:highlight w:val="none"/>
              </w:rPr>
              <w:t>年1</w:t>
            </w:r>
            <w:r>
              <w:rPr>
                <w:rFonts w:hint="eastAsia" w:cs="宋体" w:asciiTheme="majorEastAsia" w:hAnsiTheme="majorEastAsia" w:eastAsiaTheme="majorEastAsia"/>
                <w:color w:val="auto"/>
                <w:sz w:val="21"/>
                <w:szCs w:val="21"/>
                <w:highlight w:val="none"/>
                <w:lang w:val="en-US" w:eastAsia="zh-CN"/>
              </w:rPr>
              <w:t>1</w:t>
            </w:r>
            <w:r>
              <w:rPr>
                <w:rFonts w:hint="eastAsia" w:cs="宋体" w:asciiTheme="majorEastAsia" w:hAnsiTheme="majorEastAsia" w:eastAsiaTheme="majorEastAsia"/>
                <w:color w:val="auto"/>
                <w:sz w:val="21"/>
                <w:szCs w:val="21"/>
                <w:highlight w:val="none"/>
              </w:rPr>
              <w:t>月1日至202</w:t>
            </w:r>
            <w:r>
              <w:rPr>
                <w:rFonts w:hint="eastAsia" w:cs="宋体" w:asciiTheme="majorEastAsia" w:hAnsiTheme="majorEastAsia" w:eastAsiaTheme="majorEastAsia"/>
                <w:color w:val="auto"/>
                <w:sz w:val="21"/>
                <w:szCs w:val="21"/>
                <w:highlight w:val="none"/>
                <w:lang w:val="en-US" w:eastAsia="zh-CN"/>
              </w:rPr>
              <w:t>6</w:t>
            </w:r>
            <w:r>
              <w:rPr>
                <w:rFonts w:hint="eastAsia" w:cs="宋体" w:asciiTheme="majorEastAsia" w:hAnsiTheme="majorEastAsia" w:eastAsiaTheme="majorEastAsia"/>
                <w:color w:val="auto"/>
                <w:sz w:val="21"/>
                <w:szCs w:val="21"/>
                <w:highlight w:val="none"/>
              </w:rPr>
              <w:t>年</w:t>
            </w:r>
            <w:r>
              <w:rPr>
                <w:rFonts w:hint="eastAsia" w:cs="宋体" w:asciiTheme="majorEastAsia" w:hAnsiTheme="majorEastAsia" w:eastAsiaTheme="majorEastAsia"/>
                <w:color w:val="auto"/>
                <w:sz w:val="21"/>
                <w:szCs w:val="21"/>
                <w:highlight w:val="none"/>
                <w:lang w:val="en-US" w:eastAsia="zh-CN"/>
              </w:rPr>
              <w:t>10</w:t>
            </w:r>
            <w:r>
              <w:rPr>
                <w:rFonts w:hint="eastAsia" w:cs="宋体" w:asciiTheme="majorEastAsia" w:hAnsiTheme="majorEastAsia" w:eastAsiaTheme="majorEastAsia"/>
                <w:color w:val="auto"/>
                <w:sz w:val="21"/>
                <w:szCs w:val="21"/>
                <w:highlight w:val="none"/>
              </w:rPr>
              <w:t>月</w:t>
            </w:r>
            <w:r>
              <w:rPr>
                <w:rFonts w:hint="eastAsia" w:cs="宋体" w:asciiTheme="majorEastAsia" w:hAnsiTheme="majorEastAsia" w:eastAsiaTheme="majorEastAsia"/>
                <w:color w:val="auto"/>
                <w:sz w:val="21"/>
                <w:szCs w:val="21"/>
                <w:highlight w:val="none"/>
                <w:lang w:val="en-US" w:eastAsia="zh-CN"/>
              </w:rPr>
              <w:t>31</w:t>
            </w:r>
            <w:r>
              <w:rPr>
                <w:rFonts w:hint="eastAsia" w:cs="宋体" w:asciiTheme="majorEastAsia" w:hAnsiTheme="majorEastAsia" w:eastAsiaTheme="majorEastAsia"/>
                <w:color w:val="auto"/>
                <w:sz w:val="21"/>
                <w:szCs w:val="21"/>
                <w:highlight w:val="none"/>
              </w:rPr>
              <w:t>日；</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B包（熟石灰）：202</w:t>
            </w:r>
            <w:r>
              <w:rPr>
                <w:rFonts w:hint="eastAsia" w:cs="宋体" w:asciiTheme="majorEastAsia" w:hAnsiTheme="majorEastAsia" w:eastAsiaTheme="majorEastAsia"/>
                <w:color w:val="auto"/>
                <w:sz w:val="21"/>
                <w:szCs w:val="21"/>
                <w:highlight w:val="none"/>
                <w:lang w:val="en-US" w:eastAsia="zh-CN"/>
              </w:rPr>
              <w:t>5</w:t>
            </w:r>
            <w:r>
              <w:rPr>
                <w:rFonts w:hint="eastAsia" w:cs="宋体" w:asciiTheme="majorEastAsia" w:hAnsiTheme="majorEastAsia" w:eastAsiaTheme="majorEastAsia"/>
                <w:color w:val="auto"/>
                <w:sz w:val="21"/>
                <w:szCs w:val="21"/>
                <w:highlight w:val="none"/>
              </w:rPr>
              <w:t>年1</w:t>
            </w:r>
            <w:r>
              <w:rPr>
                <w:rFonts w:hint="eastAsia" w:cs="宋体" w:asciiTheme="majorEastAsia" w:hAnsiTheme="majorEastAsia" w:eastAsiaTheme="majorEastAsia"/>
                <w:color w:val="auto"/>
                <w:sz w:val="21"/>
                <w:szCs w:val="21"/>
                <w:highlight w:val="none"/>
                <w:lang w:val="en-US" w:eastAsia="zh-CN"/>
              </w:rPr>
              <w:t>1</w:t>
            </w:r>
            <w:r>
              <w:rPr>
                <w:rFonts w:hint="eastAsia" w:cs="宋体" w:asciiTheme="majorEastAsia" w:hAnsiTheme="majorEastAsia" w:eastAsiaTheme="majorEastAsia"/>
                <w:color w:val="auto"/>
                <w:sz w:val="21"/>
                <w:szCs w:val="21"/>
                <w:highlight w:val="none"/>
              </w:rPr>
              <w:t>月1日至202</w:t>
            </w:r>
            <w:r>
              <w:rPr>
                <w:rFonts w:hint="eastAsia" w:cs="宋体" w:asciiTheme="majorEastAsia" w:hAnsiTheme="majorEastAsia" w:eastAsiaTheme="majorEastAsia"/>
                <w:color w:val="auto"/>
                <w:sz w:val="21"/>
                <w:szCs w:val="21"/>
                <w:highlight w:val="none"/>
                <w:lang w:val="en-US" w:eastAsia="zh-CN"/>
              </w:rPr>
              <w:t>6</w:t>
            </w:r>
            <w:r>
              <w:rPr>
                <w:rFonts w:hint="eastAsia" w:cs="宋体" w:asciiTheme="majorEastAsia" w:hAnsiTheme="majorEastAsia" w:eastAsiaTheme="majorEastAsia"/>
                <w:color w:val="auto"/>
                <w:sz w:val="21"/>
                <w:szCs w:val="21"/>
                <w:highlight w:val="none"/>
              </w:rPr>
              <w:t>年</w:t>
            </w:r>
            <w:r>
              <w:rPr>
                <w:rFonts w:hint="eastAsia" w:cs="宋体" w:asciiTheme="majorEastAsia" w:hAnsiTheme="majorEastAsia" w:eastAsiaTheme="majorEastAsia"/>
                <w:color w:val="auto"/>
                <w:sz w:val="21"/>
                <w:szCs w:val="21"/>
                <w:highlight w:val="none"/>
                <w:lang w:val="en-US" w:eastAsia="zh-CN"/>
              </w:rPr>
              <w:t>10</w:t>
            </w:r>
            <w:r>
              <w:rPr>
                <w:rFonts w:hint="eastAsia" w:cs="宋体" w:asciiTheme="majorEastAsia" w:hAnsiTheme="majorEastAsia" w:eastAsiaTheme="majorEastAsia"/>
                <w:color w:val="auto"/>
                <w:sz w:val="21"/>
                <w:szCs w:val="21"/>
                <w:highlight w:val="none"/>
              </w:rPr>
              <w:t>月</w:t>
            </w:r>
            <w:r>
              <w:rPr>
                <w:rFonts w:hint="eastAsia" w:cs="宋体" w:asciiTheme="majorEastAsia" w:hAnsiTheme="majorEastAsia" w:eastAsiaTheme="majorEastAsia"/>
                <w:color w:val="auto"/>
                <w:sz w:val="21"/>
                <w:szCs w:val="21"/>
                <w:highlight w:val="none"/>
                <w:lang w:val="en-US" w:eastAsia="zh-CN"/>
              </w:rPr>
              <w:t>31</w:t>
            </w:r>
            <w:r>
              <w:rPr>
                <w:rFonts w:hint="eastAsia" w:cs="宋体" w:asciiTheme="majorEastAsia" w:hAnsiTheme="majorEastAsia" w:eastAsiaTheme="majorEastAsia"/>
                <w:color w:val="auto"/>
                <w:sz w:val="21"/>
                <w:szCs w:val="21"/>
                <w:highlight w:val="none"/>
              </w:rPr>
              <w:t>日。</w:t>
            </w:r>
          </w:p>
          <w:p>
            <w:pPr>
              <w:keepNext w:val="0"/>
              <w:keepLines w:val="0"/>
              <w:spacing w:line="360" w:lineRule="auto"/>
              <w:rPr>
                <w:color w:val="auto"/>
                <w:highlight w:val="none"/>
              </w:rPr>
            </w:pPr>
            <w:r>
              <w:rPr>
                <w:rFonts w:hint="eastAsia" w:cs="宋体" w:asciiTheme="majorEastAsia" w:hAnsiTheme="majorEastAsia" w:eastAsiaTheme="majorEastAsia"/>
                <w:color w:val="auto"/>
                <w:sz w:val="21"/>
                <w:szCs w:val="21"/>
                <w:highlight w:val="none"/>
                <w:lang w:val="en-US" w:eastAsia="zh-CN"/>
              </w:rPr>
              <w:t>实际</w:t>
            </w:r>
            <w:r>
              <w:rPr>
                <w:rFonts w:hint="eastAsia" w:cs="宋体" w:asciiTheme="majorEastAsia" w:hAnsiTheme="majorEastAsia" w:eastAsiaTheme="majorEastAsia"/>
                <w:color w:val="auto"/>
                <w:sz w:val="21"/>
                <w:szCs w:val="21"/>
                <w:highlight w:val="none"/>
              </w:rPr>
              <w:t>送货时间以采购人通知为准。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cs="宋体" w:asciiTheme="majorEastAsia" w:hAnsiTheme="majorEastAsia" w:eastAsiaTheme="majorEastAsia"/>
                <w:color w:val="auto"/>
                <w:sz w:val="21"/>
                <w:szCs w:val="21"/>
                <w:highlight w:val="none"/>
                <w:lang w:eastAsia="zh-CN"/>
              </w:rPr>
            </w:pPr>
            <w:r>
              <w:rPr>
                <w:rFonts w:hint="eastAsia" w:cs="宋体" w:asciiTheme="majorEastAsia" w:hAnsiTheme="majorEastAsia" w:eastAsiaTheme="majorEastAsia"/>
                <w:color w:val="auto"/>
                <w:sz w:val="21"/>
                <w:szCs w:val="21"/>
                <w:highlight w:val="none"/>
                <w:lang w:val="en-US" w:eastAsia="zh-CN"/>
              </w:rPr>
              <w:t>3</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付款方式</w:t>
            </w:r>
          </w:p>
        </w:tc>
        <w:tc>
          <w:tcPr>
            <w:tcW w:w="3818" w:type="pct"/>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b/>
                <w:bCs/>
                <w:color w:val="auto"/>
                <w:sz w:val="21"/>
                <w:szCs w:val="21"/>
                <w:highlight w:val="none"/>
                <w:lang w:val="en-US" w:eastAsia="zh-CN"/>
              </w:rPr>
            </w:pPr>
            <w:r>
              <w:rPr>
                <w:rFonts w:hint="eastAsia" w:cs="宋体" w:asciiTheme="majorEastAsia" w:hAnsiTheme="majorEastAsia" w:eastAsiaTheme="majorEastAsia"/>
                <w:b/>
                <w:bCs/>
                <w:color w:val="auto"/>
                <w:sz w:val="21"/>
                <w:szCs w:val="21"/>
                <w:highlight w:val="none"/>
                <w:lang w:val="en-US" w:eastAsia="zh-CN"/>
              </w:rPr>
              <w:t>A包（活性炭）：</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本合同项下确定的合同总价由</w:t>
            </w:r>
            <w:r>
              <w:rPr>
                <w:rFonts w:hint="eastAsia" w:cs="宋体" w:asciiTheme="majorEastAsia" w:hAnsiTheme="majorEastAsia" w:eastAsiaTheme="majorEastAsia"/>
                <w:color w:val="auto"/>
                <w:sz w:val="21"/>
                <w:szCs w:val="21"/>
                <w:highlight w:val="none"/>
                <w:lang w:val="en-US" w:eastAsia="zh-CN"/>
              </w:rPr>
              <w:t>采购人</w:t>
            </w:r>
            <w:r>
              <w:rPr>
                <w:rFonts w:hint="eastAsia" w:cs="宋体" w:asciiTheme="majorEastAsia" w:hAnsiTheme="majorEastAsia" w:eastAsiaTheme="majorEastAsia"/>
                <w:color w:val="auto"/>
                <w:sz w:val="21"/>
                <w:szCs w:val="21"/>
                <w:highlight w:val="none"/>
              </w:rPr>
              <w:t>向</w:t>
            </w:r>
            <w:r>
              <w:rPr>
                <w:rFonts w:hint="eastAsia" w:cs="宋体" w:asciiTheme="majorEastAsia" w:hAnsiTheme="majorEastAsia" w:eastAsiaTheme="majorEastAsia"/>
                <w:color w:val="auto"/>
                <w:sz w:val="21"/>
                <w:szCs w:val="21"/>
                <w:highlight w:val="none"/>
                <w:lang w:val="en-US" w:eastAsia="zh-CN"/>
              </w:rPr>
              <w:t>中标人</w:t>
            </w:r>
            <w:r>
              <w:rPr>
                <w:rFonts w:hint="eastAsia" w:cs="宋体" w:asciiTheme="majorEastAsia" w:hAnsiTheme="majorEastAsia" w:eastAsiaTheme="majorEastAsia"/>
                <w:color w:val="auto"/>
                <w:sz w:val="21"/>
                <w:szCs w:val="21"/>
                <w:highlight w:val="none"/>
              </w:rPr>
              <w:t>按月结方式支付：</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月结：每自然月结束后，</w:t>
            </w:r>
            <w:r>
              <w:rPr>
                <w:rFonts w:hint="eastAsia" w:cs="宋体" w:asciiTheme="majorEastAsia" w:hAnsiTheme="majorEastAsia" w:eastAsiaTheme="majorEastAsia"/>
                <w:color w:val="auto"/>
                <w:sz w:val="21"/>
                <w:szCs w:val="21"/>
                <w:highlight w:val="none"/>
                <w:lang w:val="en-US" w:eastAsia="zh-CN"/>
              </w:rPr>
              <w:t>采购人</w:t>
            </w:r>
            <w:r>
              <w:rPr>
                <w:rFonts w:hint="eastAsia" w:cs="宋体" w:asciiTheme="majorEastAsia" w:hAnsiTheme="majorEastAsia" w:eastAsiaTheme="majorEastAsia"/>
                <w:color w:val="auto"/>
                <w:sz w:val="21"/>
                <w:szCs w:val="21"/>
                <w:highlight w:val="none"/>
              </w:rPr>
              <w:t>向</w:t>
            </w:r>
            <w:r>
              <w:rPr>
                <w:rFonts w:hint="eastAsia" w:cs="宋体" w:asciiTheme="majorEastAsia" w:hAnsiTheme="majorEastAsia" w:eastAsiaTheme="majorEastAsia"/>
                <w:color w:val="auto"/>
                <w:sz w:val="21"/>
                <w:szCs w:val="21"/>
                <w:highlight w:val="none"/>
                <w:lang w:val="en-US" w:eastAsia="zh-CN"/>
              </w:rPr>
              <w:t>中标人</w:t>
            </w:r>
            <w:r>
              <w:rPr>
                <w:rFonts w:hint="eastAsia" w:cs="宋体" w:asciiTheme="majorEastAsia" w:hAnsiTheme="majorEastAsia" w:eastAsiaTheme="majorEastAsia"/>
                <w:color w:val="auto"/>
                <w:sz w:val="21"/>
                <w:szCs w:val="21"/>
                <w:highlight w:val="none"/>
              </w:rPr>
              <w:t>申请结算上月货物货款。结算数量按上月</w:t>
            </w:r>
            <w:r>
              <w:rPr>
                <w:rFonts w:hint="eastAsia" w:cs="宋体" w:asciiTheme="majorEastAsia" w:hAnsiTheme="majorEastAsia" w:eastAsiaTheme="majorEastAsia"/>
                <w:color w:val="auto"/>
                <w:sz w:val="21"/>
                <w:szCs w:val="21"/>
                <w:highlight w:val="none"/>
                <w:lang w:val="en-US" w:eastAsia="zh-CN"/>
              </w:rPr>
              <w:t>中标人</w:t>
            </w:r>
            <w:r>
              <w:rPr>
                <w:rFonts w:hint="eastAsia" w:cs="宋体" w:asciiTheme="majorEastAsia" w:hAnsiTheme="majorEastAsia" w:eastAsiaTheme="majorEastAsia"/>
                <w:color w:val="auto"/>
                <w:sz w:val="21"/>
                <w:szCs w:val="21"/>
                <w:highlight w:val="none"/>
              </w:rPr>
              <w:t>货物经</w:t>
            </w:r>
            <w:r>
              <w:rPr>
                <w:rFonts w:hint="eastAsia" w:cs="宋体" w:asciiTheme="majorEastAsia" w:hAnsiTheme="majorEastAsia" w:eastAsiaTheme="majorEastAsia"/>
                <w:color w:val="auto"/>
                <w:sz w:val="21"/>
                <w:szCs w:val="21"/>
                <w:highlight w:val="none"/>
                <w:lang w:val="en-US" w:eastAsia="zh-CN"/>
              </w:rPr>
              <w:t>采购人</w:t>
            </w:r>
            <w:r>
              <w:rPr>
                <w:rFonts w:hint="eastAsia" w:cs="宋体" w:asciiTheme="majorEastAsia" w:hAnsiTheme="majorEastAsia" w:eastAsiaTheme="majorEastAsia"/>
                <w:color w:val="auto"/>
                <w:sz w:val="21"/>
                <w:szCs w:val="21"/>
                <w:highlight w:val="none"/>
              </w:rPr>
              <w:t>验收合格的数量（对质量有争议的部分暂时不予结算支付），并且在</w:t>
            </w:r>
            <w:r>
              <w:rPr>
                <w:rFonts w:hint="eastAsia" w:cs="宋体" w:asciiTheme="majorEastAsia" w:hAnsiTheme="majorEastAsia" w:eastAsiaTheme="majorEastAsia"/>
                <w:color w:val="auto"/>
                <w:sz w:val="21"/>
                <w:szCs w:val="21"/>
                <w:highlight w:val="none"/>
                <w:lang w:val="en-US" w:eastAsia="zh-CN"/>
              </w:rPr>
              <w:t>采购人</w:t>
            </w:r>
            <w:r>
              <w:rPr>
                <w:rFonts w:hint="eastAsia" w:cs="宋体" w:asciiTheme="majorEastAsia" w:hAnsiTheme="majorEastAsia" w:eastAsiaTheme="majorEastAsia"/>
                <w:color w:val="auto"/>
                <w:sz w:val="21"/>
                <w:szCs w:val="21"/>
                <w:highlight w:val="none"/>
              </w:rPr>
              <w:t>收到</w:t>
            </w:r>
            <w:r>
              <w:rPr>
                <w:rFonts w:hint="eastAsia" w:cs="宋体" w:asciiTheme="majorEastAsia" w:hAnsiTheme="majorEastAsia" w:eastAsiaTheme="majorEastAsia"/>
                <w:color w:val="auto"/>
                <w:sz w:val="21"/>
                <w:szCs w:val="21"/>
                <w:highlight w:val="none"/>
                <w:lang w:val="en-US" w:eastAsia="zh-CN"/>
              </w:rPr>
              <w:t>中标人</w:t>
            </w:r>
            <w:r>
              <w:rPr>
                <w:rFonts w:hint="eastAsia" w:cs="宋体" w:asciiTheme="majorEastAsia" w:hAnsiTheme="majorEastAsia" w:eastAsiaTheme="majorEastAsia"/>
                <w:color w:val="auto"/>
                <w:sz w:val="21"/>
                <w:szCs w:val="21"/>
                <w:highlight w:val="none"/>
              </w:rPr>
              <w:t>交付的以下资料后三十个工作日内以电汇/转账/银行承兑汇票等方式向</w:t>
            </w:r>
            <w:r>
              <w:rPr>
                <w:rFonts w:hint="eastAsia" w:cs="宋体" w:asciiTheme="majorEastAsia" w:hAnsiTheme="majorEastAsia" w:eastAsiaTheme="majorEastAsia"/>
                <w:color w:val="auto"/>
                <w:sz w:val="21"/>
                <w:szCs w:val="21"/>
                <w:highlight w:val="none"/>
                <w:lang w:val="en-US" w:eastAsia="zh-CN"/>
              </w:rPr>
              <w:t>中标人</w:t>
            </w:r>
            <w:r>
              <w:rPr>
                <w:rFonts w:hint="eastAsia" w:cs="宋体" w:asciiTheme="majorEastAsia" w:hAnsiTheme="majorEastAsia" w:eastAsiaTheme="majorEastAsia"/>
                <w:color w:val="auto"/>
                <w:sz w:val="21"/>
                <w:szCs w:val="21"/>
                <w:highlight w:val="none"/>
              </w:rPr>
              <w:t>支付：</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A．（货物的过磅计量清单）标的货物经</w:t>
            </w:r>
            <w:r>
              <w:rPr>
                <w:rFonts w:hint="eastAsia" w:cs="宋体" w:asciiTheme="majorEastAsia" w:hAnsiTheme="majorEastAsia" w:eastAsiaTheme="majorEastAsia"/>
                <w:color w:val="auto"/>
                <w:sz w:val="21"/>
                <w:szCs w:val="21"/>
                <w:highlight w:val="none"/>
                <w:lang w:val="en-US" w:eastAsia="zh-CN"/>
              </w:rPr>
              <w:t>采购人</w:t>
            </w:r>
            <w:r>
              <w:rPr>
                <w:rFonts w:hint="eastAsia" w:cs="宋体" w:asciiTheme="majorEastAsia" w:hAnsiTheme="majorEastAsia" w:eastAsiaTheme="majorEastAsia"/>
                <w:color w:val="auto"/>
                <w:sz w:val="21"/>
                <w:szCs w:val="21"/>
                <w:highlight w:val="none"/>
              </w:rPr>
              <w:t>地磅计量的实际重量；</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B．开具金额为该月验收合格货物总价100%的增值税专用发票；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C．</w:t>
            </w:r>
            <w:r>
              <w:rPr>
                <w:rFonts w:hint="eastAsia" w:cs="宋体" w:asciiTheme="majorEastAsia" w:hAnsiTheme="majorEastAsia" w:eastAsiaTheme="majorEastAsia"/>
                <w:color w:val="auto"/>
                <w:sz w:val="21"/>
                <w:szCs w:val="21"/>
                <w:highlight w:val="none"/>
                <w:lang w:val="en-US" w:eastAsia="zh-CN"/>
              </w:rPr>
              <w:t>中标人</w:t>
            </w:r>
            <w:r>
              <w:rPr>
                <w:rFonts w:hint="eastAsia" w:cs="宋体" w:asciiTheme="majorEastAsia" w:hAnsiTheme="majorEastAsia" w:eastAsiaTheme="majorEastAsia"/>
                <w:color w:val="auto"/>
                <w:sz w:val="21"/>
                <w:szCs w:val="21"/>
                <w:highlight w:val="none"/>
              </w:rPr>
              <w:t>向</w:t>
            </w:r>
            <w:r>
              <w:rPr>
                <w:rFonts w:hint="eastAsia" w:cs="宋体" w:asciiTheme="majorEastAsia" w:hAnsiTheme="majorEastAsia" w:eastAsiaTheme="majorEastAsia"/>
                <w:color w:val="auto"/>
                <w:sz w:val="21"/>
                <w:szCs w:val="21"/>
                <w:highlight w:val="none"/>
                <w:lang w:val="en-US" w:eastAsia="zh-CN"/>
              </w:rPr>
              <w:t>中标人</w:t>
            </w:r>
            <w:r>
              <w:rPr>
                <w:rFonts w:hint="eastAsia" w:cs="宋体" w:asciiTheme="majorEastAsia" w:hAnsiTheme="majorEastAsia" w:eastAsiaTheme="majorEastAsia"/>
                <w:color w:val="auto"/>
                <w:sz w:val="21"/>
                <w:szCs w:val="21"/>
                <w:highlight w:val="none"/>
              </w:rPr>
              <w:t>缴纳的履约担保证明资料（首次支付时需要）；</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D．</w:t>
            </w:r>
            <w:r>
              <w:rPr>
                <w:rFonts w:hint="eastAsia" w:cs="宋体" w:asciiTheme="majorEastAsia" w:hAnsiTheme="majorEastAsia" w:eastAsiaTheme="majorEastAsia"/>
                <w:color w:val="auto"/>
                <w:sz w:val="21"/>
                <w:szCs w:val="21"/>
                <w:highlight w:val="none"/>
                <w:lang w:val="en-US" w:eastAsia="zh-CN"/>
              </w:rPr>
              <w:t>中标人</w:t>
            </w:r>
            <w:r>
              <w:rPr>
                <w:rFonts w:hint="eastAsia" w:cs="宋体" w:asciiTheme="majorEastAsia" w:hAnsiTheme="majorEastAsia" w:eastAsiaTheme="majorEastAsia"/>
                <w:color w:val="auto"/>
                <w:sz w:val="21"/>
                <w:szCs w:val="21"/>
                <w:highlight w:val="none"/>
              </w:rPr>
              <w:t>每两月1次随机抽检的第三方检测合格报告；</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E．送货清单（</w:t>
            </w:r>
            <w:r>
              <w:rPr>
                <w:rFonts w:hint="eastAsia" w:cs="宋体" w:asciiTheme="majorEastAsia" w:hAnsiTheme="majorEastAsia" w:eastAsiaTheme="majorEastAsia"/>
                <w:color w:val="auto"/>
                <w:sz w:val="21"/>
                <w:szCs w:val="21"/>
                <w:highlight w:val="none"/>
                <w:lang w:val="en-US" w:eastAsia="zh-CN"/>
              </w:rPr>
              <w:t>采购人</w:t>
            </w:r>
            <w:r>
              <w:rPr>
                <w:rFonts w:hint="eastAsia" w:cs="宋体" w:asciiTheme="majorEastAsia" w:hAnsiTheme="majorEastAsia" w:eastAsiaTheme="majorEastAsia"/>
                <w:color w:val="auto"/>
                <w:sz w:val="21"/>
                <w:szCs w:val="21"/>
                <w:highlight w:val="none"/>
              </w:rPr>
              <w:t>指定收货人签字确认）；</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F．每车次货物出厂化验报告；</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G. 双方盖章确认的月度对账单。</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b/>
                <w:bCs/>
                <w:color w:val="auto"/>
                <w:sz w:val="21"/>
                <w:szCs w:val="21"/>
                <w:highlight w:val="none"/>
                <w:lang w:val="en-US" w:eastAsia="zh-CN"/>
              </w:rPr>
            </w:pPr>
            <w:r>
              <w:rPr>
                <w:rFonts w:hint="eastAsia" w:cs="宋体" w:asciiTheme="majorEastAsia" w:hAnsiTheme="majorEastAsia" w:eastAsiaTheme="majorEastAsia"/>
                <w:b/>
                <w:bCs/>
                <w:color w:val="auto"/>
                <w:sz w:val="21"/>
                <w:szCs w:val="21"/>
                <w:highlight w:val="none"/>
                <w:lang w:val="en-US" w:eastAsia="zh-CN"/>
              </w:rPr>
              <w:t>B包（熟石灰）：</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本合同项下确定的合同总价由</w:t>
            </w:r>
            <w:r>
              <w:rPr>
                <w:rFonts w:hint="eastAsia" w:cs="宋体" w:asciiTheme="majorEastAsia" w:hAnsiTheme="majorEastAsia" w:eastAsiaTheme="majorEastAsia"/>
                <w:color w:val="auto"/>
                <w:sz w:val="21"/>
                <w:szCs w:val="21"/>
                <w:highlight w:val="none"/>
                <w:lang w:val="en-US" w:eastAsia="zh-CN"/>
              </w:rPr>
              <w:t>采购人</w:t>
            </w:r>
            <w:r>
              <w:rPr>
                <w:rFonts w:hint="eastAsia" w:cs="宋体" w:asciiTheme="majorEastAsia" w:hAnsiTheme="majorEastAsia" w:eastAsiaTheme="majorEastAsia"/>
                <w:color w:val="auto"/>
                <w:sz w:val="21"/>
                <w:szCs w:val="21"/>
                <w:highlight w:val="none"/>
              </w:rPr>
              <w:t>向</w:t>
            </w:r>
            <w:r>
              <w:rPr>
                <w:rFonts w:hint="eastAsia" w:cs="宋体" w:asciiTheme="majorEastAsia" w:hAnsiTheme="majorEastAsia" w:eastAsiaTheme="majorEastAsia"/>
                <w:color w:val="auto"/>
                <w:sz w:val="21"/>
                <w:szCs w:val="21"/>
                <w:highlight w:val="none"/>
                <w:lang w:val="en-US" w:eastAsia="zh-CN"/>
              </w:rPr>
              <w:t>中标人</w:t>
            </w:r>
            <w:r>
              <w:rPr>
                <w:rFonts w:hint="eastAsia" w:cs="宋体" w:asciiTheme="majorEastAsia" w:hAnsiTheme="majorEastAsia" w:eastAsiaTheme="majorEastAsia"/>
                <w:color w:val="auto"/>
                <w:sz w:val="21"/>
                <w:szCs w:val="21"/>
                <w:highlight w:val="none"/>
              </w:rPr>
              <w:t>按月结方式支付：</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月结：每自然月结束后，</w:t>
            </w:r>
            <w:r>
              <w:rPr>
                <w:rFonts w:hint="eastAsia" w:cs="宋体" w:asciiTheme="majorEastAsia" w:hAnsiTheme="majorEastAsia" w:eastAsiaTheme="majorEastAsia"/>
                <w:color w:val="auto"/>
                <w:sz w:val="21"/>
                <w:szCs w:val="21"/>
                <w:highlight w:val="none"/>
                <w:lang w:val="en-US" w:eastAsia="zh-CN"/>
              </w:rPr>
              <w:t>采购人</w:t>
            </w:r>
            <w:r>
              <w:rPr>
                <w:rFonts w:hint="eastAsia" w:cs="宋体" w:asciiTheme="majorEastAsia" w:hAnsiTheme="majorEastAsia" w:eastAsiaTheme="majorEastAsia"/>
                <w:color w:val="auto"/>
                <w:sz w:val="21"/>
                <w:szCs w:val="21"/>
                <w:highlight w:val="none"/>
              </w:rPr>
              <w:t>向</w:t>
            </w:r>
            <w:r>
              <w:rPr>
                <w:rFonts w:hint="eastAsia" w:cs="宋体" w:asciiTheme="majorEastAsia" w:hAnsiTheme="majorEastAsia" w:eastAsiaTheme="majorEastAsia"/>
                <w:color w:val="auto"/>
                <w:sz w:val="21"/>
                <w:szCs w:val="21"/>
                <w:highlight w:val="none"/>
                <w:lang w:val="en-US" w:eastAsia="zh-CN"/>
              </w:rPr>
              <w:t>中标人</w:t>
            </w:r>
            <w:r>
              <w:rPr>
                <w:rFonts w:hint="eastAsia" w:cs="宋体" w:asciiTheme="majorEastAsia" w:hAnsiTheme="majorEastAsia" w:eastAsiaTheme="majorEastAsia"/>
                <w:color w:val="auto"/>
                <w:sz w:val="21"/>
                <w:szCs w:val="21"/>
                <w:highlight w:val="none"/>
              </w:rPr>
              <w:t>申请结算上月货物货款。结算数量按上月</w:t>
            </w:r>
            <w:r>
              <w:rPr>
                <w:rFonts w:hint="eastAsia" w:cs="宋体" w:asciiTheme="majorEastAsia" w:hAnsiTheme="majorEastAsia" w:eastAsiaTheme="majorEastAsia"/>
                <w:color w:val="auto"/>
                <w:sz w:val="21"/>
                <w:szCs w:val="21"/>
                <w:highlight w:val="none"/>
                <w:lang w:val="en-US" w:eastAsia="zh-CN"/>
              </w:rPr>
              <w:t>中标人</w:t>
            </w:r>
            <w:r>
              <w:rPr>
                <w:rFonts w:hint="eastAsia" w:cs="宋体" w:asciiTheme="majorEastAsia" w:hAnsiTheme="majorEastAsia" w:eastAsiaTheme="majorEastAsia"/>
                <w:color w:val="auto"/>
                <w:sz w:val="21"/>
                <w:szCs w:val="21"/>
                <w:highlight w:val="none"/>
              </w:rPr>
              <w:t>货物经</w:t>
            </w:r>
            <w:r>
              <w:rPr>
                <w:rFonts w:hint="eastAsia" w:cs="宋体" w:asciiTheme="majorEastAsia" w:hAnsiTheme="majorEastAsia" w:eastAsiaTheme="majorEastAsia"/>
                <w:color w:val="auto"/>
                <w:sz w:val="21"/>
                <w:szCs w:val="21"/>
                <w:highlight w:val="none"/>
                <w:lang w:val="en-US" w:eastAsia="zh-CN"/>
              </w:rPr>
              <w:t>采购人</w:t>
            </w:r>
            <w:r>
              <w:rPr>
                <w:rFonts w:hint="eastAsia" w:cs="宋体" w:asciiTheme="majorEastAsia" w:hAnsiTheme="majorEastAsia" w:eastAsiaTheme="majorEastAsia"/>
                <w:color w:val="auto"/>
                <w:sz w:val="21"/>
                <w:szCs w:val="21"/>
                <w:highlight w:val="none"/>
              </w:rPr>
              <w:t>验收合格的数量（对质量有争议的部分暂时不予结算支付），并且在</w:t>
            </w:r>
            <w:r>
              <w:rPr>
                <w:rFonts w:hint="eastAsia" w:cs="宋体" w:asciiTheme="majorEastAsia" w:hAnsiTheme="majorEastAsia" w:eastAsiaTheme="majorEastAsia"/>
                <w:color w:val="auto"/>
                <w:sz w:val="21"/>
                <w:szCs w:val="21"/>
                <w:highlight w:val="none"/>
                <w:lang w:val="en-US" w:eastAsia="zh-CN"/>
              </w:rPr>
              <w:t>采购人</w:t>
            </w:r>
            <w:r>
              <w:rPr>
                <w:rFonts w:hint="eastAsia" w:cs="宋体" w:asciiTheme="majorEastAsia" w:hAnsiTheme="majorEastAsia" w:eastAsiaTheme="majorEastAsia"/>
                <w:color w:val="auto"/>
                <w:sz w:val="21"/>
                <w:szCs w:val="21"/>
                <w:highlight w:val="none"/>
              </w:rPr>
              <w:t>收到</w:t>
            </w:r>
            <w:r>
              <w:rPr>
                <w:rFonts w:hint="eastAsia" w:cs="宋体" w:asciiTheme="majorEastAsia" w:hAnsiTheme="majorEastAsia" w:eastAsiaTheme="majorEastAsia"/>
                <w:color w:val="auto"/>
                <w:sz w:val="21"/>
                <w:szCs w:val="21"/>
                <w:highlight w:val="none"/>
                <w:lang w:val="en-US" w:eastAsia="zh-CN"/>
              </w:rPr>
              <w:t>中标人</w:t>
            </w:r>
            <w:r>
              <w:rPr>
                <w:rFonts w:hint="eastAsia" w:cs="宋体" w:asciiTheme="majorEastAsia" w:hAnsiTheme="majorEastAsia" w:eastAsiaTheme="majorEastAsia"/>
                <w:color w:val="auto"/>
                <w:sz w:val="21"/>
                <w:szCs w:val="21"/>
                <w:highlight w:val="none"/>
              </w:rPr>
              <w:t>交付的以下资料后三十个工作日内以电汇/转账/银行承兑汇票等方式向</w:t>
            </w:r>
            <w:r>
              <w:rPr>
                <w:rFonts w:hint="eastAsia" w:cs="宋体" w:asciiTheme="majorEastAsia" w:hAnsiTheme="majorEastAsia" w:eastAsiaTheme="majorEastAsia"/>
                <w:color w:val="auto"/>
                <w:sz w:val="21"/>
                <w:szCs w:val="21"/>
                <w:highlight w:val="none"/>
                <w:lang w:val="en-US" w:eastAsia="zh-CN"/>
              </w:rPr>
              <w:t>中标人</w:t>
            </w:r>
            <w:r>
              <w:rPr>
                <w:rFonts w:hint="eastAsia" w:cs="宋体" w:asciiTheme="majorEastAsia" w:hAnsiTheme="majorEastAsia" w:eastAsiaTheme="majorEastAsia"/>
                <w:color w:val="auto"/>
                <w:sz w:val="21"/>
                <w:szCs w:val="21"/>
                <w:highlight w:val="none"/>
              </w:rPr>
              <w:t>支付：</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A．（货物的过磅计量清单）标的货物经</w:t>
            </w:r>
            <w:r>
              <w:rPr>
                <w:rFonts w:hint="eastAsia" w:cs="宋体" w:asciiTheme="majorEastAsia" w:hAnsiTheme="majorEastAsia" w:eastAsiaTheme="majorEastAsia"/>
                <w:color w:val="auto"/>
                <w:sz w:val="21"/>
                <w:szCs w:val="21"/>
                <w:highlight w:val="none"/>
                <w:lang w:val="en-US" w:eastAsia="zh-CN"/>
              </w:rPr>
              <w:t>采购人</w:t>
            </w:r>
            <w:r>
              <w:rPr>
                <w:rFonts w:hint="eastAsia" w:cs="宋体" w:asciiTheme="majorEastAsia" w:hAnsiTheme="majorEastAsia" w:eastAsiaTheme="majorEastAsia"/>
                <w:color w:val="auto"/>
                <w:sz w:val="21"/>
                <w:szCs w:val="21"/>
                <w:highlight w:val="none"/>
              </w:rPr>
              <w:t>地磅计量的实际重量；</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B．开具金额为该月验收合格货物总价100%的增值税专用发票；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C．</w:t>
            </w:r>
            <w:r>
              <w:rPr>
                <w:rFonts w:hint="eastAsia" w:cs="宋体" w:asciiTheme="majorEastAsia" w:hAnsiTheme="majorEastAsia" w:eastAsiaTheme="majorEastAsia"/>
                <w:color w:val="auto"/>
                <w:sz w:val="21"/>
                <w:szCs w:val="21"/>
                <w:highlight w:val="none"/>
                <w:lang w:val="en-US" w:eastAsia="zh-CN"/>
              </w:rPr>
              <w:t>中标人</w:t>
            </w:r>
            <w:r>
              <w:rPr>
                <w:rFonts w:hint="eastAsia" w:cs="宋体" w:asciiTheme="majorEastAsia" w:hAnsiTheme="majorEastAsia" w:eastAsiaTheme="majorEastAsia"/>
                <w:color w:val="auto"/>
                <w:sz w:val="21"/>
                <w:szCs w:val="21"/>
                <w:highlight w:val="none"/>
              </w:rPr>
              <w:t>向</w:t>
            </w:r>
            <w:r>
              <w:rPr>
                <w:rFonts w:hint="eastAsia" w:cs="宋体" w:asciiTheme="majorEastAsia" w:hAnsiTheme="majorEastAsia" w:eastAsiaTheme="majorEastAsia"/>
                <w:color w:val="auto"/>
                <w:sz w:val="21"/>
                <w:szCs w:val="21"/>
                <w:highlight w:val="none"/>
                <w:lang w:val="en-US" w:eastAsia="zh-CN"/>
              </w:rPr>
              <w:t>采购人</w:t>
            </w:r>
            <w:r>
              <w:rPr>
                <w:rFonts w:hint="eastAsia" w:cs="宋体" w:asciiTheme="majorEastAsia" w:hAnsiTheme="majorEastAsia" w:eastAsiaTheme="majorEastAsia"/>
                <w:color w:val="auto"/>
                <w:sz w:val="21"/>
                <w:szCs w:val="21"/>
                <w:highlight w:val="none"/>
              </w:rPr>
              <w:t>缴纳的履约担保证明资料（首次支付时需要）；</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D．</w:t>
            </w:r>
            <w:r>
              <w:rPr>
                <w:rFonts w:hint="eastAsia" w:cs="宋体" w:asciiTheme="majorEastAsia" w:hAnsiTheme="majorEastAsia" w:eastAsiaTheme="majorEastAsia"/>
                <w:color w:val="auto"/>
                <w:sz w:val="21"/>
                <w:szCs w:val="21"/>
                <w:highlight w:val="none"/>
                <w:lang w:val="en-US" w:eastAsia="zh-CN"/>
              </w:rPr>
              <w:t>中标人</w:t>
            </w:r>
            <w:r>
              <w:rPr>
                <w:rFonts w:hint="eastAsia" w:cs="宋体" w:asciiTheme="majorEastAsia" w:hAnsiTheme="majorEastAsia" w:eastAsiaTheme="majorEastAsia"/>
                <w:color w:val="auto"/>
                <w:sz w:val="21"/>
                <w:szCs w:val="21"/>
                <w:highlight w:val="none"/>
              </w:rPr>
              <w:t>每月二次随机抽检的第三方检测合格报告；</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E．送货清单（</w:t>
            </w:r>
            <w:r>
              <w:rPr>
                <w:rFonts w:hint="eastAsia" w:cs="宋体" w:asciiTheme="majorEastAsia" w:hAnsiTheme="majorEastAsia" w:eastAsiaTheme="majorEastAsia"/>
                <w:color w:val="auto"/>
                <w:sz w:val="21"/>
                <w:szCs w:val="21"/>
                <w:highlight w:val="none"/>
                <w:lang w:val="en-US" w:eastAsia="zh-CN"/>
              </w:rPr>
              <w:t>采购人</w:t>
            </w:r>
            <w:r>
              <w:rPr>
                <w:rFonts w:hint="eastAsia" w:cs="宋体" w:asciiTheme="majorEastAsia" w:hAnsiTheme="majorEastAsia" w:eastAsiaTheme="majorEastAsia"/>
                <w:color w:val="auto"/>
                <w:sz w:val="21"/>
                <w:szCs w:val="21"/>
                <w:highlight w:val="none"/>
              </w:rPr>
              <w:t>指定收货人签字确认）；</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F．每车次货物出厂化验报告；</w:t>
            </w:r>
          </w:p>
          <w:p>
            <w:pPr>
              <w:pStyle w:val="12"/>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cs="宋体" w:asciiTheme="majorEastAsia" w:hAnsiTheme="majorEastAsia" w:eastAsiaTheme="majorEastAsia"/>
                <w:b w:val="0"/>
                <w:bCs w:val="0"/>
                <w:color w:val="auto"/>
                <w:sz w:val="21"/>
                <w:szCs w:val="21"/>
                <w:highlight w:val="none"/>
              </w:rPr>
            </w:pPr>
            <w:r>
              <w:rPr>
                <w:rFonts w:hint="eastAsia" w:cs="宋体" w:asciiTheme="majorEastAsia" w:hAnsiTheme="majorEastAsia" w:eastAsiaTheme="majorEastAsia"/>
                <w:b w:val="0"/>
                <w:bCs w:val="0"/>
                <w:color w:val="auto"/>
                <w:sz w:val="21"/>
                <w:szCs w:val="21"/>
                <w:highlight w:val="none"/>
              </w:rPr>
              <w:t>G. 双方盖章确认的月度对账单。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cs="宋体" w:asciiTheme="majorEastAsia" w:hAnsiTheme="majorEastAsia" w:eastAsiaTheme="majorEastAsia"/>
                <w:color w:val="auto"/>
                <w:sz w:val="21"/>
                <w:szCs w:val="21"/>
                <w:highlight w:val="none"/>
                <w:lang w:val="en-US" w:eastAsia="zh-CN"/>
              </w:rPr>
            </w:pPr>
            <w:r>
              <w:rPr>
                <w:rFonts w:hint="eastAsia" w:cs="宋体" w:asciiTheme="majorEastAsia" w:hAnsiTheme="majorEastAsia" w:eastAsiaTheme="majorEastAsia"/>
                <w:color w:val="auto"/>
                <w:sz w:val="21"/>
                <w:szCs w:val="21"/>
                <w:highlight w:val="none"/>
                <w:lang w:val="en-US" w:eastAsia="zh-CN"/>
              </w:rPr>
              <w:t>4</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项目地点</w:t>
            </w:r>
          </w:p>
        </w:tc>
        <w:tc>
          <w:tcPr>
            <w:tcW w:w="3818" w:type="pct"/>
            <w:vAlign w:val="center"/>
          </w:tcPr>
          <w:p>
            <w:pPr>
              <w:pStyle w:val="12"/>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cs="宋体" w:asciiTheme="majorEastAsia" w:hAnsiTheme="majorEastAsia" w:eastAsiaTheme="majorEastAsia"/>
                <w:b w:val="0"/>
                <w:bCs w:val="0"/>
                <w:color w:val="auto"/>
                <w:sz w:val="21"/>
                <w:szCs w:val="21"/>
                <w:highlight w:val="none"/>
              </w:rPr>
            </w:pPr>
            <w:r>
              <w:rPr>
                <w:rFonts w:hint="eastAsia" w:cs="宋体" w:asciiTheme="majorEastAsia" w:hAnsiTheme="majorEastAsia" w:eastAsiaTheme="majorEastAsia"/>
                <w:b w:val="0"/>
                <w:bCs w:val="0"/>
                <w:color w:val="auto"/>
                <w:sz w:val="21"/>
                <w:szCs w:val="21"/>
                <w:highlight w:val="none"/>
              </w:rPr>
              <w:t>东莞市海心沙资源综合利用中心环保热电厂指定地点。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cs="宋体" w:asciiTheme="majorEastAsia" w:hAnsiTheme="majorEastAsia" w:eastAsiaTheme="majorEastAsia"/>
                <w:color w:val="auto"/>
                <w:sz w:val="21"/>
                <w:szCs w:val="21"/>
                <w:highlight w:val="none"/>
                <w:lang w:eastAsia="zh-CN"/>
              </w:rPr>
            </w:pPr>
            <w:r>
              <w:rPr>
                <w:rFonts w:hint="eastAsia" w:cs="宋体" w:asciiTheme="majorEastAsia" w:hAnsiTheme="majorEastAsia" w:eastAsiaTheme="majorEastAsia"/>
                <w:color w:val="auto"/>
                <w:sz w:val="21"/>
                <w:szCs w:val="21"/>
                <w:highlight w:val="none"/>
                <w:lang w:val="en-US" w:eastAsia="zh-CN"/>
              </w:rPr>
              <w:t>5</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报价要求</w:t>
            </w:r>
          </w:p>
        </w:tc>
        <w:tc>
          <w:tcPr>
            <w:tcW w:w="3818" w:type="pct"/>
            <w:vAlign w:val="center"/>
          </w:tcPr>
          <w:p>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lang w:val="en-US" w:eastAsia="zh-CN"/>
              </w:rPr>
              <w:t>1、</w:t>
            </w:r>
            <w:r>
              <w:rPr>
                <w:rFonts w:hint="eastAsia" w:cs="宋体" w:asciiTheme="majorEastAsia" w:hAnsiTheme="majorEastAsia" w:eastAsiaTheme="majorEastAsia"/>
                <w:color w:val="auto"/>
                <w:sz w:val="21"/>
                <w:szCs w:val="21"/>
                <w:highlight w:val="none"/>
              </w:rPr>
              <w:t>本采购项目为固定单价承包项目，合同价款包括投标人为完成</w:t>
            </w:r>
            <w:r>
              <w:rPr>
                <w:rFonts w:hint="eastAsia" w:cs="宋体" w:asciiTheme="majorEastAsia" w:hAnsiTheme="majorEastAsia" w:eastAsiaTheme="majorEastAsia"/>
                <w:color w:val="auto"/>
                <w:sz w:val="21"/>
                <w:szCs w:val="21"/>
                <w:highlight w:val="none"/>
                <w:lang w:eastAsia="zh-CN"/>
              </w:rPr>
              <w:t>采购</w:t>
            </w:r>
            <w:r>
              <w:rPr>
                <w:rFonts w:hint="eastAsia" w:cs="宋体" w:asciiTheme="majorEastAsia" w:hAnsiTheme="majorEastAsia" w:eastAsiaTheme="majorEastAsia"/>
                <w:color w:val="auto"/>
                <w:sz w:val="21"/>
                <w:szCs w:val="21"/>
                <w:highlight w:val="none"/>
              </w:rPr>
              <w:t>项目所需的一切含成本、费用、税金、利润及项目过程中一切可遇见和不可遇见的所有费用。</w:t>
            </w:r>
          </w:p>
          <w:p>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2</w:t>
            </w:r>
            <w:r>
              <w:rPr>
                <w:rFonts w:hint="eastAsia" w:cs="宋体" w:asciiTheme="majorEastAsia" w:hAnsiTheme="majorEastAsia" w:eastAsiaTheme="majorEastAsia"/>
                <w:color w:val="auto"/>
                <w:sz w:val="21"/>
                <w:szCs w:val="21"/>
                <w:highlight w:val="none"/>
              </w:rPr>
              <w:t>、若投标人对某些项目未报价，则应认为已包括在其它项目的单价和</w:t>
            </w:r>
            <w:r>
              <w:rPr>
                <w:rFonts w:hint="eastAsia" w:cs="宋体" w:asciiTheme="majorEastAsia" w:hAnsiTheme="majorEastAsia" w:eastAsiaTheme="majorEastAsia"/>
                <w:color w:val="auto"/>
                <w:sz w:val="21"/>
                <w:szCs w:val="21"/>
                <w:highlight w:val="none"/>
                <w:lang w:val="en-US" w:eastAsia="zh-CN"/>
              </w:rPr>
              <w:t>总</w:t>
            </w:r>
            <w:r>
              <w:rPr>
                <w:rFonts w:hint="eastAsia" w:cs="宋体" w:asciiTheme="majorEastAsia" w:hAnsiTheme="majorEastAsia" w:eastAsiaTheme="majorEastAsia"/>
                <w:color w:val="auto"/>
                <w:sz w:val="21"/>
                <w:szCs w:val="21"/>
                <w:highlight w:val="none"/>
              </w:rPr>
              <w:t>价内。</w:t>
            </w:r>
          </w:p>
          <w:p>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3</w:t>
            </w:r>
            <w:r>
              <w:rPr>
                <w:rFonts w:hint="eastAsia" w:cs="宋体" w:asciiTheme="majorEastAsia" w:hAnsiTheme="majorEastAsia" w:eastAsiaTheme="majorEastAsia"/>
                <w:color w:val="auto"/>
                <w:sz w:val="21"/>
                <w:szCs w:val="21"/>
                <w:highlight w:val="none"/>
              </w:rPr>
              <w:t>、投标人的优惠条件应在投标文件中详细予以说明，并与投标报价表一同密封，否则，评标委员会在评审时均将不予考虑。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6</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质保期</w:t>
            </w:r>
          </w:p>
        </w:tc>
        <w:tc>
          <w:tcPr>
            <w:tcW w:w="3818" w:type="pct"/>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rPr>
                <w:color w:val="auto"/>
                <w:sz w:val="21"/>
                <w:szCs w:val="21"/>
                <w:highlight w:val="none"/>
              </w:rPr>
            </w:pPr>
            <w:r>
              <w:rPr>
                <w:rFonts w:hint="eastAsia" w:cs="宋体" w:asciiTheme="majorEastAsia" w:hAnsiTheme="majorEastAsia" w:eastAsiaTheme="majorEastAsia"/>
                <w:color w:val="auto"/>
                <w:kern w:val="2"/>
                <w:sz w:val="21"/>
                <w:szCs w:val="21"/>
                <w:highlight w:val="none"/>
                <w:lang w:val="zh-CN" w:bidi="zh-CN"/>
              </w:rPr>
              <w:t>中标人提供自货物交付验收合格之日起，至少6个月质量保证书。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cs="宋体" w:asciiTheme="majorEastAsia" w:hAnsiTheme="majorEastAsia" w:eastAsiaTheme="majorEastAsia"/>
                <w:color w:val="auto"/>
                <w:sz w:val="21"/>
                <w:szCs w:val="21"/>
                <w:highlight w:val="none"/>
                <w:lang w:val="en-US" w:eastAsia="zh-CN"/>
              </w:rPr>
            </w:pPr>
            <w:r>
              <w:rPr>
                <w:rFonts w:hint="eastAsia" w:cs="宋体" w:asciiTheme="majorEastAsia" w:hAnsiTheme="majorEastAsia" w:eastAsiaTheme="majorEastAsia"/>
                <w:color w:val="auto"/>
                <w:sz w:val="21"/>
                <w:szCs w:val="21"/>
                <w:highlight w:val="none"/>
                <w:lang w:val="en-US" w:eastAsia="zh-CN"/>
              </w:rPr>
              <w:t>7</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投标有效期</w:t>
            </w:r>
          </w:p>
        </w:tc>
        <w:tc>
          <w:tcPr>
            <w:tcW w:w="3818" w:type="pct"/>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宋体" w:asciiTheme="majorEastAsia" w:hAnsiTheme="majorEastAsia" w:eastAsiaTheme="majorEastAsia"/>
                <w:color w:val="auto"/>
                <w:kern w:val="2"/>
                <w:sz w:val="21"/>
                <w:szCs w:val="21"/>
                <w:highlight w:val="none"/>
                <w:lang w:bidi="zh-CN"/>
              </w:rPr>
            </w:pPr>
            <w:r>
              <w:rPr>
                <w:rFonts w:hint="eastAsia" w:cs="宋体" w:asciiTheme="majorEastAsia" w:hAnsiTheme="majorEastAsia" w:eastAsiaTheme="majorEastAsia"/>
                <w:color w:val="auto"/>
                <w:kern w:val="2"/>
                <w:sz w:val="21"/>
                <w:szCs w:val="21"/>
                <w:highlight w:val="none"/>
                <w:lang w:bidi="zh-CN"/>
              </w:rPr>
              <w:t>自开标之日起90天。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cs="宋体" w:asciiTheme="majorEastAsia" w:hAnsiTheme="majorEastAsia" w:eastAsiaTheme="majorEastAsia"/>
                <w:color w:val="auto"/>
                <w:sz w:val="21"/>
                <w:szCs w:val="21"/>
                <w:highlight w:val="none"/>
                <w:lang w:eastAsia="zh-CN"/>
              </w:rPr>
            </w:pPr>
            <w:r>
              <w:rPr>
                <w:rFonts w:hint="eastAsia" w:cs="宋体" w:asciiTheme="majorEastAsia" w:hAnsiTheme="majorEastAsia" w:eastAsiaTheme="majorEastAsia"/>
                <w:color w:val="auto"/>
                <w:sz w:val="21"/>
                <w:szCs w:val="21"/>
                <w:highlight w:val="none"/>
                <w:lang w:val="en-US" w:eastAsia="zh-CN"/>
              </w:rPr>
              <w:t>8</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合同条款</w:t>
            </w:r>
          </w:p>
        </w:tc>
        <w:tc>
          <w:tcPr>
            <w:tcW w:w="3818" w:type="pct"/>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cs="宋体" w:asciiTheme="majorEastAsia" w:hAnsiTheme="majorEastAsia" w:eastAsiaTheme="majorEastAsia"/>
                <w:color w:val="auto"/>
                <w:kern w:val="2"/>
                <w:sz w:val="21"/>
                <w:szCs w:val="21"/>
                <w:highlight w:val="none"/>
                <w:lang w:val="zh-CN" w:bidi="zh-CN"/>
              </w:rPr>
            </w:pPr>
            <w:r>
              <w:rPr>
                <w:rFonts w:hint="eastAsia" w:cs="宋体" w:asciiTheme="majorEastAsia" w:hAnsiTheme="majorEastAsia" w:eastAsiaTheme="majorEastAsia"/>
                <w:color w:val="auto"/>
                <w:kern w:val="2"/>
                <w:sz w:val="21"/>
                <w:szCs w:val="21"/>
                <w:highlight w:val="none"/>
                <w:lang w:val="zh-CN" w:bidi="zh-CN"/>
              </w:rPr>
              <w:t>投标人实质响应合同各条款。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3"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cs="宋体" w:asciiTheme="majorEastAsia" w:hAnsiTheme="majorEastAsia" w:eastAsiaTheme="majorEastAsia"/>
                <w:color w:val="auto"/>
                <w:sz w:val="21"/>
                <w:szCs w:val="21"/>
                <w:highlight w:val="none"/>
                <w:lang w:eastAsia="zh-CN"/>
              </w:rPr>
            </w:pPr>
            <w:r>
              <w:rPr>
                <w:rFonts w:hint="eastAsia" w:cs="宋体" w:asciiTheme="majorEastAsia" w:hAnsiTheme="majorEastAsia" w:eastAsiaTheme="majorEastAsia"/>
                <w:color w:val="auto"/>
                <w:sz w:val="21"/>
                <w:szCs w:val="21"/>
                <w:highlight w:val="none"/>
                <w:lang w:val="en-US" w:eastAsia="zh-CN"/>
              </w:rPr>
              <w:t>9</w:t>
            </w:r>
          </w:p>
        </w:tc>
        <w:tc>
          <w:tcPr>
            <w:tcW w:w="777" w:type="pct"/>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服务质量考核</w:t>
            </w:r>
          </w:p>
        </w:tc>
        <w:tc>
          <w:tcPr>
            <w:tcW w:w="3818" w:type="pct"/>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1、采购人按考核评分表（附件1）对中标人供货质量、服务情况等进行季度考核。季度考核综合得分大于等于80分，中标人继续履行合同；季度考核综合得分小于80分，采购人有权解除合同。</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2、季度总评考核结果：</w:t>
            </w:r>
          </w:p>
          <w:tbl>
            <w:tblPr>
              <w:tblStyle w:val="30"/>
              <w:tblW w:w="6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2155"/>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98"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考核结果</w:t>
                  </w:r>
                </w:p>
              </w:tc>
              <w:tc>
                <w:tcPr>
                  <w:tcW w:w="215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分值区间</w:t>
                  </w:r>
                </w:p>
              </w:tc>
              <w:tc>
                <w:tcPr>
                  <w:tcW w:w="258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是否继续执行合同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98"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p>
              </w:tc>
              <w:tc>
                <w:tcPr>
                  <w:tcW w:w="215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综合得分≥80分</w:t>
                  </w:r>
                </w:p>
              </w:tc>
              <w:tc>
                <w:tcPr>
                  <w:tcW w:w="258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继续执行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498"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w:t>
                  </w:r>
                </w:p>
              </w:tc>
              <w:tc>
                <w:tcPr>
                  <w:tcW w:w="215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综合得分＜80分</w:t>
                  </w:r>
                </w:p>
              </w:tc>
              <w:tc>
                <w:tcPr>
                  <w:tcW w:w="258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任一次不合格采购人有权解除合同</w:t>
                  </w:r>
                </w:p>
              </w:tc>
            </w:tr>
          </w:tbl>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cs="宋体" w:asciiTheme="majorEastAsia" w:hAnsiTheme="majorEastAsia" w:eastAsiaTheme="majorEastAsia"/>
                <w:color w:val="auto"/>
                <w:kern w:val="2"/>
                <w:sz w:val="21"/>
                <w:szCs w:val="21"/>
                <w:highlight w:val="none"/>
                <w:lang w:val="zh-CN" w:bidi="zh-CN"/>
              </w:rPr>
            </w:pPr>
            <w:r>
              <w:rPr>
                <w:rFonts w:hint="eastAsia" w:ascii="宋体" w:hAnsi="宋体" w:eastAsia="宋体" w:cs="宋体"/>
                <w:color w:val="auto"/>
                <w:sz w:val="21"/>
                <w:szCs w:val="21"/>
                <w:highlight w:val="none"/>
                <w:lang w:eastAsia="zh-CN"/>
              </w:rPr>
              <w:t>内容详见</w:t>
            </w:r>
            <w:r>
              <w:rPr>
                <w:rFonts w:hint="eastAsia" w:ascii="宋体" w:hAnsi="宋体" w:eastAsia="宋体" w:cs="宋体"/>
                <w:color w:val="auto"/>
                <w:sz w:val="21"/>
                <w:szCs w:val="21"/>
                <w:highlight w:val="none"/>
              </w:rPr>
              <w:t>附件1《供货考核评分表》</w:t>
            </w:r>
          </w:p>
        </w:tc>
      </w:tr>
    </w:tbl>
    <w:p>
      <w:pPr>
        <w:rPr>
          <w:color w:val="auto"/>
          <w:highlight w:val="none"/>
        </w:rPr>
      </w:pPr>
    </w:p>
    <w:p>
      <w:pPr>
        <w:adjustRightInd w:val="0"/>
        <w:snapToGrid w:val="0"/>
        <w:spacing w:line="480" w:lineRule="auto"/>
        <w:rPr>
          <w:rFonts w:ascii="宋体" w:hAnsi="宋体" w:cs="宋体"/>
          <w:color w:val="auto"/>
          <w:sz w:val="28"/>
          <w:szCs w:val="28"/>
          <w:highlight w:val="none"/>
        </w:rPr>
      </w:pPr>
      <w:r>
        <w:rPr>
          <w:rFonts w:hint="eastAsia" w:ascii="宋体" w:hAnsi="宋体" w:cs="宋体"/>
          <w:b/>
          <w:bCs/>
          <w:color w:val="auto"/>
          <w:sz w:val="28"/>
          <w:szCs w:val="28"/>
          <w:highlight w:val="none"/>
        </w:rPr>
        <w:t>附件1《供货考核评分表》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88"/>
        <w:gridCol w:w="622"/>
        <w:gridCol w:w="672"/>
        <w:gridCol w:w="4630"/>
        <w:gridCol w:w="568"/>
        <w:gridCol w:w="590"/>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类别</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细分项目</w:t>
            </w:r>
          </w:p>
        </w:tc>
        <w:tc>
          <w:tcPr>
            <w:tcW w:w="27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评分细则</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满分</w:t>
            </w:r>
          </w:p>
        </w:tc>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评分</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扣分/加分事由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6" w:hRule="atLeast"/>
          <w:jc w:val="center"/>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365"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送货质量</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交货及时</w:t>
            </w:r>
          </w:p>
        </w:tc>
        <w:tc>
          <w:tcPr>
            <w:tcW w:w="27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每逾期1天交货扣3分，逾期达3天及以上交货扣10分，扣至0分为止。</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6" w:hRule="atLeast"/>
          <w:jc w:val="center"/>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365"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s="宋体"/>
                <w:color w:val="auto"/>
                <w:sz w:val="21"/>
                <w:szCs w:val="21"/>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现场整洁</w:t>
            </w:r>
          </w:p>
        </w:tc>
        <w:tc>
          <w:tcPr>
            <w:tcW w:w="27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卸货范围内的卫生保持整洁，全月无投诉得10分，每次投诉扣3分，扣至0分为止。</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6" w:hRule="atLeast"/>
          <w:jc w:val="center"/>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365"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产品质量</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现场检测</w:t>
            </w:r>
          </w:p>
        </w:tc>
        <w:tc>
          <w:tcPr>
            <w:tcW w:w="27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产品现场检验如出现不合格情况，每次扣3分，扣至0分为止。</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6" w:hRule="atLeast"/>
          <w:jc w:val="center"/>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365"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s="宋体"/>
                <w:color w:val="auto"/>
                <w:sz w:val="21"/>
                <w:szCs w:val="21"/>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换货及时</w:t>
            </w:r>
          </w:p>
        </w:tc>
        <w:tc>
          <w:tcPr>
            <w:tcW w:w="27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产品不合格换货情况，需按采购人要求在10个小时内完成换货，每超出一次扣3分，扣至0分为止。</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9" w:hRule="atLeast"/>
          <w:jc w:val="center"/>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365"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s="宋体"/>
                <w:color w:val="auto"/>
                <w:sz w:val="21"/>
                <w:szCs w:val="21"/>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质量异议</w:t>
            </w:r>
          </w:p>
        </w:tc>
        <w:tc>
          <w:tcPr>
            <w:tcW w:w="27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如出现质量异议问题，送第三方检测后发生一次不合格扣10分，发生二次及以上不合格扣20分，扣至0分为止。</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20</w:t>
            </w:r>
          </w:p>
        </w:tc>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6" w:hRule="atLeast"/>
          <w:jc w:val="center"/>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3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技术服务</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技术咨询</w:t>
            </w:r>
          </w:p>
        </w:tc>
        <w:tc>
          <w:tcPr>
            <w:tcW w:w="27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技术咨询及时反馈，未及时反馈（通常指一天内）一次扣2分，扣至0分为止。</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6" w:hRule="atLeast"/>
          <w:jc w:val="center"/>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3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s="宋体"/>
                <w:color w:val="auto"/>
                <w:sz w:val="21"/>
                <w:szCs w:val="21"/>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现场服务</w:t>
            </w:r>
          </w:p>
        </w:tc>
        <w:tc>
          <w:tcPr>
            <w:tcW w:w="27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如甲方需要提供现场服务，未按需求及时到达现场（通常指2天内）一次扣3分，扣至0分为止。</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9" w:hRule="atLeast"/>
          <w:jc w:val="center"/>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365"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服务质量水平</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服务整改</w:t>
            </w:r>
          </w:p>
        </w:tc>
        <w:tc>
          <w:tcPr>
            <w:tcW w:w="27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每次因收到各种途径的投诉下发的整改单扣5分，如整改后效果明显改善可免除扣分，该项扣至0分为止。</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6" w:hRule="atLeast"/>
          <w:jc w:val="center"/>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365"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s="宋体"/>
                <w:color w:val="auto"/>
                <w:sz w:val="21"/>
                <w:szCs w:val="21"/>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整改逾期</w:t>
            </w:r>
          </w:p>
        </w:tc>
        <w:tc>
          <w:tcPr>
            <w:tcW w:w="27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每次服务整改逾期扣5分，如在整改规定日期前完成可免除扣分，该项扣至0分为止。</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9" w:hRule="atLeast"/>
          <w:jc w:val="center"/>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c>
          <w:tcPr>
            <w:tcW w:w="365" w:type="pct"/>
            <w:vMerge w:val="restart"/>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加分项</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紧急供货</w:t>
            </w:r>
          </w:p>
        </w:tc>
        <w:tc>
          <w:tcPr>
            <w:tcW w:w="27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节假日或紧急采购等特殊时期，乙方保证甲方货源充足和供货及时稳定等，可酌情适当加分，如无则为0分</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6" w:hRule="atLeast"/>
          <w:jc w:val="center"/>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c>
          <w:tcPr>
            <w:tcW w:w="365"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s="宋体"/>
                <w:color w:val="auto"/>
                <w:sz w:val="21"/>
                <w:szCs w:val="21"/>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质量稳定</w:t>
            </w:r>
          </w:p>
        </w:tc>
        <w:tc>
          <w:tcPr>
            <w:tcW w:w="27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乙方每次供货质量优于或满足甲方要求，连续一个月加2分，连续两个月加4分，连续三个月加6分。</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9" w:hRule="atLeast"/>
          <w:jc w:val="center"/>
        </w:trPr>
        <w:tc>
          <w:tcPr>
            <w:tcW w:w="382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合计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110</w:t>
            </w:r>
          </w:p>
        </w:tc>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auto"/>
                <w:sz w:val="21"/>
                <w:szCs w:val="21"/>
                <w:highlight w:val="none"/>
              </w:rPr>
            </w:pPr>
          </w:p>
        </w:tc>
      </w:tr>
    </w:tbl>
    <w:p>
      <w:pPr>
        <w:pStyle w:val="12"/>
        <w:adjustRightInd w:val="0"/>
        <w:snapToGrid w:val="0"/>
        <w:spacing w:line="360" w:lineRule="auto"/>
        <w:ind w:left="0" w:leftChars="0"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采购人：经办人签字：                           中标人： 经办人签字：</w:t>
      </w:r>
    </w:p>
    <w:p>
      <w:pPr>
        <w:pStyle w:val="12"/>
        <w:adjustRightInd w:val="0"/>
        <w:snapToGrid w:val="0"/>
        <w:spacing w:line="360" w:lineRule="auto"/>
        <w:ind w:left="0" w:leftChars="0" w:firstLine="420" w:firstLineChars="2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部门负责人签字：                        项目负责人签字：</w:t>
      </w:r>
    </w:p>
    <w:p>
      <w:pPr>
        <w:pStyle w:val="12"/>
        <w:adjustRightInd w:val="0"/>
        <w:snapToGrid w:val="0"/>
        <w:spacing w:line="360" w:lineRule="auto"/>
        <w:ind w:left="0" w:leftChars="0" w:firstLine="1260" w:firstLineChars="6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项目负责人签字：</w:t>
      </w:r>
    </w:p>
    <w:p>
      <w:pPr>
        <w:pStyle w:val="12"/>
        <w:adjustRightInd w:val="0"/>
        <w:snapToGrid w:val="0"/>
        <w:spacing w:line="360" w:lineRule="auto"/>
        <w:ind w:left="0" w:leftChars="0" w:firstLine="1260" w:firstLineChars="600"/>
        <w:jc w:val="left"/>
        <w:rPr>
          <w:rFonts w:asciiTheme="minorEastAsia" w:hAnsiTheme="minorEastAsia" w:eastAsiaTheme="minorEastAsia"/>
          <w:color w:val="auto"/>
          <w:szCs w:val="21"/>
          <w:highlight w:val="none"/>
        </w:rPr>
      </w:pPr>
      <w:r>
        <w:rPr>
          <w:rFonts w:hint="eastAsia" w:ascii="宋体" w:hAnsi="宋体" w:cs="宋体"/>
          <w:b w:val="0"/>
          <w:bCs w:val="0"/>
          <w:color w:val="auto"/>
          <w:szCs w:val="21"/>
          <w:highlight w:val="none"/>
        </w:rPr>
        <w:t>日期:                                    日期：</w:t>
      </w:r>
      <w:r>
        <w:rPr>
          <w:rFonts w:hint="eastAsia" w:asciiTheme="minorEastAsia" w:hAnsiTheme="minorEastAsia" w:eastAsiaTheme="minorEastAsia"/>
          <w:color w:val="auto"/>
          <w:szCs w:val="21"/>
          <w:highlight w:val="none"/>
        </w:rPr>
        <w:br w:type="page"/>
      </w:r>
    </w:p>
    <w:p>
      <w:pPr>
        <w:jc w:val="center"/>
        <w:outlineLvl w:val="3"/>
        <w:rPr>
          <w:b/>
          <w:color w:val="auto"/>
          <w:szCs w:val="21"/>
          <w:highlight w:val="none"/>
        </w:rPr>
      </w:pPr>
      <w:bookmarkStart w:id="13" w:name="_Toc160826263"/>
      <w:r>
        <w:rPr>
          <w:rFonts w:hint="eastAsia"/>
          <w:b/>
          <w:color w:val="auto"/>
          <w:szCs w:val="21"/>
          <w:highlight w:val="none"/>
        </w:rPr>
        <w:t>第二章 技术需求书</w:t>
      </w:r>
      <w:bookmarkEnd w:id="13"/>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项目概况：</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1、为保障东莞市海心沙资源综合利用中心环保热电厂正常生产运营，东莞市新东元环保投资有限公司通过公开</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方式分别选取1家供应商作为</w:t>
      </w:r>
      <w:r>
        <w:rPr>
          <w:rFonts w:hint="eastAsia" w:ascii="宋体" w:hAnsi="宋体" w:eastAsia="宋体" w:cs="宋体"/>
          <w:b/>
          <w:bCs/>
          <w:color w:val="auto"/>
          <w:sz w:val="21"/>
          <w:szCs w:val="21"/>
          <w:highlight w:val="none"/>
          <w:u w:val="single"/>
        </w:rPr>
        <w:t>A包活性炭，B包熟石灰。</w:t>
      </w:r>
      <w:r>
        <w:rPr>
          <w:rFonts w:hint="eastAsia" w:ascii="宋体" w:hAnsi="宋体" w:eastAsia="宋体" w:cs="宋体"/>
          <w:color w:val="auto"/>
          <w:sz w:val="21"/>
          <w:szCs w:val="21"/>
          <w:highlight w:val="none"/>
        </w:rPr>
        <w:t>采购人根据项目需求及实际情况通知中标人随时供货，每车次具体供货数量按采购人供货通知为准，中标人在收到采购人通知（以订单形式、短信形式、微信、电子邮件形式均可）送货后2日内交货到厂。中标人应当常备充足的货物，保证采购人无论每批要求供货的数量多少，均可以随时满足供货需求。紧急供货：如采购人的任一项目因突发状况要求紧急供货，中标人应在收到采购人通知后根据采购人订单或电子邮件、短信等要求在10个小时内交货到厂。如不能在约定时间交货到厂，则承担逾期交货相关责任。在采购人的计划采购数量供应完毕后，合同期内采购人有权要求中标人继续供货，中标人不得提出任何异议，也不得要求采购人调整价格、支付任何赔偿或补偿。中标人须自行考虑并承担由此引起的相关风险。</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rPr>
        <w:t>2、本技术需求书所提出的是最低限度的技术要求，并未对一切技术细节作出规定，也未充分引述有关标准和规范的条文。本技术需求书所使用的标准，如遇与中标人所执行的标准不一致时，按较高的标准执行。如果本技术协议与现行使用的有关国家标准以及部颁标准有明显抵触的条文，中标人应按较高的标准执行。</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A包：活性炭需求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一、采购内容清单</w:t>
      </w:r>
    </w:p>
    <w:tbl>
      <w:tblPr>
        <w:tblStyle w:val="30"/>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1578"/>
        <w:gridCol w:w="1192"/>
        <w:gridCol w:w="1696"/>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3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辅料名称</w:t>
            </w:r>
          </w:p>
        </w:tc>
        <w:tc>
          <w:tcPr>
            <w:tcW w:w="15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计划采购供货量</w:t>
            </w:r>
          </w:p>
        </w:tc>
        <w:tc>
          <w:tcPr>
            <w:tcW w:w="11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计量单位</w:t>
            </w:r>
          </w:p>
        </w:tc>
        <w:tc>
          <w:tcPr>
            <w:tcW w:w="16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用途</w:t>
            </w:r>
          </w:p>
        </w:tc>
        <w:tc>
          <w:tcPr>
            <w:tcW w:w="26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送货要求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325" w:type="dxa"/>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活性炭</w:t>
            </w:r>
          </w:p>
        </w:tc>
        <w:tc>
          <w:tcPr>
            <w:tcW w:w="1578" w:type="dxa"/>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约700</w:t>
            </w:r>
          </w:p>
        </w:tc>
        <w:tc>
          <w:tcPr>
            <w:tcW w:w="11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吨</w:t>
            </w:r>
          </w:p>
        </w:tc>
        <w:tc>
          <w:tcPr>
            <w:tcW w:w="1696" w:type="dxa"/>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烟气吸附重金属使用</w:t>
            </w:r>
          </w:p>
        </w:tc>
        <w:tc>
          <w:tcPr>
            <w:tcW w:w="2642" w:type="dxa"/>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现场有一20m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储罐；按现场需求分批送货</w:t>
            </w:r>
          </w:p>
        </w:tc>
      </w:tr>
    </w:tbl>
    <w:p>
      <w:pPr>
        <w:keepNext w:val="0"/>
        <w:keepLines w:val="0"/>
        <w:pageBreakBefore w:val="0"/>
        <w:widowControl/>
        <w:tabs>
          <w:tab w:val="left" w:pos="0"/>
          <w:tab w:val="left" w:pos="709"/>
        </w:tabs>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bookmarkStart w:id="14" w:name="_Toc23911"/>
      <w:r>
        <w:rPr>
          <w:rFonts w:hint="eastAsia" w:ascii="宋体" w:hAnsi="宋体" w:eastAsia="宋体" w:cs="宋体"/>
          <w:b/>
          <w:color w:val="auto"/>
          <w:sz w:val="21"/>
          <w:szCs w:val="21"/>
          <w:highlight w:val="none"/>
        </w:rPr>
        <w:t>二、技术标准</w:t>
      </w:r>
      <w:bookmarkEnd w:id="14"/>
    </w:p>
    <w:p>
      <w:pPr>
        <w:keepNext w:val="0"/>
        <w:keepLines w:val="0"/>
        <w:pageBreakBefore w:val="0"/>
        <w:widowControl/>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活性炭技术参数：</w:t>
      </w:r>
    </w:p>
    <w:p>
      <w:pPr>
        <w:keepNext w:val="0"/>
        <w:keepLines w:val="0"/>
        <w:pageBreakBefore w:val="0"/>
        <w:widowControl/>
        <w:numPr>
          <w:ilvl w:val="0"/>
          <w:numId w:val="2"/>
        </w:numPr>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目数325目且通过率≥85%；</w:t>
      </w:r>
    </w:p>
    <w:p>
      <w:pPr>
        <w:keepNext w:val="0"/>
        <w:keepLines w:val="0"/>
        <w:pageBreakBefore w:val="0"/>
        <w:widowControl/>
        <w:numPr>
          <w:ilvl w:val="0"/>
          <w:numId w:val="2"/>
        </w:numPr>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比表面积≥900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/g；</w:t>
      </w:r>
    </w:p>
    <w:p>
      <w:pPr>
        <w:keepNext w:val="0"/>
        <w:keepLines w:val="0"/>
        <w:pageBreakBefore w:val="0"/>
        <w:widowControl/>
        <w:numPr>
          <w:ilvl w:val="0"/>
          <w:numId w:val="2"/>
        </w:numPr>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碘值≥900mg/g；</w:t>
      </w:r>
    </w:p>
    <w:p>
      <w:pPr>
        <w:keepNext w:val="0"/>
        <w:keepLines w:val="0"/>
        <w:pageBreakBefore w:val="0"/>
        <w:widowControl/>
        <w:numPr>
          <w:ilvl w:val="0"/>
          <w:numId w:val="2"/>
        </w:numPr>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燃烧温度＞700℃；</w:t>
      </w:r>
    </w:p>
    <w:p>
      <w:pPr>
        <w:keepNext w:val="0"/>
        <w:keepLines w:val="0"/>
        <w:pageBreakBefore w:val="0"/>
        <w:widowControl/>
        <w:numPr>
          <w:ilvl w:val="0"/>
          <w:numId w:val="2"/>
        </w:numPr>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烟化温度＞450℃；</w:t>
      </w:r>
    </w:p>
    <w:p>
      <w:pPr>
        <w:keepNext w:val="0"/>
        <w:keepLines w:val="0"/>
        <w:pageBreakBefore w:val="0"/>
        <w:widowControl/>
        <w:numPr>
          <w:ilvl w:val="0"/>
          <w:numId w:val="2"/>
        </w:numPr>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四氯化炭吸附值＞60%；</w:t>
      </w:r>
    </w:p>
    <w:p>
      <w:pPr>
        <w:keepNext w:val="0"/>
        <w:keepLines w:val="0"/>
        <w:pageBreakBefore w:val="0"/>
        <w:widowControl/>
        <w:numPr>
          <w:ilvl w:val="0"/>
          <w:numId w:val="2"/>
        </w:numPr>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水份＜3%；</w:t>
      </w:r>
    </w:p>
    <w:p>
      <w:pPr>
        <w:keepNext w:val="0"/>
        <w:keepLines w:val="0"/>
        <w:pageBreakBefore w:val="0"/>
        <w:widowControl/>
        <w:numPr>
          <w:ilvl w:val="0"/>
          <w:numId w:val="2"/>
        </w:numPr>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灰分＜10%；</w:t>
      </w:r>
    </w:p>
    <w:p>
      <w:pPr>
        <w:keepNext w:val="0"/>
        <w:keepLines w:val="0"/>
        <w:pageBreakBefore w:val="0"/>
        <w:widowControl/>
        <w:numPr>
          <w:ilvl w:val="0"/>
          <w:numId w:val="2"/>
        </w:numPr>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 5~7.5；</w:t>
      </w:r>
    </w:p>
    <w:p>
      <w:pPr>
        <w:keepNext w:val="0"/>
        <w:keepLines w:val="0"/>
        <w:pageBreakBefore w:val="0"/>
        <w:widowControl/>
        <w:numPr>
          <w:ilvl w:val="0"/>
          <w:numId w:val="2"/>
        </w:numPr>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填充密度450-500kg/m3；</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11、</w:t>
      </w:r>
      <w:bookmarkStart w:id="15" w:name="_Hlk86043899"/>
      <w:r>
        <w:rPr>
          <w:rFonts w:hint="eastAsia" w:ascii="宋体" w:hAnsi="宋体" w:eastAsia="宋体" w:cs="宋体"/>
          <w:color w:val="auto"/>
          <w:sz w:val="21"/>
          <w:szCs w:val="21"/>
          <w:highlight w:val="none"/>
        </w:rPr>
        <w:t>罐车运输</w:t>
      </w:r>
      <w:bookmarkEnd w:id="15"/>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bookmarkStart w:id="16" w:name="_Toc10432"/>
      <w:r>
        <w:rPr>
          <w:rFonts w:hint="eastAsia" w:ascii="宋体" w:hAnsi="宋体" w:eastAsia="宋体" w:cs="宋体"/>
          <w:b/>
          <w:color w:val="auto"/>
          <w:sz w:val="21"/>
          <w:szCs w:val="21"/>
          <w:highlight w:val="none"/>
        </w:rPr>
        <w:t>三、</w:t>
      </w:r>
      <w:r>
        <w:rPr>
          <w:rFonts w:hint="eastAsia" w:ascii="宋体" w:hAnsi="宋体" w:eastAsia="宋体" w:cs="宋体"/>
          <w:b/>
          <w:bCs/>
          <w:color w:val="auto"/>
          <w:sz w:val="21"/>
          <w:szCs w:val="21"/>
          <w:highlight w:val="none"/>
        </w:rPr>
        <w:t>包装、运输方式</w:t>
      </w:r>
      <w:r>
        <w:rPr>
          <w:rFonts w:hint="eastAsia" w:ascii="宋体" w:hAnsi="宋体" w:eastAsia="宋体" w:cs="宋体"/>
          <w:b/>
          <w:color w:val="auto"/>
          <w:sz w:val="21"/>
          <w:szCs w:val="21"/>
          <w:highlight w:val="none"/>
        </w:rPr>
        <w:t>及费用承担</w:t>
      </w:r>
      <w:bookmarkEnd w:id="16"/>
    </w:p>
    <w:p>
      <w:pPr>
        <w:keepNext w:val="0"/>
        <w:keepLines w:val="0"/>
        <w:pageBreakBefore w:val="0"/>
        <w:widowControl/>
        <w:tabs>
          <w:tab w:val="left" w:pos="0"/>
          <w:tab w:val="left" w:pos="709"/>
        </w:tabs>
        <w:kinsoku/>
        <w:wordWrap/>
        <w:overflowPunct/>
        <w:topLinePunct w:val="0"/>
        <w:autoSpaceDE/>
        <w:autoSpaceDN/>
        <w:bidi w:val="0"/>
        <w:adjustRightInd w:val="0"/>
        <w:snapToGrid w:val="0"/>
        <w:spacing w:line="360" w:lineRule="auto"/>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1、货物的包装：化学品的包装必须满足国家标准《化学品包装及标志》（</w:t>
      </w:r>
      <w:r>
        <w:rPr>
          <w:rFonts w:hint="eastAsia" w:ascii="宋体" w:hAnsi="宋体" w:cs="宋体"/>
          <w:color w:val="auto"/>
          <w:sz w:val="21"/>
          <w:szCs w:val="21"/>
          <w:highlight w:val="none"/>
          <w:lang w:eastAsia="zh-CN"/>
        </w:rPr>
        <w:t>GB15346-2012</w:t>
      </w:r>
      <w:r>
        <w:rPr>
          <w:rFonts w:hint="eastAsia" w:ascii="宋体" w:hAnsi="宋体" w:eastAsia="宋体" w:cs="宋体"/>
          <w:color w:val="auto"/>
          <w:sz w:val="21"/>
          <w:szCs w:val="21"/>
          <w:highlight w:val="none"/>
        </w:rPr>
        <w:t>）。对于瓶装或桶装的化学品，其标识必须包含化学品的名称、分子式、有效成分含量及等级、净重、供货厂家、批号，生产日期、有效期、产品质量符合标准的证明和标准编号等信息。对于运送散装化学品的储槽上必须有标识，必须包含化学品的名称等信息，运送人员同时提供产品质量检验报告。</w:t>
      </w:r>
    </w:p>
    <w:p>
      <w:pPr>
        <w:keepNext w:val="0"/>
        <w:keepLines w:val="0"/>
        <w:pageBreakBefore w:val="0"/>
        <w:widowControl/>
        <w:tabs>
          <w:tab w:val="left" w:pos="0"/>
          <w:tab w:val="left" w:pos="709"/>
        </w:tabs>
        <w:kinsoku/>
        <w:wordWrap/>
        <w:overflowPunct/>
        <w:topLinePunct w:val="0"/>
        <w:autoSpaceDE/>
        <w:autoSpaceDN/>
        <w:bidi w:val="0"/>
        <w:adjustRightInd w:val="0"/>
        <w:snapToGrid w:val="0"/>
        <w:spacing w:line="360" w:lineRule="auto"/>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应根据货物的特点，用符合规格密封良好的槽罐车送至采购人厂区指定的地点，槽罐必须注意防泄漏，车身干净整洁,注意环境保护。槽罐车实际容量可根据采购人实际送货需求调整。每次送货不大于10吨。以上由中标人承担运输及装卸等费用，自行卸货。</w:t>
      </w:r>
    </w:p>
    <w:p>
      <w:pPr>
        <w:keepNext w:val="0"/>
        <w:keepLines w:val="0"/>
        <w:pageBreakBefore w:val="0"/>
        <w:widowControl/>
        <w:tabs>
          <w:tab w:val="left" w:pos="0"/>
          <w:tab w:val="left" w:pos="709"/>
        </w:tabs>
        <w:kinsoku/>
        <w:wordWrap/>
        <w:overflowPunct/>
        <w:topLinePunct w:val="0"/>
        <w:autoSpaceDE/>
        <w:autoSpaceDN/>
        <w:bidi w:val="0"/>
        <w:adjustRightInd w:val="0"/>
        <w:snapToGrid w:val="0"/>
        <w:spacing w:line="360" w:lineRule="auto"/>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负责将每车次货物运抵采购人指定的厂区地点，货到后中标人需到采购人地磅过磅，并提供该车次产品的签字盖章的出厂化验报告及送货单，过磅后货到采购人指定地点，在采购人完成取样后，方可卸货。卸货后中标人必须再次到采购人地磅过空磅，签字确认并拿取过磅单后，方可离厂。项目指定两人进行收货验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bookmarkStart w:id="17" w:name="_Toc32528"/>
      <w:r>
        <w:rPr>
          <w:rFonts w:hint="eastAsia" w:ascii="宋体" w:hAnsi="宋体" w:eastAsia="宋体" w:cs="宋体"/>
          <w:b/>
          <w:bCs/>
          <w:color w:val="auto"/>
          <w:sz w:val="21"/>
          <w:szCs w:val="21"/>
          <w:highlight w:val="none"/>
        </w:rPr>
        <w:t>四、检验标准</w:t>
      </w:r>
      <w:bookmarkEnd w:id="17"/>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GB/T7702-2008</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bookmarkStart w:id="18" w:name="_Toc17371"/>
      <w:r>
        <w:rPr>
          <w:rFonts w:hint="eastAsia" w:ascii="宋体" w:hAnsi="宋体" w:eastAsia="宋体" w:cs="宋体"/>
          <w:b/>
          <w:color w:val="auto"/>
          <w:sz w:val="21"/>
          <w:szCs w:val="21"/>
          <w:highlight w:val="none"/>
        </w:rPr>
        <w:t>五、验收及质量要求</w:t>
      </w:r>
      <w:bookmarkEnd w:id="18"/>
    </w:p>
    <w:p>
      <w:pPr>
        <w:keepNext w:val="0"/>
        <w:keepLines w:val="0"/>
        <w:pageBreakBefore w:val="0"/>
        <w:widowControl/>
        <w:numPr>
          <w:ilvl w:val="0"/>
          <w:numId w:val="0"/>
        </w:numPr>
        <w:tabs>
          <w:tab w:val="left" w:pos="0"/>
          <w:tab w:val="left" w:pos="709"/>
        </w:tabs>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bidi="ar-SA"/>
        </w:rPr>
        <w:t>1．</w:t>
      </w:r>
      <w:r>
        <w:rPr>
          <w:rFonts w:hint="eastAsia" w:ascii="宋体" w:hAnsi="宋体" w:eastAsia="宋体" w:cs="宋体"/>
          <w:color w:val="auto"/>
          <w:sz w:val="21"/>
          <w:szCs w:val="21"/>
          <w:highlight w:val="none"/>
        </w:rPr>
        <w:t>中标人在送货时，必须提供每一批货物的出厂化验报告及送货单，要求必须签字盖章。无出厂化验报告，禁止过磅。</w:t>
      </w:r>
    </w:p>
    <w:p>
      <w:pPr>
        <w:keepNext w:val="0"/>
        <w:keepLines w:val="0"/>
        <w:pageBreakBefore w:val="0"/>
        <w:widowControl/>
        <w:numPr>
          <w:ilvl w:val="0"/>
          <w:numId w:val="0"/>
        </w:numPr>
        <w:tabs>
          <w:tab w:val="left" w:pos="0"/>
          <w:tab w:val="left" w:pos="709"/>
        </w:tabs>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bidi="ar-SA"/>
        </w:rPr>
        <w:t>2．</w:t>
      </w:r>
      <w:r>
        <w:rPr>
          <w:rFonts w:hint="eastAsia" w:ascii="宋体" w:hAnsi="宋体" w:eastAsia="宋体" w:cs="宋体"/>
          <w:color w:val="auto"/>
          <w:sz w:val="21"/>
          <w:szCs w:val="21"/>
          <w:highlight w:val="none"/>
        </w:rPr>
        <w:t>车次过磅后中标人送达产品到采购人指定地点进行抽样取样，每次取样时，供需双方应当共同见证取样，且取样单须经供需双方共同签字签章确认（中标人拒绝派人参加取样或者拒绝签字盖章确认的，不影响采购人取样的效力）。每车次取4份样品（其中1份样品交由采购人实验室检测，1份预备送第三方检测机构进行检测，另外2份样品作为备样交由采购人备存），采购人完成取样并且实验室检测合格后，由中标人负责卸货至采购人指定地点，卸货费用已经包含在合同价款中。卸货后中标人必须再次到采购人地磅过空磅，签字确认并拿取过磅单后，方可离厂。如退货，中标人必须在10小时内将第二车送货到厂。</w:t>
      </w:r>
    </w:p>
    <w:p>
      <w:pPr>
        <w:keepNext w:val="0"/>
        <w:keepLines w:val="0"/>
        <w:pageBreakBefore w:val="0"/>
        <w:widowControl/>
        <w:numPr>
          <w:ilvl w:val="0"/>
          <w:numId w:val="0"/>
        </w:numPr>
        <w:tabs>
          <w:tab w:val="left" w:pos="0"/>
          <w:tab w:val="left" w:pos="709"/>
        </w:tabs>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bidi="ar-SA"/>
        </w:rPr>
        <w:t>3．</w:t>
      </w:r>
      <w:r>
        <w:rPr>
          <w:rFonts w:hint="eastAsia" w:ascii="宋体" w:hAnsi="宋体" w:eastAsia="宋体" w:cs="宋体"/>
          <w:color w:val="auto"/>
          <w:sz w:val="21"/>
          <w:szCs w:val="21"/>
          <w:highlight w:val="none"/>
        </w:rPr>
        <w:t>不予收货：中标人货物经采购人分析检测室检验确认本车次产品不合格。</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snapToGrid w:val="0"/>
          <w:color w:val="auto"/>
          <w:sz w:val="21"/>
          <w:szCs w:val="21"/>
          <w:highlight w:val="none"/>
        </w:rPr>
      </w:pPr>
      <w:r>
        <w:rPr>
          <w:rFonts w:hint="default" w:ascii="宋体" w:hAnsi="宋体" w:eastAsia="宋体" w:cs="宋体"/>
          <w:snapToGrid w:val="0"/>
          <w:color w:val="auto"/>
          <w:sz w:val="21"/>
          <w:szCs w:val="21"/>
          <w:highlight w:val="none"/>
          <w:lang w:val="en-US" w:eastAsia="zh-CN" w:bidi="ar-SA"/>
        </w:rPr>
        <w:t>4．</w:t>
      </w:r>
      <w:r>
        <w:rPr>
          <w:rFonts w:hint="eastAsia" w:ascii="宋体" w:hAnsi="宋体" w:eastAsia="宋体" w:cs="宋体"/>
          <w:snapToGrid w:val="0"/>
          <w:color w:val="auto"/>
          <w:sz w:val="21"/>
          <w:szCs w:val="21"/>
          <w:highlight w:val="none"/>
        </w:rPr>
        <w:t>第三方检测：</w:t>
      </w:r>
    </w:p>
    <w:p>
      <w:pPr>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（1）采购人每两月一共随机抽检1次样品送第三方检测：采购人每两月1次，每次不定期从同一车次来料货物样品中随机</w:t>
      </w:r>
      <w:r>
        <w:rPr>
          <w:rFonts w:hint="eastAsia" w:ascii="宋体" w:hAnsi="宋体" w:eastAsia="宋体" w:cs="宋体"/>
          <w:color w:val="auto"/>
          <w:sz w:val="21"/>
          <w:szCs w:val="21"/>
          <w:highlight w:val="none"/>
        </w:rPr>
        <w:t>抽取4份样品（其中1份样品交由采购人实验室检测，1份预备送第三方检测机构进行检测，另外2份样品作为备样交由采购人备存）</w:t>
      </w:r>
      <w:r>
        <w:rPr>
          <w:rFonts w:hint="eastAsia" w:ascii="宋体" w:hAnsi="宋体" w:eastAsia="宋体" w:cs="宋体"/>
          <w:snapToGrid w:val="0"/>
          <w:color w:val="auto"/>
          <w:sz w:val="21"/>
          <w:szCs w:val="21"/>
          <w:highlight w:val="none"/>
        </w:rPr>
        <w:t>，</w:t>
      </w:r>
      <w:r>
        <w:rPr>
          <w:rFonts w:hint="eastAsia" w:ascii="宋体" w:hAnsi="宋体" w:eastAsia="宋体" w:cs="宋体"/>
          <w:color w:val="auto"/>
          <w:sz w:val="21"/>
          <w:szCs w:val="21"/>
          <w:highlight w:val="none"/>
        </w:rPr>
        <w:t>双方明确三家具有省级或以上级别的计量认证资格证书（CMA）的第三方检测机构，由现场使用单位将样品随机送检</w:t>
      </w:r>
      <w:r>
        <w:rPr>
          <w:rFonts w:hint="eastAsia" w:ascii="宋体" w:hAnsi="宋体" w:eastAsia="宋体" w:cs="宋体"/>
          <w:snapToGrid w:val="0"/>
          <w:color w:val="auto"/>
          <w:sz w:val="21"/>
          <w:szCs w:val="21"/>
          <w:highlight w:val="none"/>
        </w:rPr>
        <w:t>，检验费用（含寄送费用、检测费用等）由中标人承担（如中标人拒付时，采购人有权从应付中标人的货款中直接扣除），</w:t>
      </w:r>
      <w:r>
        <w:rPr>
          <w:rFonts w:hint="eastAsia" w:ascii="宋体" w:hAnsi="宋体" w:eastAsia="宋体" w:cs="宋体"/>
          <w:color w:val="auto"/>
          <w:sz w:val="21"/>
          <w:szCs w:val="21"/>
          <w:highlight w:val="none"/>
        </w:rPr>
        <w:t>电厂项目中</w:t>
      </w:r>
      <w:r>
        <w:rPr>
          <w:rFonts w:hint="eastAsia" w:ascii="宋体" w:hAnsi="宋体" w:eastAsia="宋体" w:cs="宋体"/>
          <w:snapToGrid w:val="0"/>
          <w:color w:val="auto"/>
          <w:sz w:val="21"/>
          <w:szCs w:val="21"/>
          <w:highlight w:val="none"/>
        </w:rPr>
        <w:t>每两月1次随机抽检的第三方检测合格报告作为结算依据。如因中标人未按时支付检测费用导致检测报告滞后出结果影响到付款时间，由中标人自行承担延误付款的不利后果，采购人概不负责。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（2）出现异议货物送第三方检测：如中标人对</w:t>
      </w:r>
      <w:r>
        <w:rPr>
          <w:rFonts w:hint="eastAsia" w:ascii="宋体" w:hAnsi="宋体" w:eastAsia="宋体" w:cs="宋体"/>
          <w:color w:val="auto"/>
          <w:sz w:val="21"/>
          <w:szCs w:val="21"/>
          <w:highlight w:val="none"/>
        </w:rPr>
        <w:t>采购人实验室初步检验结果有异议，则采购人将共同封存的该车次样品由采购人在确定的三家检测单位中指定一家送检</w:t>
      </w:r>
      <w:r>
        <w:rPr>
          <w:rFonts w:hint="eastAsia" w:ascii="宋体" w:hAnsi="宋体" w:eastAsia="宋体" w:cs="宋体"/>
          <w:snapToGrid w:val="0"/>
          <w:color w:val="auto"/>
          <w:sz w:val="21"/>
          <w:szCs w:val="21"/>
          <w:highlight w:val="none"/>
        </w:rPr>
        <w:t>。第三方检测结果合格的，检测费用由采购人承担；第三方检测结果不合格的，检测费用由中标人承担（如中标人拒不付款时，采购人有权从应付中标人的货款中直接扣除）。</w:t>
      </w:r>
    </w:p>
    <w:p>
      <w:pPr>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不定点不定期抽样送第三方检测：采购人有权在合同履行期限内不定期随机抽检，双方见证取样，每车次取4份样品（1份样品送第三方检测机构进行检测，2份样品作为备样交由采购人备存，1份给中标人），由采购人指定检测单位及送检，检测费用由采购人承担。</w:t>
      </w:r>
    </w:p>
    <w:p>
      <w:pPr>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rPr>
        <w:t>（4）检测内容及结果的应用</w:t>
      </w:r>
      <w:r>
        <w:rPr>
          <w:rFonts w:hint="eastAsia" w:ascii="宋体" w:hAnsi="宋体" w:cs="宋体"/>
          <w:snapToGrid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①每份检测报告内容包括但不限于：送检样品图片、样品封条（如有）、检验标准等技术需求书中规定的检测内容。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②复检处理：若某车次货物第1份送检样品的第三方检测报告不合格，如中标人要求复检，</w:t>
      </w:r>
      <w:r>
        <w:rPr>
          <w:rFonts w:hint="eastAsia" w:ascii="宋体" w:hAnsi="宋体" w:eastAsia="宋体" w:cs="宋体"/>
          <w:color w:val="auto"/>
          <w:sz w:val="21"/>
          <w:szCs w:val="21"/>
          <w:highlight w:val="none"/>
        </w:rPr>
        <w:t>则由采购人将该车次2份备样在确定的三家检测单位中指定一家送检，中标人先垫付检测费，最终检测费用由责任方承担（包括送检运费、检测费用等）。</w:t>
      </w:r>
      <w:r>
        <w:rPr>
          <w:rFonts w:hint="eastAsia" w:ascii="宋体" w:hAnsi="宋体" w:eastAsia="宋体" w:cs="宋体"/>
          <w:snapToGrid w:val="0"/>
          <w:color w:val="auto"/>
          <w:sz w:val="21"/>
          <w:szCs w:val="21"/>
          <w:highlight w:val="none"/>
        </w:rPr>
        <w:t>2份备样检测全部合格则视为该车次货物合格，中标人免于处罚，合格检测报告作为该车次货物的结算依据；若有1份备样检测不合格，则视为该车次货物不合格，不予支付该车次货款。</w:t>
      </w:r>
    </w:p>
    <w:p>
      <w:pPr>
        <w:pStyle w:val="90"/>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③第三方检测报告（如有复检，按复检的第三方检测报告）作为货物结算依据。如每车次货物采购人实验室初步检验报告、每两月1次随机抽检的第三方检测报告及甲方对异议货物要求乙方委托第三方出具的合格检测报告（如有）作为中标人进行结算的附件，若作为最终依据的第三方检测结果不合格，则视为该车次产品不合格。若中标人在货物质量方面不能满足采购人要求，事件发生一次，采购人将出具整改单给中标人，该不合格车次货款不予结算，且中标人须向采购人支付当月货款的2%作为违约金；累计不合格货物车次达三次或三次以上，中标人将被采购人列入严重不诚信行为名单，采购人有权单方面解除本合同，且中标人须向采购人支付合同总价（计划供货量*中标单价）的2%作为违约金，并赔偿采购人由此遭受的一切相关经济损失。采购人有权从履约担保中扣除违约金，履约担保不足支付部分，采购人有权另行向中标人索赔。</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bidi="ar-SA"/>
        </w:rPr>
        <w:t>5．</w:t>
      </w:r>
      <w:r>
        <w:rPr>
          <w:rFonts w:hint="eastAsia" w:ascii="宋体" w:hAnsi="宋体" w:eastAsia="宋体" w:cs="宋体"/>
          <w:snapToGrid w:val="0"/>
          <w:color w:val="auto"/>
          <w:sz w:val="21"/>
          <w:szCs w:val="21"/>
          <w:highlight w:val="none"/>
        </w:rPr>
        <w:t>若采购人在运行生产使用过程中，中标人的产品被采购人上级主管部门检查质量不</w:t>
      </w:r>
      <w:r>
        <w:rPr>
          <w:rFonts w:hint="eastAsia" w:ascii="宋体" w:hAnsi="宋体" w:eastAsia="宋体" w:cs="宋体"/>
          <w:color w:val="auto"/>
          <w:sz w:val="21"/>
          <w:szCs w:val="21"/>
          <w:highlight w:val="none"/>
        </w:rPr>
        <w:t>合格，并对采购人进行做出相关处罚，由此所产生的责任及采购人损失全由中标人承担。</w:t>
      </w:r>
    </w:p>
    <w:p>
      <w:pPr>
        <w:pStyle w:val="9"/>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p>
    <w:p>
      <w:pPr>
        <w:pStyle w:val="9"/>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B包：熟石灰需求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一、采购清单</w:t>
      </w:r>
    </w:p>
    <w:tbl>
      <w:tblPr>
        <w:tblStyle w:val="30"/>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560"/>
        <w:gridCol w:w="1304"/>
        <w:gridCol w:w="1262"/>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辅料名称</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采购供货量</w:t>
            </w:r>
          </w:p>
        </w:tc>
        <w:tc>
          <w:tcPr>
            <w:tcW w:w="13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计量单位</w:t>
            </w:r>
          </w:p>
        </w:tc>
        <w:tc>
          <w:tcPr>
            <w:tcW w:w="12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用途</w:t>
            </w:r>
          </w:p>
        </w:tc>
        <w:tc>
          <w:tcPr>
            <w:tcW w:w="2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送货要求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熟石灰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200目过筛</w:t>
            </w:r>
            <w:r>
              <w:rPr>
                <w:rFonts w:hint="eastAsia" w:ascii="宋体" w:hAnsi="宋体" w:eastAsia="宋体" w:cs="宋体"/>
                <w:color w:val="auto"/>
                <w:sz w:val="21"/>
                <w:szCs w:val="21"/>
                <w:highlight w:val="none"/>
                <w:lang w:eastAsia="zh-CN"/>
              </w:rPr>
              <w:t>）</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约</w:t>
            </w:r>
            <w:r>
              <w:rPr>
                <w:rFonts w:hint="eastAsia" w:ascii="宋体" w:hAnsi="宋体" w:cs="宋体"/>
                <w:color w:val="auto"/>
                <w:sz w:val="21"/>
                <w:szCs w:val="21"/>
                <w:highlight w:val="none"/>
                <w:lang w:val="en-US" w:eastAsia="zh-CN"/>
              </w:rPr>
              <w:t>7800</w:t>
            </w:r>
          </w:p>
        </w:tc>
        <w:tc>
          <w:tcPr>
            <w:tcW w:w="13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吨</w:t>
            </w:r>
          </w:p>
        </w:tc>
        <w:tc>
          <w:tcPr>
            <w:tcW w:w="12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烟气</w:t>
            </w:r>
            <w:r>
              <w:rPr>
                <w:rFonts w:hint="eastAsia" w:ascii="宋体" w:hAnsi="宋体" w:eastAsia="宋体" w:cs="宋体"/>
                <w:color w:val="auto"/>
                <w:sz w:val="21"/>
                <w:szCs w:val="21"/>
                <w:highlight w:val="none"/>
                <w:lang w:val="en-US" w:eastAsia="zh-CN"/>
              </w:rPr>
              <w:t>消石灰喷射系统</w:t>
            </w:r>
            <w:r>
              <w:rPr>
                <w:rFonts w:hint="eastAsia" w:ascii="宋体" w:hAnsi="宋体" w:eastAsia="宋体" w:cs="宋体"/>
                <w:color w:val="auto"/>
                <w:sz w:val="21"/>
                <w:szCs w:val="21"/>
                <w:highlight w:val="none"/>
              </w:rPr>
              <w:t>使用</w:t>
            </w:r>
          </w:p>
        </w:tc>
        <w:tc>
          <w:tcPr>
            <w:tcW w:w="2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现场有</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储罐；按现场需求分批送货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37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熟石灰（325目过筛）</w:t>
            </w:r>
          </w:p>
        </w:tc>
        <w:tc>
          <w:tcPr>
            <w:tcW w:w="156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约</w:t>
            </w:r>
            <w:r>
              <w:rPr>
                <w:rFonts w:hint="eastAsia" w:ascii="宋体" w:hAnsi="宋体" w:cs="宋体"/>
                <w:color w:val="auto"/>
                <w:sz w:val="21"/>
                <w:szCs w:val="21"/>
                <w:highlight w:val="none"/>
                <w:lang w:val="en-US" w:eastAsia="zh-CN"/>
              </w:rPr>
              <w:t>3300</w:t>
            </w:r>
          </w:p>
        </w:tc>
        <w:tc>
          <w:tcPr>
            <w:tcW w:w="13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吨</w:t>
            </w:r>
          </w:p>
        </w:tc>
        <w:tc>
          <w:tcPr>
            <w:tcW w:w="1262"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烟气</w:t>
            </w:r>
            <w:r>
              <w:rPr>
                <w:rFonts w:hint="eastAsia" w:ascii="宋体" w:hAnsi="宋体" w:eastAsia="宋体" w:cs="宋体"/>
                <w:color w:val="auto"/>
                <w:sz w:val="21"/>
                <w:szCs w:val="21"/>
                <w:highlight w:val="none"/>
                <w:lang w:val="en-US" w:eastAsia="zh-CN"/>
              </w:rPr>
              <w:t>半干法</w:t>
            </w:r>
            <w:r>
              <w:rPr>
                <w:rFonts w:hint="eastAsia" w:ascii="宋体" w:hAnsi="宋体" w:eastAsia="宋体" w:cs="宋体"/>
                <w:color w:val="auto"/>
                <w:sz w:val="21"/>
                <w:szCs w:val="21"/>
                <w:highlight w:val="none"/>
              </w:rPr>
              <w:t>脱酸使用</w:t>
            </w:r>
          </w:p>
        </w:tc>
        <w:tc>
          <w:tcPr>
            <w:tcW w:w="268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现场有2个150m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储罐；按现场需求分批送货</w:t>
            </w:r>
          </w:p>
        </w:tc>
      </w:tr>
    </w:tbl>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二、技术标准</w:t>
      </w:r>
    </w:p>
    <w:p>
      <w:pPr>
        <w:keepNext w:val="0"/>
        <w:keepLines w:val="0"/>
        <w:pageBreakBefore w:val="0"/>
        <w:widowControl/>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熟石灰技术参数需求：</w:t>
      </w:r>
    </w:p>
    <w:p>
      <w:pPr>
        <w:keepNext w:val="0"/>
        <w:keepLines w:val="0"/>
        <w:pageBreakBefore w:val="0"/>
        <w:widowControl/>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1、Ca(OH)</w:t>
      </w:r>
      <w:r>
        <w:rPr>
          <w:rFonts w:hint="eastAsia" w:ascii="宋体" w:hAnsi="宋体" w:eastAsia="宋体" w:cs="宋体"/>
          <w:color w:val="auto"/>
          <w:sz w:val="21"/>
          <w:szCs w:val="21"/>
          <w:highlight w:val="none"/>
          <w:vertAlign w:val="subscript"/>
        </w:rPr>
        <w:t xml:space="preserve"> 2</w:t>
      </w:r>
      <w:r>
        <w:rPr>
          <w:rFonts w:hint="eastAsia" w:ascii="宋体" w:hAnsi="宋体" w:eastAsia="宋体" w:cs="宋体"/>
          <w:color w:val="auto"/>
          <w:sz w:val="21"/>
          <w:szCs w:val="21"/>
          <w:highlight w:val="none"/>
        </w:rPr>
        <w:t>纯度 ≥95%；</w:t>
      </w:r>
    </w:p>
    <w:p>
      <w:pPr>
        <w:keepNext w:val="0"/>
        <w:keepLines w:val="0"/>
        <w:pageBreakBefore w:val="0"/>
        <w:widowControl/>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2、粒度：</w:t>
      </w:r>
      <w:r>
        <w:rPr>
          <w:rFonts w:hint="eastAsia" w:ascii="宋体" w:hAnsi="宋体" w:eastAsia="宋体" w:cs="宋体"/>
          <w:color w:val="auto"/>
          <w:sz w:val="21"/>
          <w:szCs w:val="21"/>
          <w:highlight w:val="none"/>
          <w:lang w:val="en-US" w:eastAsia="zh-CN"/>
        </w:rPr>
        <w:t>分别适用200目过筛通过率</w:t>
      </w:r>
      <w:r>
        <w:rPr>
          <w:rFonts w:hint="eastAsia" w:ascii="宋体" w:hAnsi="宋体" w:eastAsia="宋体" w:cs="宋体"/>
          <w:color w:val="auto"/>
          <w:sz w:val="21"/>
          <w:szCs w:val="21"/>
          <w:highlight w:val="none"/>
        </w:rPr>
        <w:t>≥95%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325</w:t>
      </w:r>
      <w:r>
        <w:rPr>
          <w:rFonts w:hint="eastAsia" w:ascii="宋体" w:hAnsi="宋体" w:cs="宋体"/>
          <w:color w:val="auto"/>
          <w:sz w:val="21"/>
          <w:szCs w:val="21"/>
          <w:highlight w:val="none"/>
          <w:lang w:eastAsia="zh-CN"/>
        </w:rPr>
        <w:t>目过筛</w:t>
      </w:r>
      <w:r>
        <w:rPr>
          <w:rFonts w:hint="eastAsia" w:ascii="宋体" w:hAnsi="宋体" w:eastAsia="宋体" w:cs="宋体"/>
          <w:color w:val="auto"/>
          <w:sz w:val="21"/>
          <w:szCs w:val="21"/>
          <w:highlight w:val="none"/>
        </w:rPr>
        <w:t>通过率≥95%；</w:t>
      </w:r>
    </w:p>
    <w:p>
      <w:pPr>
        <w:keepNext w:val="0"/>
        <w:keepLines w:val="0"/>
        <w:pageBreakBefore w:val="0"/>
        <w:widowControl/>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3、外观：灰白色粉末；</w:t>
      </w:r>
    </w:p>
    <w:p>
      <w:pPr>
        <w:keepNext w:val="0"/>
        <w:keepLines w:val="0"/>
        <w:pageBreakBefore w:val="0"/>
        <w:widowControl/>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4、比表面积（BET）≥</w:t>
      </w:r>
      <w:r>
        <w:rPr>
          <w:rFonts w:hint="eastAsia" w:ascii="宋体" w:hAnsi="宋体" w:eastAsia="宋体" w:cs="宋体"/>
          <w:b/>
          <w:bCs/>
          <w:color w:val="auto"/>
          <w:sz w:val="21"/>
          <w:szCs w:val="21"/>
          <w:highlight w:val="none"/>
        </w:rPr>
        <w:t>18㎡/g；</w:t>
      </w:r>
    </w:p>
    <w:p>
      <w:pPr>
        <w:keepNext w:val="0"/>
        <w:keepLines w:val="0"/>
        <w:pageBreakBefore w:val="0"/>
        <w:widowControl/>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5、温升≤4.5</w:t>
      </w:r>
      <w:r>
        <w:rPr>
          <w:rFonts w:hint="eastAsia" w:ascii="宋体" w:hAnsi="宋体" w:eastAsia="宋体" w:cs="宋体"/>
          <w:color w:val="auto"/>
          <w:sz w:val="21"/>
          <w:szCs w:val="21"/>
          <w:highlight w:val="none"/>
          <w:vertAlign w:val="superscript"/>
        </w:rPr>
        <w:t>0</w:t>
      </w:r>
      <w:r>
        <w:rPr>
          <w:rFonts w:hint="eastAsia" w:ascii="宋体" w:hAnsi="宋体" w:eastAsia="宋体" w:cs="宋体"/>
          <w:color w:val="auto"/>
          <w:sz w:val="21"/>
          <w:szCs w:val="21"/>
          <w:highlight w:val="none"/>
        </w:rPr>
        <w:t>C：将200ml水倒入100g熟石灰样品的保温壶中，温升不超过4.5</w:t>
      </w:r>
      <w:r>
        <w:rPr>
          <w:rFonts w:hint="eastAsia" w:ascii="宋体" w:hAnsi="宋体" w:eastAsia="宋体" w:cs="宋体"/>
          <w:color w:val="auto"/>
          <w:sz w:val="21"/>
          <w:szCs w:val="21"/>
          <w:highlight w:val="none"/>
          <w:vertAlign w:val="superscript"/>
        </w:rPr>
        <w:t>0</w:t>
      </w:r>
      <w:r>
        <w:rPr>
          <w:rFonts w:hint="eastAsia" w:ascii="宋体" w:hAnsi="宋体" w:eastAsia="宋体" w:cs="宋体"/>
          <w:color w:val="auto"/>
          <w:sz w:val="21"/>
          <w:szCs w:val="21"/>
          <w:highlight w:val="none"/>
        </w:rPr>
        <w:t>C</w:t>
      </w:r>
      <w:r>
        <w:rPr>
          <w:rFonts w:hint="eastAsia" w:ascii="宋体" w:hAnsi="宋体" w:cs="宋体"/>
          <w:color w:val="auto"/>
          <w:sz w:val="21"/>
          <w:szCs w:val="21"/>
          <w:highlight w:val="none"/>
          <w:lang w:eastAsia="zh-CN"/>
        </w:rPr>
        <w:t>。</w:t>
      </w:r>
    </w:p>
    <w:p>
      <w:pPr>
        <w:keepNext w:val="0"/>
        <w:keepLines w:val="0"/>
        <w:pageBreakBefore w:val="0"/>
        <w:widowControl/>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若化验结果达不到双方合同约定的氢氧化钙含量标准，经供方要求,可协商收货,协商单价按氢氧化钙有效成分计价，即氢氧化钙含量每降低一个百分点，单价则减少50元/吨。但氢氧化钙含量低于92%，</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拒绝收货。</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bookmarkStart w:id="19" w:name="_Toc30422"/>
      <w:r>
        <w:rPr>
          <w:rFonts w:hint="eastAsia" w:ascii="宋体" w:hAnsi="宋体" w:eastAsia="宋体" w:cs="宋体"/>
          <w:b/>
          <w:color w:val="auto"/>
          <w:sz w:val="21"/>
          <w:szCs w:val="21"/>
          <w:highlight w:val="none"/>
        </w:rPr>
        <w:t>三、包装</w:t>
      </w:r>
      <w:r>
        <w:rPr>
          <w:rFonts w:hint="eastAsia" w:ascii="宋体" w:hAnsi="宋体" w:eastAsia="宋体" w:cs="宋体"/>
          <w:b/>
          <w:bCs/>
          <w:color w:val="auto"/>
          <w:sz w:val="21"/>
          <w:szCs w:val="21"/>
          <w:highlight w:val="none"/>
        </w:rPr>
        <w:t>、运输方式</w:t>
      </w:r>
      <w:r>
        <w:rPr>
          <w:rFonts w:hint="eastAsia" w:ascii="宋体" w:hAnsi="宋体" w:eastAsia="宋体" w:cs="宋体"/>
          <w:b/>
          <w:color w:val="auto"/>
          <w:sz w:val="21"/>
          <w:szCs w:val="21"/>
          <w:highlight w:val="none"/>
        </w:rPr>
        <w:t>及费用承担</w:t>
      </w:r>
      <w:bookmarkEnd w:id="19"/>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1、货物的包装：</w:t>
      </w:r>
      <w:r>
        <w:rPr>
          <w:rFonts w:hint="eastAsia" w:ascii="宋体" w:hAnsi="宋体" w:eastAsia="宋体" w:cs="宋体"/>
          <w:color w:val="auto"/>
          <w:sz w:val="21"/>
          <w:szCs w:val="21"/>
          <w:highlight w:val="none"/>
        </w:rPr>
        <w:t>化学品的包装必须满足国家标准《化学品包装及标志》（</w:t>
      </w:r>
      <w:r>
        <w:rPr>
          <w:rFonts w:hint="eastAsia" w:ascii="宋体" w:hAnsi="宋体" w:cs="宋体"/>
          <w:color w:val="auto"/>
          <w:sz w:val="21"/>
          <w:szCs w:val="21"/>
          <w:highlight w:val="none"/>
          <w:lang w:eastAsia="zh-CN"/>
        </w:rPr>
        <w:t>GB15346-2012</w:t>
      </w:r>
      <w:r>
        <w:rPr>
          <w:rFonts w:hint="eastAsia" w:ascii="宋体" w:hAnsi="宋体" w:eastAsia="宋体" w:cs="宋体"/>
          <w:color w:val="auto"/>
          <w:sz w:val="21"/>
          <w:szCs w:val="21"/>
          <w:highlight w:val="none"/>
        </w:rPr>
        <w:t>）。对于瓶装或桶装的化学品，其标识必须包含化学品的名称、分子式、有效成分含量及等级、净重、供货厂家、批号，生产日期、有效期、产品质量符合标准的证明和标准编号等信息。对于运送散装化学品的储槽上必须有标识，必须包含化学品的名称等信息，运送人员同时提供产品质量检验报告。</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应根据货物的特点，用符合规格密封良好的槽罐车送至采购人厂区指定的地点，槽罐必须注意防泄漏，车身干净整洁,注意环境保护。槽罐车实际容量可根据采购人实际送货需求调整。按最新交通运输法，载货后整车总质量必须</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49吨。以上由中标人承担运输及装卸等费用，自行卸货。</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中标人负责将每车次货物运抵采购人指定的厂区地点，货到后中标人需到采购人地磅过磅，并提供该车次产品的签字盖章的出厂化验报告及送货单，过磅后货到采购人指定地点，在采购人完成取样后，方可卸货。卸货后中标人必须再次到采购人地磅过空磅，签字确认并拿取过磅单后，方可离厂。</w:t>
      </w:r>
      <w:r>
        <w:rPr>
          <w:rFonts w:hint="eastAsia" w:ascii="宋体" w:hAnsi="宋体" w:eastAsia="宋体" w:cs="宋体"/>
          <w:bCs/>
          <w:color w:val="auto"/>
          <w:sz w:val="21"/>
          <w:szCs w:val="21"/>
          <w:highlight w:val="none"/>
        </w:rPr>
        <w:t>项目指定两人进行收货验收。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bookmarkStart w:id="20" w:name="_Toc30593"/>
      <w:r>
        <w:rPr>
          <w:rFonts w:hint="eastAsia" w:ascii="宋体" w:hAnsi="宋体" w:eastAsia="宋体" w:cs="宋体"/>
          <w:b/>
          <w:color w:val="auto"/>
          <w:sz w:val="21"/>
          <w:szCs w:val="21"/>
          <w:highlight w:val="none"/>
        </w:rPr>
        <w:t>四、检验标准</w:t>
      </w:r>
      <w:bookmarkEnd w:id="20"/>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HG/T 4205-2011</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bookmarkStart w:id="21" w:name="_Toc11335"/>
      <w:r>
        <w:rPr>
          <w:rFonts w:hint="eastAsia" w:ascii="宋体" w:hAnsi="宋体" w:eastAsia="宋体" w:cs="宋体"/>
          <w:b/>
          <w:color w:val="auto"/>
          <w:sz w:val="21"/>
          <w:szCs w:val="21"/>
          <w:highlight w:val="none"/>
        </w:rPr>
        <w:t>五、验收及质量要求</w:t>
      </w:r>
      <w:bookmarkEnd w:id="21"/>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1、中标人在送货时，必须提供每一批货物的出厂化验报告及送货单，要求必须签字盖章。无出厂化验报告，禁止入厂。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车次过磅后中标人送达产品到采购人指定地点进行抽样取样，每次取样时，供需双方应当共同见证取样，且取样单须经供需双方共同签字签章确认（中标人拒绝派人参加取样或者拒绝签字盖章确认的，不影响采购人取样的效力）。每车次取4份样品（其中1份样品交由采购人实验室检测，1份预备送第三方检测机构进行检测，另外2份样品作为备样交由采购人备存），采购人完成取样并且实验室检测合格后，由中标人负责卸货至采购人指定地点，卸货费用已经包含在合同价款中。卸货后中标人必须再次到采购人地磅过空磅，签字确认并拿取过磅单后，方可离厂。如退货，中标人必须在10小时内将第二车送货到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3、不予收货：中标人货物经采购人分析检测室检验确认，熟石灰（Ca(OH)</w:t>
      </w:r>
      <w:r>
        <w:rPr>
          <w:rFonts w:hint="eastAsia" w:ascii="宋体" w:hAnsi="宋体" w:eastAsia="宋体" w:cs="宋体"/>
          <w:color w:val="auto"/>
          <w:sz w:val="21"/>
          <w:szCs w:val="21"/>
          <w:highlight w:val="none"/>
          <w:vertAlign w:val="subscript"/>
        </w:rPr>
        <w:t xml:space="preserve"> 2</w:t>
      </w:r>
      <w:r>
        <w:rPr>
          <w:rFonts w:hint="eastAsia" w:ascii="宋体" w:hAnsi="宋体" w:eastAsia="宋体" w:cs="宋体"/>
          <w:color w:val="auto"/>
          <w:sz w:val="21"/>
          <w:szCs w:val="21"/>
          <w:highlight w:val="none"/>
        </w:rPr>
        <w:t>）含量≥95%且熟石灰（Ca(OH)</w:t>
      </w:r>
      <w:r>
        <w:rPr>
          <w:rFonts w:hint="eastAsia" w:ascii="宋体" w:hAnsi="宋体" w:eastAsia="宋体" w:cs="宋体"/>
          <w:color w:val="auto"/>
          <w:sz w:val="21"/>
          <w:szCs w:val="21"/>
          <w:highlight w:val="none"/>
          <w:vertAlign w:val="subscript"/>
        </w:rPr>
        <w:t xml:space="preserve"> 2</w:t>
      </w:r>
      <w:r>
        <w:rPr>
          <w:rFonts w:hint="eastAsia" w:ascii="宋体" w:hAnsi="宋体" w:eastAsia="宋体" w:cs="宋体"/>
          <w:color w:val="auto"/>
          <w:sz w:val="21"/>
          <w:szCs w:val="21"/>
          <w:highlight w:val="none"/>
        </w:rPr>
        <w:t>）粒度通过率（325目）≥ 95%</w:t>
      </w:r>
      <w:r>
        <w:rPr>
          <w:rFonts w:hint="eastAsia"/>
          <w:color w:val="auto"/>
          <w:highlight w:val="none"/>
          <w:lang w:eastAsia="zh-CN"/>
        </w:rPr>
        <w:t>、</w:t>
      </w:r>
      <w:r>
        <w:rPr>
          <w:rFonts w:hint="eastAsia" w:ascii="宋体" w:hAnsi="宋体" w:cs="宋体"/>
          <w:color w:val="auto"/>
          <w:szCs w:val="21"/>
          <w:highlight w:val="none"/>
          <w:lang w:eastAsia="zh-CN"/>
        </w:rPr>
        <w:t>粒度通过率（200目）≥ 95%</w:t>
      </w:r>
      <w:r>
        <w:rPr>
          <w:rFonts w:hint="eastAsia" w:ascii="宋体" w:hAnsi="宋体" w:eastAsia="宋体" w:cs="宋体"/>
          <w:color w:val="auto"/>
          <w:sz w:val="21"/>
          <w:szCs w:val="21"/>
          <w:highlight w:val="none"/>
        </w:rPr>
        <w:t>，温升≤4.5</w:t>
      </w:r>
      <w:r>
        <w:rPr>
          <w:rFonts w:hint="eastAsia" w:ascii="宋体" w:hAnsi="宋体" w:eastAsia="宋体" w:cs="宋体"/>
          <w:color w:val="auto"/>
          <w:sz w:val="21"/>
          <w:szCs w:val="21"/>
          <w:highlight w:val="none"/>
          <w:vertAlign w:val="superscript"/>
        </w:rPr>
        <w:t>0</w:t>
      </w:r>
      <w:r>
        <w:rPr>
          <w:rFonts w:hint="eastAsia" w:ascii="宋体" w:hAnsi="宋体" w:eastAsia="宋体" w:cs="宋体"/>
          <w:color w:val="auto"/>
          <w:sz w:val="21"/>
          <w:szCs w:val="21"/>
          <w:highlight w:val="none"/>
        </w:rPr>
        <w:t>C：将200ml水倒入100g熟石灰样品的保温壶中，温升不超过4.5</w:t>
      </w:r>
      <w:r>
        <w:rPr>
          <w:rFonts w:hint="eastAsia" w:ascii="宋体" w:hAnsi="宋体" w:eastAsia="宋体" w:cs="宋体"/>
          <w:color w:val="auto"/>
          <w:sz w:val="21"/>
          <w:szCs w:val="21"/>
          <w:highlight w:val="none"/>
          <w:vertAlign w:val="superscript"/>
        </w:rPr>
        <w:t>0。</w:t>
      </w:r>
      <w:r>
        <w:rPr>
          <w:rFonts w:hint="eastAsia" w:ascii="宋体" w:hAnsi="宋体" w:eastAsia="宋体" w:cs="宋体"/>
          <w:color w:val="auto"/>
          <w:sz w:val="21"/>
          <w:szCs w:val="21"/>
          <w:highlight w:val="none"/>
        </w:rPr>
        <w:t>此三个要求，任意一个要求没有达到则拒绝收货，且确认为本车次产品不合格。</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若化验结果达不到双方合同约定的氢氧化钙含量标准，经中标人要求,可协商收货,协商单价按氢氧化钙有效成分计价，即氢氧化钙含量每降低一个百分点，单价则减少50元/吨。但氢氧化钙含量低于92%，采购人有权拒绝收货。</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snapToGrid w:val="0"/>
          <w:color w:val="auto"/>
          <w:sz w:val="21"/>
          <w:szCs w:val="21"/>
          <w:highlight w:val="none"/>
        </w:rPr>
        <w:t>第三方检测：</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（1）采购人每月随机抽检2次样品送第三方检测（检测项目为含量、粒度、温升共四项）：采购人每月2次，每次不定期从同一车次来料货物样品中随机</w:t>
      </w:r>
      <w:r>
        <w:rPr>
          <w:rFonts w:hint="eastAsia" w:ascii="宋体" w:hAnsi="宋体" w:eastAsia="宋体" w:cs="宋体"/>
          <w:color w:val="auto"/>
          <w:sz w:val="21"/>
          <w:szCs w:val="21"/>
          <w:highlight w:val="none"/>
          <w:u w:val="single"/>
        </w:rPr>
        <w:t>抽取4份样品（其中1份样品交由采购人实验室检测，1份预备送第三方检测机构进行检测，另外2份样品作为备样交由采购人备存）</w:t>
      </w:r>
      <w:r>
        <w:rPr>
          <w:rFonts w:hint="eastAsia" w:ascii="宋体" w:hAnsi="宋体" w:eastAsia="宋体" w:cs="宋体"/>
          <w:snapToGrid w:val="0"/>
          <w:color w:val="auto"/>
          <w:sz w:val="21"/>
          <w:szCs w:val="21"/>
          <w:highlight w:val="none"/>
        </w:rPr>
        <w:t>，</w:t>
      </w:r>
      <w:r>
        <w:rPr>
          <w:rFonts w:hint="eastAsia" w:ascii="宋体" w:hAnsi="宋体" w:eastAsia="宋体" w:cs="宋体"/>
          <w:color w:val="auto"/>
          <w:sz w:val="21"/>
          <w:szCs w:val="21"/>
          <w:highlight w:val="none"/>
        </w:rPr>
        <w:t>双方明确三家具有省级或以上级别的计量认证资格证书（CMA）的第三方检测机构，由现场使用单位将样品随机送检</w:t>
      </w:r>
      <w:r>
        <w:rPr>
          <w:rFonts w:hint="eastAsia" w:ascii="宋体" w:hAnsi="宋体" w:eastAsia="宋体" w:cs="宋体"/>
          <w:snapToGrid w:val="0"/>
          <w:color w:val="auto"/>
          <w:sz w:val="21"/>
          <w:szCs w:val="21"/>
          <w:highlight w:val="none"/>
        </w:rPr>
        <w:t>，检验费用（含寄送费用、检测费用等）由中标人承担（如中标人拒付时，采购人有权从应付中标人的货款中直接扣除），</w:t>
      </w:r>
      <w:r>
        <w:rPr>
          <w:rFonts w:hint="eastAsia" w:ascii="宋体" w:hAnsi="宋体" w:eastAsia="宋体" w:cs="宋体"/>
          <w:color w:val="auto"/>
          <w:sz w:val="21"/>
          <w:szCs w:val="21"/>
          <w:highlight w:val="none"/>
        </w:rPr>
        <w:t>电厂项目中</w:t>
      </w:r>
      <w:r>
        <w:rPr>
          <w:rFonts w:hint="eastAsia" w:ascii="宋体" w:hAnsi="宋体" w:eastAsia="宋体" w:cs="宋体"/>
          <w:snapToGrid w:val="0"/>
          <w:color w:val="auto"/>
          <w:sz w:val="21"/>
          <w:szCs w:val="21"/>
          <w:highlight w:val="none"/>
        </w:rPr>
        <w:t>每月2次随机抽检的第三方检测合格报告作为结算依据。如因中标人未按时支付检测费用导致检测报告滞后出结果影响到付款时间，由中标人自行承担延误付款的不利后果，采购人概不负责。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（2）出现异议货物送第三方检测：如中标人对</w:t>
      </w:r>
      <w:r>
        <w:rPr>
          <w:rFonts w:hint="eastAsia" w:ascii="宋体" w:hAnsi="宋体" w:eastAsia="宋体" w:cs="宋体"/>
          <w:color w:val="auto"/>
          <w:sz w:val="21"/>
          <w:szCs w:val="21"/>
          <w:highlight w:val="none"/>
        </w:rPr>
        <w:t>采购人实验室初步检验结果有异议，则采购人将共同封存的该车次样品由采购人在确定的三家检测单位中指定一家送检</w:t>
      </w:r>
      <w:r>
        <w:rPr>
          <w:rFonts w:hint="eastAsia" w:ascii="宋体" w:hAnsi="宋体" w:eastAsia="宋体" w:cs="宋体"/>
          <w:snapToGrid w:val="0"/>
          <w:color w:val="auto"/>
          <w:sz w:val="21"/>
          <w:szCs w:val="21"/>
          <w:highlight w:val="none"/>
        </w:rPr>
        <w:t>。第三方检测结果合格的，检测费用由采购人承担；第三方检测结果不合格的，检测费用由中标人承担（如中标人拒不付款时，采购人有权从应付中标人的货款中直接扣除）。</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（3）采购人不定点不定期抽样送第三方检测：</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有权在合同履行期限内不定期随机抽检，双方见证取样，每车次取4份样品（1份样品送第三方检测机构进行检测，2份样品作为备样交由采购人备存，1份给中标人），由采购人指定检测单位及送检，检测费用由采购人承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rPr>
        <w:t>（4）检测内容及结果的应用</w:t>
      </w:r>
      <w:r>
        <w:rPr>
          <w:rFonts w:hint="eastAsia" w:ascii="宋体" w:hAnsi="宋体" w:cs="宋体"/>
          <w:snapToGrid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①每份检测报告内容包括但不限于：送检样品图片、样品封条（如有）、检验标准等技术需求书中规定的检测内容。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②复检处理：若某车次货物第1份送检样品的第三方检测报告不合格，如中标人要求复检，</w:t>
      </w:r>
      <w:r>
        <w:rPr>
          <w:rFonts w:hint="eastAsia" w:ascii="宋体" w:hAnsi="宋体" w:eastAsia="宋体" w:cs="宋体"/>
          <w:color w:val="auto"/>
          <w:sz w:val="21"/>
          <w:szCs w:val="21"/>
          <w:highlight w:val="none"/>
        </w:rPr>
        <w:t>则由采购人将该车次2份备样在确定的三家检测单位中指定一家送检，中标人先垫付检测费，最终检测费用由责任方承担（包括送检运费、检测费用等）。</w:t>
      </w:r>
      <w:r>
        <w:rPr>
          <w:rFonts w:hint="eastAsia" w:ascii="宋体" w:hAnsi="宋体" w:eastAsia="宋体" w:cs="宋体"/>
          <w:snapToGrid w:val="0"/>
          <w:color w:val="auto"/>
          <w:sz w:val="21"/>
          <w:szCs w:val="21"/>
          <w:highlight w:val="none"/>
        </w:rPr>
        <w:t xml:space="preserve"> 2份备样检测全部合格则视为该车次货物合格，中标人免于处罚，合格检测报告作为该车次货物的结算依据；若有1份备样检测不合格，则视为该车次货物不合格，不予支付该不合格车次货款。</w:t>
      </w:r>
    </w:p>
    <w:p>
      <w:pPr>
        <w:pStyle w:val="90"/>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③第三方检测报告（如有复检，按复检的第三方检测报告）作为货物结算依据。如每车次货物采购人实验室初步检验报告、所有电厂项目中每月二次随机抽检的第三方检测报告及甲方对异议货物要求乙方委托第三方出具的合格检测报告（如有）作为中标人进行结算的附件，若作为最终依据的第三方检测结果不合格，则视为该车次产品不合格。若中标人在货物质量方面不能满足采购人要求，事件发生一次，采购人将出具整改单给中标人，该不合格车次货款不予结算，且中标人须向采购人支付当月货款的2%作为违约金；累计不合格货物车次达三次或三次以上，中标人将被采购人列入严重不诚信行为名单，采购人有权单方面解除本合同，且中标人须向采购人支付合同总价（计划供货量*中标单价）的2%作为违约金，并赔偿采购人由此遭受的一切相关经济损失。采购人有权从履约担保中扣除违约金，履约担保不足支付部分，采购人有权另行向中标人索赔。</w:t>
      </w:r>
    </w:p>
    <w:p>
      <w:pPr>
        <w:pStyle w:val="90"/>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6、若采购人在运行生产使用过程中，中标人的产品被采购人上级主管部门检查质量不</w:t>
      </w:r>
      <w:r>
        <w:rPr>
          <w:rFonts w:hint="eastAsia" w:ascii="宋体" w:hAnsi="宋体" w:eastAsia="宋体" w:cs="宋体"/>
          <w:color w:val="auto"/>
          <w:sz w:val="21"/>
          <w:szCs w:val="21"/>
          <w:highlight w:val="none"/>
        </w:rPr>
        <w:t>合格，并对采购人进行做出相关处罚，由此所产生的责任及采购人损失全由中标人承担。</w:t>
      </w:r>
    </w:p>
    <w:p>
      <w:pPr>
        <w:pStyle w:val="90"/>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7、本项目采购的200目熟石灰用于干粉系统，</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rPr>
        <w:t>应确保所投产品适用于该类设备，若采购人使用</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rPr>
        <w:t>人提供的熟石灰造成设备频繁堵塞（单次造成设备堵塞时间间距小于20天的），每发生一次，</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rPr>
        <w:t>须向采购人支付2000元/次的违约金；采购的325目熟石灰用于制浆系统，</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rPr>
        <w:t>人应确保所投产品适用于该类设备，若采购人使用</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rPr>
        <w:t>人提供的熟石灰造成滤网频繁堵塞（单次造成设备堵塞时间间距小于15天的），每发生一次，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rPr>
        <w:t>人须向采购人支付2000元/次的违约金；若发生5次（含）或以上频繁堵塞的，采购人有权单方面终止合同。</w:t>
      </w:r>
    </w:p>
    <w:p>
      <w:pPr>
        <w:adjustRightInd/>
        <w:snapToGrid/>
        <w:spacing w:line="240" w:lineRule="auto"/>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br w:type="page"/>
      </w:r>
    </w:p>
    <w:bookmarkEnd w:id="7"/>
    <w:bookmarkEnd w:id="8"/>
    <w:bookmarkEnd w:id="9"/>
    <w:bookmarkEnd w:id="10"/>
    <w:bookmarkEnd w:id="11"/>
    <w:bookmarkEnd w:id="12"/>
    <w:p>
      <w:pPr>
        <w:pStyle w:val="3"/>
        <w:spacing w:before="0" w:after="0" w:line="240" w:lineRule="auto"/>
        <w:rPr>
          <w:rFonts w:asciiTheme="minorEastAsia" w:hAnsiTheme="minorEastAsia" w:eastAsiaTheme="minorEastAsia"/>
          <w:color w:val="auto"/>
          <w:sz w:val="24"/>
          <w:szCs w:val="24"/>
          <w:highlight w:val="none"/>
        </w:rPr>
      </w:pPr>
      <w:bookmarkStart w:id="22" w:name="_Toc160826264"/>
      <w:r>
        <w:rPr>
          <w:rFonts w:hint="eastAsia" w:asciiTheme="minorEastAsia" w:hAnsiTheme="minorEastAsia" w:eastAsiaTheme="minorEastAsia"/>
          <w:color w:val="auto"/>
          <w:sz w:val="28"/>
          <w:szCs w:val="28"/>
          <w:highlight w:val="none"/>
        </w:rPr>
        <w:t>第四部分投标人须知</w:t>
      </w:r>
      <w:bookmarkEnd w:id="22"/>
    </w:p>
    <w:p>
      <w:pPr>
        <w:pStyle w:val="4"/>
        <w:numPr>
          <w:ilvl w:val="0"/>
          <w:numId w:val="3"/>
        </w:numPr>
        <w:ind w:leftChars="0" w:right="210"/>
        <w:rPr>
          <w:color w:val="auto"/>
          <w:highlight w:val="none"/>
        </w:rPr>
      </w:pPr>
      <w:bookmarkStart w:id="23" w:name="_Toc160826265"/>
      <w:bookmarkStart w:id="24" w:name="_Toc160732649"/>
      <w:r>
        <w:rPr>
          <w:rFonts w:hint="eastAsia"/>
          <w:color w:val="auto"/>
          <w:highlight w:val="none"/>
        </w:rPr>
        <w:t>说明</w:t>
      </w:r>
      <w:bookmarkEnd w:id="23"/>
      <w:bookmarkEnd w:id="24"/>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25" w:name="_Toc160826266"/>
      <w:bookmarkStart w:id="26" w:name="_Toc160732650"/>
      <w:r>
        <w:rPr>
          <w:rFonts w:hint="eastAsia" w:cs="宋体" w:asciiTheme="minorEastAsia" w:hAnsiTheme="minorEastAsia" w:eastAsiaTheme="minorEastAsia"/>
          <w:color w:val="auto"/>
          <w:sz w:val="21"/>
          <w:szCs w:val="21"/>
          <w:highlight w:val="none"/>
        </w:rPr>
        <w:t>适用范围</w:t>
      </w:r>
      <w:bookmarkEnd w:id="25"/>
      <w:bookmarkEnd w:id="26"/>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采购范围：见本文件《用户需求书》</w:t>
      </w:r>
    </w:p>
    <w:p>
      <w:pPr>
        <w:rPr>
          <w:rFonts w:cs="宋体"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27" w:name="_Toc160732651"/>
      <w:bookmarkStart w:id="28" w:name="_Toc298847174"/>
      <w:bookmarkStart w:id="29" w:name="_Toc303084246"/>
      <w:bookmarkStart w:id="30" w:name="_Toc382049092"/>
      <w:bookmarkStart w:id="31" w:name="_Toc160826267"/>
      <w:bookmarkStart w:id="32" w:name="_Toc1530"/>
      <w:r>
        <w:rPr>
          <w:rFonts w:hint="eastAsia" w:cs="宋体" w:asciiTheme="minorEastAsia" w:hAnsiTheme="minorEastAsia" w:eastAsiaTheme="minorEastAsia"/>
          <w:color w:val="auto"/>
          <w:sz w:val="21"/>
          <w:szCs w:val="21"/>
          <w:highlight w:val="none"/>
        </w:rPr>
        <w:t>定义</w:t>
      </w:r>
      <w:bookmarkEnd w:id="27"/>
      <w:bookmarkEnd w:id="28"/>
      <w:bookmarkEnd w:id="29"/>
      <w:bookmarkEnd w:id="30"/>
      <w:bookmarkEnd w:id="31"/>
      <w:bookmarkEnd w:id="32"/>
    </w:p>
    <w:p>
      <w:pPr>
        <w:pStyle w:val="41"/>
        <w:widowControl w:val="0"/>
        <w:adjustRightInd/>
        <w:snapToGrid/>
        <w:ind w:left="425"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采购人：见投标邀请书。</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投标人：响应采购并且符合采购文件规定资格条件和参加投标竞争的法人、其他组织或者自然人。</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法人：法人是依法在国内进行注册并具有民事权利能力和民事行为能力，依法独立享有民事权利和承担民事义务的组织。</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中标人：指经评标委员会评审推荐、采购人确认的获得本项目中标资格的投标人。</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采购代理机构：见投标邀请书。</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评标委员会：评标委员会是依据相关规定组建的专门负责本次采购其评标工作的临时性机构。</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合同：指由本次采购所产生的合同或合约文件。</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时间：本文件规定按日计算期间的，开始当天不计入，从次日开始计算。期限的最后一日是国家法定节假日的，顺延到节假日后的次日为期限的最后一日。</w:t>
      </w:r>
    </w:p>
    <w:p>
      <w:pPr>
        <w:rPr>
          <w:rFonts w:cs="宋体"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33" w:name="_Toc160826268"/>
      <w:bookmarkStart w:id="34" w:name="_Toc160732652"/>
      <w:r>
        <w:rPr>
          <w:rFonts w:hint="eastAsia" w:cs="宋体" w:asciiTheme="minorEastAsia" w:hAnsiTheme="minorEastAsia" w:eastAsiaTheme="minorEastAsia"/>
          <w:color w:val="auto"/>
          <w:sz w:val="21"/>
          <w:szCs w:val="21"/>
          <w:highlight w:val="none"/>
        </w:rPr>
        <w:t>货物和服务</w:t>
      </w:r>
      <w:bookmarkEnd w:id="33"/>
      <w:bookmarkEnd w:id="34"/>
    </w:p>
    <w:p>
      <w:pPr>
        <w:pStyle w:val="41"/>
        <w:widowControl w:val="0"/>
        <w:adjustRightInd/>
        <w:snapToGrid/>
        <w:ind w:left="425"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货物是指各种形态和种类的物品，包括原材料、燃料、设备、产品等。</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服务是指除货物和工程以外的其他采购对象。</w:t>
      </w:r>
    </w:p>
    <w:p>
      <w:pPr>
        <w:rPr>
          <w:rFonts w:cs="宋体"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35" w:name="_Toc160826269"/>
      <w:bookmarkStart w:id="36" w:name="_Toc160732653"/>
      <w:r>
        <w:rPr>
          <w:rFonts w:hint="eastAsia" w:cs="宋体" w:asciiTheme="minorEastAsia" w:hAnsiTheme="minorEastAsia" w:eastAsiaTheme="minorEastAsia"/>
          <w:color w:val="auto"/>
          <w:sz w:val="21"/>
          <w:szCs w:val="21"/>
          <w:highlight w:val="none"/>
        </w:rPr>
        <w:t>投标费用</w:t>
      </w:r>
      <w:bookmarkEnd w:id="35"/>
      <w:bookmarkEnd w:id="36"/>
    </w:p>
    <w:p>
      <w:pPr>
        <w:pStyle w:val="41"/>
        <w:widowControl w:val="0"/>
        <w:adjustRightInd/>
        <w:snapToGrid/>
        <w:ind w:left="425"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投标人应承担所有与编写投标文件和参加投标有关的自身的所有费用，不论投标的结果如何，采购代理机构和采购人在任何情况下均无义务和责任承担这些费用。</w:t>
      </w:r>
    </w:p>
    <w:p>
      <w:pPr>
        <w:widowControl w:val="0"/>
        <w:adjustRightInd/>
        <w:snapToGrid/>
        <w:jc w:val="both"/>
        <w:rPr>
          <w:rFonts w:cs="宋体" w:asciiTheme="minorEastAsia" w:hAnsiTheme="minorEastAsia" w:eastAsiaTheme="minorEastAsia"/>
          <w:color w:val="auto"/>
          <w:szCs w:val="21"/>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37" w:name="_Toc160826270"/>
      <w:bookmarkStart w:id="38" w:name="_Toc160732654"/>
      <w:r>
        <w:rPr>
          <w:rFonts w:hint="eastAsia" w:cs="宋体" w:asciiTheme="minorEastAsia" w:hAnsiTheme="minorEastAsia" w:eastAsiaTheme="minorEastAsia"/>
          <w:color w:val="auto"/>
          <w:sz w:val="21"/>
          <w:szCs w:val="21"/>
          <w:highlight w:val="none"/>
        </w:rPr>
        <w:t>知识产权</w:t>
      </w:r>
      <w:bookmarkEnd w:id="37"/>
      <w:bookmarkEnd w:id="38"/>
    </w:p>
    <w:p>
      <w:pPr>
        <w:pStyle w:val="41"/>
        <w:widowControl w:val="0"/>
        <w:adjustRightInd/>
        <w:snapToGrid/>
        <w:ind w:left="425"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采购人享有本项目实施过程中产生的知识成果及知识产权。</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采购货物为计算机办公设备时，投标人提供的产品必须是预装正版操作系统软件的计算机产品。</w:t>
      </w:r>
    </w:p>
    <w:p>
      <w:pPr>
        <w:widowControl w:val="0"/>
        <w:adjustRightInd/>
        <w:snapToGrid/>
        <w:ind w:left="567"/>
        <w:jc w:val="both"/>
        <w:rPr>
          <w:rFonts w:cs="宋体" w:asciiTheme="minorEastAsia" w:hAnsiTheme="minorEastAsia" w:eastAsiaTheme="minorEastAsia"/>
          <w:color w:val="auto"/>
          <w:szCs w:val="21"/>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39" w:name="_Toc160732655"/>
      <w:bookmarkStart w:id="40" w:name="_Toc160826271"/>
      <w:r>
        <w:rPr>
          <w:rFonts w:hint="eastAsia" w:cs="宋体" w:asciiTheme="minorEastAsia" w:hAnsiTheme="minorEastAsia" w:eastAsiaTheme="minorEastAsia"/>
          <w:color w:val="auto"/>
          <w:sz w:val="21"/>
          <w:szCs w:val="21"/>
          <w:highlight w:val="none"/>
        </w:rPr>
        <w:t>关于联合体投标</w:t>
      </w:r>
      <w:bookmarkEnd w:id="39"/>
      <w:bookmarkEnd w:id="40"/>
    </w:p>
    <w:p>
      <w:pPr>
        <w:pStyle w:val="41"/>
        <w:widowControl w:val="0"/>
        <w:adjustRightInd/>
        <w:snapToGrid/>
        <w:ind w:left="425"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对接受联合体投标的项目：两个以上的自然人、法人或者其他组织可以组成一个联合体，以一个投标人的身份共同参加采购活动。</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以联合体形式参与项目的供应商在领购采购文件时，应提供所有联合体组成成员的营业执照复印件，并加盖各联合体组成成员的公章。</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联合体各方均应具有独立承担民事责任能力的法人或其他组织。</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采购文件对投标人资格条件有规定的，联合体各方均应当具备规定的相应资格条件。由同一专业的单位组成的联合体，按照资质等级较低的单位确定资质等级。</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供应商为联合体的，可以由联合体中的任意一方交纳保证金，其交纳的保证金对联合体各方均具有约束力。</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除联合体协议明确授权盖章单位外，联合体投标时投标文件中所有要求盖章的地方均须加盖联合体所有组成成员的公章，否则该处盖章无效。</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adjustRightInd/>
        <w:snapToGrid/>
        <w:ind w:left="567"/>
        <w:jc w:val="both"/>
        <w:rPr>
          <w:rFonts w:cs="宋体" w:asciiTheme="minorEastAsia" w:hAnsiTheme="minorEastAsia" w:eastAsiaTheme="minorEastAsia"/>
          <w:color w:val="auto"/>
          <w:szCs w:val="21"/>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41" w:name="_Toc160732656"/>
      <w:bookmarkStart w:id="42" w:name="_Toc160826272"/>
      <w:r>
        <w:rPr>
          <w:rFonts w:hint="eastAsia" w:cs="宋体" w:asciiTheme="minorEastAsia" w:hAnsiTheme="minorEastAsia" w:eastAsiaTheme="minorEastAsia"/>
          <w:color w:val="auto"/>
          <w:sz w:val="21"/>
          <w:szCs w:val="21"/>
          <w:highlight w:val="none"/>
        </w:rPr>
        <w:t>关于分支机构投标</w:t>
      </w:r>
      <w:bookmarkEnd w:id="41"/>
      <w:bookmarkEnd w:id="42"/>
    </w:p>
    <w:p>
      <w:pPr>
        <w:pStyle w:val="41"/>
        <w:widowControl w:val="0"/>
        <w:adjustRightInd/>
        <w:snapToGrid/>
        <w:ind w:left="425" w:firstLineChars="0"/>
        <w:jc w:val="both"/>
        <w:rPr>
          <w:rFonts w:cs="宋体" w:asciiTheme="minorEastAsia" w:hAnsiTheme="minorEastAsia" w:eastAsiaTheme="minorEastAsia"/>
          <w:vanish/>
          <w:color w:val="auto"/>
          <w:szCs w:val="21"/>
          <w:highlight w:val="none"/>
        </w:rPr>
      </w:pPr>
      <w:bookmarkStart w:id="43" w:name="EB389f116341dd4693875bc7987e7327f3"/>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43"/>
    </w:p>
    <w:p>
      <w:pPr>
        <w:widowControl w:val="0"/>
        <w:adjustRightInd/>
        <w:snapToGrid/>
        <w:ind w:left="567"/>
        <w:jc w:val="both"/>
        <w:rPr>
          <w:rFonts w:cs="宋体" w:asciiTheme="minorEastAsia" w:hAnsiTheme="minorEastAsia" w:eastAsiaTheme="minorEastAsia"/>
          <w:color w:val="auto"/>
          <w:szCs w:val="21"/>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44" w:name="_Toc160826273"/>
      <w:bookmarkStart w:id="45" w:name="_Toc160732657"/>
      <w:r>
        <w:rPr>
          <w:rFonts w:hint="eastAsia" w:cs="宋体" w:asciiTheme="minorEastAsia" w:hAnsiTheme="minorEastAsia" w:eastAsiaTheme="minorEastAsia"/>
          <w:color w:val="auto"/>
          <w:sz w:val="21"/>
          <w:szCs w:val="21"/>
          <w:highlight w:val="none"/>
        </w:rPr>
        <w:t>踏勘现场</w:t>
      </w:r>
      <w:bookmarkEnd w:id="44"/>
      <w:bookmarkEnd w:id="45"/>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《投标资料表》规定组织踏勘现场的，采购人按《投标资料表》规定的时间、地点组织响应人踏勘项目现场；</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响应人踏勘现场发生的费用自理；</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除采购人的原因外，响应人自行负责在踏勘现场中所发生的人员伤亡和财产损失；</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采购人在踏勘现场中介绍的实施地点和相关的周边环境情况，供响应人在编制响应文件时参考，采购人不对响应人据此作出的判断和决策负责；</w:t>
      </w:r>
    </w:p>
    <w:p>
      <w:pPr>
        <w:rPr>
          <w:rFonts w:cs="宋体" w:asciiTheme="minorEastAsia" w:hAnsiTheme="minorEastAsia" w:eastAsiaTheme="minorEastAsia"/>
          <w:color w:val="auto"/>
          <w:highlight w:val="none"/>
        </w:rPr>
      </w:pPr>
    </w:p>
    <w:p>
      <w:pPr>
        <w:pStyle w:val="4"/>
        <w:numPr>
          <w:ilvl w:val="0"/>
          <w:numId w:val="3"/>
        </w:numPr>
        <w:ind w:leftChars="0" w:right="210"/>
        <w:rPr>
          <w:color w:val="auto"/>
          <w:highlight w:val="none"/>
        </w:rPr>
      </w:pPr>
      <w:bookmarkStart w:id="46" w:name="_Toc160732658"/>
      <w:bookmarkStart w:id="47" w:name="_Toc160826274"/>
      <w:r>
        <w:rPr>
          <w:rFonts w:hint="eastAsia"/>
          <w:color w:val="auto"/>
          <w:highlight w:val="none"/>
        </w:rPr>
        <w:t>采购文件</w:t>
      </w:r>
      <w:bookmarkEnd w:id="46"/>
      <w:bookmarkEnd w:id="47"/>
    </w:p>
    <w:p>
      <w:pPr>
        <w:pStyle w:val="5"/>
        <w:pageBreakBefore w:val="0"/>
        <w:widowControl w:val="0"/>
        <w:numPr>
          <w:ilvl w:val="0"/>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 w:val="21"/>
          <w:szCs w:val="21"/>
          <w:highlight w:val="none"/>
        </w:rPr>
      </w:pPr>
      <w:bookmarkStart w:id="48" w:name="_Toc160732659"/>
      <w:bookmarkStart w:id="49" w:name="_Toc160826275"/>
      <w:r>
        <w:rPr>
          <w:rFonts w:hint="eastAsia" w:cs="宋体" w:asciiTheme="minorEastAsia" w:hAnsiTheme="minorEastAsia" w:eastAsiaTheme="minorEastAsia"/>
          <w:color w:val="auto"/>
          <w:sz w:val="21"/>
          <w:szCs w:val="21"/>
          <w:highlight w:val="none"/>
        </w:rPr>
        <w:t>采购文件的组成</w:t>
      </w:r>
      <w:bookmarkEnd w:id="48"/>
      <w:bookmarkEnd w:id="49"/>
    </w:p>
    <w:p>
      <w:pPr>
        <w:pStyle w:val="41"/>
        <w:pageBreakBefore w:val="0"/>
        <w:widowControl w:val="0"/>
        <w:numPr>
          <w:ilvl w:val="0"/>
          <w:numId w:val="5"/>
        </w:numPr>
        <w:kinsoku/>
        <w:wordWrap/>
        <w:topLinePunct w:val="0"/>
        <w:autoSpaceDE/>
        <w:autoSpaceDN/>
        <w:bidi w:val="0"/>
        <w:adjustRightInd w:val="0"/>
        <w:snapToGrid w:val="0"/>
        <w:ind w:firstLineChars="0"/>
        <w:jc w:val="both"/>
        <w:textAlignment w:val="auto"/>
        <w:rPr>
          <w:rFonts w:cs="宋体" w:asciiTheme="minorEastAsia" w:hAnsiTheme="minorEastAsia" w:eastAsiaTheme="minorEastAsia"/>
          <w:vanish/>
          <w:color w:val="auto"/>
          <w:szCs w:val="21"/>
          <w:highlight w:val="none"/>
        </w:rPr>
      </w:pP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采购文件包括：</w:t>
      </w:r>
    </w:p>
    <w:p>
      <w:pPr>
        <w:pageBreakBefore w:val="0"/>
        <w:widowControl w:val="0"/>
        <w:kinsoku/>
        <w:wordWrap/>
        <w:topLinePunct w:val="0"/>
        <w:autoSpaceDE/>
        <w:autoSpaceDN/>
        <w:bidi w:val="0"/>
        <w:adjustRightInd w:val="0"/>
        <w:snapToGrid w:val="0"/>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（1）投标邀请书；</w:t>
      </w:r>
    </w:p>
    <w:p>
      <w:pPr>
        <w:pageBreakBefore w:val="0"/>
        <w:widowControl w:val="0"/>
        <w:kinsoku/>
        <w:wordWrap/>
        <w:topLinePunct w:val="0"/>
        <w:autoSpaceDE/>
        <w:autoSpaceDN/>
        <w:bidi w:val="0"/>
        <w:adjustRightInd w:val="0"/>
        <w:snapToGrid w:val="0"/>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（2）投标资料表；</w:t>
      </w:r>
    </w:p>
    <w:p>
      <w:pPr>
        <w:pageBreakBefore w:val="0"/>
        <w:widowControl w:val="0"/>
        <w:kinsoku/>
        <w:wordWrap/>
        <w:topLinePunct w:val="0"/>
        <w:autoSpaceDE/>
        <w:autoSpaceDN/>
        <w:bidi w:val="0"/>
        <w:adjustRightInd w:val="0"/>
        <w:snapToGrid w:val="0"/>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（3）用户需求书；</w:t>
      </w:r>
    </w:p>
    <w:p>
      <w:pPr>
        <w:pageBreakBefore w:val="0"/>
        <w:widowControl w:val="0"/>
        <w:kinsoku/>
        <w:wordWrap/>
        <w:topLinePunct w:val="0"/>
        <w:autoSpaceDE/>
        <w:autoSpaceDN/>
        <w:bidi w:val="0"/>
        <w:adjustRightInd w:val="0"/>
        <w:snapToGrid w:val="0"/>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（4）投标人须知；</w:t>
      </w:r>
    </w:p>
    <w:p>
      <w:pPr>
        <w:pageBreakBefore w:val="0"/>
        <w:widowControl w:val="0"/>
        <w:kinsoku/>
        <w:wordWrap/>
        <w:topLinePunct w:val="0"/>
        <w:autoSpaceDE/>
        <w:autoSpaceDN/>
        <w:bidi w:val="0"/>
        <w:adjustRightInd w:val="0"/>
        <w:snapToGrid w:val="0"/>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（5）拟签订的合同文本；</w:t>
      </w:r>
    </w:p>
    <w:p>
      <w:pPr>
        <w:pageBreakBefore w:val="0"/>
        <w:widowControl w:val="0"/>
        <w:kinsoku/>
        <w:wordWrap/>
        <w:topLinePunct w:val="0"/>
        <w:autoSpaceDE/>
        <w:autoSpaceDN/>
        <w:bidi w:val="0"/>
        <w:adjustRightInd w:val="0"/>
        <w:snapToGrid w:val="0"/>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（6）投标文件格式；</w:t>
      </w:r>
    </w:p>
    <w:p>
      <w:pPr>
        <w:pageBreakBefore w:val="0"/>
        <w:widowControl w:val="0"/>
        <w:kinsoku/>
        <w:wordWrap/>
        <w:topLinePunct w:val="0"/>
        <w:autoSpaceDE/>
        <w:autoSpaceDN/>
        <w:bidi w:val="0"/>
        <w:adjustRightInd w:val="0"/>
        <w:snapToGrid w:val="0"/>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（7）在采购过程中由采购代理机构发出的澄清更正文件等。</w:t>
      </w:r>
    </w:p>
    <w:p>
      <w:pPr>
        <w:rPr>
          <w:rFonts w:cs="宋体"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50" w:name="_Toc160732660"/>
      <w:bookmarkStart w:id="51" w:name="_Toc160826276"/>
      <w:r>
        <w:rPr>
          <w:rFonts w:hint="eastAsia" w:cs="宋体" w:asciiTheme="minorEastAsia" w:hAnsiTheme="minorEastAsia" w:eastAsiaTheme="minorEastAsia"/>
          <w:color w:val="auto"/>
          <w:sz w:val="21"/>
          <w:szCs w:val="21"/>
          <w:highlight w:val="none"/>
        </w:rPr>
        <w:t>采购文件的澄清或修改</w:t>
      </w:r>
      <w:bookmarkEnd w:id="50"/>
      <w:bookmarkEnd w:id="51"/>
    </w:p>
    <w:p>
      <w:pPr>
        <w:pStyle w:val="41"/>
        <w:widowControl w:val="0"/>
        <w:numPr>
          <w:ilvl w:val="0"/>
          <w:numId w:val="5"/>
        </w:numPr>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pPr>
        <w:widowControl w:val="0"/>
        <w:numPr>
          <w:ilvl w:val="1"/>
          <w:numId w:val="4"/>
        </w:numPr>
        <w:overflowPunct w:val="0"/>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采购期间，投标人有义务上网查看，公告一经上网发布，即视为送达。因投标人未及时上网查看而造成的所有后果，由投标人自行承担。</w:t>
      </w:r>
    </w:p>
    <w:p>
      <w:pPr>
        <w:widowControl w:val="0"/>
        <w:adjustRightInd/>
        <w:snapToGrid/>
        <w:ind w:left="567"/>
        <w:jc w:val="both"/>
        <w:rPr>
          <w:rFonts w:cs="宋体" w:asciiTheme="minorEastAsia" w:hAnsiTheme="minorEastAsia" w:eastAsiaTheme="minorEastAsia"/>
          <w:color w:val="auto"/>
          <w:szCs w:val="21"/>
          <w:highlight w:val="none"/>
        </w:rPr>
      </w:pPr>
    </w:p>
    <w:p>
      <w:pPr>
        <w:pStyle w:val="4"/>
        <w:numPr>
          <w:ilvl w:val="0"/>
          <w:numId w:val="3"/>
        </w:numPr>
        <w:ind w:leftChars="0" w:right="210"/>
        <w:rPr>
          <w:color w:val="auto"/>
          <w:highlight w:val="none"/>
        </w:rPr>
      </w:pPr>
      <w:bookmarkStart w:id="52" w:name="_Toc160732661"/>
      <w:bookmarkStart w:id="53" w:name="_Toc160826277"/>
      <w:r>
        <w:rPr>
          <w:rFonts w:hint="eastAsia"/>
          <w:color w:val="auto"/>
          <w:highlight w:val="none"/>
        </w:rPr>
        <w:t>投标文件的编制</w:t>
      </w:r>
      <w:bookmarkEnd w:id="52"/>
      <w:bookmarkEnd w:id="53"/>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54" w:name="_Toc160732662"/>
      <w:bookmarkStart w:id="55" w:name="_Toc160826278"/>
      <w:r>
        <w:rPr>
          <w:rFonts w:hint="eastAsia" w:cs="宋体" w:asciiTheme="minorEastAsia" w:hAnsiTheme="minorEastAsia" w:eastAsiaTheme="minorEastAsia"/>
          <w:color w:val="auto"/>
          <w:sz w:val="21"/>
          <w:szCs w:val="21"/>
          <w:highlight w:val="none"/>
        </w:rPr>
        <w:t>投标文件的语言及度量衡单位</w:t>
      </w:r>
      <w:bookmarkEnd w:id="54"/>
      <w:bookmarkEnd w:id="55"/>
    </w:p>
    <w:p>
      <w:pPr>
        <w:pStyle w:val="41"/>
        <w:widowControl w:val="0"/>
        <w:numPr>
          <w:ilvl w:val="0"/>
          <w:numId w:val="5"/>
        </w:numPr>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除非采购文件在技术规格中另有规定，投标人在投标文件中及其与采购代理机构和采购人所有往来文件中的所有计量单位均应采用中华人民共和国法定计量单位。</w:t>
      </w:r>
    </w:p>
    <w:p>
      <w:pPr>
        <w:widowControl w:val="0"/>
        <w:adjustRightInd/>
        <w:snapToGrid/>
        <w:ind w:left="567"/>
        <w:jc w:val="both"/>
        <w:rPr>
          <w:rFonts w:cs="宋体" w:asciiTheme="minorEastAsia" w:hAnsiTheme="minorEastAsia" w:eastAsiaTheme="minorEastAsia"/>
          <w:color w:val="auto"/>
          <w:szCs w:val="21"/>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56" w:name="_Toc382049103"/>
      <w:bookmarkStart w:id="57" w:name="_Toc160826279"/>
      <w:bookmarkStart w:id="58" w:name="_Toc160732663"/>
      <w:bookmarkStart w:id="59" w:name="_Toc303084256"/>
      <w:bookmarkStart w:id="60" w:name="_Toc28866"/>
      <w:bookmarkStart w:id="61" w:name="_Toc307934854"/>
      <w:r>
        <w:rPr>
          <w:rFonts w:hint="eastAsia" w:cs="宋体" w:asciiTheme="minorEastAsia" w:hAnsiTheme="minorEastAsia" w:eastAsiaTheme="minorEastAsia"/>
          <w:color w:val="auto"/>
          <w:sz w:val="21"/>
          <w:szCs w:val="21"/>
          <w:highlight w:val="none"/>
        </w:rPr>
        <w:t>投标文件的组成</w:t>
      </w:r>
      <w:bookmarkEnd w:id="56"/>
      <w:bookmarkEnd w:id="57"/>
      <w:bookmarkEnd w:id="58"/>
      <w:bookmarkEnd w:id="59"/>
      <w:bookmarkEnd w:id="60"/>
      <w:bookmarkEnd w:id="61"/>
    </w:p>
    <w:p>
      <w:pPr>
        <w:pStyle w:val="41"/>
        <w:widowControl w:val="0"/>
        <w:numPr>
          <w:ilvl w:val="0"/>
          <w:numId w:val="5"/>
        </w:numPr>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包括但不限于采购文件附件格式中要求提供的表格。</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上述文件须按顺序装订成册，并编制投标文件目录。除上述文件资料外投标人还须按投标人须知的要求制作“唱标信封”。“唱标信封”作为投标文件的一部分，但须单独密封。</w:t>
      </w:r>
    </w:p>
    <w:p>
      <w:pPr>
        <w:rPr>
          <w:rFonts w:cs="宋体"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62" w:name="_Toc160826280"/>
      <w:bookmarkStart w:id="63" w:name="_Toc160732664"/>
      <w:r>
        <w:rPr>
          <w:rFonts w:hint="eastAsia" w:cs="宋体" w:asciiTheme="minorEastAsia" w:hAnsiTheme="minorEastAsia" w:eastAsiaTheme="minorEastAsia"/>
          <w:color w:val="auto"/>
          <w:sz w:val="21"/>
          <w:szCs w:val="21"/>
          <w:highlight w:val="none"/>
        </w:rPr>
        <w:t>投标文件编制</w:t>
      </w:r>
      <w:bookmarkEnd w:id="62"/>
      <w:bookmarkEnd w:id="63"/>
    </w:p>
    <w:p>
      <w:pPr>
        <w:pStyle w:val="41"/>
        <w:widowControl w:val="0"/>
        <w:numPr>
          <w:ilvl w:val="0"/>
          <w:numId w:val="5"/>
        </w:numPr>
        <w:adjustRightInd/>
        <w:snapToGrid/>
        <w:ind w:firstLineChars="0"/>
        <w:jc w:val="both"/>
        <w:rPr>
          <w:rFonts w:cs="宋体" w:asciiTheme="minorEastAsia" w:hAnsiTheme="minorEastAsia" w:eastAsiaTheme="minorEastAsia"/>
          <w:vanish/>
          <w:color w:val="auto"/>
          <w:szCs w:val="21"/>
          <w:highlight w:val="none"/>
        </w:rPr>
      </w:pPr>
      <w:bookmarkStart w:id="64" w:name="_Toc303084258"/>
    </w:p>
    <w:p>
      <w:pPr>
        <w:keepNext w:val="0"/>
        <w:keepLines w:val="0"/>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pPr>
        <w:keepNext w:val="0"/>
        <w:keepLines w:val="0"/>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因投标文件编制存在歧义对投标人产生负面影响的，投标人自行承担后果。</w:t>
      </w:r>
    </w:p>
    <w:p>
      <w:pPr>
        <w:keepNext w:val="0"/>
        <w:keepLines w:val="0"/>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投标单位名称与投标人公章不一致，若投标单位名称已进行变更，应在投标文件中提供相应的证明材料并加盖公章，否则投标文件无效。</w:t>
      </w:r>
    </w:p>
    <w:p>
      <w:pPr>
        <w:keepNext w:val="0"/>
        <w:keepLines w:val="0"/>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投标文件密封、标记及内容与本项目采购信息不符，导致无法分辨所投项目为本项目的，投标文件无效。</w:t>
      </w:r>
    </w:p>
    <w:p>
      <w:pPr>
        <w:keepNext w:val="0"/>
        <w:keepLines w:val="0"/>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投标人须客观撰写投标人简介（格式自理，并提供相关证明）以及所投的产品或服务说明。</w:t>
      </w:r>
    </w:p>
    <w:p>
      <w:pPr>
        <w:keepNext w:val="0"/>
        <w:keepLines w:val="0"/>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投标文件若出现以下内容，经评标委员会认定有可能间接影响评审秩序，作废标处理。</w:t>
      </w:r>
    </w:p>
    <w:p>
      <w:pPr>
        <w:pStyle w:val="41"/>
        <w:keepNext w:val="0"/>
        <w:keepLines w:val="0"/>
        <w:pageBreakBefore w:val="0"/>
        <w:widowControl w:val="0"/>
        <w:numPr>
          <w:ilvl w:val="0"/>
          <w:numId w:val="6"/>
        </w:numPr>
        <w:kinsoku/>
        <w:wordWrap/>
        <w:topLinePunct w:val="0"/>
        <w:autoSpaceDE/>
        <w:autoSpaceDN/>
        <w:bidi w:val="0"/>
        <w:adjustRightInd w:val="0"/>
        <w:snapToGrid w:val="0"/>
        <w:ind w:firstLineChars="0"/>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投标文件内出现无官方证明文件的行业地域排名或使用“国家级”、“最高级”、“最佳”等用语字眼的。</w:t>
      </w:r>
    </w:p>
    <w:p>
      <w:pPr>
        <w:pStyle w:val="41"/>
        <w:keepNext w:val="0"/>
        <w:keepLines w:val="0"/>
        <w:pageBreakBefore w:val="0"/>
        <w:widowControl w:val="0"/>
        <w:numPr>
          <w:ilvl w:val="0"/>
          <w:numId w:val="6"/>
        </w:numPr>
        <w:kinsoku/>
        <w:wordWrap/>
        <w:topLinePunct w:val="0"/>
        <w:autoSpaceDE/>
        <w:autoSpaceDN/>
        <w:bidi w:val="0"/>
        <w:adjustRightInd w:val="0"/>
        <w:snapToGrid w:val="0"/>
        <w:ind w:firstLineChars="0"/>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投标文件内出现恶意诋毁、贬低其他生产经营者的商品或者服务的内容。</w:t>
      </w:r>
    </w:p>
    <w:p>
      <w:pPr>
        <w:keepNext w:val="0"/>
        <w:keepLines w:val="0"/>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有下列情形之一的，视为投标人串通投标，其投标无效：</w:t>
      </w:r>
    </w:p>
    <w:p>
      <w:pPr>
        <w:keepNext w:val="0"/>
        <w:keepLines w:val="0"/>
        <w:pageBreakBefore w:val="0"/>
        <w:widowControl w:val="0"/>
        <w:kinsoku/>
        <w:wordWrap/>
        <w:topLinePunct w:val="0"/>
        <w:autoSpaceDE/>
        <w:autoSpaceDN/>
        <w:bidi w:val="0"/>
        <w:adjustRightInd w:val="0"/>
        <w:snapToGrid w:val="0"/>
        <w:ind w:firstLine="420" w:firstLineChars="200"/>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（1）不同投标人的投标文件由同一单位或者个人编制；</w:t>
      </w:r>
    </w:p>
    <w:p>
      <w:pPr>
        <w:keepNext w:val="0"/>
        <w:keepLines w:val="0"/>
        <w:pageBreakBefore w:val="0"/>
        <w:widowControl w:val="0"/>
        <w:kinsoku/>
        <w:wordWrap/>
        <w:topLinePunct w:val="0"/>
        <w:autoSpaceDE/>
        <w:autoSpaceDN/>
        <w:bidi w:val="0"/>
        <w:adjustRightInd w:val="0"/>
        <w:snapToGrid w:val="0"/>
        <w:ind w:firstLine="420" w:firstLineChars="200"/>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（2）不同投标人委托同一单位或者个人办理投标事宜；</w:t>
      </w:r>
    </w:p>
    <w:p>
      <w:pPr>
        <w:keepNext w:val="0"/>
        <w:keepLines w:val="0"/>
        <w:pageBreakBefore w:val="0"/>
        <w:widowControl w:val="0"/>
        <w:kinsoku/>
        <w:wordWrap/>
        <w:topLinePunct w:val="0"/>
        <w:autoSpaceDE/>
        <w:autoSpaceDN/>
        <w:bidi w:val="0"/>
        <w:adjustRightInd w:val="0"/>
        <w:snapToGrid w:val="0"/>
        <w:ind w:firstLine="420" w:firstLineChars="200"/>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（3）不同投标人的投标文件载明的项目管理成员或者联系人员为同一人；</w:t>
      </w:r>
    </w:p>
    <w:p>
      <w:pPr>
        <w:keepNext w:val="0"/>
        <w:keepLines w:val="0"/>
        <w:pageBreakBefore w:val="0"/>
        <w:widowControl w:val="0"/>
        <w:kinsoku/>
        <w:wordWrap/>
        <w:topLinePunct w:val="0"/>
        <w:autoSpaceDE/>
        <w:autoSpaceDN/>
        <w:bidi w:val="0"/>
        <w:adjustRightInd w:val="0"/>
        <w:snapToGrid w:val="0"/>
        <w:ind w:firstLine="420" w:firstLineChars="200"/>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（4）不同投标人的投标文件异常一致或者投标报价呈规律性差异；</w:t>
      </w:r>
    </w:p>
    <w:p>
      <w:pPr>
        <w:keepNext w:val="0"/>
        <w:keepLines w:val="0"/>
        <w:pageBreakBefore w:val="0"/>
        <w:widowControl w:val="0"/>
        <w:kinsoku/>
        <w:wordWrap/>
        <w:topLinePunct w:val="0"/>
        <w:autoSpaceDE/>
        <w:autoSpaceDN/>
        <w:bidi w:val="0"/>
        <w:adjustRightInd w:val="0"/>
        <w:snapToGrid w:val="0"/>
        <w:ind w:firstLine="420" w:firstLineChars="200"/>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（5）不同投标人的投标文件相互混装；</w:t>
      </w:r>
    </w:p>
    <w:p>
      <w:pPr>
        <w:keepNext w:val="0"/>
        <w:keepLines w:val="0"/>
        <w:pageBreakBefore w:val="0"/>
        <w:widowControl w:val="0"/>
        <w:kinsoku/>
        <w:wordWrap/>
        <w:topLinePunct w:val="0"/>
        <w:autoSpaceDE/>
        <w:autoSpaceDN/>
        <w:bidi w:val="0"/>
        <w:adjustRightInd w:val="0"/>
        <w:snapToGrid w:val="0"/>
        <w:ind w:firstLine="420" w:firstLineChars="200"/>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（6）不同投标人的投标保证金从同一单位或者个人的账户转出。</w:t>
      </w:r>
    </w:p>
    <w:bookmarkEnd w:id="64"/>
    <w:p>
      <w:pPr>
        <w:pageBreakBefore w:val="0"/>
        <w:kinsoku/>
        <w:wordWrap/>
        <w:topLinePunct w:val="0"/>
        <w:autoSpaceDE/>
        <w:autoSpaceDN/>
        <w:bidi w:val="0"/>
        <w:adjustRightInd w:val="0"/>
        <w:snapToGrid w:val="0"/>
        <w:textAlignment w:val="auto"/>
        <w:rPr>
          <w:rFonts w:cs="宋体" w:asciiTheme="minorEastAsia" w:hAnsiTheme="minorEastAsia" w:eastAsiaTheme="minorEastAsia"/>
          <w:color w:val="auto"/>
          <w:highlight w:val="none"/>
        </w:rPr>
      </w:pPr>
    </w:p>
    <w:p>
      <w:pPr>
        <w:pStyle w:val="5"/>
        <w:pageBreakBefore w:val="0"/>
        <w:widowControl w:val="0"/>
        <w:numPr>
          <w:ilvl w:val="0"/>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 w:val="21"/>
          <w:szCs w:val="21"/>
          <w:highlight w:val="none"/>
        </w:rPr>
      </w:pPr>
      <w:bookmarkStart w:id="65" w:name="_Toc160826281"/>
      <w:bookmarkStart w:id="66" w:name="_Toc160732665"/>
      <w:r>
        <w:rPr>
          <w:rFonts w:hint="eastAsia" w:cs="宋体" w:asciiTheme="minorEastAsia" w:hAnsiTheme="minorEastAsia" w:eastAsiaTheme="minorEastAsia"/>
          <w:color w:val="auto"/>
          <w:sz w:val="21"/>
          <w:szCs w:val="21"/>
          <w:highlight w:val="none"/>
        </w:rPr>
        <w:t>投标报价说明</w:t>
      </w:r>
      <w:bookmarkEnd w:id="65"/>
      <w:bookmarkEnd w:id="66"/>
    </w:p>
    <w:p>
      <w:pPr>
        <w:pStyle w:val="41"/>
        <w:pageBreakBefore w:val="0"/>
        <w:widowControl w:val="0"/>
        <w:numPr>
          <w:ilvl w:val="0"/>
          <w:numId w:val="5"/>
        </w:numPr>
        <w:kinsoku/>
        <w:wordWrap/>
        <w:topLinePunct w:val="0"/>
        <w:autoSpaceDE/>
        <w:autoSpaceDN/>
        <w:bidi w:val="0"/>
        <w:adjustRightInd w:val="0"/>
        <w:snapToGrid w:val="0"/>
        <w:ind w:firstLineChars="0"/>
        <w:jc w:val="both"/>
        <w:textAlignment w:val="auto"/>
        <w:rPr>
          <w:rFonts w:cs="宋体" w:asciiTheme="minorEastAsia" w:hAnsiTheme="minorEastAsia" w:eastAsiaTheme="minorEastAsia"/>
          <w:vanish/>
          <w:color w:val="auto"/>
          <w:szCs w:val="21"/>
          <w:highlight w:val="none"/>
        </w:rPr>
      </w:pP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本次采购，投标人应按用户需求中的要求进行投标报价，少报无效。</w:t>
      </w: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投标人所提供的货物或服务均以人民币（或相关费率）报价。</w:t>
      </w: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投标报价应包含完成本次采购所有服务内容的费用，包含各种税务费及合同实施过程中的全部费用和售后服务费等。</w:t>
      </w: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中标后开出的所有发票必须与中标人的名称一致。</w:t>
      </w:r>
    </w:p>
    <w:p>
      <w:pPr>
        <w:pageBreakBefore w:val="0"/>
        <w:kinsoku/>
        <w:wordWrap/>
        <w:topLinePunct w:val="0"/>
        <w:autoSpaceDE/>
        <w:autoSpaceDN/>
        <w:bidi w:val="0"/>
        <w:adjustRightInd w:val="0"/>
        <w:snapToGrid w:val="0"/>
        <w:textAlignment w:val="auto"/>
        <w:rPr>
          <w:rFonts w:cs="宋体" w:asciiTheme="minorEastAsia" w:hAnsiTheme="minorEastAsia" w:eastAsiaTheme="minorEastAsia"/>
          <w:color w:val="auto"/>
          <w:highlight w:val="none"/>
        </w:rPr>
      </w:pPr>
    </w:p>
    <w:p>
      <w:pPr>
        <w:pStyle w:val="5"/>
        <w:pageBreakBefore w:val="0"/>
        <w:widowControl w:val="0"/>
        <w:numPr>
          <w:ilvl w:val="0"/>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 w:val="21"/>
          <w:szCs w:val="21"/>
          <w:highlight w:val="none"/>
        </w:rPr>
      </w:pPr>
      <w:bookmarkStart w:id="67" w:name="_Toc160826282"/>
      <w:bookmarkStart w:id="68" w:name="_Toc160732666"/>
      <w:r>
        <w:rPr>
          <w:rFonts w:hint="eastAsia" w:cs="宋体" w:asciiTheme="minorEastAsia" w:hAnsiTheme="minorEastAsia" w:eastAsiaTheme="minorEastAsia"/>
          <w:color w:val="auto"/>
          <w:sz w:val="21"/>
          <w:szCs w:val="21"/>
          <w:highlight w:val="none"/>
        </w:rPr>
        <w:t>投标人所提供的服务或货物的证明文件</w:t>
      </w:r>
      <w:bookmarkEnd w:id="67"/>
      <w:bookmarkEnd w:id="68"/>
    </w:p>
    <w:p>
      <w:pPr>
        <w:pStyle w:val="41"/>
        <w:pageBreakBefore w:val="0"/>
        <w:widowControl w:val="0"/>
        <w:numPr>
          <w:ilvl w:val="0"/>
          <w:numId w:val="5"/>
        </w:numPr>
        <w:kinsoku/>
        <w:wordWrap/>
        <w:topLinePunct w:val="0"/>
        <w:autoSpaceDE/>
        <w:autoSpaceDN/>
        <w:bidi w:val="0"/>
        <w:adjustRightInd w:val="0"/>
        <w:snapToGrid w:val="0"/>
        <w:ind w:firstLineChars="0"/>
        <w:jc w:val="both"/>
        <w:textAlignment w:val="auto"/>
        <w:rPr>
          <w:rFonts w:cs="宋体" w:asciiTheme="minorEastAsia" w:hAnsiTheme="minorEastAsia" w:eastAsiaTheme="minorEastAsia"/>
          <w:vanish/>
          <w:color w:val="auto"/>
          <w:szCs w:val="21"/>
          <w:highlight w:val="none"/>
        </w:rPr>
      </w:pP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bookmarkStart w:id="69" w:name="_Hlt107925668"/>
      <w:bookmarkEnd w:id="69"/>
      <w:bookmarkStart w:id="70" w:name="_Hlt107925638"/>
      <w:bookmarkEnd w:id="70"/>
      <w:r>
        <w:rPr>
          <w:rFonts w:hint="eastAsia" w:cs="宋体" w:asciiTheme="minorEastAsia" w:hAnsiTheme="minorEastAsia" w:eastAsiaTheme="minorEastAsia"/>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有下列情形之一的，视为投标人弄虚作假，其投标无效：</w:t>
      </w:r>
    </w:p>
    <w:p>
      <w:pPr>
        <w:pStyle w:val="41"/>
        <w:pageBreakBefore w:val="0"/>
        <w:widowControl w:val="0"/>
        <w:kinsoku/>
        <w:wordWrap/>
        <w:topLinePunct w:val="0"/>
        <w:autoSpaceDE/>
        <w:autoSpaceDN/>
        <w:bidi w:val="0"/>
        <w:adjustRightInd w:val="0"/>
        <w:snapToGrid w:val="0"/>
        <w:ind w:left="425" w:firstLine="0" w:firstLineChars="0"/>
        <w:jc w:val="both"/>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1、使用通过受让或者租借等方式获取的资格、资质证书投标的，属于以他人名义投标。</w:t>
      </w:r>
    </w:p>
    <w:p>
      <w:pPr>
        <w:pStyle w:val="41"/>
        <w:pageBreakBefore w:val="0"/>
        <w:widowControl w:val="0"/>
        <w:kinsoku/>
        <w:wordWrap/>
        <w:topLinePunct w:val="0"/>
        <w:autoSpaceDE/>
        <w:autoSpaceDN/>
        <w:bidi w:val="0"/>
        <w:adjustRightInd w:val="0"/>
        <w:snapToGrid w:val="0"/>
        <w:ind w:left="425" w:firstLine="0" w:firstLineChars="0"/>
        <w:jc w:val="both"/>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2、投标人有下列情形之一的，属于以其他方式弄虚作假的行为：</w:t>
      </w:r>
    </w:p>
    <w:p>
      <w:pPr>
        <w:pStyle w:val="41"/>
        <w:pageBreakBefore w:val="0"/>
        <w:widowControl w:val="0"/>
        <w:kinsoku/>
        <w:wordWrap/>
        <w:topLinePunct w:val="0"/>
        <w:autoSpaceDE/>
        <w:autoSpaceDN/>
        <w:bidi w:val="0"/>
        <w:adjustRightInd w:val="0"/>
        <w:snapToGrid w:val="0"/>
        <w:ind w:left="425" w:firstLine="0" w:firstLineChars="0"/>
        <w:jc w:val="both"/>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（1）使用伪造、变造的许可证件；</w:t>
      </w:r>
    </w:p>
    <w:p>
      <w:pPr>
        <w:pStyle w:val="41"/>
        <w:pageBreakBefore w:val="0"/>
        <w:widowControl w:val="0"/>
        <w:kinsoku/>
        <w:wordWrap/>
        <w:topLinePunct w:val="0"/>
        <w:autoSpaceDE/>
        <w:autoSpaceDN/>
        <w:bidi w:val="0"/>
        <w:adjustRightInd w:val="0"/>
        <w:snapToGrid w:val="0"/>
        <w:ind w:left="425" w:firstLine="0" w:firstLineChars="0"/>
        <w:jc w:val="both"/>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（2）提供虚假的财务状况或者业绩；</w:t>
      </w:r>
    </w:p>
    <w:p>
      <w:pPr>
        <w:pStyle w:val="41"/>
        <w:pageBreakBefore w:val="0"/>
        <w:widowControl w:val="0"/>
        <w:kinsoku/>
        <w:wordWrap/>
        <w:topLinePunct w:val="0"/>
        <w:autoSpaceDE/>
        <w:autoSpaceDN/>
        <w:bidi w:val="0"/>
        <w:adjustRightInd w:val="0"/>
        <w:snapToGrid w:val="0"/>
        <w:ind w:left="425" w:firstLine="0" w:firstLineChars="0"/>
        <w:jc w:val="both"/>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（3）提供虚假的项目负责人或者主要技术人员简历、劳动关系证明；</w:t>
      </w:r>
    </w:p>
    <w:p>
      <w:pPr>
        <w:pStyle w:val="41"/>
        <w:pageBreakBefore w:val="0"/>
        <w:widowControl w:val="0"/>
        <w:kinsoku/>
        <w:wordWrap/>
        <w:topLinePunct w:val="0"/>
        <w:autoSpaceDE/>
        <w:autoSpaceDN/>
        <w:bidi w:val="0"/>
        <w:adjustRightInd w:val="0"/>
        <w:snapToGrid w:val="0"/>
        <w:ind w:left="425" w:firstLine="0" w:firstLineChars="0"/>
        <w:jc w:val="both"/>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（4）提供虚假的信用状况；</w:t>
      </w:r>
    </w:p>
    <w:p>
      <w:pPr>
        <w:pStyle w:val="41"/>
        <w:pageBreakBefore w:val="0"/>
        <w:widowControl w:val="0"/>
        <w:kinsoku/>
        <w:wordWrap/>
        <w:topLinePunct w:val="0"/>
        <w:autoSpaceDE/>
        <w:autoSpaceDN/>
        <w:bidi w:val="0"/>
        <w:adjustRightInd w:val="0"/>
        <w:snapToGrid w:val="0"/>
        <w:ind w:left="425" w:firstLine="0" w:firstLineChars="0"/>
        <w:jc w:val="both"/>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（5）其他弄虚作假的行为。</w:t>
      </w:r>
    </w:p>
    <w:p>
      <w:pPr>
        <w:pStyle w:val="5"/>
        <w:pageBreakBefore w:val="0"/>
        <w:widowControl w:val="0"/>
        <w:numPr>
          <w:ilvl w:val="0"/>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 w:val="21"/>
          <w:szCs w:val="21"/>
          <w:highlight w:val="none"/>
        </w:rPr>
      </w:pPr>
      <w:bookmarkStart w:id="71" w:name="_Toc160826283"/>
      <w:bookmarkStart w:id="72" w:name="_Toc160732667"/>
      <w:r>
        <w:rPr>
          <w:rFonts w:hint="eastAsia" w:cs="宋体" w:asciiTheme="minorEastAsia" w:hAnsiTheme="minorEastAsia" w:eastAsiaTheme="minorEastAsia"/>
          <w:color w:val="auto"/>
          <w:sz w:val="21"/>
          <w:szCs w:val="21"/>
          <w:highlight w:val="none"/>
        </w:rPr>
        <w:t>投标有效期</w:t>
      </w:r>
      <w:bookmarkEnd w:id="71"/>
      <w:bookmarkEnd w:id="72"/>
    </w:p>
    <w:p>
      <w:pPr>
        <w:pStyle w:val="41"/>
        <w:pageBreakBefore w:val="0"/>
        <w:widowControl w:val="0"/>
        <w:numPr>
          <w:ilvl w:val="0"/>
          <w:numId w:val="5"/>
        </w:numPr>
        <w:kinsoku/>
        <w:wordWrap/>
        <w:topLinePunct w:val="0"/>
        <w:autoSpaceDE/>
        <w:autoSpaceDN/>
        <w:bidi w:val="0"/>
        <w:adjustRightInd w:val="0"/>
        <w:snapToGrid w:val="0"/>
        <w:ind w:firstLineChars="0"/>
        <w:jc w:val="both"/>
        <w:textAlignment w:val="auto"/>
        <w:rPr>
          <w:rFonts w:cs="宋体" w:asciiTheme="minorEastAsia" w:hAnsiTheme="minorEastAsia" w:eastAsiaTheme="minorEastAsia"/>
          <w:vanish/>
          <w:color w:val="auto"/>
          <w:szCs w:val="21"/>
          <w:highlight w:val="none"/>
        </w:rPr>
      </w:pP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投标文件应根据投标人须知的规定在投标截止日后的90天内保持有效。</w:t>
      </w:r>
    </w:p>
    <w:p>
      <w:pPr>
        <w:pageBreakBefore w:val="0"/>
        <w:widowControl w:val="0"/>
        <w:kinsoku/>
        <w:wordWrap/>
        <w:topLinePunct w:val="0"/>
        <w:autoSpaceDE/>
        <w:autoSpaceDN/>
        <w:bidi w:val="0"/>
        <w:adjustRightInd w:val="0"/>
        <w:snapToGrid w:val="0"/>
        <w:ind w:left="567"/>
        <w:jc w:val="both"/>
        <w:textAlignment w:val="auto"/>
        <w:rPr>
          <w:rFonts w:cs="宋体" w:asciiTheme="minorEastAsia" w:hAnsiTheme="minorEastAsia" w:eastAsiaTheme="minorEastAsia"/>
          <w:color w:val="auto"/>
          <w:highlight w:val="none"/>
        </w:rPr>
      </w:pPr>
    </w:p>
    <w:p>
      <w:pPr>
        <w:pStyle w:val="5"/>
        <w:pageBreakBefore w:val="0"/>
        <w:widowControl w:val="0"/>
        <w:numPr>
          <w:ilvl w:val="0"/>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 w:val="21"/>
          <w:szCs w:val="21"/>
          <w:highlight w:val="none"/>
        </w:rPr>
      </w:pPr>
      <w:bookmarkStart w:id="73" w:name="_Toc160732668"/>
      <w:bookmarkStart w:id="74" w:name="_Toc160826284"/>
      <w:r>
        <w:rPr>
          <w:rFonts w:hint="eastAsia" w:cs="宋体" w:asciiTheme="minorEastAsia" w:hAnsiTheme="minorEastAsia" w:eastAsiaTheme="minorEastAsia"/>
          <w:color w:val="auto"/>
          <w:sz w:val="21"/>
          <w:szCs w:val="21"/>
          <w:highlight w:val="none"/>
        </w:rPr>
        <w:t>投标保证金</w:t>
      </w:r>
      <w:bookmarkEnd w:id="73"/>
      <w:bookmarkEnd w:id="74"/>
    </w:p>
    <w:p>
      <w:pPr>
        <w:pStyle w:val="41"/>
        <w:pageBreakBefore w:val="0"/>
        <w:widowControl w:val="0"/>
        <w:numPr>
          <w:ilvl w:val="0"/>
          <w:numId w:val="5"/>
        </w:numPr>
        <w:kinsoku/>
        <w:wordWrap/>
        <w:topLinePunct w:val="0"/>
        <w:autoSpaceDE/>
        <w:autoSpaceDN/>
        <w:bidi w:val="0"/>
        <w:adjustRightInd w:val="0"/>
        <w:snapToGrid w:val="0"/>
        <w:ind w:firstLineChars="0"/>
        <w:jc w:val="both"/>
        <w:textAlignment w:val="auto"/>
        <w:rPr>
          <w:rFonts w:cs="宋体" w:asciiTheme="minorEastAsia" w:hAnsiTheme="minorEastAsia" w:eastAsiaTheme="minorEastAsia"/>
          <w:vanish/>
          <w:color w:val="auto"/>
          <w:szCs w:val="21"/>
          <w:highlight w:val="none"/>
        </w:rPr>
      </w:pPr>
      <w:bookmarkStart w:id="75" w:name="_Ref179619405"/>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投标人应在投标文件递交截止前提交相应的投标保证金，并作为其投标的一部分。</w:t>
      </w:r>
      <w:bookmarkEnd w:id="75"/>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凡没有根据本须知（17.1和17.3）的规定随附有效的投标保证金的投标，将被视为非响应性投标予以拒绝。</w:t>
      </w: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投标保证金有效期应当与投标有效期一致。采购人如果按照采购文件另外规定延长了投标文件有效期，则投标担保的有效期也相应延长。</w:t>
      </w: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下列任何情况发生时，投标保证金将不予退还：</w:t>
      </w:r>
    </w:p>
    <w:p>
      <w:pPr>
        <w:pageBreakBefore w:val="0"/>
        <w:widowControl w:val="0"/>
        <w:kinsoku/>
        <w:wordWrap/>
        <w:topLinePunct w:val="0"/>
        <w:autoSpaceDE/>
        <w:autoSpaceDN/>
        <w:bidi w:val="0"/>
        <w:adjustRightInd w:val="0"/>
        <w:snapToGrid w:val="0"/>
        <w:ind w:left="540" w:leftChars="257"/>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（1）投标人在采购文件中规定的投标有效期内撤回其投标；</w:t>
      </w:r>
    </w:p>
    <w:p>
      <w:pPr>
        <w:pageBreakBefore w:val="0"/>
        <w:widowControl w:val="0"/>
        <w:kinsoku/>
        <w:wordWrap/>
        <w:topLinePunct w:val="0"/>
        <w:autoSpaceDE/>
        <w:autoSpaceDN/>
        <w:bidi w:val="0"/>
        <w:adjustRightInd w:val="0"/>
        <w:snapToGrid w:val="0"/>
        <w:ind w:left="540" w:leftChars="257"/>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（2）中标人无正当理由不与采购人订立合同，在签订合同时向采购人提出附加条件，或者不按照采购文件要求提交履约保证金的；</w:t>
      </w:r>
    </w:p>
    <w:p>
      <w:pPr>
        <w:pageBreakBefore w:val="0"/>
        <w:widowControl w:val="0"/>
        <w:kinsoku/>
        <w:wordWrap/>
        <w:topLinePunct w:val="0"/>
        <w:autoSpaceDE/>
        <w:autoSpaceDN/>
        <w:bidi w:val="0"/>
        <w:adjustRightInd w:val="0"/>
        <w:snapToGrid w:val="0"/>
        <w:ind w:left="540" w:leftChars="257"/>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（3）中标人将本项目转让给他人，或者在投标文件中未说明，且未经采购人同意，将中标项目分包给他人的；</w:t>
      </w:r>
    </w:p>
    <w:p>
      <w:pPr>
        <w:pageBreakBefore w:val="0"/>
        <w:widowControl w:val="0"/>
        <w:kinsoku/>
        <w:wordWrap/>
        <w:topLinePunct w:val="0"/>
        <w:autoSpaceDE/>
        <w:autoSpaceDN/>
        <w:bidi w:val="0"/>
        <w:adjustRightInd w:val="0"/>
        <w:snapToGrid w:val="0"/>
        <w:ind w:left="540" w:leftChars="257"/>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（4）投标人提供虚假投标文件或虚假补充文件的。</w:t>
      </w: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在中标通知书发出后，未中标投标人的投标保证金，由采购人自行返还至投标人的原转出账户。</w:t>
      </w:r>
    </w:p>
    <w:p>
      <w:pPr>
        <w:rPr>
          <w:rFonts w:cs="宋体" w:asciiTheme="minorEastAsia" w:hAnsiTheme="minorEastAsia" w:eastAsiaTheme="minorEastAsia"/>
          <w:color w:val="auto"/>
          <w:highlight w:val="none"/>
        </w:rPr>
      </w:pPr>
    </w:p>
    <w:p>
      <w:pPr>
        <w:pStyle w:val="4"/>
        <w:numPr>
          <w:ilvl w:val="0"/>
          <w:numId w:val="3"/>
        </w:numPr>
        <w:ind w:leftChars="0" w:right="210"/>
        <w:rPr>
          <w:color w:val="auto"/>
          <w:highlight w:val="none"/>
        </w:rPr>
      </w:pPr>
      <w:bookmarkStart w:id="76" w:name="_Toc160732669"/>
      <w:bookmarkStart w:id="77" w:name="_Toc160826285"/>
      <w:r>
        <w:rPr>
          <w:rFonts w:hint="eastAsia"/>
          <w:color w:val="auto"/>
          <w:highlight w:val="none"/>
        </w:rPr>
        <w:t>投标文件的递交</w:t>
      </w:r>
      <w:bookmarkEnd w:id="76"/>
      <w:bookmarkEnd w:id="77"/>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78" w:name="_Toc160732670"/>
      <w:bookmarkStart w:id="79" w:name="_Toc160826286"/>
      <w:bookmarkStart w:id="80" w:name="_Toc382049111"/>
      <w:bookmarkStart w:id="81" w:name="_Toc303084264"/>
      <w:bookmarkStart w:id="82" w:name="_Toc24997"/>
      <w:r>
        <w:rPr>
          <w:rFonts w:hint="eastAsia" w:cs="宋体" w:asciiTheme="minorEastAsia" w:hAnsiTheme="minorEastAsia" w:eastAsiaTheme="minorEastAsia"/>
          <w:color w:val="auto"/>
          <w:sz w:val="21"/>
          <w:szCs w:val="21"/>
          <w:highlight w:val="none"/>
        </w:rPr>
        <w:t>投标文件的装订，签署，密封和标记</w:t>
      </w:r>
      <w:bookmarkEnd w:id="78"/>
      <w:bookmarkEnd w:id="79"/>
      <w:bookmarkEnd w:id="80"/>
      <w:bookmarkEnd w:id="81"/>
      <w:bookmarkEnd w:id="82"/>
    </w:p>
    <w:p>
      <w:pPr>
        <w:pStyle w:val="41"/>
        <w:widowControl w:val="0"/>
        <w:numPr>
          <w:ilvl w:val="0"/>
          <w:numId w:val="5"/>
        </w:numPr>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投标人应按《投标资料表》的份数准备价格文件、商务文件、技术文件、唱标信封和电子文件（</w:t>
      </w:r>
      <w:r>
        <w:rPr>
          <w:rFonts w:hint="eastAsia" w:asciiTheme="minorEastAsia" w:hAnsiTheme="minorEastAsia" w:eastAsiaTheme="minorEastAsia"/>
          <w:b/>
          <w:color w:val="auto"/>
          <w:szCs w:val="21"/>
          <w:highlight w:val="none"/>
        </w:rPr>
        <w:t>价格文件、商务文件、技术文件分别单独装订成册</w:t>
      </w:r>
      <w:r>
        <w:rPr>
          <w:rFonts w:hint="eastAsia" w:asciiTheme="minorEastAsia" w:hAnsiTheme="minorEastAsia" w:eastAsiaTheme="minorEastAsia"/>
          <w:color w:val="auto"/>
          <w:szCs w:val="21"/>
          <w:highlight w:val="none"/>
        </w:rPr>
        <w:t>），每一份投标文件均需编上页次，装订成册（不允许使用活页夹，否则由此产生的风险由投标人自行承担）。所有投标文件必须封入密封完好的信封或包装，封口加盖公章</w:t>
      </w:r>
      <w:r>
        <w:rPr>
          <w:rFonts w:hint="eastAsia" w:cs="宋体" w:asciiTheme="minorEastAsia" w:hAnsiTheme="minorEastAsia" w:eastAsiaTheme="minorEastAsia"/>
          <w:color w:val="auto"/>
          <w:szCs w:val="21"/>
          <w:highlight w:val="none"/>
        </w:rPr>
        <w:t>。</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联合体投标文件的【正本】及【副本】的封面及骑缝均须加盖所有联合体组成成员的公章。（文件每页盖章等同于盖骑缝章）</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除投标人对错误处修改外，全套投标文件应无涂改或行间插字和增删。如有修改，修改处须由法定代表人或其正式授权代表在旁边签字及盖章。</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投标人应将投标文件进行非透明的封装，以防止投标文件内容的泄露。采购代理机构将拒绝接收采用透明包装进行密封的投标文件。</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密封破损导致投标文件内容直接或间接泄露的投标文件，采购代理机构将拒绝接收。</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pPr>
        <w:widowControl w:val="0"/>
        <w:numPr>
          <w:ilvl w:val="1"/>
          <w:numId w:val="4"/>
        </w:numPr>
        <w:overflowPunct w:val="0"/>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未单独提交唱标信封的投标人投标文件不进行唱标，投标文件作无效处理。</w:t>
      </w:r>
    </w:p>
    <w:p>
      <w:pPr>
        <w:keepNext w:val="0"/>
        <w:keepLines w:val="0"/>
        <w:pageBreakBefore w:val="0"/>
        <w:widowControl w:val="0"/>
        <w:numPr>
          <w:ilvl w:val="1"/>
          <w:numId w:val="4"/>
        </w:numPr>
        <w:kinsoku/>
        <w:wordWrap/>
        <w:overflowPunct w:val="0"/>
        <w:topLinePunct w:val="0"/>
        <w:autoSpaceDE/>
        <w:autoSpaceDN/>
        <w:bidi w:val="0"/>
        <w:adjustRightInd w:val="0"/>
        <w:snapToGrid w:val="0"/>
        <w:ind w:left="567"/>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所有的信封均应注明： </w:t>
      </w:r>
    </w:p>
    <w:p>
      <w:pPr>
        <w:keepNext w:val="0"/>
        <w:keepLines w:val="0"/>
        <w:pageBreakBefore w:val="0"/>
        <w:widowControl w:val="0"/>
        <w:numPr>
          <w:ilvl w:val="0"/>
          <w:numId w:val="7"/>
        </w:numPr>
        <w:kinsoku/>
        <w:wordWrap/>
        <w:topLinePunct w:val="0"/>
        <w:autoSpaceDE/>
        <w:autoSpaceDN/>
        <w:bidi w:val="0"/>
        <w:adjustRightInd w:val="0"/>
        <w:snapToGrid w:val="0"/>
        <w:ind w:left="567"/>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收件人：</w:t>
      </w:r>
      <w:r>
        <w:rPr>
          <w:rFonts w:hint="eastAsia" w:cs="宋体" w:asciiTheme="minorEastAsia" w:hAnsiTheme="minorEastAsia" w:eastAsiaTheme="minorEastAsia"/>
          <w:color w:val="auto"/>
          <w:szCs w:val="21"/>
          <w:highlight w:val="none"/>
          <w:lang w:eastAsia="zh-CN"/>
        </w:rPr>
        <w:t>三方诚信招标有限公司东莞分公司</w:t>
      </w:r>
    </w:p>
    <w:p>
      <w:pPr>
        <w:keepNext w:val="0"/>
        <w:keepLines w:val="0"/>
        <w:pageBreakBefore w:val="0"/>
        <w:widowControl w:val="0"/>
        <w:numPr>
          <w:ilvl w:val="0"/>
          <w:numId w:val="7"/>
        </w:numPr>
        <w:kinsoku/>
        <w:wordWrap/>
        <w:topLinePunct w:val="0"/>
        <w:autoSpaceDE/>
        <w:autoSpaceDN/>
        <w:bidi w:val="0"/>
        <w:adjustRightInd w:val="0"/>
        <w:snapToGrid w:val="0"/>
        <w:ind w:left="567"/>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投标单位名称：</w:t>
      </w:r>
    </w:p>
    <w:p>
      <w:pPr>
        <w:keepNext w:val="0"/>
        <w:keepLines w:val="0"/>
        <w:pageBreakBefore w:val="0"/>
        <w:widowControl w:val="0"/>
        <w:numPr>
          <w:ilvl w:val="0"/>
          <w:numId w:val="7"/>
        </w:numPr>
        <w:kinsoku/>
        <w:wordWrap/>
        <w:topLinePunct w:val="0"/>
        <w:autoSpaceDE/>
        <w:autoSpaceDN/>
        <w:bidi w:val="0"/>
        <w:adjustRightInd w:val="0"/>
        <w:snapToGrid w:val="0"/>
        <w:ind w:left="567"/>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项目名称：</w:t>
      </w:r>
      <w:r>
        <w:rPr>
          <w:rFonts w:hint="eastAsia" w:cs="宋体" w:asciiTheme="minorEastAsia" w:hAnsiTheme="minorEastAsia" w:eastAsiaTheme="minorEastAsia"/>
          <w:color w:val="auto"/>
          <w:szCs w:val="21"/>
          <w:highlight w:val="none"/>
          <w:lang w:eastAsia="zh-CN"/>
        </w:rPr>
        <w:t>东莞市海心沙资源综合利用中心环保热电厂2025年度活性炭、熟石灰采购项目</w:t>
      </w:r>
    </w:p>
    <w:p>
      <w:pPr>
        <w:keepNext w:val="0"/>
        <w:keepLines w:val="0"/>
        <w:pageBreakBefore w:val="0"/>
        <w:widowControl w:val="0"/>
        <w:numPr>
          <w:ilvl w:val="0"/>
          <w:numId w:val="7"/>
        </w:numPr>
        <w:kinsoku/>
        <w:wordWrap/>
        <w:topLinePunct w:val="0"/>
        <w:autoSpaceDE/>
        <w:autoSpaceDN/>
        <w:bidi w:val="0"/>
        <w:adjustRightInd w:val="0"/>
        <w:snapToGrid w:val="0"/>
        <w:ind w:left="567"/>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项目采购项目编号：</w:t>
      </w:r>
      <w:r>
        <w:rPr>
          <w:rFonts w:hint="eastAsia" w:cs="宋体" w:asciiTheme="minorEastAsia" w:hAnsiTheme="minorEastAsia" w:eastAsiaTheme="minorEastAsia"/>
          <w:color w:val="auto"/>
          <w:szCs w:val="21"/>
          <w:highlight w:val="none"/>
          <w:lang w:eastAsia="zh-CN"/>
        </w:rPr>
        <w:t>XDY-GK-2025-001</w:t>
      </w:r>
    </w:p>
    <w:p>
      <w:pPr>
        <w:keepNext w:val="0"/>
        <w:keepLines w:val="0"/>
        <w:pageBreakBefore w:val="0"/>
        <w:widowControl w:val="0"/>
        <w:numPr>
          <w:ilvl w:val="1"/>
          <w:numId w:val="4"/>
        </w:numPr>
        <w:kinsoku/>
        <w:wordWrap/>
        <w:overflowPunct w:val="0"/>
        <w:topLinePunct w:val="0"/>
        <w:autoSpaceDE/>
        <w:autoSpaceDN/>
        <w:bidi w:val="0"/>
        <w:adjustRightInd w:val="0"/>
        <w:snapToGrid w:val="0"/>
        <w:ind w:left="567"/>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密封信封上的项目编号错误或项目名称出现严重歧义的（包括采购内容不符），采购代理机构将拒绝接收。</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采购代理机构对所有投标文件的误投或提前启封概不负责。</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投标人同时参加几个包投标时必须按采购文件要求按包号分别制作投标文件，分别密封递交。</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传真、电传的投标文件将被拒绝。</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递交的投标文件中所提供的通讯方式应保持联络畅通，因联系不上而导致的所有后果由投标人自行承担。</w:t>
      </w:r>
    </w:p>
    <w:p>
      <w:pPr>
        <w:rPr>
          <w:rFonts w:cs="宋体"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83" w:name="_Toc160826287"/>
      <w:bookmarkStart w:id="84" w:name="_Toc160732671"/>
      <w:r>
        <w:rPr>
          <w:rFonts w:hint="eastAsia" w:cs="宋体" w:asciiTheme="minorEastAsia" w:hAnsiTheme="minorEastAsia" w:eastAsiaTheme="minorEastAsia"/>
          <w:color w:val="auto"/>
          <w:sz w:val="21"/>
          <w:szCs w:val="21"/>
          <w:highlight w:val="none"/>
        </w:rPr>
        <w:t>迟交的投标文件</w:t>
      </w:r>
      <w:bookmarkEnd w:id="83"/>
      <w:bookmarkEnd w:id="84"/>
    </w:p>
    <w:p>
      <w:pPr>
        <w:pStyle w:val="41"/>
        <w:widowControl w:val="0"/>
        <w:numPr>
          <w:ilvl w:val="0"/>
          <w:numId w:val="5"/>
        </w:numPr>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投标人在投标截止时间之后提交的投标文件，采购代理机构将拒绝接收。</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有违反其他法律规定情形的，采购代理机构将拒绝接收。</w:t>
      </w:r>
    </w:p>
    <w:p>
      <w:pPr>
        <w:rPr>
          <w:rFonts w:cs="宋体"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85" w:name="_Toc160826288"/>
      <w:bookmarkStart w:id="86" w:name="_Toc160732672"/>
      <w:r>
        <w:rPr>
          <w:rFonts w:hint="eastAsia" w:cs="宋体" w:asciiTheme="minorEastAsia" w:hAnsiTheme="minorEastAsia" w:eastAsiaTheme="minorEastAsia"/>
          <w:color w:val="auto"/>
          <w:sz w:val="21"/>
          <w:szCs w:val="21"/>
          <w:highlight w:val="none"/>
        </w:rPr>
        <w:t>投标样品（如需提交）</w:t>
      </w:r>
      <w:bookmarkEnd w:id="85"/>
      <w:bookmarkEnd w:id="86"/>
    </w:p>
    <w:p>
      <w:pPr>
        <w:pStyle w:val="41"/>
        <w:widowControl w:val="0"/>
        <w:numPr>
          <w:ilvl w:val="0"/>
          <w:numId w:val="5"/>
        </w:numPr>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如有必要，采购代理机构可以要求投标人提供本服务项目涉及的部分设备或产品样品，投标人在投标时应提交《样品清单》。</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为方便评标，投标人在提供样品时，应在所提供的样品表面显著位置标注投标人的名称、包号、样品名称、采购文件规定的服务或货物编号。</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rPr>
          <w:rFonts w:cs="宋体"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87" w:name="_Toc160826289"/>
      <w:bookmarkStart w:id="88" w:name="_Toc9777"/>
      <w:bookmarkStart w:id="89" w:name="_Toc160732673"/>
      <w:bookmarkStart w:id="90" w:name="_Toc303084265"/>
      <w:bookmarkStart w:id="91" w:name="_Toc382049112"/>
      <w:r>
        <w:rPr>
          <w:rFonts w:hint="eastAsia" w:cs="宋体" w:asciiTheme="minorEastAsia" w:hAnsiTheme="minorEastAsia" w:eastAsiaTheme="minorEastAsia"/>
          <w:color w:val="auto"/>
          <w:sz w:val="21"/>
          <w:szCs w:val="21"/>
          <w:highlight w:val="none"/>
        </w:rPr>
        <w:t>投标截止期</w:t>
      </w:r>
      <w:bookmarkEnd w:id="87"/>
      <w:bookmarkEnd w:id="88"/>
      <w:bookmarkEnd w:id="89"/>
      <w:bookmarkEnd w:id="90"/>
      <w:bookmarkEnd w:id="91"/>
    </w:p>
    <w:p>
      <w:pPr>
        <w:pStyle w:val="41"/>
        <w:widowControl w:val="0"/>
        <w:numPr>
          <w:ilvl w:val="0"/>
          <w:numId w:val="5"/>
        </w:numPr>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投标人应在采购文件规定的截止日期和时间内，将投标文件送达到指定地点。</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pPr>
        <w:rPr>
          <w:rFonts w:cs="宋体"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92" w:name="_Toc160826290"/>
      <w:bookmarkStart w:id="93" w:name="_Toc160732674"/>
      <w:r>
        <w:rPr>
          <w:rFonts w:hint="eastAsia" w:cs="宋体" w:asciiTheme="minorEastAsia" w:hAnsiTheme="minorEastAsia" w:eastAsiaTheme="minorEastAsia"/>
          <w:color w:val="auto"/>
          <w:sz w:val="21"/>
          <w:szCs w:val="21"/>
          <w:highlight w:val="none"/>
        </w:rPr>
        <w:t>投标文件的补充、修改与撤回</w:t>
      </w:r>
      <w:bookmarkEnd w:id="92"/>
      <w:bookmarkEnd w:id="93"/>
    </w:p>
    <w:p>
      <w:pPr>
        <w:pStyle w:val="41"/>
        <w:widowControl w:val="0"/>
        <w:numPr>
          <w:ilvl w:val="0"/>
          <w:numId w:val="5"/>
        </w:numPr>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投标文件一经递交不予退还。</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在提交投标文件截止时间至投标有效期满之前，投标人不得撤回其投标，否则其投标保证金将不予退还。</w:t>
      </w:r>
    </w:p>
    <w:p>
      <w:pPr>
        <w:pStyle w:val="9"/>
        <w:rPr>
          <w:rFonts w:asciiTheme="minorEastAsia" w:hAnsiTheme="minorEastAsia" w:eastAsiaTheme="minorEastAsia"/>
          <w:color w:val="auto"/>
          <w:highlight w:val="none"/>
        </w:rPr>
      </w:pPr>
    </w:p>
    <w:p>
      <w:pPr>
        <w:pStyle w:val="4"/>
        <w:numPr>
          <w:ilvl w:val="0"/>
          <w:numId w:val="3"/>
        </w:numPr>
        <w:ind w:leftChars="0" w:right="210"/>
        <w:rPr>
          <w:color w:val="auto"/>
          <w:highlight w:val="none"/>
        </w:rPr>
      </w:pPr>
      <w:bookmarkStart w:id="94" w:name="_Toc160826291"/>
      <w:bookmarkStart w:id="95" w:name="_Toc160732675"/>
      <w:r>
        <w:rPr>
          <w:rFonts w:hint="eastAsia"/>
          <w:color w:val="auto"/>
          <w:highlight w:val="none"/>
        </w:rPr>
        <w:t>开标与评标</w:t>
      </w:r>
      <w:bookmarkEnd w:id="94"/>
      <w:bookmarkEnd w:id="95"/>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96" w:name="_Toc160826292"/>
      <w:bookmarkStart w:id="97" w:name="_Toc160732676"/>
      <w:r>
        <w:rPr>
          <w:rFonts w:hint="eastAsia" w:cs="宋体" w:asciiTheme="minorEastAsia" w:hAnsiTheme="minorEastAsia" w:eastAsiaTheme="minorEastAsia"/>
          <w:color w:val="auto"/>
          <w:sz w:val="21"/>
          <w:szCs w:val="21"/>
          <w:highlight w:val="none"/>
        </w:rPr>
        <w:t>开标</w:t>
      </w:r>
      <w:bookmarkEnd w:id="96"/>
      <w:bookmarkEnd w:id="97"/>
    </w:p>
    <w:p>
      <w:pPr>
        <w:pStyle w:val="41"/>
        <w:widowControl w:val="0"/>
        <w:numPr>
          <w:ilvl w:val="0"/>
          <w:numId w:val="5"/>
        </w:numPr>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采购代理机构按本采购文件所规定的时间和地点公开开标，并邀请所有投标人代表参加。</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开标程序：</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开标会由采购代理机构主持，投标人的法定代表人或其授权代表携带有效身份证明准时参加开标会并签名报到。</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投标人未参加开标的，视同认可开标结果。</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合格投标人不足3家的，不得开标；</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开标过程应当由采购人或者采购代理机构负责记录，由参加开标的各投标人代表和相关工作人员签字确认。</w:t>
      </w:r>
    </w:p>
    <w:p>
      <w:pPr>
        <w:widowControl w:val="0"/>
        <w:adjustRightInd/>
        <w:snapToGrid/>
        <w:ind w:left="567"/>
        <w:jc w:val="both"/>
        <w:rPr>
          <w:rFonts w:cs="宋体"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98" w:name="_Toc160732677"/>
      <w:bookmarkStart w:id="99" w:name="_Toc160826293"/>
      <w:r>
        <w:rPr>
          <w:rFonts w:hint="eastAsia" w:cs="宋体" w:asciiTheme="minorEastAsia" w:hAnsiTheme="minorEastAsia" w:eastAsiaTheme="minorEastAsia"/>
          <w:color w:val="auto"/>
          <w:sz w:val="21"/>
          <w:szCs w:val="21"/>
          <w:highlight w:val="none"/>
        </w:rPr>
        <w:t>评标委员会及评标方法</w:t>
      </w:r>
      <w:bookmarkEnd w:id="98"/>
      <w:bookmarkEnd w:id="99"/>
    </w:p>
    <w:p>
      <w:pPr>
        <w:pStyle w:val="41"/>
        <w:widowControl w:val="0"/>
        <w:numPr>
          <w:ilvl w:val="0"/>
          <w:numId w:val="5"/>
        </w:numPr>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评审方法：本次采购的评审方法采用最低评标价法。</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定标原则：在最大限度满足采购文件实质性要求前提下，以报价最低的投标人作为中标候选人或中标人。</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评标委员会对投标文件的评审内容进行评议。评审流程包括符合性检查、澄清问题、比较与评价、推荐中标候选人或确定中标人、编写评标报告等步骤。</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评标委员会和采购人在评审过程中有权核对投标文件中相关材料的原件，投标人在接到通知后应在评标委员会规定的时间内提交原件核查。</w:t>
      </w:r>
    </w:p>
    <w:p>
      <w:pPr>
        <w:rPr>
          <w:rFonts w:cs="宋体"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100" w:name="_Toc160826294"/>
      <w:bookmarkStart w:id="101" w:name="_Toc160732678"/>
      <w:r>
        <w:rPr>
          <w:rFonts w:hint="eastAsia" w:cs="宋体" w:asciiTheme="minorEastAsia" w:hAnsiTheme="minorEastAsia" w:eastAsiaTheme="minorEastAsia"/>
          <w:color w:val="auto"/>
          <w:sz w:val="21"/>
          <w:szCs w:val="21"/>
          <w:highlight w:val="none"/>
        </w:rPr>
        <w:t>评审原则及评标过程的保密</w:t>
      </w:r>
      <w:bookmarkEnd w:id="100"/>
      <w:bookmarkEnd w:id="101"/>
    </w:p>
    <w:p>
      <w:pPr>
        <w:pStyle w:val="41"/>
        <w:widowControl w:val="0"/>
        <w:numPr>
          <w:ilvl w:val="0"/>
          <w:numId w:val="5"/>
        </w:numPr>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评审的基本原则：评标委员会将依据采购文件的规定，遵循“公开、公平、公正、择优、信用”的原则进行评审工作。</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从公开开标到签订合同，凡与审查、澄清、评审和投标有关的资料以及定标意见相关的事项，均不得向投标人及与评标无关的其他人透露。</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任何单位和个人不得非法干预、影响评标的过程和结果。</w:t>
      </w:r>
    </w:p>
    <w:p>
      <w:pPr>
        <w:rPr>
          <w:rFonts w:cs="宋体"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102" w:name="_Toc160732679"/>
      <w:bookmarkStart w:id="103" w:name="_Toc160826295"/>
      <w:bookmarkStart w:id="104" w:name="_Toc7361"/>
      <w:r>
        <w:rPr>
          <w:rFonts w:hint="eastAsia" w:cs="宋体" w:asciiTheme="minorEastAsia" w:hAnsiTheme="minorEastAsia" w:eastAsiaTheme="minorEastAsia"/>
          <w:color w:val="auto"/>
          <w:sz w:val="21"/>
          <w:szCs w:val="21"/>
          <w:highlight w:val="none"/>
        </w:rPr>
        <w:t>评标程序</w:t>
      </w:r>
      <w:bookmarkEnd w:id="102"/>
      <w:bookmarkEnd w:id="103"/>
    </w:p>
    <w:p>
      <w:pPr>
        <w:widowControl w:val="0"/>
        <w:numPr>
          <w:ilvl w:val="1"/>
          <w:numId w:val="4"/>
        </w:numPr>
        <w:overflowPunct w:val="0"/>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资格性、符合性审查</w:t>
      </w:r>
    </w:p>
    <w:p>
      <w:pPr>
        <w:widowControl w:val="0"/>
        <w:overflowPunct w:val="0"/>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评标阶段的评审。</w:t>
      </w:r>
    </w:p>
    <w:p>
      <w:pPr>
        <w:jc w:val="center"/>
        <w:rPr>
          <w:rFonts w:asciiTheme="minorEastAsia" w:hAnsiTheme="minorEastAsia" w:eastAsiaTheme="minorEastAsia"/>
          <w:b/>
          <w:bCs/>
          <w:color w:val="auto"/>
          <w:highlight w:val="none"/>
        </w:rPr>
      </w:pPr>
      <w:r>
        <w:rPr>
          <w:rFonts w:asciiTheme="minorEastAsia" w:hAnsiTheme="minorEastAsia" w:eastAsiaTheme="minorEastAsia"/>
          <w:b/>
          <w:bCs/>
          <w:color w:val="auto"/>
          <w:highlight w:val="none"/>
        </w:rPr>
        <w:t>《资格性</w:t>
      </w:r>
      <w:r>
        <w:rPr>
          <w:rFonts w:hint="eastAsia" w:asciiTheme="minorEastAsia" w:hAnsiTheme="minorEastAsia" w:eastAsiaTheme="minorEastAsia"/>
          <w:b/>
          <w:bCs/>
          <w:color w:val="auto"/>
          <w:highlight w:val="none"/>
        </w:rPr>
        <w:t>、符合性</w:t>
      </w:r>
      <w:r>
        <w:rPr>
          <w:rFonts w:asciiTheme="minorEastAsia" w:hAnsiTheme="minorEastAsia" w:eastAsiaTheme="minorEastAsia"/>
          <w:b/>
          <w:bCs/>
          <w:color w:val="auto"/>
          <w:highlight w:val="none"/>
        </w:rPr>
        <w:t>审查表》（适用于包</w:t>
      </w:r>
      <w:r>
        <w:rPr>
          <w:rFonts w:hint="eastAsia" w:asciiTheme="minorEastAsia" w:hAnsiTheme="minorEastAsia" w:eastAsiaTheme="minorEastAsia"/>
          <w:b/>
          <w:bCs/>
          <w:color w:val="auto"/>
          <w:highlight w:val="none"/>
          <w:lang w:val="en-US" w:eastAsia="zh-CN"/>
        </w:rPr>
        <w:t>A</w:t>
      </w:r>
      <w:r>
        <w:rPr>
          <w:rFonts w:asciiTheme="minorEastAsia" w:hAnsiTheme="minorEastAsia" w:eastAsiaTheme="minorEastAsia"/>
          <w:b/>
          <w:bCs/>
          <w:color w:val="auto"/>
          <w:highlight w:val="none"/>
        </w:rPr>
        <w:t>）</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序号</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vMerge w:val="restart"/>
            <w:tcBorders>
              <w:top w:val="single" w:color="auto" w:sz="4" w:space="0"/>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（1）在中华人民共和国境内注册具有独立承担民事责任能力的企业法人</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投标人提供营业执照、税务登记证书、企业组织机构代码证（如三证合一，仅需提供营业执照）复印件加盖投标人公章</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（2）</w:t>
            </w:r>
            <w:r>
              <w:rPr>
                <w:rFonts w:hint="eastAsia" w:cs="宋体" w:asciiTheme="minorEastAsia" w:hAnsiTheme="minorEastAsia" w:eastAsiaTheme="minorEastAsia"/>
                <w:color w:val="auto"/>
                <w:szCs w:val="21"/>
                <w:highlight w:val="none"/>
              </w:rPr>
              <w:t>投标人须为所投产品生产厂家或授权经销商：</w:t>
            </w:r>
          </w:p>
          <w:p>
            <w:pPr>
              <w:keepNext w:val="0"/>
              <w:keepLines w:val="0"/>
              <w:pageBreakBefore w:val="0"/>
              <w:widowControl/>
              <w:tabs>
                <w:tab w:val="left" w:pos="612"/>
              </w:tabs>
              <w:kinsoku/>
              <w:wordWrap/>
              <w:overflowPunct/>
              <w:topLinePunct w:val="0"/>
              <w:autoSpaceDE/>
              <w:autoSpaceDN/>
              <w:bidi w:val="0"/>
              <w:adjustRightInd w:val="0"/>
              <w:snapToGrid w:val="0"/>
              <w:ind w:firstLine="420" w:firstLineChars="200"/>
              <w:textAlignment w:val="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①如投标人为所投产品生产厂家的，须提供生态环境主管部门或相关行政主管部门核发的合法有效的环评批复（批复内容须体现含投标产品）及《排污许可证》（或固定污染源排污相关登记证明）（提供相关证明文件复印件加盖投标人公章）；</w:t>
            </w:r>
          </w:p>
          <w:p>
            <w:pPr>
              <w:keepNext w:val="0"/>
              <w:keepLines w:val="0"/>
              <w:pageBreakBefore w:val="0"/>
              <w:widowControl/>
              <w:tabs>
                <w:tab w:val="left" w:pos="612"/>
              </w:tabs>
              <w:kinsoku/>
              <w:wordWrap/>
              <w:overflowPunct/>
              <w:topLinePunct w:val="0"/>
              <w:autoSpaceDE/>
              <w:autoSpaceDN/>
              <w:bidi w:val="0"/>
              <w:adjustRightInd w:val="0"/>
              <w:snapToGrid w:val="0"/>
              <w:ind w:firstLine="420"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②如投标人为所投产品授权经销商的，须提供所投产品生产厂家的(1)营业执照、税务登记证书、企业组织机构代码证（如三证合一，仅需提供营业执照）(2)生态环境主管部门或相关行政主管部门核发的合法有效的环评批复（批复内容须体现含投标产品）(3)《排污许可证》（或固定污染源排污相关登记证明）(4)所投产品生产厂家针对本项目授权销售函原件（提供相关证明文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投标人20</w:t>
            </w:r>
            <w:r>
              <w:rPr>
                <w:rFonts w:hint="eastAsia" w:cs="宋体" w:asciiTheme="minorEastAsia" w:hAnsiTheme="minorEastAsia" w:eastAsiaTheme="minorEastAsia"/>
                <w:color w:val="auto"/>
                <w:szCs w:val="21"/>
                <w:highlight w:val="none"/>
                <w:lang w:val="en-US" w:eastAsia="zh-CN"/>
              </w:rPr>
              <w:t>22</w:t>
            </w:r>
            <w:r>
              <w:rPr>
                <w:rFonts w:hint="eastAsia" w:cs="宋体" w:asciiTheme="minorEastAsia" w:hAnsiTheme="minorEastAsia" w:eastAsiaTheme="minorEastAsia"/>
                <w:color w:val="auto"/>
                <w:szCs w:val="21"/>
                <w:highlight w:val="none"/>
              </w:rPr>
              <w:t>年1月1日至</w:t>
            </w:r>
            <w:r>
              <w:rPr>
                <w:rFonts w:hint="eastAsia" w:cs="宋体" w:asciiTheme="minorEastAsia" w:hAnsiTheme="minorEastAsia" w:eastAsiaTheme="minorEastAsia"/>
                <w:color w:val="auto"/>
                <w:szCs w:val="21"/>
                <w:highlight w:val="none"/>
                <w:lang w:eastAsia="zh-CN"/>
              </w:rPr>
              <w:t>采购</w:t>
            </w:r>
            <w:r>
              <w:rPr>
                <w:rFonts w:hint="eastAsia" w:cs="宋体" w:asciiTheme="minorEastAsia" w:hAnsiTheme="minorEastAsia" w:eastAsiaTheme="minorEastAsia"/>
                <w:color w:val="auto"/>
                <w:szCs w:val="21"/>
                <w:highlight w:val="none"/>
              </w:rPr>
              <w:t>公告发布之日（以合同签订时间或合同有效期为准）至少具有活性炭销售业绩合同2份，且每份不小于400吨的供货合同（需提供合同关键页及供货期限内任意一期发票复印件加盖投标人公章）。如投标人合同关键页不能体现供货量的，则除上述材料外还需提供供货量证明（签字确认的送货单或相关验收证明材料或由买方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（4）</w:t>
            </w:r>
            <w:r>
              <w:rPr>
                <w:rFonts w:hint="eastAsia" w:cs="宋体" w:asciiTheme="minorEastAsia" w:hAnsiTheme="minorEastAsia" w:eastAsiaTheme="minorEastAsia"/>
                <w:color w:val="auto"/>
                <w:szCs w:val="21"/>
                <w:highlight w:val="none"/>
              </w:rPr>
              <w:t>投标人须提供所投产品202</w:t>
            </w:r>
            <w:r>
              <w:rPr>
                <w:rFonts w:hint="eastAsia" w:cs="宋体" w:asciiTheme="minorEastAsia" w:hAnsiTheme="minorEastAsia" w:eastAsiaTheme="minorEastAsia"/>
                <w:color w:val="auto"/>
                <w:szCs w:val="21"/>
                <w:highlight w:val="none"/>
                <w:lang w:val="en-US" w:eastAsia="zh-CN"/>
              </w:rPr>
              <w:t>4</w:t>
            </w:r>
            <w:r>
              <w:rPr>
                <w:rFonts w:hint="eastAsia" w:cs="宋体" w:asciiTheme="minorEastAsia" w:hAnsiTheme="minorEastAsia" w:eastAsiaTheme="minorEastAsia"/>
                <w:color w:val="auto"/>
                <w:szCs w:val="21"/>
                <w:highlight w:val="none"/>
              </w:rPr>
              <w:t>年1月1日至</w:t>
            </w:r>
            <w:r>
              <w:rPr>
                <w:rFonts w:hint="eastAsia" w:cs="宋体" w:asciiTheme="minorEastAsia" w:hAnsiTheme="minorEastAsia" w:eastAsiaTheme="minorEastAsia"/>
                <w:color w:val="auto"/>
                <w:szCs w:val="21"/>
                <w:highlight w:val="none"/>
                <w:lang w:eastAsia="zh-CN"/>
              </w:rPr>
              <w:t>采购</w:t>
            </w:r>
            <w:r>
              <w:rPr>
                <w:rFonts w:hint="eastAsia" w:cs="宋体" w:asciiTheme="minorEastAsia" w:hAnsiTheme="minorEastAsia" w:eastAsiaTheme="minorEastAsia"/>
                <w:color w:val="auto"/>
                <w:szCs w:val="21"/>
                <w:highlight w:val="none"/>
              </w:rPr>
              <w:t>公告发布之日具有检测资质的第三方检测公司出具的检测报告复印件加盖投标人公章（检测报告须含目数325目且通过率≥85%、比表面积≥900</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/g、碘值≥900mg/g和水份＜3%等指标）。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投标人须采用罐车运输，须具有履行合同所必需的专用运输车1辆或以上，并配备相应数量的驾驶员，提供车辆自有或租赁合同及车辆允许运营的证明材料（包括但不限于道路运输经营许可证、机动车行驶证、驾驶证等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（6）</w:t>
            </w:r>
            <w:r>
              <w:rPr>
                <w:rFonts w:hint="eastAsia" w:cs="宋体" w:asciiTheme="minorEastAsia" w:hAnsiTheme="minorEastAsia" w:eastAsiaTheme="minorEastAsia"/>
                <w:color w:val="auto"/>
                <w:szCs w:val="21"/>
                <w:highlight w:val="none"/>
              </w:rPr>
              <w:t>凡两家或以上投标人参加同一项目的投标，有如下情况之一的，一经发现将视同串标处理：A、为同一法定代表人的；B、为同一股东控股的；C、其中一家公司为其他公司最大股东的。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（7）</w:t>
            </w:r>
            <w:r>
              <w:rPr>
                <w:rFonts w:hint="eastAsia" w:cs="宋体" w:asciiTheme="minorEastAsia" w:hAnsiTheme="minorEastAsia" w:eastAsiaTheme="minorEastAsia"/>
                <w:color w:val="auto"/>
                <w:szCs w:val="21"/>
                <w:highlight w:val="none"/>
              </w:rPr>
              <w:t>未被列入“信用中国”网站(www.creditchina.gov.cn )“记录失信被执行人或税收违法黑名单”记录名单。以招标代理机构于投标截止日当天在“信用中国”网站查询结果为准，如相关失信记录已失效，投标人须提供相关证明资料。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（8）</w:t>
            </w:r>
            <w:r>
              <w:rPr>
                <w:rFonts w:hint="eastAsia" w:cs="宋体" w:asciiTheme="minorEastAsia" w:hAnsiTheme="minorEastAsia" w:eastAsiaTheme="minorEastAsia"/>
                <w:color w:val="auto"/>
                <w:szCs w:val="21"/>
                <w:highlight w:val="none"/>
              </w:rPr>
              <w:t>投标人（含投标人依法设立的分公司）在投标前1年内（202</w:t>
            </w:r>
            <w:r>
              <w:rPr>
                <w:rFonts w:hint="eastAsia" w:cs="宋体" w:asciiTheme="minorEastAsia" w:hAnsiTheme="minorEastAsia" w:eastAsiaTheme="minorEastAsia"/>
                <w:color w:val="auto"/>
                <w:szCs w:val="21"/>
                <w:highlight w:val="none"/>
                <w:lang w:val="en-US" w:eastAsia="zh-CN"/>
              </w:rPr>
              <w:t>4</w:t>
            </w:r>
            <w:r>
              <w:rPr>
                <w:rFonts w:hint="eastAsia" w:cs="宋体" w:asciiTheme="minorEastAsia" w:hAnsiTheme="minorEastAsia" w:eastAsiaTheme="minorEastAsia"/>
                <w:color w:val="auto"/>
                <w:szCs w:val="21"/>
                <w:highlight w:val="none"/>
              </w:rPr>
              <w:t>年1月1日以来）未受到生态环境主管部门给予的暂扣许可证件、降低资质等级、吊销许可证件、限制开展生产经营活动、责令停产停业、责令关闭和限制从业等行政处罚，投标人提供书面声明函加盖投标人法人公章。如投标人在此项内容中作出虚假声明（或未能如实声明）的，一经发现视为虚假应标，取消其投标（中标）资格，</w:t>
            </w:r>
            <w:r>
              <w:rPr>
                <w:rFonts w:hint="eastAsia" w:cs="宋体" w:asciiTheme="minorEastAsia" w:hAnsiTheme="minorEastAsia" w:eastAsiaTheme="minorEastAsia"/>
                <w:color w:val="auto"/>
                <w:szCs w:val="21"/>
                <w:highlight w:val="none"/>
                <w:lang w:eastAsia="zh-CN"/>
              </w:rPr>
              <w:t>采购人</w:t>
            </w:r>
            <w:r>
              <w:rPr>
                <w:rFonts w:hint="eastAsia" w:cs="宋体" w:asciiTheme="minorEastAsia" w:hAnsiTheme="minorEastAsia" w:eastAsiaTheme="minorEastAsia"/>
                <w:color w:val="auto"/>
                <w:szCs w:val="21"/>
                <w:highlight w:val="none"/>
              </w:rPr>
              <w:t>将没收其投标保证金。（格式详见第</w:t>
            </w:r>
            <w:r>
              <w:rPr>
                <w:rFonts w:hint="eastAsia" w:cs="宋体" w:asciiTheme="minorEastAsia" w:hAnsiTheme="minorEastAsia" w:eastAsiaTheme="minorEastAsia"/>
                <w:color w:val="auto"/>
                <w:szCs w:val="21"/>
                <w:highlight w:val="none"/>
                <w:lang w:eastAsia="zh-CN"/>
              </w:rPr>
              <w:t>六部分</w:t>
            </w:r>
            <w:r>
              <w:rPr>
                <w:rFonts w:hint="eastAsia" w:cs="宋体" w:asciiTheme="minorEastAsia" w:hAnsiTheme="minorEastAsia" w:eastAsiaTheme="minorEastAsia"/>
                <w:color w:val="auto"/>
                <w:szCs w:val="21"/>
                <w:highlight w:val="none"/>
              </w:rPr>
              <w:t>附件</w:t>
            </w:r>
            <w:r>
              <w:rPr>
                <w:rFonts w:hint="eastAsia" w:cs="宋体" w:asciiTheme="minorEastAsia" w:hAnsiTheme="minorEastAsia" w:eastAsiaTheme="minorEastAsia"/>
                <w:color w:val="auto"/>
                <w:szCs w:val="21"/>
                <w:highlight w:val="none"/>
                <w:lang w:val="en-US" w:eastAsia="zh-CN"/>
              </w:rPr>
              <w:t>-</w:t>
            </w:r>
            <w:r>
              <w:rPr>
                <w:rFonts w:hint="eastAsia" w:cs="宋体" w:asciiTheme="minorEastAsia" w:hAnsiTheme="minorEastAsia" w:eastAsiaTheme="minorEastAsia"/>
                <w:color w:val="auto"/>
                <w:szCs w:val="21"/>
                <w:highlight w:val="none"/>
                <w:lang w:eastAsia="zh-CN"/>
              </w:rPr>
              <w:t>投标文件格式“</w:t>
            </w:r>
            <w:r>
              <w:rPr>
                <w:rFonts w:hint="eastAsia" w:cs="宋体" w:asciiTheme="minorEastAsia" w:hAnsiTheme="minorEastAsia" w:eastAsiaTheme="minorEastAsia"/>
                <w:color w:val="auto"/>
                <w:szCs w:val="21"/>
                <w:highlight w:val="none"/>
                <w:lang w:val="en-US" w:eastAsia="zh-CN"/>
              </w:rPr>
              <w:t>8</w:t>
            </w:r>
            <w:r>
              <w:rPr>
                <w:rFonts w:hint="eastAsia" w:cs="宋体" w:asciiTheme="minorEastAsia" w:hAnsiTheme="minorEastAsia" w:eastAsiaTheme="minorEastAsia"/>
                <w:color w:val="auto"/>
                <w:szCs w:val="21"/>
                <w:highlight w:val="none"/>
                <w:lang w:eastAsia="zh-CN"/>
              </w:rPr>
              <w:t>-1 关于行政处罚</w:t>
            </w:r>
            <w:r>
              <w:rPr>
                <w:rFonts w:hint="eastAsia" w:cs="宋体" w:asciiTheme="minorEastAsia" w:hAnsiTheme="minorEastAsia" w:eastAsiaTheme="minorEastAsia"/>
                <w:color w:val="auto"/>
                <w:szCs w:val="21"/>
                <w:highlight w:val="none"/>
                <w:lang w:val="en-US" w:eastAsia="zh-CN"/>
              </w:rPr>
              <w:t>声</w:t>
            </w:r>
            <w:r>
              <w:rPr>
                <w:rFonts w:hint="eastAsia" w:cs="宋体" w:asciiTheme="minorEastAsia" w:hAnsiTheme="minorEastAsia" w:eastAsiaTheme="minorEastAsia"/>
                <w:color w:val="auto"/>
                <w:szCs w:val="21"/>
                <w:highlight w:val="none"/>
                <w:lang w:eastAsia="zh-CN"/>
              </w:rPr>
              <w:t>明”</w:t>
            </w:r>
            <w:r>
              <w:rPr>
                <w:rFonts w:hint="eastAsia" w:cs="宋体" w:asciiTheme="minorEastAsia" w:hAnsiTheme="minorEastAsia" w:eastAsia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（9）投标人</w:t>
            </w:r>
            <w:r>
              <w:rPr>
                <w:rFonts w:hint="eastAsia" w:asciiTheme="minorEastAsia" w:hAnsiTheme="minorEastAsia" w:eastAsiaTheme="minorEastAsia"/>
                <w:color w:val="auto"/>
                <w:highlight w:val="none"/>
              </w:rPr>
              <w:t>（含投标人依法设立的分公司）</w:t>
            </w:r>
            <w:r>
              <w:rPr>
                <w:rFonts w:hint="eastAsia" w:cs="宋体" w:asciiTheme="minorEastAsia" w:hAnsiTheme="minorEastAsia" w:eastAsiaTheme="minorEastAsia"/>
                <w:color w:val="auto"/>
                <w:szCs w:val="21"/>
                <w:highlight w:val="none"/>
                <w:lang w:val="en-US" w:eastAsia="zh-CN"/>
              </w:rPr>
              <w:t>最近3年内（2022年1月1日以来）在参与采购人任一采购项目时未出现过提供虚假资料或未通过资格后审的情形，投标人提供书面声明函加盖投标人法人公章。如投标人在此项内容中作出虚假声明（或未能如实声明）的，一经发现视为虚假应标，取消其投标（中标）资格，采购人将没收其投标保证金。（格式详见第六部分附件-投标文件格式“8-2 诚信声明”）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（10）本项目不接受联合体。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投标人按照采购文件要求提交投标保证金；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投标文件按照采购文件要求签署盖章；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投标单价未超出单项限价</w:t>
            </w:r>
            <w:r>
              <w:rPr>
                <w:rFonts w:hint="eastAsia" w:cs="宋体" w:asciiTheme="minorEastAsia" w:hAnsiTheme="minorEastAsia" w:eastAsiaTheme="minorEastAsia"/>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5</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cs="宋体" w:asciiTheme="minorEastAsia" w:hAnsiTheme="minorEastAsia" w:eastAsiaTheme="minorEastAsia"/>
                <w:color w:val="auto"/>
                <w:szCs w:val="21"/>
                <w:highlight w:val="none"/>
              </w:rPr>
            </w:pPr>
            <w:r>
              <w:rPr>
                <w:rFonts w:hint="eastAsia"/>
                <w:color w:val="auto"/>
                <w:highlight w:val="none"/>
                <w:lang w:val="en-US" w:eastAsia="zh-CN"/>
              </w:rPr>
              <w:t>活性炭投标报价（暂定总价）</w:t>
            </w:r>
            <w:r>
              <w:rPr>
                <w:rFonts w:hint="eastAsia" w:asciiTheme="minorEastAsia" w:hAnsiTheme="minorEastAsia" w:eastAsiaTheme="minorEastAsia"/>
                <w:color w:val="auto"/>
                <w:szCs w:val="21"/>
                <w:highlight w:val="none"/>
                <w:lang w:val="en-US" w:eastAsia="zh-CN"/>
              </w:rPr>
              <w:t>等于活性炭综合单价（元/吨） *700（吨）；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val="en-US" w:eastAsia="zh-CN"/>
              </w:rPr>
              <w:t>6</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val="en-US" w:eastAsia="zh-CN"/>
              </w:rPr>
              <w:t>7</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无负偏离标注“★”符号的条款。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val="en-US" w:eastAsia="zh-CN"/>
              </w:rPr>
              <w:t>8</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未出现法律、法规和招标文件规定的其他无效情形。</w:t>
            </w:r>
          </w:p>
        </w:tc>
      </w:tr>
    </w:tbl>
    <w:p>
      <w:pPr>
        <w:jc w:val="center"/>
        <w:rPr>
          <w:rFonts w:asciiTheme="minorEastAsia" w:hAnsiTheme="minorEastAsia" w:eastAsiaTheme="minorEastAsia"/>
          <w:b/>
          <w:bCs/>
          <w:color w:val="auto"/>
          <w:highlight w:val="none"/>
        </w:rPr>
      </w:pPr>
      <w:r>
        <w:rPr>
          <w:rFonts w:asciiTheme="minorEastAsia" w:hAnsiTheme="minorEastAsia" w:eastAsiaTheme="minorEastAsia"/>
          <w:b/>
          <w:bCs/>
          <w:color w:val="auto"/>
          <w:highlight w:val="none"/>
        </w:rPr>
        <w:t>《资格性</w:t>
      </w:r>
      <w:r>
        <w:rPr>
          <w:rFonts w:hint="eastAsia" w:asciiTheme="minorEastAsia" w:hAnsiTheme="minorEastAsia" w:eastAsiaTheme="minorEastAsia"/>
          <w:b/>
          <w:bCs/>
          <w:color w:val="auto"/>
          <w:highlight w:val="none"/>
        </w:rPr>
        <w:t>、符合性</w:t>
      </w:r>
      <w:r>
        <w:rPr>
          <w:rFonts w:asciiTheme="minorEastAsia" w:hAnsiTheme="minorEastAsia" w:eastAsiaTheme="minorEastAsia"/>
          <w:b/>
          <w:bCs/>
          <w:color w:val="auto"/>
          <w:highlight w:val="none"/>
        </w:rPr>
        <w:t>审查表》（适用于包</w:t>
      </w:r>
      <w:r>
        <w:rPr>
          <w:rFonts w:hint="eastAsia" w:asciiTheme="minorEastAsia" w:hAnsiTheme="minorEastAsia" w:eastAsiaTheme="minorEastAsia"/>
          <w:b/>
          <w:bCs/>
          <w:color w:val="auto"/>
          <w:highlight w:val="none"/>
          <w:lang w:val="en-US" w:eastAsia="zh-CN"/>
        </w:rPr>
        <w:t>B</w:t>
      </w:r>
      <w:r>
        <w:rPr>
          <w:rFonts w:asciiTheme="minorEastAsia" w:hAnsiTheme="minorEastAsia" w:eastAsiaTheme="minorEastAsia"/>
          <w:b/>
          <w:bCs/>
          <w:color w:val="auto"/>
          <w:highlight w:val="none"/>
        </w:rPr>
        <w:t>）</w:t>
      </w:r>
    </w:p>
    <w:bookmarkEnd w:id="104"/>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序号</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vMerge w:val="restart"/>
            <w:tcBorders>
              <w:top w:val="single" w:color="auto" w:sz="4" w:space="0"/>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hint="eastAsia" w:asciiTheme="minorEastAsia" w:hAnsiTheme="minorEastAsia" w:eastAsiaTheme="minorEastAsia"/>
                <w:color w:val="auto"/>
                <w:highlight w:val="none"/>
              </w:rPr>
              <w:t>在中华人民共和国境内注册具有独立承担民事责任能力的企业法人</w:t>
            </w:r>
            <w:r>
              <w:rPr>
                <w:rFonts w:hint="eastAsia" w:asciiTheme="minorEastAsia" w:hAnsiTheme="minorEastAsia" w:eastAsiaTheme="minorEastAsia"/>
                <w:color w:val="auto"/>
                <w:highlight w:val="none"/>
                <w:lang w:val="en-US" w:eastAsia="zh-CN"/>
              </w:rPr>
              <w:t>（</w:t>
            </w:r>
            <w:r>
              <w:rPr>
                <w:rFonts w:hint="eastAsia" w:asciiTheme="minorEastAsia" w:hAnsiTheme="minorEastAsia" w:eastAsiaTheme="minorEastAsia"/>
                <w:color w:val="auto"/>
                <w:highlight w:val="none"/>
              </w:rPr>
              <w:t>投标人提供营业执照、税务登记证书、企业组织机构代码证（如三证合一，仅需提供营业执照）复印件加盖投标人公章</w:t>
            </w:r>
            <w:r>
              <w:rPr>
                <w:rFonts w:hint="eastAsia" w:asciiTheme="minorEastAsia" w:hAnsiTheme="minorEastAsia" w:eastAsiaTheme="minorEastAsia"/>
                <w:color w:val="auto"/>
                <w:highlight w:val="none"/>
                <w:lang w:val="en-US" w:eastAsia="zh-CN"/>
              </w:rPr>
              <w:t>）</w:t>
            </w:r>
            <w:r>
              <w:rPr>
                <w:rFonts w:hint="eastAsia" w:cs="宋体" w:asciiTheme="minorEastAsia" w:hAnsiTheme="minorEastAsia" w:eastAsia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tabs>
                <w:tab w:val="left" w:pos="612"/>
              </w:tabs>
              <w:kinsoku/>
              <w:wordWrap/>
              <w:overflowPunct/>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2）投标人须为所投产品生产厂家：提供生态环境主管部门或相关行政主管部门核发的合法有效的环评批复（批复内容须体现含投标产品）及《排污许可证》（或固定污染源排污相关登记证明）（提供相关证明文件复印件加盖投标人公章）</w:t>
            </w:r>
            <w:r>
              <w:rPr>
                <w:rFonts w:hint="eastAsia" w:cs="宋体" w:asciiTheme="minorEastAsia" w:hAnsiTheme="minorEastAsia" w:eastAsia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3）投标人2022年1月1日至采购公告发布之日（以合同签订时间或合同有效期为准）至少具有垃圾发电厂熟石灰业绩合同2份，且每份不小于7000吨的供货合同（需提供合同关键页及供货期限内任意一期发票复印件加盖投标人公章）。如投标人合同关键页不能体现供货量的，则除上述材料外还需提供供货量证明（签字确认的送货单或相关验收证明材料或由买方出具的证明文件）</w:t>
            </w:r>
            <w:r>
              <w:rPr>
                <w:rFonts w:hint="eastAsia" w:cs="宋体" w:asciiTheme="minorEastAsia" w:hAnsiTheme="minorEastAsia" w:eastAsia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（4）投标人须提供所投产品2024年1月1日至采购公告发布之日具有检测资质的第三方检测公司出具的检测报告复印件加盖投标人公章【检测报告须：1、含Ca(OH) 2纯度 ≥95%、粒度：325目过筛通过率≥95%、比表面积（BET）≥18㎡/g等指标；2、含Ca(OH) 2纯度 ≥95%、粒度：200目过筛通过率≥95%、比表面积（BET）≥18㎡/g等指标】</w:t>
            </w:r>
            <w:r>
              <w:rPr>
                <w:rFonts w:hint="eastAsia" w:cs="宋体" w:asciiTheme="minorEastAsia" w:hAnsiTheme="minorEastAsia" w:eastAsia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highlight w:val="none"/>
              </w:rPr>
              <w:t>凡两家或以上投标人参加同一项目的投标，有如下情况之一的，一经发现将视同串标处理：A、为同一法定代表人的；B、为同一股东控股的；C、其中一家公司为其他公司最大股东的</w:t>
            </w:r>
            <w:r>
              <w:rPr>
                <w:rFonts w:hint="eastAsia" w:cs="宋体" w:asciiTheme="minorEastAsia" w:hAnsiTheme="minorEastAsia" w:eastAsia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highlight w:val="none"/>
              </w:rPr>
              <w:t>未被列入“信用中国”网站(www.creditchina.gov.cn )“记录失信被执行人或税收违法黑名单”记录名单。以招标代理机构于投标截止日当天在“信用中国”网站查询结果为准，如相关失信记录已失效，投标人须提供相关证明资料</w:t>
            </w:r>
            <w:r>
              <w:rPr>
                <w:rFonts w:hint="eastAsia" w:cs="宋体" w:asciiTheme="minorEastAsia" w:hAnsiTheme="minorEastAsia" w:eastAsia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7）投标人（含投标人依法设立的分公司）在投标前1年内（2024年1月1日以来）未受到生态环境主管部门给予的暂扣许可证件、降低资质等级、吊销许可证件、限制开展生产经营活动、责令停产停业、责令关闭和限制从业等行政处罚，投标人提供书面声明函加盖投标人法人公章。如投标人在此项内容中作出虚假声明（或未能如实声明）的，一经发现视为虚假应标，取消其投标（中标）资格，采购人将没收其投标保证金。（格式详见第六部分附件-投标文件格式“8-1 关于行政处罚声明”）</w:t>
            </w:r>
            <w:r>
              <w:rPr>
                <w:rFonts w:hint="eastAsia" w:cs="宋体" w:asciiTheme="minorEastAsia" w:hAnsiTheme="minorEastAsia" w:eastAsia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（8）投标人</w:t>
            </w:r>
            <w:r>
              <w:rPr>
                <w:rFonts w:hint="eastAsia" w:asciiTheme="minorEastAsia" w:hAnsiTheme="minorEastAsia" w:eastAsiaTheme="minorEastAsia"/>
                <w:color w:val="auto"/>
                <w:highlight w:val="none"/>
              </w:rPr>
              <w:t>（含投标人依法设立的分公司）</w:t>
            </w:r>
            <w:r>
              <w:rPr>
                <w:rFonts w:hint="eastAsia" w:cs="宋体" w:asciiTheme="minorEastAsia" w:hAnsiTheme="minorEastAsia" w:eastAsiaTheme="minorEastAsia"/>
                <w:color w:val="auto"/>
                <w:szCs w:val="21"/>
                <w:highlight w:val="none"/>
                <w:lang w:val="en-US" w:eastAsia="zh-CN"/>
              </w:rPr>
              <w:t>最近3年内（2022年1月1日以来）在参与采购人任一采购项目时未出现过提供虚假资料或未通过资格后审的情形，投标人提供书面声明函加盖投标人法人公章。如投标人在此项内容中作出虚假声明（或未能如实声明）的，一经发现视为虚假应标，取消其投标（中标）资格，采购人将没收其投标保证金。（格式详见第六部分附件-投标文件格式“8-2 诚信声明”）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10" w:type="pct"/>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（9）本项目不接受联合体。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投标人按照采购文件要求提交投标保证金；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投标文件按照采购文件要求签署盖章；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投标单价未超出单项限价</w:t>
            </w:r>
            <w:r>
              <w:rPr>
                <w:rFonts w:hint="eastAsia" w:cs="宋体" w:asciiTheme="minorEastAsia" w:hAnsiTheme="minorEastAsia" w:eastAsiaTheme="minorEastAsia"/>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5</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cs="宋体" w:asciiTheme="minorEastAsia" w:hAnsiTheme="minorEastAsia" w:eastAsiaTheme="minorEastAsia"/>
                <w:color w:val="auto"/>
                <w:szCs w:val="21"/>
                <w:highlight w:val="none"/>
              </w:rPr>
            </w:pPr>
            <w:r>
              <w:rPr>
                <w:rFonts w:hint="eastAsia" w:hAnsi="宋体"/>
                <w:color w:val="auto"/>
                <w:szCs w:val="21"/>
                <w:highlight w:val="none"/>
              </w:rPr>
              <w:t>熟石灰</w:t>
            </w:r>
            <w:r>
              <w:rPr>
                <w:rFonts w:hint="eastAsia"/>
                <w:color w:val="auto"/>
                <w:highlight w:val="none"/>
                <w:lang w:val="en-US" w:eastAsia="zh-CN"/>
              </w:rPr>
              <w:t>投标报价（暂定总价）</w:t>
            </w:r>
            <w:r>
              <w:rPr>
                <w:rFonts w:hint="eastAsia" w:asciiTheme="minorEastAsia" w:hAnsiTheme="minorEastAsia" w:eastAsiaTheme="minorEastAsia"/>
                <w:color w:val="auto"/>
                <w:szCs w:val="21"/>
                <w:highlight w:val="none"/>
                <w:lang w:val="en-US" w:eastAsia="zh-CN"/>
              </w:rPr>
              <w:t>等于【熟石灰（200目过筛）综合单价（元/吨） *7800（</w:t>
            </w:r>
            <w:r>
              <w:rPr>
                <w:rFonts w:hint="eastAsia" w:hAnsi="宋体"/>
                <w:color w:val="auto"/>
                <w:szCs w:val="21"/>
                <w:highlight w:val="none"/>
              </w:rPr>
              <w:t>吨</w:t>
            </w:r>
            <w:r>
              <w:rPr>
                <w:rFonts w:hint="eastAsia" w:asciiTheme="minorEastAsia" w:hAnsiTheme="minorEastAsia" w:eastAsiaTheme="minorEastAsia"/>
                <w:color w:val="auto"/>
                <w:szCs w:val="21"/>
                <w:highlight w:val="none"/>
                <w:lang w:val="en-US" w:eastAsia="zh-CN"/>
              </w:rPr>
              <w:t>）+熟石灰（325目过筛）综合单价（元/吨） *3300（</w:t>
            </w:r>
            <w:r>
              <w:rPr>
                <w:rFonts w:hint="eastAsia" w:hAnsi="宋体"/>
                <w:color w:val="auto"/>
                <w:szCs w:val="21"/>
                <w:highlight w:val="none"/>
              </w:rPr>
              <w:t>吨</w:t>
            </w:r>
            <w:r>
              <w:rPr>
                <w:rFonts w:hint="eastAsia" w:asciiTheme="minorEastAsia" w:hAnsiTheme="minorEastAsia" w:eastAsiaTheme="minorEastAsia"/>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val="en-US" w:eastAsia="zh-CN"/>
              </w:rPr>
              <w:t>6</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val="en-US" w:eastAsia="zh-CN"/>
              </w:rPr>
              <w:t>7</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无负偏离标注“★”符号的条款。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val="en-US" w:eastAsia="zh-CN"/>
              </w:rPr>
              <w:t>8</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未出现法律、法规和招标文件规定的其他无效情形。</w:t>
            </w:r>
          </w:p>
        </w:tc>
      </w:tr>
    </w:tbl>
    <w:p>
      <w:pPr>
        <w:widowControl w:val="0"/>
        <w:overflowPunct w:val="0"/>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pPr>
        <w:widowControl w:val="0"/>
        <w:numPr>
          <w:ilvl w:val="1"/>
          <w:numId w:val="4"/>
        </w:numPr>
        <w:overflowPunct w:val="0"/>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投标文件报价出现前后不一致的，评标委员会按照下列规定修正：</w:t>
      </w:r>
    </w:p>
    <w:p>
      <w:pPr>
        <w:widowControl w:val="0"/>
        <w:numPr>
          <w:ilvl w:val="0"/>
          <w:numId w:val="8"/>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投标文件中开标一览表（报价表）内容与投标文件中相应内容不一致的，以开标一览表（报价表）为准；</w:t>
      </w:r>
    </w:p>
    <w:p>
      <w:pPr>
        <w:widowControl w:val="0"/>
        <w:numPr>
          <w:ilvl w:val="0"/>
          <w:numId w:val="8"/>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大写金额和小写金额不一致的，以大写金额为准；</w:t>
      </w:r>
    </w:p>
    <w:p>
      <w:pPr>
        <w:widowControl w:val="0"/>
        <w:numPr>
          <w:ilvl w:val="0"/>
          <w:numId w:val="8"/>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单价金额小数点或者百分比有明显错位的，以开标一览表的总价为准，并修改单价；</w:t>
      </w:r>
    </w:p>
    <w:p>
      <w:pPr>
        <w:widowControl w:val="0"/>
        <w:numPr>
          <w:ilvl w:val="0"/>
          <w:numId w:val="8"/>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总价金额与按单价汇总金额不一致的，以单价金额计算结果为准。</w:t>
      </w:r>
    </w:p>
    <w:p>
      <w:pPr>
        <w:widowControl w:val="0"/>
        <w:numPr>
          <w:ilvl w:val="0"/>
          <w:numId w:val="8"/>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同时出现两种以上不一致的，按照前款规定的顺序修正。修正后的报价按照经投标人确认后产生约束力，投标人不确认的，其投标无效。</w:t>
      </w:r>
    </w:p>
    <w:p>
      <w:pPr>
        <w:widowControl w:val="0"/>
        <w:overflowPunct w:val="0"/>
        <w:ind w:left="630" w:hanging="630" w:hangingChars="3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overflowPunct w:val="0"/>
        <w:ind w:left="630" w:hanging="630" w:hangingChars="3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26.4  对于投标文件中不构成实质性偏差的不正规、不一致或不规则，评标委员会可以接受，但这种接受不能损害或影响任何投标人的相对排序。</w:t>
      </w:r>
    </w:p>
    <w:p>
      <w:pPr>
        <w:widowControl w:val="0"/>
        <w:overflowPunct w:val="0"/>
        <w:ind w:left="630" w:hanging="630" w:hangingChars="3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pStyle w:val="9"/>
        <w:rPr>
          <w:rFonts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105" w:name="_Toc160826296"/>
      <w:bookmarkStart w:id="106" w:name="_Toc160732680"/>
      <w:r>
        <w:rPr>
          <w:rFonts w:hint="eastAsia" w:cs="宋体" w:asciiTheme="minorEastAsia" w:hAnsiTheme="minorEastAsia" w:eastAsiaTheme="minorEastAsia"/>
          <w:color w:val="auto"/>
          <w:sz w:val="21"/>
          <w:szCs w:val="21"/>
          <w:highlight w:val="none"/>
        </w:rPr>
        <w:t>价格评审（具体评审项目详见投标资料表）</w:t>
      </w:r>
      <w:bookmarkEnd w:id="105"/>
      <w:bookmarkEnd w:id="106"/>
    </w:p>
    <w:p>
      <w:pPr>
        <w:pStyle w:val="41"/>
        <w:widowControl w:val="0"/>
        <w:numPr>
          <w:ilvl w:val="0"/>
          <w:numId w:val="5"/>
        </w:numPr>
        <w:tabs>
          <w:tab w:val="left" w:pos="907"/>
        </w:tabs>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通过资格性、符合性审查的有效供应商方有资格进入价格评审。采购文件中要求投标人提供的相关资质证书证明材料因国家政策变动导致新旧证书名称不一致，旧证书未取消且新旧证书具有同等效力的，投标人提供新证书与提供在有效期内的旧证书给予同等认可。 </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采用最低评标价法，评标结果按投标报价由低到高顺序排列。投标报价相同的，按投标资料表执行。</w:t>
      </w:r>
    </w:p>
    <w:p>
      <w:pPr>
        <w:widowControl w:val="0"/>
        <w:tabs>
          <w:tab w:val="left" w:pos="907"/>
        </w:tabs>
        <w:adjustRightInd/>
        <w:snapToGrid/>
        <w:ind w:left="567"/>
        <w:jc w:val="both"/>
        <w:rPr>
          <w:rFonts w:cs="宋体" w:asciiTheme="minorEastAsia" w:hAnsiTheme="minorEastAsia" w:eastAsiaTheme="minorEastAsia"/>
          <w:color w:val="auto"/>
          <w:szCs w:val="21"/>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107" w:name="_Toc316375620"/>
      <w:bookmarkStart w:id="108" w:name="_Toc160826297"/>
      <w:bookmarkStart w:id="109" w:name="_Toc160732681"/>
      <w:bookmarkStart w:id="110" w:name="_Toc20328"/>
      <w:bookmarkStart w:id="111" w:name="_Toc382049120"/>
      <w:r>
        <w:rPr>
          <w:rFonts w:hint="eastAsia" w:cs="宋体" w:asciiTheme="minorEastAsia" w:hAnsiTheme="minorEastAsia" w:eastAsiaTheme="minorEastAsia"/>
          <w:color w:val="auto"/>
          <w:sz w:val="21"/>
          <w:szCs w:val="21"/>
          <w:highlight w:val="none"/>
        </w:rPr>
        <w:t>纪律和保密</w:t>
      </w:r>
      <w:bookmarkEnd w:id="107"/>
      <w:r>
        <w:rPr>
          <w:rFonts w:hint="eastAsia" w:cs="宋体" w:asciiTheme="minorEastAsia" w:hAnsiTheme="minorEastAsia" w:eastAsiaTheme="minorEastAsia"/>
          <w:color w:val="auto"/>
          <w:sz w:val="21"/>
          <w:szCs w:val="21"/>
          <w:highlight w:val="none"/>
        </w:rPr>
        <w:t>事项</w:t>
      </w:r>
      <w:bookmarkEnd w:id="108"/>
      <w:bookmarkEnd w:id="109"/>
      <w:bookmarkEnd w:id="110"/>
      <w:bookmarkEnd w:id="111"/>
    </w:p>
    <w:p>
      <w:pPr>
        <w:pStyle w:val="41"/>
        <w:widowControl w:val="0"/>
        <w:numPr>
          <w:ilvl w:val="0"/>
          <w:numId w:val="5"/>
        </w:numPr>
        <w:tabs>
          <w:tab w:val="left" w:pos="907"/>
        </w:tabs>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投标人不得串通作弊，以不正当的手段妨碍、排挤其他投标人，扰乱采购市场，破坏公平竞争原则。否则将按相关法律规定严肃处理。</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获得本采购文件的投标人，应对文件进行保密，不得用作本次投标以外的任何用途。开标后，投标人应归还采购文件中要求保密的文件和资料。</w:t>
      </w:r>
    </w:p>
    <w:p>
      <w:pPr>
        <w:rPr>
          <w:rFonts w:cs="宋体" w:asciiTheme="minorEastAsia" w:hAnsiTheme="minorEastAsia" w:eastAsiaTheme="minorEastAsia"/>
          <w:color w:val="auto"/>
          <w:highlight w:val="none"/>
        </w:rPr>
      </w:pPr>
    </w:p>
    <w:p>
      <w:pPr>
        <w:pStyle w:val="4"/>
        <w:numPr>
          <w:ilvl w:val="0"/>
          <w:numId w:val="3"/>
        </w:numPr>
        <w:ind w:leftChars="0" w:right="210"/>
        <w:rPr>
          <w:color w:val="auto"/>
          <w:highlight w:val="none"/>
        </w:rPr>
      </w:pPr>
      <w:bookmarkStart w:id="112" w:name="_Toc160732682"/>
      <w:bookmarkStart w:id="113" w:name="_Toc160826298"/>
      <w:r>
        <w:rPr>
          <w:rFonts w:hint="eastAsia"/>
          <w:color w:val="auto"/>
          <w:highlight w:val="none"/>
        </w:rPr>
        <w:t>授予合同</w:t>
      </w:r>
      <w:bookmarkEnd w:id="112"/>
      <w:bookmarkEnd w:id="113"/>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114" w:name="_Toc160826299"/>
      <w:bookmarkStart w:id="115" w:name="_Toc160732683"/>
      <w:bookmarkStart w:id="116" w:name="_Toc508284011"/>
      <w:r>
        <w:rPr>
          <w:rFonts w:hint="eastAsia" w:cs="宋体" w:asciiTheme="minorEastAsia" w:hAnsiTheme="minorEastAsia" w:eastAsiaTheme="minorEastAsia"/>
          <w:color w:val="auto"/>
          <w:sz w:val="21"/>
          <w:szCs w:val="21"/>
          <w:highlight w:val="none"/>
        </w:rPr>
        <w:t>合同授予标准</w:t>
      </w:r>
      <w:bookmarkEnd w:id="114"/>
      <w:bookmarkEnd w:id="115"/>
      <w:bookmarkEnd w:id="116"/>
    </w:p>
    <w:p>
      <w:pPr>
        <w:pStyle w:val="41"/>
        <w:widowControl w:val="0"/>
        <w:numPr>
          <w:ilvl w:val="0"/>
          <w:numId w:val="5"/>
        </w:numPr>
        <w:tabs>
          <w:tab w:val="left" w:pos="907"/>
        </w:tabs>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根据评标委员会的评审结果，采购人按照评审报告推荐的中标候选人中按顺序依法确定中标人。</w:t>
      </w:r>
    </w:p>
    <w:p>
      <w:pPr>
        <w:rPr>
          <w:rFonts w:cs="宋体"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117" w:name="_Toc508284013"/>
      <w:bookmarkStart w:id="118" w:name="_Toc160732684"/>
      <w:bookmarkStart w:id="119" w:name="_Toc160826300"/>
      <w:r>
        <w:rPr>
          <w:rFonts w:hint="eastAsia" w:cs="宋体" w:asciiTheme="minorEastAsia" w:hAnsiTheme="minorEastAsia" w:eastAsiaTheme="minorEastAsia"/>
          <w:color w:val="auto"/>
          <w:sz w:val="21"/>
          <w:szCs w:val="21"/>
          <w:highlight w:val="none"/>
        </w:rPr>
        <w:t>发布中标结果</w:t>
      </w:r>
      <w:bookmarkEnd w:id="117"/>
      <w:bookmarkEnd w:id="118"/>
      <w:bookmarkEnd w:id="119"/>
    </w:p>
    <w:p>
      <w:pPr>
        <w:pStyle w:val="41"/>
        <w:widowControl w:val="0"/>
        <w:numPr>
          <w:ilvl w:val="0"/>
          <w:numId w:val="5"/>
        </w:numPr>
        <w:tabs>
          <w:tab w:val="left" w:pos="907"/>
        </w:tabs>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评标委员会提出评标书面报告和推荐中标意见报采购人确认后，采购代理机构将在指定的信息发布媒体上发布公告。</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中标公告期限为3个日历日。</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《中标通知书》是合同的一个组成部分，《中标通知书》对采购人和中标人均具有同等法律效力。</w:t>
      </w:r>
    </w:p>
    <w:p>
      <w:pPr>
        <w:widowControl w:val="0"/>
        <w:tabs>
          <w:tab w:val="left" w:pos="907"/>
        </w:tabs>
        <w:adjustRightInd/>
        <w:snapToGrid/>
        <w:jc w:val="both"/>
        <w:rPr>
          <w:rFonts w:cs="宋体" w:asciiTheme="minorEastAsia" w:hAnsiTheme="minorEastAsia" w:eastAsiaTheme="minorEastAsia"/>
          <w:color w:val="auto"/>
          <w:szCs w:val="21"/>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120" w:name="_Toc160732685"/>
      <w:bookmarkStart w:id="121" w:name="_Toc160826301"/>
      <w:r>
        <w:rPr>
          <w:rFonts w:hint="eastAsia" w:cs="宋体" w:asciiTheme="minorEastAsia" w:hAnsiTheme="minorEastAsia" w:eastAsiaTheme="minorEastAsia"/>
          <w:color w:val="auto"/>
          <w:sz w:val="21"/>
          <w:szCs w:val="21"/>
          <w:highlight w:val="none"/>
        </w:rPr>
        <w:t>资格后审</w:t>
      </w:r>
      <w:bookmarkEnd w:id="120"/>
      <w:bookmarkEnd w:id="121"/>
    </w:p>
    <w:p>
      <w:pPr>
        <w:pStyle w:val="41"/>
        <w:widowControl w:val="0"/>
        <w:numPr>
          <w:ilvl w:val="0"/>
          <w:numId w:val="5"/>
        </w:numPr>
        <w:tabs>
          <w:tab w:val="left" w:pos="567"/>
          <w:tab w:val="left" w:pos="907"/>
        </w:tabs>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采购人将有权根据本文件中的要求，对评委会推荐的中标候选人进行资格后审。</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中标候选人须无条件配合资格后审，否则采购人有权取消其中标资格，且投标保证金可不予退还。</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pPr>
        <w:rPr>
          <w:rFonts w:cs="宋体"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122" w:name="_Toc160732686"/>
      <w:bookmarkStart w:id="123" w:name="_Toc160826302"/>
      <w:r>
        <w:rPr>
          <w:rFonts w:hint="eastAsia" w:cs="宋体" w:asciiTheme="minorEastAsia" w:hAnsiTheme="minorEastAsia" w:eastAsiaTheme="minorEastAsia"/>
          <w:color w:val="auto"/>
          <w:sz w:val="21"/>
          <w:szCs w:val="21"/>
          <w:highlight w:val="none"/>
        </w:rPr>
        <w:t>合同的签订与履行</w:t>
      </w:r>
      <w:bookmarkEnd w:id="122"/>
      <w:bookmarkEnd w:id="123"/>
    </w:p>
    <w:p>
      <w:pPr>
        <w:pStyle w:val="41"/>
        <w:widowControl w:val="0"/>
        <w:numPr>
          <w:ilvl w:val="0"/>
          <w:numId w:val="5"/>
        </w:numPr>
        <w:tabs>
          <w:tab w:val="left" w:pos="907"/>
        </w:tabs>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采购人与中标人应当根据合同的约定依法履行合同义务。</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采购合同的履行、违约责任和解决争议的方法等适用《中华人民共和国民法典》。</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pPr>
        <w:widowControl w:val="0"/>
        <w:tabs>
          <w:tab w:val="left" w:pos="907"/>
        </w:tabs>
        <w:adjustRightInd/>
        <w:snapToGrid/>
        <w:jc w:val="both"/>
        <w:rPr>
          <w:rFonts w:cs="宋体"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124" w:name="_Toc382049124"/>
      <w:bookmarkStart w:id="125" w:name="_Toc29009"/>
      <w:bookmarkStart w:id="126" w:name="_Toc303084277"/>
      <w:bookmarkStart w:id="127" w:name="_Toc160826303"/>
      <w:bookmarkStart w:id="128" w:name="_Toc160732687"/>
      <w:r>
        <w:rPr>
          <w:rFonts w:hint="eastAsia" w:cs="宋体" w:asciiTheme="minorEastAsia" w:hAnsiTheme="minorEastAsia" w:eastAsiaTheme="minorEastAsia"/>
          <w:color w:val="auto"/>
          <w:sz w:val="21"/>
          <w:szCs w:val="21"/>
          <w:highlight w:val="none"/>
        </w:rPr>
        <w:t>履约</w:t>
      </w:r>
      <w:bookmarkEnd w:id="124"/>
      <w:bookmarkEnd w:id="125"/>
      <w:bookmarkEnd w:id="126"/>
      <w:r>
        <w:rPr>
          <w:rFonts w:hint="eastAsia" w:cs="宋体" w:asciiTheme="minorEastAsia" w:hAnsiTheme="minorEastAsia" w:eastAsiaTheme="minorEastAsia"/>
          <w:color w:val="auto"/>
          <w:sz w:val="21"/>
          <w:szCs w:val="21"/>
          <w:highlight w:val="none"/>
        </w:rPr>
        <w:t>担保</w:t>
      </w:r>
      <w:bookmarkEnd w:id="127"/>
      <w:bookmarkEnd w:id="128"/>
    </w:p>
    <w:p>
      <w:pPr>
        <w:pStyle w:val="41"/>
        <w:widowControl w:val="0"/>
        <w:numPr>
          <w:ilvl w:val="0"/>
          <w:numId w:val="5"/>
        </w:numPr>
        <w:tabs>
          <w:tab w:val="left" w:pos="907"/>
        </w:tabs>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中标人在采购（合同签署）时提交履约担保，履约担保金额</w:t>
      </w:r>
      <w:r>
        <w:rPr>
          <w:rFonts w:hint="eastAsia" w:cs="宋体" w:asciiTheme="minorEastAsia" w:hAnsiTheme="minorEastAsia" w:eastAsiaTheme="minorEastAsia"/>
          <w:color w:val="auto"/>
          <w:szCs w:val="21"/>
          <w:highlight w:val="none"/>
          <w:lang w:val="en-US" w:eastAsia="zh-CN"/>
        </w:rPr>
        <w:t>以附表一要求为准</w:t>
      </w:r>
      <w:r>
        <w:rPr>
          <w:rFonts w:hint="eastAsia" w:cs="宋体" w:asciiTheme="minorEastAsia" w:hAnsiTheme="minorEastAsia" w:eastAsiaTheme="minorEastAsia"/>
          <w:color w:val="auto"/>
          <w:szCs w:val="21"/>
          <w:highlight w:val="none"/>
        </w:rPr>
        <w:t>，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履约担保期限从合同签订之日起</w:t>
      </w:r>
      <w:r>
        <w:rPr>
          <w:rFonts w:hint="eastAsia" w:cs="宋体" w:asciiTheme="minorEastAsia" w:hAnsiTheme="minorEastAsia" w:eastAsiaTheme="minorEastAsia"/>
          <w:color w:val="auto"/>
          <w:szCs w:val="21"/>
          <w:highlight w:val="none"/>
        </w:rPr>
        <w:t>至</w:t>
      </w:r>
      <w:r>
        <w:rPr>
          <w:rFonts w:hint="eastAsia" w:ascii="宋体" w:hAnsi="宋体"/>
          <w:color w:val="auto"/>
          <w:szCs w:val="21"/>
          <w:highlight w:val="none"/>
          <w:lang w:eastAsia="zh-CN"/>
        </w:rPr>
        <w:t>完成</w:t>
      </w:r>
      <w:r>
        <w:rPr>
          <w:rFonts w:hint="eastAsia" w:cs="宋体" w:asciiTheme="minorEastAsia" w:hAnsiTheme="minorEastAsia" w:eastAsiaTheme="minorEastAsia"/>
          <w:color w:val="auto"/>
          <w:szCs w:val="21"/>
          <w:highlight w:val="none"/>
        </w:rPr>
        <w:t>标包内</w:t>
      </w:r>
      <w:r>
        <w:rPr>
          <w:rFonts w:hint="eastAsia" w:ascii="宋体" w:hAnsi="宋体"/>
          <w:color w:val="auto"/>
          <w:szCs w:val="21"/>
          <w:highlight w:val="none"/>
          <w:lang w:eastAsia="zh-CN"/>
        </w:rPr>
        <w:t>最后一批供货并验收合格</w:t>
      </w:r>
      <w:r>
        <w:rPr>
          <w:rFonts w:hint="eastAsia" w:ascii="宋体" w:hAnsi="宋体"/>
          <w:color w:val="auto"/>
          <w:szCs w:val="21"/>
          <w:highlight w:val="none"/>
        </w:rPr>
        <w:t>后</w:t>
      </w:r>
      <w:r>
        <w:rPr>
          <w:rFonts w:hint="eastAsia" w:cs="宋体" w:asciiTheme="minorEastAsia" w:hAnsiTheme="minorEastAsia" w:eastAsiaTheme="minorEastAsia"/>
          <w:color w:val="auto"/>
          <w:szCs w:val="21"/>
          <w:highlight w:val="none"/>
        </w:rPr>
        <w:t>，经双方签字7天内保持有效。</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履约担保可以采用下列任何一种形式：</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（1）履约保函。如果中标人的履约担保是以银行保函形式提供的，则该银行保函应：</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①保函应由银行支行或以上银行机构开具。</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②保函的格式参考投标文件附件中提供的无条件不可撤销履约保函格式，保函担保期内若项目</w:t>
      </w:r>
      <w:r>
        <w:rPr>
          <w:rFonts w:hint="eastAsia" w:ascii="宋体" w:hAnsi="宋体"/>
          <w:color w:val="auto"/>
          <w:szCs w:val="21"/>
          <w:highlight w:val="none"/>
        </w:rPr>
        <w:t>需延长合同期，保函必须延期，办理延期手续时在银行方面所产生费用由中标人负责</w:t>
      </w:r>
      <w:r>
        <w:rPr>
          <w:rFonts w:hint="eastAsia" w:cs="宋体" w:asciiTheme="minorEastAsia" w:hAnsiTheme="minorEastAsia" w:eastAsiaTheme="minorEastAsia"/>
          <w:color w:val="auto"/>
          <w:szCs w:val="21"/>
          <w:highlight w:val="none"/>
        </w:rPr>
        <w:t>。</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③履约保函必须打印，手写、涂改无效。</w:t>
      </w: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r>
        <w:rPr>
          <w:rFonts w:hint="eastAsia" w:ascii="宋体" w:hAnsi="宋体"/>
          <w:color w:val="auto"/>
          <w:szCs w:val="21"/>
          <w:highlight w:val="none"/>
        </w:rPr>
        <w:t>履约保证金。可采用电汇、银行汇票等银行转账方式提交，但不可以采用现金方式提交。中标人必须保证履约保证金以中标人名称在签订合同前提交至采购人指定账</w:t>
      </w:r>
      <w:r>
        <w:rPr>
          <w:rFonts w:hint="eastAsia" w:cs="宋体" w:asciiTheme="minorEastAsia" w:hAnsiTheme="minorEastAsia" w:eastAsiaTheme="minorEastAsia"/>
          <w:color w:val="auto"/>
          <w:szCs w:val="21"/>
          <w:highlight w:val="none"/>
        </w:rPr>
        <w:t>户。</w:t>
      </w:r>
    </w:p>
    <w:p>
      <w:pPr>
        <w:keepNext w:val="0"/>
        <w:keepLines w:val="0"/>
        <w:pageBreakBefore w:val="0"/>
        <w:widowControl w:val="0"/>
        <w:numPr>
          <w:ilvl w:val="1"/>
          <w:numId w:val="4"/>
        </w:numPr>
        <w:kinsoku/>
        <w:wordWrap/>
        <w:overflowPunct w:val="0"/>
        <w:topLinePunct w:val="0"/>
        <w:autoSpaceDE/>
        <w:autoSpaceDN/>
        <w:bidi w:val="0"/>
        <w:adjustRightInd w:val="0"/>
        <w:snapToGrid w:val="0"/>
        <w:ind w:left="567"/>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如已签订合同的，采购人有权没收投标保证金并单方面无责解除合同，如造成采购人损失，采购人有权追责。</w:t>
      </w:r>
    </w:p>
    <w:p>
      <w:pPr>
        <w:keepNext w:val="0"/>
        <w:keepLines w:val="0"/>
        <w:pageBreakBefore w:val="0"/>
        <w:widowControl w:val="0"/>
        <w:numPr>
          <w:ilvl w:val="1"/>
          <w:numId w:val="4"/>
        </w:numPr>
        <w:kinsoku/>
        <w:wordWrap/>
        <w:overflowPunct w:val="0"/>
        <w:topLinePunct w:val="0"/>
        <w:autoSpaceDE/>
        <w:autoSpaceDN/>
        <w:bidi w:val="0"/>
        <w:adjustRightInd w:val="0"/>
        <w:snapToGrid w:val="0"/>
        <w:ind w:left="567"/>
        <w:textAlignment w:val="auto"/>
        <w:rPr>
          <w:rFonts w:cs="宋体" w:asciiTheme="minorEastAsia" w:hAnsiTheme="minorEastAsia" w:eastAsiaTheme="minorEastAsia"/>
          <w:color w:val="auto"/>
          <w:szCs w:val="21"/>
          <w:highlight w:val="none"/>
        </w:rPr>
      </w:pPr>
      <w:r>
        <w:rPr>
          <w:rFonts w:hint="eastAsia" w:ascii="宋体" w:hAnsi="宋体"/>
          <w:color w:val="auto"/>
          <w:szCs w:val="21"/>
          <w:highlight w:val="none"/>
        </w:rPr>
        <w:t>为取得履约担保所需的费用，由中标人承担；若工期延误，履约担保时间延长，延长费用由中标人承担</w:t>
      </w:r>
      <w:r>
        <w:rPr>
          <w:rFonts w:hint="eastAsia" w:cs="宋体" w:asciiTheme="minorEastAsia" w:hAnsiTheme="minorEastAsia" w:eastAsiaTheme="minorEastAsia"/>
          <w:color w:val="auto"/>
          <w:szCs w:val="21"/>
          <w:highlight w:val="none"/>
        </w:rPr>
        <w:t>。</w:t>
      </w:r>
    </w:p>
    <w:p>
      <w:pPr>
        <w:keepNext w:val="0"/>
        <w:keepLines w:val="0"/>
        <w:pageBreakBefore w:val="0"/>
        <w:widowControl w:val="0"/>
        <w:numPr>
          <w:ilvl w:val="1"/>
          <w:numId w:val="4"/>
        </w:numPr>
        <w:kinsoku/>
        <w:wordWrap/>
        <w:overflowPunct w:val="0"/>
        <w:topLinePunct w:val="0"/>
        <w:autoSpaceDE/>
        <w:autoSpaceDN/>
        <w:bidi w:val="0"/>
        <w:adjustRightInd w:val="0"/>
        <w:snapToGrid w:val="0"/>
        <w:ind w:left="567"/>
        <w:textAlignment w:val="auto"/>
        <w:rPr>
          <w:rFonts w:cs="宋体" w:asciiTheme="minorEastAsia" w:hAnsiTheme="minorEastAsia" w:eastAsiaTheme="minorEastAsia"/>
          <w:color w:val="auto"/>
          <w:szCs w:val="21"/>
          <w:highlight w:val="none"/>
        </w:rPr>
      </w:pPr>
      <w:r>
        <w:rPr>
          <w:rFonts w:hint="eastAsia" w:ascii="宋体" w:hAnsi="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r>
        <w:rPr>
          <w:rFonts w:hint="eastAsia" w:cs="宋体" w:asciiTheme="minorEastAsia" w:hAnsiTheme="minorEastAsia" w:eastAsiaTheme="minorEastAsia"/>
          <w:color w:val="auto"/>
          <w:szCs w:val="21"/>
          <w:highlight w:val="none"/>
        </w:rPr>
        <w:t>。</w:t>
      </w:r>
    </w:p>
    <w:p>
      <w:pPr>
        <w:keepNext w:val="0"/>
        <w:keepLines w:val="0"/>
        <w:pageBreakBefore w:val="0"/>
        <w:widowControl w:val="0"/>
        <w:numPr>
          <w:ilvl w:val="1"/>
          <w:numId w:val="4"/>
        </w:numPr>
        <w:kinsoku/>
        <w:wordWrap/>
        <w:overflowPunct w:val="0"/>
        <w:topLinePunct w:val="0"/>
        <w:autoSpaceDE/>
        <w:autoSpaceDN/>
        <w:bidi w:val="0"/>
        <w:adjustRightInd w:val="0"/>
        <w:snapToGrid w:val="0"/>
        <w:ind w:left="567"/>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下列任何情况发生时，采购人有权行使享有的担保权利：</w:t>
      </w:r>
    </w:p>
    <w:p>
      <w:pPr>
        <w:keepNext w:val="0"/>
        <w:keepLines w:val="0"/>
        <w:pageBreakBefore w:val="0"/>
        <w:widowControl w:val="0"/>
        <w:tabs>
          <w:tab w:val="left" w:pos="907"/>
        </w:tabs>
        <w:kinsoku/>
        <w:wordWrap/>
        <w:topLinePunct w:val="0"/>
        <w:autoSpaceDE/>
        <w:autoSpaceDN/>
        <w:bidi w:val="0"/>
        <w:adjustRightInd w:val="0"/>
        <w:snapToGrid w:val="0"/>
        <w:ind w:left="567"/>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（1）中标人将本项目转让给他人，或者在投标文件中未说明，且未经采购人同意，将中标项目分包给他人的；</w:t>
      </w:r>
    </w:p>
    <w:p>
      <w:pPr>
        <w:keepNext w:val="0"/>
        <w:keepLines w:val="0"/>
        <w:pageBreakBefore w:val="0"/>
        <w:widowControl w:val="0"/>
        <w:tabs>
          <w:tab w:val="left" w:pos="907"/>
        </w:tabs>
        <w:kinsoku/>
        <w:wordWrap/>
        <w:topLinePunct w:val="0"/>
        <w:autoSpaceDE/>
        <w:autoSpaceDN/>
        <w:bidi w:val="0"/>
        <w:adjustRightInd w:val="0"/>
        <w:snapToGrid w:val="0"/>
        <w:ind w:left="567"/>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（2）中标人在履行采购合同期间，违反有关法律法规的规定及合同约定的条款，损害了采购人的利益。</w:t>
      </w:r>
    </w:p>
    <w:p>
      <w:pPr>
        <w:keepNext w:val="0"/>
        <w:keepLines w:val="0"/>
        <w:pageBreakBefore w:val="0"/>
        <w:widowControl w:val="0"/>
        <w:numPr>
          <w:ilvl w:val="1"/>
          <w:numId w:val="4"/>
        </w:numPr>
        <w:kinsoku/>
        <w:wordWrap/>
        <w:overflowPunct w:val="0"/>
        <w:topLinePunct w:val="0"/>
        <w:autoSpaceDE/>
        <w:autoSpaceDN/>
        <w:bidi w:val="0"/>
        <w:adjustRightInd w:val="0"/>
        <w:snapToGrid w:val="0"/>
        <w:ind w:left="567"/>
        <w:textAlignment w:val="auto"/>
        <w:rPr>
          <w:rFonts w:cs="宋体" w:asciiTheme="minorEastAsia" w:hAnsiTheme="minorEastAsia" w:eastAsiaTheme="minorEastAsia"/>
          <w:color w:val="auto"/>
          <w:szCs w:val="21"/>
          <w:highlight w:val="none"/>
        </w:rPr>
      </w:pPr>
      <w:r>
        <w:rPr>
          <w:rFonts w:hint="eastAsia" w:ascii="宋体" w:hAnsi="宋体"/>
          <w:color w:val="auto"/>
          <w:szCs w:val="21"/>
          <w:highlight w:val="none"/>
        </w:rPr>
        <w:t>在合同有效期满后，中标人向采购人提交退回履约担保的申请，若中标人无违约行为或虽有违约行为但已按采购人要求整改到位的，采购人扣除应当由中标人承担的违约金、赔偿金后对剩余的金额办理退还手续</w:t>
      </w:r>
      <w:r>
        <w:rPr>
          <w:rFonts w:hint="eastAsia" w:cs="宋体" w:asciiTheme="minorEastAsia" w:hAnsiTheme="minorEastAsia" w:eastAsiaTheme="minorEastAsia"/>
          <w:color w:val="auto"/>
          <w:szCs w:val="21"/>
          <w:highlight w:val="none"/>
        </w:rPr>
        <w:t>。</w:t>
      </w:r>
    </w:p>
    <w:p>
      <w:pPr>
        <w:widowControl w:val="0"/>
        <w:tabs>
          <w:tab w:val="left" w:pos="907"/>
        </w:tabs>
        <w:adjustRightInd/>
        <w:snapToGrid/>
        <w:jc w:val="both"/>
        <w:rPr>
          <w:rFonts w:cs="宋体" w:asciiTheme="minorEastAsia" w:hAnsiTheme="minorEastAsia" w:eastAsiaTheme="minorEastAsia"/>
          <w:color w:val="auto"/>
          <w:highlight w:val="none"/>
        </w:rPr>
      </w:pPr>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129" w:name="_Toc160826304"/>
      <w:bookmarkStart w:id="130" w:name="_Toc160732688"/>
      <w:r>
        <w:rPr>
          <w:rFonts w:hint="eastAsia" w:cs="宋体" w:asciiTheme="minorEastAsia" w:hAnsiTheme="minorEastAsia" w:eastAsiaTheme="minorEastAsia"/>
          <w:color w:val="auto"/>
          <w:sz w:val="21"/>
          <w:szCs w:val="21"/>
          <w:highlight w:val="none"/>
        </w:rPr>
        <w:t>预付款保函（适用于预付款支付）</w:t>
      </w:r>
      <w:bookmarkEnd w:id="129"/>
      <w:bookmarkEnd w:id="130"/>
    </w:p>
    <w:p>
      <w:pPr>
        <w:pStyle w:val="41"/>
        <w:widowControl w:val="0"/>
        <w:numPr>
          <w:ilvl w:val="0"/>
          <w:numId w:val="5"/>
        </w:numPr>
        <w:tabs>
          <w:tab w:val="left" w:pos="567"/>
          <w:tab w:val="left" w:pos="907"/>
        </w:tabs>
        <w:adjustRightInd/>
        <w:snapToGrid/>
        <w:ind w:firstLineChars="0"/>
        <w:jc w:val="both"/>
        <w:rPr>
          <w:rFonts w:cs="宋体" w:asciiTheme="minorEastAsia" w:hAnsiTheme="minorEastAsia" w:eastAsiaTheme="minorEastAsia"/>
          <w:vanish/>
          <w:color w:val="auto"/>
          <w:szCs w:val="21"/>
          <w:highlight w:val="none"/>
        </w:rPr>
      </w:pPr>
    </w:p>
    <w:p>
      <w:pPr>
        <w:keepNext w:val="0"/>
        <w:keepLines w:val="0"/>
        <w:pageBreakBefore w:val="0"/>
        <w:widowControl w:val="0"/>
        <w:numPr>
          <w:ilvl w:val="1"/>
          <w:numId w:val="4"/>
        </w:numPr>
        <w:kinsoku/>
        <w:wordWrap/>
        <w:overflowPunct w:val="0"/>
        <w:topLinePunct w:val="0"/>
        <w:autoSpaceDE/>
        <w:autoSpaceDN/>
        <w:bidi w:val="0"/>
        <w:adjustRightInd w:val="0"/>
        <w:snapToGrid w:val="0"/>
        <w:ind w:left="567"/>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pPr>
        <w:keepNext w:val="0"/>
        <w:keepLines w:val="0"/>
        <w:pageBreakBefore w:val="0"/>
        <w:widowControl w:val="0"/>
        <w:numPr>
          <w:ilvl w:val="1"/>
          <w:numId w:val="4"/>
        </w:numPr>
        <w:kinsoku/>
        <w:wordWrap/>
        <w:overflowPunct w:val="0"/>
        <w:topLinePunct w:val="0"/>
        <w:autoSpaceDE/>
        <w:autoSpaceDN/>
        <w:bidi w:val="0"/>
        <w:adjustRightInd w:val="0"/>
        <w:snapToGrid w:val="0"/>
        <w:ind w:left="567"/>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预付款保函应：</w:t>
      </w:r>
    </w:p>
    <w:p>
      <w:pPr>
        <w:keepNext w:val="0"/>
        <w:keepLines w:val="0"/>
        <w:pageBreakBefore w:val="0"/>
        <w:widowControl w:val="0"/>
        <w:tabs>
          <w:tab w:val="left" w:pos="907"/>
        </w:tabs>
        <w:kinsoku/>
        <w:wordWrap/>
        <w:topLinePunct w:val="0"/>
        <w:autoSpaceDE/>
        <w:autoSpaceDN/>
        <w:bidi w:val="0"/>
        <w:adjustRightInd w:val="0"/>
        <w:snapToGrid w:val="0"/>
        <w:ind w:left="567"/>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（1）由东莞市行政区域内的银行支行及以上银行机构开具。</w:t>
      </w:r>
    </w:p>
    <w:p>
      <w:pPr>
        <w:keepNext w:val="0"/>
        <w:keepLines w:val="0"/>
        <w:pageBreakBefore w:val="0"/>
        <w:widowControl w:val="0"/>
        <w:tabs>
          <w:tab w:val="left" w:pos="907"/>
        </w:tabs>
        <w:kinsoku/>
        <w:wordWrap/>
        <w:topLinePunct w:val="0"/>
        <w:autoSpaceDE/>
        <w:autoSpaceDN/>
        <w:bidi w:val="0"/>
        <w:adjustRightInd w:val="0"/>
        <w:snapToGrid w:val="0"/>
        <w:ind w:left="567"/>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（2）必须打印，手写、涂改无效</w:t>
      </w:r>
    </w:p>
    <w:p>
      <w:pPr>
        <w:keepNext w:val="0"/>
        <w:keepLines w:val="0"/>
        <w:pageBreakBefore w:val="0"/>
        <w:widowControl w:val="0"/>
        <w:numPr>
          <w:ilvl w:val="1"/>
          <w:numId w:val="4"/>
        </w:numPr>
        <w:kinsoku/>
        <w:wordWrap/>
        <w:overflowPunct w:val="0"/>
        <w:topLinePunct w:val="0"/>
        <w:autoSpaceDE/>
        <w:autoSpaceDN/>
        <w:bidi w:val="0"/>
        <w:adjustRightInd w:val="0"/>
        <w:snapToGrid w:val="0"/>
        <w:ind w:left="567"/>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若中标人不能按本须知（34.1至34.2）的规定执行，采购人将不予支付预付款。</w:t>
      </w:r>
    </w:p>
    <w:p>
      <w:pPr>
        <w:keepNext w:val="0"/>
        <w:keepLines w:val="0"/>
        <w:pageBreakBefore w:val="0"/>
        <w:widowControl w:val="0"/>
        <w:numPr>
          <w:ilvl w:val="1"/>
          <w:numId w:val="4"/>
        </w:numPr>
        <w:kinsoku/>
        <w:wordWrap/>
        <w:overflowPunct w:val="0"/>
        <w:topLinePunct w:val="0"/>
        <w:autoSpaceDE/>
        <w:autoSpaceDN/>
        <w:bidi w:val="0"/>
        <w:adjustRightInd w:val="0"/>
        <w:snapToGrid w:val="0"/>
        <w:ind w:left="567"/>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pPr>
        <w:rPr>
          <w:rFonts w:cs="宋体" w:asciiTheme="minorEastAsia" w:hAnsiTheme="minorEastAsia" w:eastAsiaTheme="minorEastAsia"/>
          <w:color w:val="auto"/>
          <w:highlight w:val="none"/>
        </w:rPr>
      </w:pPr>
    </w:p>
    <w:p>
      <w:pPr>
        <w:pStyle w:val="4"/>
        <w:numPr>
          <w:ilvl w:val="0"/>
          <w:numId w:val="3"/>
        </w:numPr>
        <w:ind w:leftChars="0" w:right="210"/>
        <w:rPr>
          <w:color w:val="auto"/>
          <w:highlight w:val="none"/>
        </w:rPr>
      </w:pPr>
      <w:bookmarkStart w:id="131" w:name="_Toc160826305"/>
      <w:bookmarkStart w:id="132" w:name="_Toc160732689"/>
      <w:r>
        <w:rPr>
          <w:rFonts w:hint="eastAsia"/>
          <w:color w:val="auto"/>
          <w:highlight w:val="none"/>
        </w:rPr>
        <w:t>异议</w:t>
      </w:r>
      <w:bookmarkEnd w:id="131"/>
      <w:bookmarkEnd w:id="132"/>
    </w:p>
    <w:p>
      <w:pPr>
        <w:pStyle w:val="5"/>
        <w:pageBreakBefore w:val="0"/>
        <w:widowControl w:val="0"/>
        <w:numPr>
          <w:ilvl w:val="0"/>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 w:val="21"/>
          <w:szCs w:val="21"/>
          <w:highlight w:val="none"/>
        </w:rPr>
      </w:pPr>
      <w:bookmarkStart w:id="133" w:name="_Toc160732690"/>
      <w:bookmarkStart w:id="134" w:name="_Toc160826306"/>
      <w:r>
        <w:rPr>
          <w:rFonts w:hint="eastAsia" w:cs="宋体" w:asciiTheme="minorEastAsia" w:hAnsiTheme="minorEastAsia" w:eastAsiaTheme="minorEastAsia"/>
          <w:color w:val="auto"/>
          <w:sz w:val="21"/>
          <w:szCs w:val="21"/>
          <w:highlight w:val="none"/>
        </w:rPr>
        <w:t>异议</w:t>
      </w:r>
      <w:bookmarkEnd w:id="133"/>
      <w:bookmarkEnd w:id="134"/>
    </w:p>
    <w:p>
      <w:pPr>
        <w:pStyle w:val="41"/>
        <w:pageBreakBefore w:val="0"/>
        <w:widowControl w:val="0"/>
        <w:numPr>
          <w:ilvl w:val="0"/>
          <w:numId w:val="5"/>
        </w:numPr>
        <w:tabs>
          <w:tab w:val="left" w:pos="907"/>
        </w:tabs>
        <w:kinsoku/>
        <w:wordWrap/>
        <w:topLinePunct w:val="0"/>
        <w:autoSpaceDE/>
        <w:autoSpaceDN/>
        <w:bidi w:val="0"/>
        <w:adjustRightInd w:val="0"/>
        <w:snapToGrid w:val="0"/>
        <w:ind w:firstLineChars="0"/>
        <w:jc w:val="both"/>
        <w:textAlignment w:val="auto"/>
        <w:rPr>
          <w:rFonts w:cs="宋体" w:asciiTheme="minorEastAsia" w:hAnsiTheme="minorEastAsia" w:eastAsiaTheme="minorEastAsia"/>
          <w:vanish/>
          <w:color w:val="auto"/>
          <w:szCs w:val="21"/>
          <w:highlight w:val="none"/>
        </w:rPr>
      </w:pP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zh-CN"/>
        </w:rPr>
        <w:t>采购文件的异议</w:t>
      </w:r>
      <w:r>
        <w:rPr>
          <w:rFonts w:hint="eastAsia" w:cs="宋体" w:asciiTheme="minorEastAsia" w:hAnsiTheme="minorEastAsia" w:eastAsiaTheme="minorEastAsia"/>
          <w:color w:val="auto"/>
          <w:szCs w:val="21"/>
          <w:highlight w:val="none"/>
        </w:rPr>
        <w:t xml:space="preserve">  </w:t>
      </w:r>
    </w:p>
    <w:p>
      <w:pPr>
        <w:pageBreakBefore w:val="0"/>
        <w:widowControl w:val="0"/>
        <w:tabs>
          <w:tab w:val="left" w:pos="907"/>
        </w:tabs>
        <w:kinsoku/>
        <w:wordWrap/>
        <w:topLinePunct w:val="0"/>
        <w:autoSpaceDE/>
        <w:autoSpaceDN/>
        <w:bidi w:val="0"/>
        <w:adjustRightInd w:val="0"/>
        <w:snapToGrid w:val="0"/>
        <w:ind w:firstLine="420" w:firstLineChars="200"/>
        <w:jc w:val="both"/>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Cs/>
          <w:color w:val="auto"/>
          <w:kern w:val="2"/>
          <w:szCs w:val="21"/>
          <w:highlight w:val="none"/>
          <w:lang w:val="zh-CN"/>
        </w:rPr>
        <w:t>投标人或者其他利害关系人对采购文件有异议的，应当在投标截止时间10日前</w:t>
      </w:r>
      <w:r>
        <w:rPr>
          <w:rFonts w:hint="eastAsia" w:cs="宋体" w:asciiTheme="minorEastAsia" w:hAnsiTheme="minorEastAsia" w:eastAsiaTheme="minorEastAsia"/>
          <w:color w:val="auto"/>
          <w:kern w:val="2"/>
          <w:szCs w:val="21"/>
          <w:highlight w:val="none"/>
          <w:lang w:val="zh-CN"/>
        </w:rPr>
        <w:t>以书面形式向采购代理机构提出，并将材料原件送达采购代理机构，逾期则视为对采购文件所有内容无异议。</w:t>
      </w:r>
      <w:r>
        <w:rPr>
          <w:rFonts w:hint="eastAsia" w:cs="宋体" w:asciiTheme="minorEastAsia" w:hAnsiTheme="minorEastAsia" w:eastAsiaTheme="minorEastAsia"/>
          <w:bCs/>
          <w:color w:val="auto"/>
          <w:kern w:val="2"/>
          <w:szCs w:val="21"/>
          <w:highlight w:val="none"/>
          <w:lang w:val="zh-CN"/>
        </w:rPr>
        <w:t>异议</w:t>
      </w:r>
      <w:r>
        <w:rPr>
          <w:rFonts w:hint="eastAsia" w:cs="宋体" w:asciiTheme="minorEastAsia" w:hAnsiTheme="minorEastAsia" w:eastAsiaTheme="minorEastAsia"/>
          <w:color w:val="auto"/>
          <w:kern w:val="2"/>
          <w:szCs w:val="21"/>
          <w:highlight w:val="none"/>
          <w:lang w:val="zh-CN"/>
        </w:rPr>
        <w:t>书面材料必须加盖投标人法人公章，并注明联系人、联系电话、联系地址。</w:t>
      </w:r>
      <w:r>
        <w:rPr>
          <w:rFonts w:hint="eastAsia" w:cs="宋体" w:asciiTheme="minorEastAsia" w:hAnsiTheme="minorEastAsia" w:eastAsiaTheme="minorEastAsia"/>
          <w:bCs/>
          <w:color w:val="auto"/>
          <w:kern w:val="2"/>
          <w:szCs w:val="21"/>
          <w:highlight w:val="none"/>
          <w:lang w:val="zh-CN"/>
        </w:rPr>
        <w:t>超出</w:t>
      </w:r>
      <w:r>
        <w:rPr>
          <w:rFonts w:hint="eastAsia" w:cs="宋体" w:asciiTheme="minorEastAsia" w:hAnsiTheme="minorEastAsia" w:eastAsiaTheme="minorEastAsia"/>
          <w:color w:val="auto"/>
          <w:kern w:val="2"/>
          <w:szCs w:val="21"/>
          <w:highlight w:val="none"/>
          <w:lang w:val="zh-CN"/>
        </w:rPr>
        <w:t>提交接收异议截止时间而</w:t>
      </w:r>
      <w:r>
        <w:rPr>
          <w:rFonts w:hint="eastAsia" w:cs="宋体" w:asciiTheme="minorEastAsia" w:hAnsiTheme="minorEastAsia" w:eastAsiaTheme="minorEastAsia"/>
          <w:bCs/>
          <w:color w:val="auto"/>
          <w:kern w:val="2"/>
          <w:szCs w:val="21"/>
          <w:highlight w:val="none"/>
          <w:lang w:val="zh-CN"/>
        </w:rPr>
        <w:t>提出的任何疑问，</w:t>
      </w:r>
      <w:r>
        <w:rPr>
          <w:rFonts w:hint="eastAsia" w:cs="宋体" w:asciiTheme="minorEastAsia" w:hAnsiTheme="minorEastAsia" w:eastAsiaTheme="minorEastAsia"/>
          <w:bCs/>
          <w:color w:val="auto"/>
          <w:kern w:val="2"/>
          <w:szCs w:val="21"/>
          <w:highlight w:val="none"/>
        </w:rPr>
        <w:t>采购人或</w:t>
      </w:r>
      <w:r>
        <w:rPr>
          <w:rFonts w:hint="eastAsia" w:cs="宋体" w:asciiTheme="minorEastAsia" w:hAnsiTheme="minorEastAsia" w:eastAsiaTheme="minorEastAsia"/>
          <w:bCs/>
          <w:color w:val="auto"/>
          <w:kern w:val="2"/>
          <w:szCs w:val="21"/>
          <w:highlight w:val="none"/>
          <w:lang w:val="zh-CN"/>
        </w:rPr>
        <w:t>采购代理机构可不予答复。</w:t>
      </w: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zh-CN"/>
        </w:rPr>
        <w:t>评标结果异议</w:t>
      </w:r>
      <w:r>
        <w:rPr>
          <w:rFonts w:hint="eastAsia" w:cs="宋体" w:asciiTheme="minorEastAsia" w:hAnsiTheme="minorEastAsia" w:eastAsiaTheme="minorEastAsia"/>
          <w:color w:val="auto"/>
          <w:szCs w:val="21"/>
          <w:highlight w:val="none"/>
        </w:rPr>
        <w:t xml:space="preserve">   </w:t>
      </w:r>
    </w:p>
    <w:p>
      <w:pPr>
        <w:pageBreakBefore w:val="0"/>
        <w:widowControl w:val="0"/>
        <w:tabs>
          <w:tab w:val="left" w:pos="907"/>
        </w:tabs>
        <w:kinsoku/>
        <w:wordWrap/>
        <w:topLinePunct w:val="0"/>
        <w:autoSpaceDE/>
        <w:autoSpaceDN/>
        <w:bidi w:val="0"/>
        <w:adjustRightInd w:val="0"/>
        <w:snapToGrid w:val="0"/>
        <w:ind w:firstLine="420" w:firstLineChars="200"/>
        <w:jc w:val="both"/>
        <w:textAlignment w:val="auto"/>
        <w:rPr>
          <w:rFonts w:cs="宋体" w:asciiTheme="minorEastAsia" w:hAnsiTheme="minorEastAsia" w:eastAsiaTheme="minorEastAsia"/>
          <w:color w:val="auto"/>
          <w:kern w:val="2"/>
          <w:szCs w:val="21"/>
          <w:highlight w:val="none"/>
          <w:lang w:val="zh-CN"/>
        </w:rPr>
      </w:pPr>
      <w:r>
        <w:rPr>
          <w:rFonts w:hint="eastAsia" w:cs="宋体" w:asciiTheme="minorEastAsia" w:hAnsiTheme="minorEastAsia" w:eastAsiaTheme="minorEastAsia"/>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pPr>
        <w:pageBreakBefore w:val="0"/>
        <w:widowControl w:val="0"/>
        <w:tabs>
          <w:tab w:val="left" w:pos="907"/>
        </w:tabs>
        <w:kinsoku/>
        <w:wordWrap/>
        <w:topLinePunct w:val="0"/>
        <w:autoSpaceDE/>
        <w:autoSpaceDN/>
        <w:bidi w:val="0"/>
        <w:adjustRightInd w:val="0"/>
        <w:snapToGrid w:val="0"/>
        <w:ind w:firstLine="420" w:firstLineChars="200"/>
        <w:jc w:val="both"/>
        <w:textAlignment w:val="auto"/>
        <w:rPr>
          <w:rFonts w:cs="宋体" w:asciiTheme="minorEastAsia" w:hAnsiTheme="minorEastAsia" w:eastAsiaTheme="minorEastAsia"/>
          <w:color w:val="auto"/>
          <w:kern w:val="2"/>
          <w:szCs w:val="21"/>
          <w:highlight w:val="none"/>
          <w:lang w:val="zh-CN"/>
        </w:rPr>
      </w:pPr>
      <w:r>
        <w:rPr>
          <w:rFonts w:hint="eastAsia" w:cs="宋体" w:asciiTheme="minorEastAsia" w:hAnsiTheme="minorEastAsia" w:eastAsiaTheme="minorEastAsia"/>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pPr>
        <w:pageBreakBefore w:val="0"/>
        <w:widowControl w:val="0"/>
        <w:numPr>
          <w:ilvl w:val="1"/>
          <w:numId w:val="4"/>
        </w:numPr>
        <w:kinsoku/>
        <w:wordWrap/>
        <w:overflowPunct w:val="0"/>
        <w:topLinePunct w:val="0"/>
        <w:autoSpaceDE/>
        <w:autoSpaceDN/>
        <w:bidi w:val="0"/>
        <w:adjustRightInd w:val="0"/>
        <w:snapToGrid w:val="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以联合体形式参加采购活动的，其异议应当由组成联合体的所有投标人共同提出。</w:t>
      </w:r>
    </w:p>
    <w:p>
      <w:pPr>
        <w:rPr>
          <w:rFonts w:cs="宋体" w:asciiTheme="minorEastAsia" w:hAnsiTheme="minorEastAsia" w:eastAsiaTheme="minorEastAsia"/>
          <w:color w:val="auto"/>
          <w:highlight w:val="none"/>
        </w:rPr>
      </w:pPr>
    </w:p>
    <w:p>
      <w:pPr>
        <w:pStyle w:val="4"/>
        <w:numPr>
          <w:ilvl w:val="0"/>
          <w:numId w:val="3"/>
        </w:numPr>
        <w:ind w:leftChars="0" w:right="210"/>
        <w:rPr>
          <w:color w:val="auto"/>
          <w:highlight w:val="none"/>
        </w:rPr>
      </w:pPr>
      <w:bookmarkStart w:id="135" w:name="_Toc160732691"/>
      <w:bookmarkStart w:id="136" w:name="_Toc160826307"/>
      <w:r>
        <w:rPr>
          <w:rFonts w:hint="eastAsia"/>
          <w:color w:val="auto"/>
          <w:highlight w:val="none"/>
        </w:rPr>
        <w:t>其他</w:t>
      </w:r>
      <w:bookmarkEnd w:id="135"/>
      <w:bookmarkEnd w:id="136"/>
    </w:p>
    <w:p>
      <w:pPr>
        <w:pStyle w:val="5"/>
        <w:widowControl w:val="0"/>
        <w:numPr>
          <w:ilvl w:val="0"/>
          <w:numId w:val="4"/>
        </w:numPr>
        <w:overflowPunct w:val="0"/>
        <w:rPr>
          <w:rFonts w:cs="宋体" w:asciiTheme="minorEastAsia" w:hAnsiTheme="minorEastAsia" w:eastAsiaTheme="minorEastAsia"/>
          <w:color w:val="auto"/>
          <w:sz w:val="21"/>
          <w:szCs w:val="21"/>
          <w:highlight w:val="none"/>
        </w:rPr>
      </w:pPr>
      <w:bookmarkStart w:id="137" w:name="_Toc160826308"/>
      <w:bookmarkStart w:id="138" w:name="_Toc160732692"/>
      <w:r>
        <w:rPr>
          <w:rFonts w:hint="eastAsia" w:cs="宋体" w:asciiTheme="minorEastAsia" w:hAnsiTheme="minorEastAsia" w:eastAsiaTheme="minorEastAsia"/>
          <w:color w:val="auto"/>
          <w:sz w:val="21"/>
          <w:szCs w:val="21"/>
          <w:highlight w:val="none"/>
        </w:rPr>
        <w:t>采购文件的解释权</w:t>
      </w:r>
      <w:bookmarkEnd w:id="137"/>
      <w:bookmarkEnd w:id="138"/>
    </w:p>
    <w:p>
      <w:pPr>
        <w:pStyle w:val="41"/>
        <w:widowControl w:val="0"/>
        <w:numPr>
          <w:ilvl w:val="0"/>
          <w:numId w:val="5"/>
        </w:numPr>
        <w:tabs>
          <w:tab w:val="left" w:pos="907"/>
        </w:tabs>
        <w:adjustRightInd/>
        <w:snapToGrid/>
        <w:ind w:firstLineChars="0"/>
        <w:jc w:val="both"/>
        <w:rPr>
          <w:rFonts w:cs="宋体" w:asciiTheme="minorEastAsia" w:hAnsiTheme="minorEastAsia" w:eastAsiaTheme="minorEastAsia"/>
          <w:vanish/>
          <w:color w:val="auto"/>
          <w:szCs w:val="21"/>
          <w:highlight w:val="none"/>
        </w:rPr>
      </w:pPr>
    </w:p>
    <w:p>
      <w:pPr>
        <w:widowControl w:val="0"/>
        <w:numPr>
          <w:ilvl w:val="1"/>
          <w:numId w:val="4"/>
        </w:numPr>
        <w:overflowPunct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本采购文件是根据国家有关法律、法规以及采购管理有关规定和参照国际惯例编制，解释权属本采购代理机构。</w:t>
      </w:r>
    </w:p>
    <w:p>
      <w:pPr>
        <w:adjustRightInd/>
        <w:snapToGrid/>
        <w:spacing w:line="240" w:lineRule="auto"/>
        <w:rPr>
          <w:rFonts w:asciiTheme="minorEastAsia" w:hAnsiTheme="minorEastAsia" w:eastAsiaTheme="minorEastAsia" w:cstheme="majorBidi"/>
          <w:b/>
          <w:bCs/>
          <w:color w:val="auto"/>
          <w:sz w:val="28"/>
          <w:szCs w:val="28"/>
          <w:highlight w:val="none"/>
        </w:rPr>
      </w:pPr>
      <w:r>
        <w:rPr>
          <w:rFonts w:asciiTheme="minorEastAsia" w:hAnsiTheme="minorEastAsia" w:eastAsiaTheme="minorEastAsia"/>
          <w:color w:val="auto"/>
          <w:sz w:val="28"/>
          <w:szCs w:val="28"/>
          <w:highlight w:val="none"/>
        </w:rPr>
        <w:br w:type="page"/>
      </w:r>
    </w:p>
    <w:p>
      <w:pPr>
        <w:pStyle w:val="3"/>
        <w:spacing w:before="0" w:after="0" w:line="240" w:lineRule="auto"/>
        <w:rPr>
          <w:rFonts w:asciiTheme="minorEastAsia" w:hAnsiTheme="minorEastAsia" w:eastAsiaTheme="minorEastAsia"/>
          <w:color w:val="auto"/>
          <w:sz w:val="28"/>
          <w:szCs w:val="28"/>
          <w:highlight w:val="none"/>
        </w:rPr>
      </w:pPr>
      <w:bookmarkStart w:id="139" w:name="_Toc160826309"/>
      <w:r>
        <w:rPr>
          <w:rFonts w:hint="eastAsia" w:asciiTheme="minorEastAsia" w:hAnsiTheme="minorEastAsia" w:eastAsiaTheme="minorEastAsia"/>
          <w:color w:val="auto"/>
          <w:sz w:val="28"/>
          <w:szCs w:val="28"/>
          <w:highlight w:val="none"/>
        </w:rPr>
        <w:t>第五部分  合同条款格式</w:t>
      </w:r>
      <w:bookmarkEnd w:id="139"/>
      <w:bookmarkStart w:id="140" w:name="_Toc15636"/>
    </w:p>
    <w:bookmarkEnd w:id="140"/>
    <w:p>
      <w:pPr>
        <w:rPr>
          <w:rFonts w:cs="宋体" w:asciiTheme="minorEastAsia" w:hAnsiTheme="minorEastAsia" w:eastAsiaTheme="minorEastAsia"/>
          <w:color w:val="auto"/>
          <w:szCs w:val="21"/>
          <w:highlight w:val="none"/>
          <w:lang w:bidi="zh-CN"/>
        </w:rPr>
      </w:pPr>
      <w:bookmarkStart w:id="141" w:name="_Hlt109815959"/>
      <w:bookmarkEnd w:id="141"/>
    </w:p>
    <w:p>
      <w:pPr>
        <w:widowControl w:val="0"/>
        <w:adjustRightInd/>
        <w:snapToGrid/>
        <w:spacing w:line="240" w:lineRule="auto"/>
        <w:jc w:val="both"/>
        <w:outlineLvl w:val="2"/>
        <w:rPr>
          <w:rFonts w:ascii="宋体" w:hAnsi="宋体" w:cs="Times New Roman"/>
          <w:b/>
          <w:color w:val="auto"/>
          <w:kern w:val="2"/>
          <w:sz w:val="28"/>
          <w:szCs w:val="28"/>
          <w:highlight w:val="none"/>
        </w:rPr>
      </w:pPr>
      <w:bookmarkStart w:id="142" w:name="_Toc160826310"/>
      <w:bookmarkStart w:id="143" w:name="_Toc160732694"/>
      <w:r>
        <w:rPr>
          <w:rFonts w:hint="eastAsia" w:ascii="宋体" w:hAnsi="宋体" w:cs="Times New Roman"/>
          <w:b/>
          <w:color w:val="auto"/>
          <w:kern w:val="2"/>
          <w:sz w:val="28"/>
          <w:szCs w:val="28"/>
          <w:highlight w:val="none"/>
        </w:rPr>
        <w:t>适用于</w:t>
      </w:r>
      <w:bookmarkEnd w:id="142"/>
      <w:bookmarkEnd w:id="143"/>
      <w:r>
        <w:rPr>
          <w:rFonts w:hint="eastAsia" w:ascii="宋体" w:hAnsi="宋体" w:cs="Times New Roman"/>
          <w:b/>
          <w:color w:val="auto"/>
          <w:kern w:val="2"/>
          <w:sz w:val="28"/>
          <w:szCs w:val="28"/>
          <w:highlight w:val="none"/>
        </w:rPr>
        <w:t>包A</w:t>
      </w:r>
    </w:p>
    <w:p>
      <w:pPr>
        <w:widowControl w:val="0"/>
        <w:rPr>
          <w:rFonts w:ascii="宋体" w:hAnsi="宋体" w:cs="Times New Roman"/>
          <w:color w:val="auto"/>
          <w:kern w:val="2"/>
          <w:sz w:val="28"/>
          <w:szCs w:val="28"/>
          <w:highlight w:val="none"/>
        </w:rPr>
      </w:pPr>
    </w:p>
    <w:p>
      <w:pPr>
        <w:widowControl w:val="0"/>
        <w:rPr>
          <w:rFonts w:ascii="宋体" w:hAnsi="宋体" w:cs="Times New Roman"/>
          <w:color w:val="auto"/>
          <w:kern w:val="2"/>
          <w:sz w:val="21"/>
          <w:szCs w:val="21"/>
          <w:highlight w:val="none"/>
        </w:rPr>
      </w:pPr>
      <w:r>
        <w:rPr>
          <w:rFonts w:hint="eastAsia" w:ascii="宋体" w:hAnsi="宋体" w:cs="Times New Roman"/>
          <w:color w:val="auto"/>
          <w:kern w:val="2"/>
          <w:sz w:val="21"/>
          <w:szCs w:val="21"/>
          <w:highlight w:val="none"/>
        </w:rPr>
        <w:t>甲方合同编号：</w:t>
      </w:r>
    </w:p>
    <w:p>
      <w:pPr>
        <w:widowControl w:val="0"/>
        <w:rPr>
          <w:rFonts w:ascii="宋体" w:hAnsi="宋体" w:cs="Times New Roman"/>
          <w:color w:val="auto"/>
          <w:kern w:val="2"/>
          <w:sz w:val="21"/>
          <w:szCs w:val="21"/>
          <w:highlight w:val="none"/>
        </w:rPr>
      </w:pPr>
      <w:r>
        <w:rPr>
          <w:rFonts w:hint="eastAsia" w:ascii="宋体" w:hAnsi="宋体" w:cs="Times New Roman"/>
          <w:color w:val="auto"/>
          <w:kern w:val="2"/>
          <w:sz w:val="21"/>
          <w:szCs w:val="21"/>
          <w:highlight w:val="none"/>
        </w:rPr>
        <w:t>乙方合同编号：</w:t>
      </w:r>
    </w:p>
    <w:p>
      <w:pPr>
        <w:widowControl w:val="0"/>
        <w:jc w:val="center"/>
        <w:rPr>
          <w:rFonts w:ascii="宋体" w:hAnsi="宋体" w:cs="Times New Roman"/>
          <w:color w:val="auto"/>
          <w:kern w:val="2"/>
          <w:sz w:val="44"/>
          <w:szCs w:val="44"/>
          <w:highlight w:val="none"/>
        </w:rPr>
      </w:pPr>
    </w:p>
    <w:p>
      <w:pPr>
        <w:widowControl w:val="0"/>
        <w:jc w:val="center"/>
        <w:rPr>
          <w:rFonts w:ascii="宋体" w:hAnsi="宋体" w:cs="Times New Roman"/>
          <w:color w:val="auto"/>
          <w:kern w:val="2"/>
          <w:sz w:val="44"/>
          <w:szCs w:val="44"/>
          <w:highlight w:val="none"/>
        </w:rPr>
      </w:pPr>
    </w:p>
    <w:p>
      <w:pPr>
        <w:widowControl w:val="0"/>
        <w:jc w:val="center"/>
        <w:rPr>
          <w:rFonts w:ascii="宋体" w:hAnsi="宋体" w:cs="Times New Roman"/>
          <w:color w:val="auto"/>
          <w:kern w:val="2"/>
          <w:sz w:val="40"/>
          <w:szCs w:val="40"/>
          <w:highlight w:val="none"/>
        </w:rPr>
      </w:pPr>
    </w:p>
    <w:p>
      <w:pPr>
        <w:widowControl w:val="0"/>
        <w:jc w:val="center"/>
        <w:outlineLvl w:val="1"/>
        <w:rPr>
          <w:rFonts w:ascii="宋体" w:hAnsi="Calibri" w:cs="Times New Roman"/>
          <w:b/>
          <w:bCs/>
          <w:color w:val="auto"/>
          <w:kern w:val="2"/>
          <w:sz w:val="28"/>
          <w:szCs w:val="28"/>
          <w:highlight w:val="none"/>
        </w:rPr>
      </w:pPr>
      <w:r>
        <w:rPr>
          <w:rFonts w:hint="eastAsia" w:ascii="宋体" w:hAnsi="宋体" w:cs="Times New Roman"/>
          <w:b/>
          <w:bCs/>
          <w:color w:val="auto"/>
          <w:kern w:val="2"/>
          <w:sz w:val="40"/>
          <w:szCs w:val="40"/>
          <w:highlight w:val="none"/>
          <w:lang w:eastAsia="zh-CN"/>
        </w:rPr>
        <w:t>东莞市海心沙资源综合利用中心环保热电厂202</w:t>
      </w:r>
      <w:r>
        <w:rPr>
          <w:rFonts w:hint="eastAsia" w:ascii="宋体" w:hAnsi="宋体" w:cs="Times New Roman"/>
          <w:b/>
          <w:bCs/>
          <w:color w:val="auto"/>
          <w:kern w:val="2"/>
          <w:sz w:val="40"/>
          <w:szCs w:val="40"/>
          <w:highlight w:val="none"/>
          <w:lang w:val="en-US" w:eastAsia="zh-CN"/>
        </w:rPr>
        <w:t>5</w:t>
      </w:r>
      <w:r>
        <w:rPr>
          <w:rFonts w:hint="eastAsia" w:ascii="宋体" w:hAnsi="宋体" w:cs="Times New Roman"/>
          <w:b/>
          <w:bCs/>
          <w:color w:val="auto"/>
          <w:kern w:val="2"/>
          <w:sz w:val="40"/>
          <w:szCs w:val="40"/>
          <w:highlight w:val="none"/>
          <w:lang w:eastAsia="zh-CN"/>
        </w:rPr>
        <w:t>年度活性炭采购</w:t>
      </w:r>
      <w:bookmarkStart w:id="144" w:name="_Toc160826312"/>
      <w:bookmarkStart w:id="145" w:name="_Toc160732696"/>
      <w:r>
        <w:rPr>
          <w:rFonts w:hint="eastAsia" w:ascii="宋体" w:hAnsi="宋体" w:cs="Times New Roman"/>
          <w:b/>
          <w:bCs/>
          <w:color w:val="auto"/>
          <w:kern w:val="2"/>
          <w:sz w:val="40"/>
          <w:szCs w:val="40"/>
          <w:highlight w:val="none"/>
        </w:rPr>
        <w:t>合同</w:t>
      </w:r>
      <w:bookmarkEnd w:id="144"/>
      <w:bookmarkEnd w:id="145"/>
    </w:p>
    <w:p>
      <w:pPr>
        <w:widowControl w:val="0"/>
        <w:jc w:val="both"/>
        <w:rPr>
          <w:rFonts w:ascii="Times" w:hAnsi="Times" w:cs="Times New Roman"/>
          <w:color w:val="auto"/>
          <w:kern w:val="2"/>
          <w:szCs w:val="24"/>
          <w:highlight w:val="none"/>
        </w:rPr>
      </w:pPr>
    </w:p>
    <w:p>
      <w:pPr>
        <w:widowControl w:val="0"/>
        <w:jc w:val="both"/>
        <w:rPr>
          <w:rFonts w:ascii="Times" w:hAnsi="Times" w:cs="Times New Roman"/>
          <w:color w:val="auto"/>
          <w:kern w:val="2"/>
          <w:szCs w:val="24"/>
          <w:highlight w:val="none"/>
        </w:rPr>
      </w:pPr>
    </w:p>
    <w:p>
      <w:pPr>
        <w:widowControl w:val="0"/>
        <w:jc w:val="both"/>
        <w:rPr>
          <w:rFonts w:ascii="Times" w:hAnsi="Times" w:cs="Times New Roman"/>
          <w:color w:val="auto"/>
          <w:kern w:val="2"/>
          <w:szCs w:val="24"/>
          <w:highlight w:val="none"/>
        </w:rPr>
      </w:pPr>
    </w:p>
    <w:p>
      <w:pPr>
        <w:widowControl w:val="0"/>
        <w:jc w:val="both"/>
        <w:rPr>
          <w:rFonts w:ascii="Times" w:hAnsi="Times" w:cs="Times New Roman"/>
          <w:color w:val="auto"/>
          <w:kern w:val="2"/>
          <w:szCs w:val="24"/>
          <w:highlight w:val="none"/>
        </w:rPr>
      </w:pPr>
    </w:p>
    <w:p>
      <w:pPr>
        <w:widowControl w:val="0"/>
        <w:jc w:val="both"/>
        <w:rPr>
          <w:rFonts w:ascii="宋体" w:hAnsi="Calibri" w:cs="Times New Roman"/>
          <w:color w:val="auto"/>
          <w:kern w:val="2"/>
          <w:sz w:val="30"/>
          <w:szCs w:val="30"/>
          <w:highlight w:val="none"/>
        </w:rPr>
      </w:pPr>
    </w:p>
    <w:p>
      <w:pPr>
        <w:widowControl w:val="0"/>
        <w:jc w:val="both"/>
        <w:rPr>
          <w:rFonts w:ascii="Times" w:hAnsi="Times" w:cs="Times New Roman"/>
          <w:color w:val="auto"/>
          <w:kern w:val="2"/>
          <w:sz w:val="30"/>
          <w:szCs w:val="30"/>
          <w:highlight w:val="none"/>
        </w:rPr>
      </w:pPr>
    </w:p>
    <w:p>
      <w:pPr>
        <w:widowControl w:val="0"/>
        <w:ind w:firstLine="1475" w:firstLineChars="527"/>
        <w:rPr>
          <w:rFonts w:hint="eastAsia" w:ascii="宋体" w:hAnsi="宋体" w:eastAsia="宋体" w:cs="Times New Roman"/>
          <w:color w:val="auto"/>
          <w:kern w:val="2"/>
          <w:sz w:val="28"/>
          <w:szCs w:val="28"/>
          <w:highlight w:val="none"/>
          <w:lang w:eastAsia="zh-CN"/>
        </w:rPr>
      </w:pPr>
      <w:r>
        <w:rPr>
          <w:rFonts w:hint="eastAsia" w:ascii="宋体" w:hAnsi="宋体" w:cs="Times New Roman"/>
          <w:color w:val="auto"/>
          <w:kern w:val="2"/>
          <w:sz w:val="28"/>
          <w:szCs w:val="28"/>
          <w:highlight w:val="none"/>
        </w:rPr>
        <w:t xml:space="preserve">甲方： </w:t>
      </w:r>
      <w:r>
        <w:rPr>
          <w:rFonts w:hint="eastAsia" w:ascii="宋体" w:hAnsi="宋体" w:cs="Times New Roman"/>
          <w:color w:val="auto"/>
          <w:kern w:val="2"/>
          <w:sz w:val="28"/>
          <w:szCs w:val="28"/>
          <w:highlight w:val="none"/>
          <w:lang w:eastAsia="zh-CN"/>
        </w:rPr>
        <w:t>东莞市新东元环保投资有限公司</w:t>
      </w:r>
    </w:p>
    <w:p>
      <w:pPr>
        <w:widowControl w:val="0"/>
        <w:ind w:firstLine="1475" w:firstLineChars="527"/>
        <w:rPr>
          <w:rFonts w:ascii="宋体" w:hAnsi="宋体" w:cs="Times New Roman"/>
          <w:color w:val="auto"/>
          <w:kern w:val="2"/>
          <w:sz w:val="28"/>
          <w:szCs w:val="28"/>
          <w:highlight w:val="none"/>
          <w:u w:val="single"/>
        </w:rPr>
      </w:pPr>
      <w:r>
        <w:rPr>
          <w:rFonts w:hint="eastAsia" w:ascii="宋体" w:hAnsi="宋体" w:cs="Times New Roman"/>
          <w:color w:val="auto"/>
          <w:kern w:val="2"/>
          <w:sz w:val="28"/>
          <w:szCs w:val="28"/>
          <w:highlight w:val="none"/>
        </w:rPr>
        <w:t>乙方：</w:t>
      </w:r>
    </w:p>
    <w:p>
      <w:pPr>
        <w:widowControl w:val="0"/>
        <w:ind w:firstLine="1475" w:firstLineChars="527"/>
        <w:rPr>
          <w:rFonts w:ascii="宋体" w:hAnsi="宋体" w:cs="Times New Roman"/>
          <w:color w:val="auto"/>
          <w:kern w:val="2"/>
          <w:sz w:val="28"/>
          <w:szCs w:val="28"/>
          <w:highlight w:val="none"/>
          <w:u w:val="single"/>
        </w:rPr>
      </w:pPr>
    </w:p>
    <w:p>
      <w:pPr>
        <w:widowControl w:val="0"/>
        <w:jc w:val="both"/>
        <w:rPr>
          <w:rFonts w:ascii="Times" w:hAnsi="宋体" w:cs="Times New Roman"/>
          <w:color w:val="auto"/>
          <w:kern w:val="2"/>
          <w:szCs w:val="28"/>
          <w:highlight w:val="none"/>
        </w:rPr>
      </w:pPr>
    </w:p>
    <w:p>
      <w:pPr>
        <w:widowControl w:val="0"/>
        <w:jc w:val="both"/>
        <w:rPr>
          <w:rFonts w:ascii="Times" w:hAnsi="宋体" w:cs="Times New Roman"/>
          <w:color w:val="auto"/>
          <w:kern w:val="2"/>
          <w:szCs w:val="28"/>
          <w:highlight w:val="none"/>
        </w:rPr>
      </w:pPr>
    </w:p>
    <w:p>
      <w:pPr>
        <w:widowControl w:val="0"/>
        <w:jc w:val="both"/>
        <w:rPr>
          <w:rFonts w:ascii="Times" w:hAnsi="宋体" w:cs="Times New Roman"/>
          <w:color w:val="auto"/>
          <w:kern w:val="2"/>
          <w:szCs w:val="28"/>
          <w:highlight w:val="none"/>
        </w:rPr>
      </w:pPr>
    </w:p>
    <w:p>
      <w:pPr>
        <w:widowControl w:val="0"/>
        <w:jc w:val="center"/>
        <w:outlineLvl w:val="1"/>
        <w:rPr>
          <w:rFonts w:ascii="Times" w:hAnsi="宋体" w:cs="Times New Roman"/>
          <w:color w:val="auto"/>
          <w:kern w:val="2"/>
          <w:sz w:val="28"/>
          <w:szCs w:val="28"/>
          <w:highlight w:val="none"/>
        </w:rPr>
      </w:pPr>
      <w:bookmarkStart w:id="146" w:name="_Toc160732697"/>
      <w:bookmarkStart w:id="147" w:name="_Toc160826313"/>
      <w:r>
        <w:rPr>
          <w:rFonts w:hint="eastAsia" w:ascii="宋体" w:hAnsi="宋体" w:cs="宋体"/>
          <w:color w:val="auto"/>
          <w:sz w:val="28"/>
          <w:szCs w:val="28"/>
          <w:highlight w:val="none"/>
        </w:rPr>
        <w:t>二○二</w:t>
      </w:r>
      <w:r>
        <w:rPr>
          <w:rFonts w:hint="eastAsia" w:ascii="宋体" w:hAnsi="宋体" w:cs="宋体"/>
          <w:color w:val="auto"/>
          <w:sz w:val="28"/>
          <w:szCs w:val="28"/>
          <w:highlight w:val="none"/>
          <w:lang w:val="en-US" w:eastAsia="zh-CN"/>
        </w:rPr>
        <w:t>五</w:t>
      </w:r>
      <w:r>
        <w:rPr>
          <w:rFonts w:hint="eastAsia" w:ascii="Times" w:hAnsi="宋体" w:cs="Times New Roman"/>
          <w:color w:val="auto"/>
          <w:kern w:val="2"/>
          <w:sz w:val="28"/>
          <w:szCs w:val="28"/>
          <w:highlight w:val="none"/>
        </w:rPr>
        <w:t>年    月    日</w:t>
      </w:r>
      <w:bookmarkEnd w:id="146"/>
      <w:bookmarkEnd w:id="147"/>
    </w:p>
    <w:p>
      <w:pPr>
        <w:rPr>
          <w:rFonts w:hint="eastAsia" w:ascii="宋体" w:hAnsi="宋体" w:cs="宋体"/>
          <w:b/>
          <w:snapToGrid w:val="0"/>
          <w:color w:val="auto"/>
          <w:sz w:val="21"/>
          <w:szCs w:val="21"/>
          <w:highlight w:val="none"/>
        </w:rPr>
      </w:pPr>
      <w:r>
        <w:rPr>
          <w:rFonts w:hint="eastAsia" w:ascii="宋体" w:hAnsi="宋体" w:cs="宋体"/>
          <w:b/>
          <w:snapToGrid w:val="0"/>
          <w:color w:val="auto"/>
          <w:sz w:val="21"/>
          <w:szCs w:val="21"/>
          <w:highlight w:val="none"/>
        </w:rPr>
        <w:br w:type="page"/>
      </w:r>
    </w:p>
    <w:p>
      <w:pPr>
        <w:tabs>
          <w:tab w:val="right" w:pos="8306"/>
        </w:tabs>
        <w:spacing w:line="360" w:lineRule="auto"/>
        <w:rPr>
          <w:rFonts w:hint="eastAsia" w:ascii="宋体" w:hAnsi="宋体" w:cs="宋体"/>
          <w:snapToGrid w:val="0"/>
          <w:color w:val="auto"/>
          <w:sz w:val="21"/>
          <w:szCs w:val="21"/>
          <w:highlight w:val="none"/>
        </w:rPr>
      </w:pPr>
      <w:r>
        <w:rPr>
          <w:rFonts w:hint="eastAsia" w:ascii="宋体" w:hAnsi="宋体" w:cs="宋体"/>
          <w:b/>
          <w:snapToGrid w:val="0"/>
          <w:color w:val="auto"/>
          <w:sz w:val="21"/>
          <w:szCs w:val="21"/>
          <w:highlight w:val="none"/>
        </w:rPr>
        <w:t>甲方（买方）：</w:t>
      </w:r>
    </w:p>
    <w:p>
      <w:pPr>
        <w:tabs>
          <w:tab w:val="right" w:pos="8306"/>
        </w:tabs>
        <w:spacing w:line="360" w:lineRule="auto"/>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法定代表人：</w:t>
      </w:r>
    </w:p>
    <w:p>
      <w:pPr>
        <w:tabs>
          <w:tab w:val="right" w:pos="8306"/>
        </w:tabs>
        <w:spacing w:line="360" w:lineRule="auto"/>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通讯地址：</w:t>
      </w:r>
    </w:p>
    <w:p>
      <w:pPr>
        <w:tabs>
          <w:tab w:val="right" w:pos="8306"/>
        </w:tabs>
        <w:spacing w:line="360" w:lineRule="auto"/>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联系人：               联系电话：             电子邮件：</w:t>
      </w:r>
    </w:p>
    <w:p>
      <w:pPr>
        <w:spacing w:line="360" w:lineRule="auto"/>
        <w:rPr>
          <w:rFonts w:hint="eastAsia" w:ascii="宋体" w:hAnsi="宋体" w:cs="宋体"/>
          <w:b/>
          <w:snapToGrid w:val="0"/>
          <w:color w:val="auto"/>
          <w:sz w:val="21"/>
          <w:szCs w:val="21"/>
          <w:highlight w:val="none"/>
        </w:rPr>
      </w:pPr>
    </w:p>
    <w:p>
      <w:pPr>
        <w:spacing w:line="360" w:lineRule="auto"/>
        <w:rPr>
          <w:rFonts w:hint="eastAsia" w:ascii="宋体" w:hAnsi="宋体" w:cs="宋体"/>
          <w:b/>
          <w:color w:val="auto"/>
          <w:sz w:val="21"/>
          <w:szCs w:val="21"/>
          <w:highlight w:val="none"/>
        </w:rPr>
      </w:pPr>
      <w:r>
        <w:rPr>
          <w:rFonts w:hint="eastAsia" w:ascii="宋体" w:hAnsi="宋体" w:cs="宋体"/>
          <w:b/>
          <w:snapToGrid w:val="0"/>
          <w:color w:val="auto"/>
          <w:sz w:val="21"/>
          <w:szCs w:val="21"/>
          <w:highlight w:val="none"/>
        </w:rPr>
        <w:t>乙方（卖方）：</w:t>
      </w:r>
    </w:p>
    <w:p>
      <w:pPr>
        <w:spacing w:line="360" w:lineRule="auto"/>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法定代表人：</w:t>
      </w:r>
    </w:p>
    <w:p>
      <w:pPr>
        <w:tabs>
          <w:tab w:val="right" w:pos="8306"/>
        </w:tabs>
        <w:spacing w:line="360" w:lineRule="auto"/>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通讯地址：</w:t>
      </w:r>
    </w:p>
    <w:p>
      <w:pPr>
        <w:tabs>
          <w:tab w:val="right" w:pos="8306"/>
        </w:tabs>
        <w:spacing w:line="360" w:lineRule="auto"/>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联系人：               联系电话：             电子邮件：</w:t>
      </w:r>
    </w:p>
    <w:p>
      <w:pPr>
        <w:tabs>
          <w:tab w:val="right" w:pos="8306"/>
        </w:tabs>
        <w:spacing w:line="360" w:lineRule="auto"/>
        <w:ind w:firstLine="420" w:firstLineChars="200"/>
        <w:rPr>
          <w:rFonts w:hint="eastAsia" w:ascii="宋体" w:hAnsi="宋体" w:cs="宋体"/>
          <w:snapToGrid w:val="0"/>
          <w:color w:val="auto"/>
          <w:sz w:val="21"/>
          <w:szCs w:val="21"/>
          <w:highlight w:val="none"/>
        </w:rPr>
      </w:pP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本合同双方根据《中华人民共和国民法典》、《中华人民共和国产品质量法》等有关法律、法规规定，经充分协商，现就甲方向乙方采购相关货物事宜达成以下协议：</w:t>
      </w:r>
    </w:p>
    <w:p>
      <w:pPr>
        <w:spacing w:line="360" w:lineRule="auto"/>
        <w:ind w:firstLine="420" w:firstLineChars="200"/>
        <w:rPr>
          <w:rFonts w:hint="eastAsia" w:ascii="宋体" w:hAnsi="宋体" w:cs="宋体"/>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第一条  采购货物清单及合同价款</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935"/>
        <w:gridCol w:w="576"/>
        <w:gridCol w:w="396"/>
        <w:gridCol w:w="576"/>
        <w:gridCol w:w="1475"/>
        <w:gridCol w:w="1758"/>
        <w:gridCol w:w="1655"/>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93" w:type="pct"/>
            <w:noWrap/>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651" w:type="pct"/>
            <w:noWrap/>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472" w:type="pct"/>
            <w:noWrap/>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品牌</w:t>
            </w:r>
          </w:p>
        </w:tc>
        <w:tc>
          <w:tcPr>
            <w:tcW w:w="203" w:type="pct"/>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产地</w:t>
            </w:r>
          </w:p>
        </w:tc>
        <w:tc>
          <w:tcPr>
            <w:tcW w:w="293" w:type="pct"/>
            <w:noWrap/>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单位</w:t>
            </w:r>
          </w:p>
        </w:tc>
        <w:tc>
          <w:tcPr>
            <w:tcW w:w="1098" w:type="pct"/>
            <w:noWrap/>
            <w:vAlign w:val="center"/>
          </w:tcPr>
          <w:p>
            <w:pPr>
              <w:spacing w:line="360" w:lineRule="auto"/>
              <w:jc w:val="center"/>
              <w:rPr>
                <w:rFonts w:hint="eastAsia" w:ascii="宋体" w:hAnsi="宋体" w:cs="宋体"/>
                <w:b/>
                <w:color w:val="auto"/>
                <w:szCs w:val="21"/>
                <w:highlight w:val="none"/>
              </w:rPr>
            </w:pPr>
            <w:r>
              <w:rPr>
                <w:rFonts w:hint="eastAsia" w:hAnsi="宋体"/>
                <w:b/>
                <w:color w:val="auto"/>
                <w:szCs w:val="21"/>
                <w:highlight w:val="none"/>
              </w:rPr>
              <w:t>计划采购供货量</w:t>
            </w:r>
          </w:p>
        </w:tc>
        <w:tc>
          <w:tcPr>
            <w:tcW w:w="847" w:type="pct"/>
            <w:noWrap/>
            <w:vAlign w:val="center"/>
          </w:tcPr>
          <w:p>
            <w:pPr>
              <w:spacing w:line="360" w:lineRule="auto"/>
              <w:jc w:val="center"/>
              <w:rPr>
                <w:rFonts w:hint="eastAsia" w:ascii="宋体" w:hAnsi="宋体" w:cs="宋体"/>
                <w:b/>
                <w:color w:val="auto"/>
                <w:szCs w:val="21"/>
                <w:highlight w:val="none"/>
              </w:rPr>
            </w:pPr>
            <w:r>
              <w:rPr>
                <w:rFonts w:hint="eastAsia" w:hAnsi="宋体"/>
                <w:b/>
                <w:color w:val="auto"/>
                <w:szCs w:val="21"/>
                <w:highlight w:val="none"/>
              </w:rPr>
              <w:t>综合单价（元/吨）</w:t>
            </w:r>
          </w:p>
        </w:tc>
        <w:tc>
          <w:tcPr>
            <w:tcW w:w="851" w:type="pct"/>
            <w:noWrap/>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暂定总价（含税）</w:t>
            </w:r>
          </w:p>
        </w:tc>
        <w:tc>
          <w:tcPr>
            <w:tcW w:w="293" w:type="pct"/>
            <w:noWrap/>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3" w:type="pct"/>
            <w:noWrap/>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51" w:type="pct"/>
            <w:noWrap/>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活性炭</w:t>
            </w:r>
          </w:p>
        </w:tc>
        <w:tc>
          <w:tcPr>
            <w:tcW w:w="472" w:type="pct"/>
            <w:noWrap/>
            <w:vAlign w:val="center"/>
          </w:tcPr>
          <w:p>
            <w:pPr>
              <w:spacing w:line="360" w:lineRule="auto"/>
              <w:rPr>
                <w:rFonts w:hint="eastAsia" w:ascii="宋体" w:hAnsi="宋体" w:cs="宋体"/>
                <w:color w:val="auto"/>
                <w:szCs w:val="21"/>
                <w:highlight w:val="none"/>
              </w:rPr>
            </w:pPr>
          </w:p>
        </w:tc>
        <w:tc>
          <w:tcPr>
            <w:tcW w:w="203" w:type="pct"/>
            <w:noWrap w:val="0"/>
            <w:vAlign w:val="top"/>
          </w:tcPr>
          <w:p>
            <w:pPr>
              <w:spacing w:line="360" w:lineRule="auto"/>
              <w:jc w:val="center"/>
              <w:rPr>
                <w:rFonts w:hint="eastAsia" w:ascii="宋体" w:hAnsi="宋体" w:cs="宋体"/>
                <w:color w:val="auto"/>
                <w:szCs w:val="21"/>
                <w:highlight w:val="none"/>
              </w:rPr>
            </w:pPr>
          </w:p>
        </w:tc>
        <w:tc>
          <w:tcPr>
            <w:tcW w:w="293" w:type="pct"/>
            <w:noWrap/>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吨</w:t>
            </w:r>
          </w:p>
        </w:tc>
        <w:tc>
          <w:tcPr>
            <w:tcW w:w="1098" w:type="pct"/>
            <w:noWrap/>
            <w:vAlign w:val="center"/>
          </w:tcPr>
          <w:p>
            <w:pPr>
              <w:spacing w:line="360" w:lineRule="auto"/>
              <w:jc w:val="center"/>
              <w:rPr>
                <w:rFonts w:hint="eastAsia" w:ascii="宋体" w:hAnsi="宋体" w:cs="宋体"/>
                <w:color w:val="auto"/>
                <w:szCs w:val="21"/>
                <w:highlight w:val="none"/>
              </w:rPr>
            </w:pPr>
            <w:r>
              <w:rPr>
                <w:rFonts w:hint="eastAsia" w:hAnsi="宋体"/>
                <w:color w:val="auto"/>
                <w:szCs w:val="21"/>
                <w:highlight w:val="none"/>
              </w:rPr>
              <w:t>约</w:t>
            </w:r>
            <w:r>
              <w:rPr>
                <w:rFonts w:hint="eastAsia" w:ascii="宋体" w:hAnsi="宋体" w:cs="宋体"/>
                <w:color w:val="auto"/>
                <w:szCs w:val="21"/>
                <w:highlight w:val="none"/>
              </w:rPr>
              <w:t>700</w:t>
            </w:r>
          </w:p>
        </w:tc>
        <w:tc>
          <w:tcPr>
            <w:tcW w:w="847" w:type="pct"/>
            <w:noWrap/>
            <w:vAlign w:val="center"/>
          </w:tcPr>
          <w:p>
            <w:pPr>
              <w:spacing w:line="360" w:lineRule="auto"/>
              <w:jc w:val="center"/>
              <w:rPr>
                <w:rFonts w:hint="eastAsia" w:ascii="宋体" w:hAnsi="宋体" w:cs="宋体"/>
                <w:color w:val="auto"/>
                <w:szCs w:val="21"/>
                <w:highlight w:val="none"/>
              </w:rPr>
            </w:pPr>
          </w:p>
        </w:tc>
        <w:tc>
          <w:tcPr>
            <w:tcW w:w="851" w:type="pct"/>
            <w:noWrap/>
            <w:vAlign w:val="center"/>
          </w:tcPr>
          <w:p>
            <w:pPr>
              <w:spacing w:line="360" w:lineRule="auto"/>
              <w:jc w:val="center"/>
              <w:rPr>
                <w:rFonts w:hint="eastAsia" w:ascii="宋体" w:hAnsi="宋体" w:cs="宋体"/>
                <w:color w:val="auto"/>
                <w:szCs w:val="21"/>
                <w:highlight w:val="none"/>
              </w:rPr>
            </w:pPr>
          </w:p>
        </w:tc>
        <w:tc>
          <w:tcPr>
            <w:tcW w:w="293" w:type="pct"/>
            <w:noWrap/>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5000" w:type="pct"/>
            <w:gridSpan w:val="9"/>
            <w:noWrap w:val="0"/>
            <w:vAlign w:val="top"/>
          </w:tcPr>
          <w:p>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1.综合单价已包含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增值税专用发票。综合单价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2.上述数量为乙方计划供应数量。实际采购数量以甲方实际需求为准。具体每批送货数量以甲方通知为准。</w:t>
            </w:r>
          </w:p>
          <w:p>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3.此价格</w:t>
            </w:r>
            <w:r>
              <w:rPr>
                <w:rFonts w:hint="eastAsia" w:ascii="宋体" w:hAnsi="宋体" w:cs="宋体"/>
                <w:color w:val="auto"/>
                <w:szCs w:val="21"/>
                <w:highlight w:val="none"/>
              </w:rPr>
              <w:t>包括合同货物及相关的技术服务等费用，还包括合同货物的税费、所有货物包装费、运输费、装卸费、保险费等与本合同中乙方应承担的所有义务和所有工作的有关费用。</w:t>
            </w:r>
          </w:p>
        </w:tc>
      </w:tr>
    </w:tbl>
    <w:p>
      <w:pPr>
        <w:spacing w:line="360" w:lineRule="auto"/>
        <w:ind w:firstLine="422" w:firstLineChars="200"/>
        <w:rPr>
          <w:rFonts w:hint="eastAsia" w:ascii="宋体" w:hAnsi="宋体" w:cs="宋体"/>
          <w:b/>
          <w:bCs/>
          <w:color w:val="auto"/>
          <w:sz w:val="21"/>
          <w:szCs w:val="21"/>
          <w:highlight w:val="none"/>
        </w:rPr>
      </w:pPr>
    </w:p>
    <w:p>
      <w:pPr>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第二条  质量标准及考核：货物的质量标准和性能应当同时满足下列要求：</w:t>
      </w:r>
    </w:p>
    <w:p>
      <w:pPr>
        <w:tabs>
          <w:tab w:val="right" w:pos="8306"/>
        </w:tabs>
        <w:spacing w:line="360" w:lineRule="auto"/>
        <w:ind w:firstLine="630" w:firstLineChars="3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1.双方约定的标准：</w:t>
      </w:r>
      <w:r>
        <w:rPr>
          <w:rFonts w:hint="eastAsia" w:ascii="宋体" w:hAnsi="宋体" w:cs="宋体"/>
          <w:color w:val="auto"/>
          <w:sz w:val="21"/>
          <w:szCs w:val="21"/>
          <w:highlight w:val="none"/>
          <w:u w:val="single"/>
        </w:rPr>
        <w:t>以《活性炭采购技术需求书》约定为准。</w:t>
      </w:r>
    </w:p>
    <w:p>
      <w:pPr>
        <w:keepNext w:val="0"/>
        <w:keepLines w:val="0"/>
        <w:pageBreakBefore w:val="0"/>
        <w:widowControl/>
        <w:tabs>
          <w:tab w:val="left" w:pos="7920"/>
        </w:tabs>
        <w:kinsoku/>
        <w:wordWrap/>
        <w:overflowPunct/>
        <w:bidi w:val="0"/>
        <w:adjustRightInd w:val="0"/>
        <w:snapToGrid w:val="0"/>
        <w:spacing w:line="360" w:lineRule="auto"/>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2.活性炭技术参数：</w:t>
      </w:r>
    </w:p>
    <w:p>
      <w:pPr>
        <w:pStyle w:val="91"/>
        <w:keepNext w:val="0"/>
        <w:keepLines w:val="0"/>
        <w:pageBreakBefore w:val="0"/>
        <w:widowControl/>
        <w:numPr>
          <w:ilvl w:val="0"/>
          <w:numId w:val="9"/>
        </w:numPr>
        <w:kinsoku/>
        <w:wordWrap/>
        <w:overflowPunct/>
        <w:bidi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目数325目且通过率≥85%；</w:t>
      </w:r>
    </w:p>
    <w:p>
      <w:pPr>
        <w:pStyle w:val="91"/>
        <w:keepNext w:val="0"/>
        <w:keepLines w:val="0"/>
        <w:pageBreakBefore w:val="0"/>
        <w:widowControl/>
        <w:numPr>
          <w:ilvl w:val="0"/>
          <w:numId w:val="9"/>
        </w:numPr>
        <w:kinsoku/>
        <w:wordWrap/>
        <w:overflowPunct/>
        <w:bidi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比表面积≥900m</w:t>
      </w:r>
      <w:r>
        <w:rPr>
          <w:rFonts w:hint="eastAsia" w:ascii="宋体" w:hAnsi="宋体" w:cs="宋体"/>
          <w:color w:val="auto"/>
          <w:sz w:val="21"/>
          <w:szCs w:val="21"/>
          <w:highlight w:val="none"/>
          <w:vertAlign w:val="superscript"/>
        </w:rPr>
        <w:t>2</w:t>
      </w:r>
      <w:r>
        <w:rPr>
          <w:rFonts w:hint="eastAsia" w:ascii="宋体" w:hAnsi="宋体" w:cs="宋体"/>
          <w:color w:val="auto"/>
          <w:sz w:val="21"/>
          <w:szCs w:val="21"/>
          <w:highlight w:val="none"/>
        </w:rPr>
        <w:t>/g；</w:t>
      </w:r>
    </w:p>
    <w:p>
      <w:pPr>
        <w:pStyle w:val="91"/>
        <w:keepNext w:val="0"/>
        <w:keepLines w:val="0"/>
        <w:pageBreakBefore w:val="0"/>
        <w:widowControl/>
        <w:numPr>
          <w:ilvl w:val="0"/>
          <w:numId w:val="9"/>
        </w:numPr>
        <w:kinsoku/>
        <w:wordWrap/>
        <w:overflowPunct/>
        <w:bidi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碘值≥900mg/g；</w:t>
      </w:r>
    </w:p>
    <w:p>
      <w:pPr>
        <w:pStyle w:val="91"/>
        <w:keepNext w:val="0"/>
        <w:keepLines w:val="0"/>
        <w:pageBreakBefore w:val="0"/>
        <w:widowControl/>
        <w:numPr>
          <w:ilvl w:val="0"/>
          <w:numId w:val="9"/>
        </w:numPr>
        <w:kinsoku/>
        <w:wordWrap/>
        <w:overflowPunct/>
        <w:bidi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燃烧温度＞700℃；</w:t>
      </w:r>
    </w:p>
    <w:p>
      <w:pPr>
        <w:pStyle w:val="91"/>
        <w:keepNext w:val="0"/>
        <w:keepLines w:val="0"/>
        <w:pageBreakBefore w:val="0"/>
        <w:widowControl/>
        <w:numPr>
          <w:ilvl w:val="0"/>
          <w:numId w:val="9"/>
        </w:numPr>
        <w:kinsoku/>
        <w:wordWrap/>
        <w:overflowPunct/>
        <w:bidi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烟化温度＞450℃；</w:t>
      </w:r>
    </w:p>
    <w:p>
      <w:pPr>
        <w:pStyle w:val="91"/>
        <w:keepNext w:val="0"/>
        <w:keepLines w:val="0"/>
        <w:pageBreakBefore w:val="0"/>
        <w:widowControl/>
        <w:numPr>
          <w:ilvl w:val="0"/>
          <w:numId w:val="9"/>
        </w:numPr>
        <w:kinsoku/>
        <w:wordWrap/>
        <w:overflowPunct/>
        <w:bidi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四氯化炭吸附值＞60%；</w:t>
      </w:r>
    </w:p>
    <w:p>
      <w:pPr>
        <w:pStyle w:val="91"/>
        <w:keepNext w:val="0"/>
        <w:keepLines w:val="0"/>
        <w:pageBreakBefore w:val="0"/>
        <w:widowControl/>
        <w:numPr>
          <w:ilvl w:val="0"/>
          <w:numId w:val="9"/>
        </w:numPr>
        <w:kinsoku/>
        <w:wordWrap/>
        <w:overflowPunct/>
        <w:bidi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水份＜3%；</w:t>
      </w:r>
    </w:p>
    <w:p>
      <w:pPr>
        <w:pStyle w:val="91"/>
        <w:keepNext w:val="0"/>
        <w:keepLines w:val="0"/>
        <w:pageBreakBefore w:val="0"/>
        <w:widowControl/>
        <w:numPr>
          <w:ilvl w:val="0"/>
          <w:numId w:val="9"/>
        </w:numPr>
        <w:kinsoku/>
        <w:wordWrap/>
        <w:overflowPunct/>
        <w:bidi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灰分＜10%；</w:t>
      </w:r>
    </w:p>
    <w:p>
      <w:pPr>
        <w:pStyle w:val="91"/>
        <w:keepNext w:val="0"/>
        <w:keepLines w:val="0"/>
        <w:pageBreakBefore w:val="0"/>
        <w:widowControl/>
        <w:numPr>
          <w:ilvl w:val="0"/>
          <w:numId w:val="9"/>
        </w:numPr>
        <w:kinsoku/>
        <w:wordWrap/>
        <w:overflowPunct/>
        <w:bidi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PH 5~7.5；</w:t>
      </w:r>
    </w:p>
    <w:p>
      <w:pPr>
        <w:pStyle w:val="91"/>
        <w:keepNext w:val="0"/>
        <w:keepLines w:val="0"/>
        <w:pageBreakBefore w:val="0"/>
        <w:widowControl/>
        <w:numPr>
          <w:ilvl w:val="0"/>
          <w:numId w:val="9"/>
        </w:numPr>
        <w:kinsoku/>
        <w:wordWrap/>
        <w:overflowPunct/>
        <w:bidi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填充密度450-500kg/m</w:t>
      </w:r>
      <w:r>
        <w:rPr>
          <w:rFonts w:hint="eastAsia" w:ascii="宋体" w:hAnsi="宋体" w:cs="宋体"/>
          <w:color w:val="auto"/>
          <w:sz w:val="21"/>
          <w:szCs w:val="21"/>
          <w:highlight w:val="none"/>
          <w:vertAlign w:val="superscript"/>
        </w:rPr>
        <w:t>3</w:t>
      </w:r>
      <w:r>
        <w:rPr>
          <w:rFonts w:hint="eastAsia" w:ascii="宋体" w:hAnsi="宋体" w:cs="宋体"/>
          <w:color w:val="auto"/>
          <w:sz w:val="21"/>
          <w:szCs w:val="21"/>
          <w:highlight w:val="none"/>
        </w:rPr>
        <w:t>；</w:t>
      </w:r>
    </w:p>
    <w:p>
      <w:pPr>
        <w:pStyle w:val="91"/>
        <w:keepNext w:val="0"/>
        <w:keepLines w:val="0"/>
        <w:pageBreakBefore w:val="0"/>
        <w:widowControl/>
        <w:numPr>
          <w:ilvl w:val="0"/>
          <w:numId w:val="9"/>
        </w:numPr>
        <w:kinsoku/>
        <w:wordWrap/>
        <w:overflowPunct/>
        <w:bidi w:val="0"/>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罐车运输。</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3.与双方确认的样品的质量相同。</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4.国家标准、行业标准、地方标准、厂家标准中的最高标准。</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5.合同附件技术协议书、用户需求、货物规格书、</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文件、投标文件等文件（如有）约定的标准。</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6.甲方按考核评分表对乙方供货质量、服务情况等进行季度考核。季度考核综合得分大于等于80分，甲方继续履行合同；季度考核综合得分小于80分，甲方有权解除合同。</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7.季度总评考核结果：</w:t>
      </w:r>
    </w:p>
    <w:tbl>
      <w:tblPr>
        <w:tblStyle w:val="30"/>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3062"/>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1"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考核结果</w:t>
            </w:r>
          </w:p>
        </w:tc>
        <w:tc>
          <w:tcPr>
            <w:tcW w:w="306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分值区间</w:t>
            </w:r>
          </w:p>
        </w:tc>
        <w:tc>
          <w:tcPr>
            <w:tcW w:w="281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是否继续执行合同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1"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合格</w:t>
            </w:r>
          </w:p>
        </w:tc>
        <w:tc>
          <w:tcPr>
            <w:tcW w:w="306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综合得分≥80分</w:t>
            </w:r>
          </w:p>
        </w:tc>
        <w:tc>
          <w:tcPr>
            <w:tcW w:w="281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继续执行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1"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不合格</w:t>
            </w:r>
          </w:p>
        </w:tc>
        <w:tc>
          <w:tcPr>
            <w:tcW w:w="306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综合得分＜80分</w:t>
            </w:r>
          </w:p>
        </w:tc>
        <w:tc>
          <w:tcPr>
            <w:tcW w:w="281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任一次不合格有权解除合同</w:t>
            </w:r>
          </w:p>
        </w:tc>
      </w:tr>
    </w:tbl>
    <w:p>
      <w:pPr>
        <w:spacing w:line="360" w:lineRule="auto"/>
        <w:ind w:firstLine="420" w:firstLineChars="200"/>
        <w:rPr>
          <w:rFonts w:hint="eastAsia" w:ascii="宋体" w:hAnsi="宋体" w:cs="宋体"/>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第三条  质量保证期</w:t>
      </w:r>
    </w:p>
    <w:p>
      <w:pPr>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1.质量保证期按</w:t>
      </w:r>
      <w:r>
        <w:rPr>
          <w:rFonts w:hint="eastAsia" w:ascii="宋体" w:hAnsi="宋体" w:cs="宋体"/>
          <w:color w:val="auto"/>
          <w:sz w:val="21"/>
          <w:szCs w:val="21"/>
          <w:highlight w:val="none"/>
          <w:u w:val="single"/>
        </w:rPr>
        <w:t>（3）</w:t>
      </w:r>
      <w:r>
        <w:rPr>
          <w:rFonts w:hint="eastAsia" w:ascii="宋体" w:hAnsi="宋体" w:cs="宋体"/>
          <w:bCs/>
          <w:color w:val="auto"/>
          <w:sz w:val="21"/>
          <w:szCs w:val="21"/>
          <w:highlight w:val="none"/>
        </w:rPr>
        <w:t>执行。</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（1）交付后</w:t>
      </w:r>
      <w:r>
        <w:rPr>
          <w:rFonts w:hint="eastAsia" w:ascii="宋体" w:hAnsi="宋体" w:cs="宋体"/>
          <w:color w:val="auto"/>
          <w:sz w:val="21"/>
          <w:szCs w:val="21"/>
          <w:highlight w:val="none"/>
          <w:u w:val="single"/>
        </w:rPr>
        <w:t>﹨</w:t>
      </w:r>
      <w:r>
        <w:rPr>
          <w:rFonts w:hint="eastAsia" w:ascii="宋体" w:hAnsi="宋体" w:cs="宋体"/>
          <w:bCs/>
          <w:color w:val="auto"/>
          <w:sz w:val="21"/>
          <w:szCs w:val="21"/>
          <w:highlight w:val="none"/>
        </w:rPr>
        <w:t>个月保质期；</w:t>
      </w:r>
      <w:r>
        <w:rPr>
          <w:rFonts w:hint="eastAsia" w:ascii="宋体" w:hAnsi="宋体" w:cs="宋体"/>
          <w:bCs/>
          <w:vanish/>
          <w:color w:val="auto"/>
          <w:sz w:val="21"/>
          <w:szCs w:val="21"/>
          <w:highlight w:val="none"/>
        </w:rPr>
        <w:t>(</w:t>
      </w:r>
      <w:r>
        <w:rPr>
          <w:rFonts w:hint="eastAsia" w:ascii="宋体" w:hAnsi="宋体" w:cs="宋体"/>
          <w:bCs/>
          <w:color w:val="auto"/>
          <w:sz w:val="21"/>
          <w:szCs w:val="21"/>
          <w:highlight w:val="none"/>
        </w:rPr>
        <w:t>2）</w:t>
      </w:r>
      <w:r>
        <w:rPr>
          <w:rFonts w:hint="eastAsia" w:ascii="宋体" w:hAnsi="宋体" w:cs="宋体"/>
          <w:color w:val="auto"/>
          <w:sz w:val="21"/>
          <w:szCs w:val="21"/>
          <w:highlight w:val="none"/>
        </w:rPr>
        <w:t>正常运行</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个月；（3）初步验收合格之日起</w:t>
      </w:r>
      <w:r>
        <w:rPr>
          <w:rFonts w:hint="eastAsia" w:ascii="宋体" w:hAnsi="宋体" w:cs="宋体"/>
          <w:color w:val="auto"/>
          <w:sz w:val="21"/>
          <w:szCs w:val="21"/>
          <w:highlight w:val="none"/>
          <w:u w:val="single"/>
        </w:rPr>
        <w:t>6</w:t>
      </w:r>
      <w:r>
        <w:rPr>
          <w:rFonts w:hint="eastAsia" w:ascii="宋体" w:hAnsi="宋体" w:cs="宋体"/>
          <w:color w:val="auto"/>
          <w:sz w:val="21"/>
          <w:szCs w:val="21"/>
          <w:highlight w:val="none"/>
        </w:rPr>
        <w:t>个月；</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2.如果乙方知道或者应当知道所出卖产品存在质量缺陷，所承担的质量保证期限不受前款质量负责期限的约束，应依法承担相应责任。</w:t>
      </w:r>
    </w:p>
    <w:p>
      <w:pPr>
        <w:spacing w:line="360" w:lineRule="auto"/>
        <w:ind w:firstLine="420" w:firstLineChars="200"/>
        <w:rPr>
          <w:rFonts w:hint="eastAsia" w:ascii="宋体" w:hAnsi="宋体" w:cs="宋体"/>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第四条  包装标准、包装物的供应与回收</w:t>
      </w:r>
    </w:p>
    <w:p>
      <w:pPr>
        <w:spacing w:line="360" w:lineRule="auto"/>
        <w:ind w:firstLine="420" w:firstLineChars="200"/>
        <w:rPr>
          <w:rFonts w:hint="eastAsia" w:ascii="宋体" w:hAnsi="宋体" w:cs="宋体"/>
          <w:b/>
          <w:color w:val="auto"/>
          <w:sz w:val="21"/>
          <w:szCs w:val="21"/>
          <w:highlight w:val="none"/>
        </w:rPr>
      </w:pPr>
      <w:r>
        <w:rPr>
          <w:rFonts w:hint="eastAsia" w:ascii="宋体" w:hAnsi="宋体" w:cs="宋体"/>
          <w:color w:val="auto"/>
          <w:sz w:val="21"/>
          <w:szCs w:val="21"/>
          <w:highlight w:val="none"/>
        </w:rPr>
        <w:t xml:space="preserve">1.产品所需包装由乙方合理包装并符合技术附件的要求（如有），适合水运和/或长途内陆运输，防潮，防湿，防震，防锈，符合甲方使用要求。  </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2.包装物由乙方提供，不计费、</w:t>
      </w:r>
      <w:r>
        <w:rPr>
          <w:rFonts w:hint="eastAsia" w:ascii="宋体" w:hAnsi="宋体" w:cs="宋体"/>
          <w:color w:val="auto"/>
          <w:sz w:val="21"/>
          <w:szCs w:val="21"/>
          <w:highlight w:val="none"/>
          <w:u w:val="single"/>
        </w:rPr>
        <w:t>乙方</w:t>
      </w:r>
      <w:r>
        <w:rPr>
          <w:rFonts w:hint="eastAsia" w:ascii="宋体" w:hAnsi="宋体" w:cs="宋体"/>
          <w:color w:val="auto"/>
          <w:sz w:val="21"/>
          <w:szCs w:val="21"/>
          <w:highlight w:val="none"/>
        </w:rPr>
        <w:t>回收。</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3.化学品的包装必须满足国家标准《化学品包装及标志》（GB15346-</w:t>
      </w:r>
      <w:r>
        <w:rPr>
          <w:rFonts w:ascii="宋体" w:hAnsi="宋体" w:cs="宋体"/>
          <w:color w:val="auto"/>
          <w:sz w:val="21"/>
          <w:szCs w:val="21"/>
          <w:highlight w:val="none"/>
        </w:rPr>
        <w:t>2012</w:t>
      </w:r>
      <w:r>
        <w:rPr>
          <w:rFonts w:hint="eastAsia" w:ascii="宋体" w:hAnsi="宋体" w:cs="宋体"/>
          <w:color w:val="auto"/>
          <w:sz w:val="21"/>
          <w:szCs w:val="21"/>
          <w:highlight w:val="none"/>
        </w:rPr>
        <w:t>）和《危险货物包装标志》（GB190-</w:t>
      </w:r>
      <w:r>
        <w:rPr>
          <w:rFonts w:ascii="宋体" w:hAnsi="宋体" w:cs="宋体"/>
          <w:color w:val="auto"/>
          <w:sz w:val="21"/>
          <w:szCs w:val="21"/>
          <w:highlight w:val="none"/>
        </w:rPr>
        <w:t>2009</w:t>
      </w:r>
      <w:r>
        <w:rPr>
          <w:rFonts w:hint="eastAsia" w:ascii="宋体" w:hAnsi="宋体" w:cs="宋体"/>
          <w:color w:val="auto"/>
          <w:sz w:val="21"/>
          <w:szCs w:val="21"/>
          <w:highlight w:val="none"/>
        </w:rPr>
        <w:t>）。对于瓶装或桶装的化学品，其标识必须包含化学品的名称、分子式、有效成分含量及等级、净重、危险标识、供货厂家、批号、生产日期、有效期、产品质量符合标准的证明和标准编号等信息。对于运送散装化学品的储槽上必须有标识，必须包含化学品的名称和危险标识等信息，运送人员同时提供产品质量检验报告。</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4.所采购品含腐蚀性、有毒成分，产品进厂后，将严格执行厂区的安全规定和政府部门的《危险化学品的安全管理》。</w:t>
      </w:r>
    </w:p>
    <w:p>
      <w:pPr>
        <w:spacing w:line="360" w:lineRule="auto"/>
        <w:ind w:firstLine="422" w:firstLineChars="200"/>
        <w:rPr>
          <w:rFonts w:hint="eastAsia" w:ascii="宋体" w:hAnsi="宋体" w:cs="宋体"/>
          <w:b/>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第五条  交货时间、地点及供货期限</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1.交货地点：东莞市海心沙资源综合利用中心环保热电厂项目指定地点。</w:t>
      </w:r>
    </w:p>
    <w:p>
      <w:pPr>
        <w:tabs>
          <w:tab w:val="left" w:pos="0"/>
          <w:tab w:val="left" w:pos="709"/>
        </w:tabs>
        <w:spacing w:line="360" w:lineRule="auto"/>
        <w:ind w:firstLine="420" w:firstLineChars="200"/>
        <w:rPr>
          <w:rFonts w:hint="eastAsia" w:ascii="宋体" w:hAnsi="宋体" w:cs="宋体"/>
          <w:bCs/>
          <w:snapToGrid w:val="0"/>
          <w:color w:val="auto"/>
          <w:sz w:val="21"/>
          <w:szCs w:val="21"/>
          <w:highlight w:val="none"/>
        </w:rPr>
      </w:pPr>
      <w:r>
        <w:rPr>
          <w:rFonts w:hint="eastAsia" w:ascii="宋体" w:hAnsi="宋体" w:cs="宋体"/>
          <w:color w:val="auto"/>
          <w:sz w:val="21"/>
          <w:szCs w:val="21"/>
          <w:highlight w:val="none"/>
        </w:rPr>
        <w:t>2.交货时间及顺序：经甲方提前2日以书面、微信、电子邮件或短信通知后，乙方需确保在规定期限内交货到厂。乙方在收到甲方书面、微信、电子邮件或短信等通知后应立即供货，如不能在约定时间内及时供货时，则承担逾期供货相关责任。</w:t>
      </w:r>
      <w:r>
        <w:rPr>
          <w:rFonts w:hint="eastAsia" w:ascii="宋体" w:hAnsi="宋体" w:cs="宋体"/>
          <w:bCs/>
          <w:snapToGrid w:val="0"/>
          <w:color w:val="auto"/>
          <w:sz w:val="21"/>
          <w:szCs w:val="21"/>
          <w:highlight w:val="none"/>
        </w:rPr>
        <w:t>本次采购不限定每次采购的时间、数量。乙方应当根据甲方的随时通知在上述期限内及时供货。乙方应当自行预估并且承担由此可能带来的风险。</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3.紧急供货：如甲方的任一项目因突发状况要求紧急供货，乙方应在收到甲方通知后根据甲方订单或电子邮件、短信等要求在10个小时内交货到厂。如不能在约定时间交货到厂，则承担逾期交货相关责任。</w:t>
      </w:r>
    </w:p>
    <w:p>
      <w:pPr>
        <w:tabs>
          <w:tab w:val="left" w:pos="0"/>
          <w:tab w:val="left" w:pos="709"/>
        </w:tabs>
        <w:spacing w:line="360" w:lineRule="auto"/>
        <w:ind w:firstLine="420" w:firstLineChars="200"/>
        <w:rPr>
          <w:rFonts w:hint="eastAsia" w:ascii="宋体" w:hAnsi="宋体" w:cs="宋体"/>
          <w:b/>
          <w:color w:val="auto"/>
          <w:sz w:val="21"/>
          <w:szCs w:val="21"/>
          <w:highlight w:val="none"/>
        </w:rPr>
      </w:pPr>
      <w:r>
        <w:rPr>
          <w:rFonts w:hint="eastAsia" w:ascii="宋体" w:hAnsi="宋体" w:cs="宋体"/>
          <w:color w:val="auto"/>
          <w:sz w:val="21"/>
          <w:szCs w:val="21"/>
          <w:highlight w:val="none"/>
        </w:rPr>
        <w:t>4.</w:t>
      </w:r>
      <w:r>
        <w:rPr>
          <w:rFonts w:hint="eastAsia" w:ascii="宋体" w:hAnsi="宋体" w:cs="宋体"/>
          <w:b/>
          <w:color w:val="auto"/>
          <w:sz w:val="21"/>
          <w:szCs w:val="21"/>
          <w:highlight w:val="none"/>
        </w:rPr>
        <w:t>供货期限：</w:t>
      </w:r>
    </w:p>
    <w:p>
      <w:pPr>
        <w:tabs>
          <w:tab w:val="left" w:pos="0"/>
          <w:tab w:val="left" w:pos="709"/>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供货期限为：自中标通知书发出之日起至</w:t>
      </w:r>
      <w:r>
        <w:rPr>
          <w:rFonts w:hint="eastAsia" w:ascii="宋体" w:hAnsi="宋体" w:cs="宋体"/>
          <w:bCs/>
          <w:color w:val="auto"/>
          <w:sz w:val="21"/>
          <w:szCs w:val="21"/>
          <w:highlight w:val="none"/>
          <w:lang w:val="en-US" w:eastAsia="zh-CN"/>
        </w:rPr>
        <w:t xml:space="preserve">    </w:t>
      </w:r>
      <w:r>
        <w:rPr>
          <w:rFonts w:hint="eastAsia" w:ascii="宋体" w:hAnsi="宋体" w:cs="宋体"/>
          <w:bCs/>
          <w:color w:val="auto"/>
          <w:sz w:val="21"/>
          <w:szCs w:val="21"/>
          <w:highlight w:val="none"/>
        </w:rPr>
        <w:t>年  月  日。开始送货时间以采购人通知为准。</w:t>
      </w:r>
    </w:p>
    <w:p>
      <w:pPr>
        <w:tabs>
          <w:tab w:val="left" w:pos="0"/>
          <w:tab w:val="left" w:pos="709"/>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合同执行期间，甲方有权根据项目实际需求提前终止合同，选择不继续采购乙方货物，乙方不得要求甲方继续采购乙方货物或要求赔偿。</w:t>
      </w:r>
    </w:p>
    <w:p>
      <w:pPr>
        <w:spacing w:line="360" w:lineRule="auto"/>
        <w:ind w:firstLine="422" w:firstLineChars="200"/>
        <w:rPr>
          <w:rFonts w:ascii="宋体" w:hAnsi="宋体" w:cs="宋体"/>
          <w:b/>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第六条  合理损耗标准及计算方法</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1.双方共同确定的计量方法，即</w:t>
      </w:r>
      <w:r>
        <w:rPr>
          <w:rFonts w:hint="eastAsia" w:ascii="宋体" w:hAnsi="宋体" w:cs="宋体"/>
          <w:color w:val="auto"/>
          <w:sz w:val="21"/>
          <w:szCs w:val="21"/>
          <w:highlight w:val="none"/>
          <w:u w:val="single"/>
        </w:rPr>
        <w:t>甲方指定送货电厂地磅计量法，无出厂化验报告，禁止过磅。</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2.根据上述方法乙方向甲方实际交付的产品数量在本合同约定的合理损耗（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%）的范围内，乙方不承担责任。</w:t>
      </w:r>
    </w:p>
    <w:p>
      <w:pPr>
        <w:spacing w:line="360" w:lineRule="auto"/>
        <w:ind w:firstLine="420" w:firstLineChars="200"/>
        <w:rPr>
          <w:rFonts w:hint="eastAsia" w:ascii="宋体" w:hAnsi="宋体" w:cs="宋体"/>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第七条  货物的保管风险及所有权的转移</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1.货物的保管风险自交付至甲方指定的交货地点之时转移至甲方，即在约定时间、约定地点交付之前货物的保管风险由乙方承担，交付之后货物的保管风险由甲方承担。</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2.货物的所有权自</w:t>
      </w:r>
      <w:r>
        <w:rPr>
          <w:rFonts w:hint="eastAsia" w:ascii="宋体" w:hAnsi="宋体" w:cs="宋体"/>
          <w:color w:val="auto"/>
          <w:sz w:val="21"/>
          <w:szCs w:val="21"/>
          <w:highlight w:val="none"/>
          <w:u w:val="single"/>
        </w:rPr>
        <w:t>交付</w:t>
      </w:r>
      <w:r>
        <w:rPr>
          <w:rFonts w:hint="eastAsia" w:ascii="宋体" w:hAnsi="宋体" w:cs="宋体"/>
          <w:color w:val="auto"/>
          <w:sz w:val="21"/>
          <w:szCs w:val="21"/>
          <w:highlight w:val="none"/>
        </w:rPr>
        <w:t>起转移至甲方。</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3.乙方迟延交付的，承担迟延期间货物的风险责任。</w:t>
      </w:r>
    </w:p>
    <w:p>
      <w:pPr>
        <w:spacing w:line="360" w:lineRule="auto"/>
        <w:ind w:firstLine="420" w:firstLineChars="200"/>
        <w:rPr>
          <w:rFonts w:hint="eastAsia" w:ascii="宋体" w:hAnsi="宋体" w:cs="宋体"/>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第八条  运输方法</w:t>
      </w:r>
      <w:r>
        <w:rPr>
          <w:rFonts w:hint="eastAsia" w:ascii="宋体" w:hAnsi="宋体" w:cs="宋体"/>
          <w:color w:val="auto"/>
          <w:sz w:val="21"/>
          <w:szCs w:val="21"/>
          <w:highlight w:val="none"/>
        </w:rPr>
        <w:t>、</w:t>
      </w:r>
      <w:r>
        <w:rPr>
          <w:rFonts w:hint="eastAsia" w:ascii="宋体" w:hAnsi="宋体" w:cs="宋体"/>
          <w:b/>
          <w:color w:val="auto"/>
          <w:sz w:val="21"/>
          <w:szCs w:val="21"/>
          <w:highlight w:val="none"/>
        </w:rPr>
        <w:t>运费及运输保险负担、到达站（港）</w:t>
      </w:r>
      <w:r>
        <w:rPr>
          <w:rFonts w:hint="eastAsia" w:ascii="宋体" w:hAnsi="宋体" w:cs="宋体"/>
          <w:color w:val="auto"/>
          <w:sz w:val="21"/>
          <w:szCs w:val="21"/>
          <w:highlight w:val="none"/>
          <w:u w:val="single"/>
        </w:rPr>
        <w:t xml:space="preserve">   ﹨      </w:t>
      </w:r>
      <w:r>
        <w:rPr>
          <w:rFonts w:hint="eastAsia" w:ascii="宋体" w:hAnsi="宋体" w:cs="宋体"/>
          <w:b/>
          <w:color w:val="auto"/>
          <w:sz w:val="21"/>
          <w:szCs w:val="21"/>
          <w:highlight w:val="none"/>
        </w:rPr>
        <w:t>。</w:t>
      </w:r>
    </w:p>
    <w:p>
      <w:pPr>
        <w:spacing w:line="360" w:lineRule="auto"/>
        <w:ind w:firstLine="420" w:firstLineChars="200"/>
        <w:rPr>
          <w:rFonts w:hint="eastAsia" w:ascii="宋体" w:hAnsi="宋体" w:cs="宋体"/>
          <w:b/>
          <w:color w:val="auto"/>
          <w:sz w:val="21"/>
          <w:szCs w:val="21"/>
          <w:highlight w:val="none"/>
        </w:rPr>
      </w:pPr>
      <w:r>
        <w:rPr>
          <w:rFonts w:hint="eastAsia" w:ascii="宋体" w:hAnsi="宋体" w:cs="宋体"/>
          <w:color w:val="auto"/>
          <w:sz w:val="21"/>
          <w:szCs w:val="21"/>
          <w:highlight w:val="none"/>
        </w:rPr>
        <w:t>1.运输方法：乙方须用合规格密封良好的运输车运输合同货物。注意环境保护。每次送货不大于10吨。以上由乙方承担运输及装卸等费用，自行卸货。</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2.费用负担：按</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执行。</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（1）运费已包含在本合同价款内；（2）运输费用</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元，由甲方另行支付。</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3.运输保险费由</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方承担，共计：</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。由乙方代办托运的保险受益人为甲方。保险费已包含在本合同价款内。</w:t>
      </w:r>
    </w:p>
    <w:p>
      <w:pPr>
        <w:spacing w:line="360" w:lineRule="auto"/>
        <w:ind w:firstLine="420" w:firstLineChars="200"/>
        <w:rPr>
          <w:rFonts w:hint="eastAsia" w:ascii="宋体" w:hAnsi="宋体" w:cs="宋体"/>
          <w:color w:val="auto"/>
          <w:sz w:val="21"/>
          <w:szCs w:val="21"/>
          <w:highlight w:val="none"/>
        </w:rPr>
      </w:pPr>
    </w:p>
    <w:p>
      <w:pPr>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第九条  检验标准、方法、地点及期限</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1.检验标准：按本合同第二条质量标准进行检验。</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2.验收方式：按</w:t>
      </w:r>
      <w:r>
        <w:rPr>
          <w:rFonts w:hint="eastAsia" w:ascii="宋体" w:hAnsi="宋体" w:cs="宋体"/>
          <w:color w:val="auto"/>
          <w:sz w:val="21"/>
          <w:szCs w:val="21"/>
          <w:highlight w:val="none"/>
          <w:u w:val="single"/>
        </w:rPr>
        <w:t xml:space="preserve"> (1)、(2) 、(3) 、(4) 、（5）、（6）、（7）</w:t>
      </w:r>
      <w:r>
        <w:rPr>
          <w:rFonts w:hint="eastAsia" w:ascii="宋体" w:hAnsi="宋体" w:cs="宋体"/>
          <w:color w:val="auto"/>
          <w:sz w:val="21"/>
          <w:szCs w:val="21"/>
          <w:highlight w:val="none"/>
        </w:rPr>
        <w:t>执行。</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u w:val="single"/>
        </w:rPr>
        <w:t>乙方在送货时，必须提供每一批货物的出厂化验报告及送货单，要求必须签字盖章。无出厂化验报告，禁止过磅。</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车次过磅后乙方送达产品到甲方指定地点进行抽样取样，每次取样时，供需双方应当共同见证取样，且取样单须经供需双方共同签字签章确认（乙方拒绝派人参加取样或者拒绝签字盖章确认的，不影响甲方取样的效力）。每车次取4份样品（</w:t>
      </w:r>
      <w:r>
        <w:rPr>
          <w:rFonts w:hint="eastAsia" w:ascii="宋体" w:hAnsi="宋体" w:cs="宋体"/>
          <w:color w:val="auto"/>
          <w:sz w:val="21"/>
          <w:szCs w:val="21"/>
          <w:highlight w:val="none"/>
          <w:u w:val="single"/>
        </w:rPr>
        <w:t>其中1份样品交由甲方实验室检测，1份预备送第三方检测机构进行检测，</w:t>
      </w:r>
      <w:r>
        <w:rPr>
          <w:rFonts w:hint="eastAsia" w:ascii="宋体" w:hAnsi="宋体" w:cs="宋体"/>
          <w:color w:val="auto"/>
          <w:sz w:val="21"/>
          <w:szCs w:val="21"/>
          <w:highlight w:val="none"/>
        </w:rPr>
        <w:t>另外2份样品作为备样交由甲方备存），甲方完成取样并且实验室初步检验合格后，由乙方负责卸货至甲方指定地点，卸货费用已经包含在合同价款中。卸货后乙方必须再次到甲方地磅过空磅，签字确认并拿取过磅单后，方可离厂。如退货，乙方必须在10小时内第二车送货到厂。</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（3）不予收货：乙方货物经甲方分析检测室检验确认为本车次产品不合格。</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（4）第三方检测：</w:t>
      </w:r>
    </w:p>
    <w:p>
      <w:pPr>
        <w:pStyle w:val="91"/>
        <w:keepNext w:val="0"/>
        <w:keepLines w:val="0"/>
        <w:pageBreakBefore w:val="0"/>
        <w:widowControl/>
        <w:numPr>
          <w:ilvl w:val="0"/>
          <w:numId w:val="0"/>
        </w:numPr>
        <w:kinsoku/>
        <w:wordWrap/>
        <w:overflowPunct/>
        <w:topLinePunct/>
        <w:autoSpaceDE w:val="0"/>
        <w:autoSpaceDN w:val="0"/>
        <w:bidi w:val="0"/>
        <w:adjustRightInd w:val="0"/>
        <w:snapToGrid w:val="0"/>
        <w:spacing w:line="360" w:lineRule="auto"/>
        <w:ind w:firstLine="399" w:firstLineChars="19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活性炭技术参数：</w:t>
      </w:r>
    </w:p>
    <w:p>
      <w:pPr>
        <w:pStyle w:val="91"/>
        <w:keepNext w:val="0"/>
        <w:keepLines w:val="0"/>
        <w:pageBreakBefore w:val="0"/>
        <w:widowControl/>
        <w:numPr>
          <w:ilvl w:val="0"/>
          <w:numId w:val="0"/>
        </w:numPr>
        <w:kinsoku/>
        <w:wordWrap/>
        <w:overflowPunct/>
        <w:topLinePunct/>
        <w:autoSpaceDE w:val="0"/>
        <w:autoSpaceDN w:val="0"/>
        <w:bidi w:val="0"/>
        <w:adjustRightInd w:val="0"/>
        <w:snapToGrid w:val="0"/>
        <w:spacing w:line="360" w:lineRule="auto"/>
        <w:ind w:firstLine="399" w:firstLineChars="190"/>
        <w:textAlignment w:val="baseline"/>
        <w:rPr>
          <w:rFonts w:hint="eastAsia" w:ascii="宋体" w:hAnsi="宋体" w:cs="宋体"/>
          <w:color w:val="auto"/>
          <w:sz w:val="21"/>
          <w:szCs w:val="21"/>
          <w:highlight w:val="none"/>
        </w:rPr>
      </w:pPr>
      <w:r>
        <w:rPr>
          <w:rFonts w:ascii="宋体" w:hAnsi="宋体" w:cs="宋体"/>
          <w:color w:val="auto"/>
          <w:sz w:val="21"/>
          <w:szCs w:val="21"/>
          <w:highlight w:val="none"/>
        </w:rPr>
        <w:t>a.</w:t>
      </w:r>
      <w:r>
        <w:rPr>
          <w:rFonts w:hint="eastAsia" w:ascii="宋体" w:hAnsi="宋体" w:cs="宋体"/>
          <w:color w:val="auto"/>
          <w:sz w:val="21"/>
          <w:szCs w:val="21"/>
          <w:highlight w:val="none"/>
        </w:rPr>
        <w:t>目数</w:t>
      </w:r>
      <w:r>
        <w:rPr>
          <w:rFonts w:ascii="宋体" w:hAnsi="宋体" w:cs="宋体"/>
          <w:color w:val="auto"/>
          <w:sz w:val="21"/>
          <w:szCs w:val="21"/>
          <w:highlight w:val="none"/>
        </w:rPr>
        <w:t>325</w:t>
      </w:r>
      <w:r>
        <w:rPr>
          <w:rFonts w:hint="eastAsia" w:ascii="宋体" w:hAnsi="宋体" w:cs="宋体"/>
          <w:color w:val="auto"/>
          <w:sz w:val="21"/>
          <w:szCs w:val="21"/>
          <w:highlight w:val="none"/>
        </w:rPr>
        <w:t>目且通过率≥</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5%；</w:t>
      </w:r>
    </w:p>
    <w:p>
      <w:pPr>
        <w:pStyle w:val="91"/>
        <w:keepNext w:val="0"/>
        <w:keepLines w:val="0"/>
        <w:pageBreakBefore w:val="0"/>
        <w:widowControl/>
        <w:numPr>
          <w:ilvl w:val="0"/>
          <w:numId w:val="0"/>
        </w:numPr>
        <w:kinsoku/>
        <w:wordWrap/>
        <w:overflowPunct/>
        <w:topLinePunct/>
        <w:autoSpaceDE w:val="0"/>
        <w:autoSpaceDN w:val="0"/>
        <w:bidi w:val="0"/>
        <w:adjustRightInd w:val="0"/>
        <w:snapToGrid w:val="0"/>
        <w:spacing w:line="360" w:lineRule="auto"/>
        <w:ind w:firstLine="399" w:firstLineChars="190"/>
        <w:textAlignment w:val="baseline"/>
        <w:rPr>
          <w:rFonts w:hint="eastAsia" w:ascii="宋体" w:hAnsi="宋体" w:cs="宋体"/>
          <w:color w:val="auto"/>
          <w:sz w:val="21"/>
          <w:szCs w:val="21"/>
          <w:highlight w:val="none"/>
        </w:rPr>
      </w:pPr>
      <w:r>
        <w:rPr>
          <w:rFonts w:ascii="宋体" w:hAnsi="宋体" w:cs="宋体"/>
          <w:color w:val="auto"/>
          <w:sz w:val="21"/>
          <w:szCs w:val="21"/>
          <w:highlight w:val="none"/>
        </w:rPr>
        <w:t>b.</w:t>
      </w:r>
      <w:r>
        <w:rPr>
          <w:rFonts w:hint="eastAsia" w:ascii="宋体" w:hAnsi="宋体" w:cs="宋体"/>
          <w:color w:val="auto"/>
          <w:sz w:val="21"/>
          <w:szCs w:val="21"/>
          <w:highlight w:val="none"/>
        </w:rPr>
        <w:t>比表面积≥900m</w:t>
      </w:r>
      <w:r>
        <w:rPr>
          <w:rFonts w:hint="eastAsia" w:ascii="宋体" w:hAnsi="宋体" w:cs="宋体"/>
          <w:color w:val="auto"/>
          <w:sz w:val="21"/>
          <w:szCs w:val="21"/>
          <w:highlight w:val="none"/>
          <w:vertAlign w:val="superscript"/>
        </w:rPr>
        <w:t>2</w:t>
      </w:r>
      <w:r>
        <w:rPr>
          <w:rFonts w:hint="eastAsia" w:ascii="宋体" w:hAnsi="宋体" w:cs="宋体"/>
          <w:color w:val="auto"/>
          <w:sz w:val="21"/>
          <w:szCs w:val="21"/>
          <w:highlight w:val="none"/>
        </w:rPr>
        <w:t>/g；</w:t>
      </w:r>
    </w:p>
    <w:p>
      <w:pPr>
        <w:pStyle w:val="91"/>
        <w:keepNext w:val="0"/>
        <w:keepLines w:val="0"/>
        <w:pageBreakBefore w:val="0"/>
        <w:widowControl/>
        <w:numPr>
          <w:ilvl w:val="0"/>
          <w:numId w:val="0"/>
        </w:numPr>
        <w:kinsoku/>
        <w:wordWrap/>
        <w:overflowPunct/>
        <w:topLinePunct/>
        <w:autoSpaceDE w:val="0"/>
        <w:autoSpaceDN w:val="0"/>
        <w:bidi w:val="0"/>
        <w:adjustRightInd w:val="0"/>
        <w:snapToGrid w:val="0"/>
        <w:spacing w:line="360" w:lineRule="auto"/>
        <w:ind w:firstLine="399" w:firstLineChars="190"/>
        <w:textAlignment w:val="baseline"/>
        <w:rPr>
          <w:rFonts w:hint="eastAsia" w:ascii="宋体" w:hAnsi="宋体" w:cs="宋体"/>
          <w:color w:val="auto"/>
          <w:sz w:val="21"/>
          <w:szCs w:val="21"/>
          <w:highlight w:val="none"/>
        </w:rPr>
      </w:pPr>
      <w:r>
        <w:rPr>
          <w:rFonts w:ascii="宋体" w:hAnsi="宋体" w:cs="宋体"/>
          <w:color w:val="auto"/>
          <w:sz w:val="21"/>
          <w:szCs w:val="21"/>
          <w:highlight w:val="none"/>
        </w:rPr>
        <w:t>c.</w:t>
      </w:r>
      <w:r>
        <w:rPr>
          <w:rFonts w:hint="eastAsia" w:ascii="宋体" w:hAnsi="宋体" w:cs="宋体"/>
          <w:color w:val="auto"/>
          <w:sz w:val="21"/>
          <w:szCs w:val="21"/>
          <w:highlight w:val="none"/>
        </w:rPr>
        <w:t>碘值≥900mg/g；</w:t>
      </w:r>
    </w:p>
    <w:p>
      <w:pPr>
        <w:pStyle w:val="91"/>
        <w:keepNext w:val="0"/>
        <w:keepLines w:val="0"/>
        <w:pageBreakBefore w:val="0"/>
        <w:widowControl/>
        <w:numPr>
          <w:ilvl w:val="0"/>
          <w:numId w:val="0"/>
        </w:numPr>
        <w:kinsoku/>
        <w:wordWrap/>
        <w:overflowPunct/>
        <w:topLinePunct/>
        <w:autoSpaceDE w:val="0"/>
        <w:autoSpaceDN w:val="0"/>
        <w:bidi w:val="0"/>
        <w:adjustRightInd w:val="0"/>
        <w:snapToGrid w:val="0"/>
        <w:spacing w:line="360" w:lineRule="auto"/>
        <w:ind w:firstLine="399" w:firstLineChars="190"/>
        <w:textAlignment w:val="baseline"/>
        <w:rPr>
          <w:rFonts w:hint="eastAsia" w:ascii="宋体" w:hAnsi="宋体" w:cs="宋体"/>
          <w:color w:val="auto"/>
          <w:sz w:val="21"/>
          <w:szCs w:val="21"/>
          <w:highlight w:val="none"/>
        </w:rPr>
      </w:pPr>
      <w:r>
        <w:rPr>
          <w:rFonts w:ascii="宋体" w:hAnsi="宋体" w:cs="宋体"/>
          <w:color w:val="auto"/>
          <w:sz w:val="21"/>
          <w:szCs w:val="21"/>
          <w:highlight w:val="none"/>
        </w:rPr>
        <w:t>d.</w:t>
      </w:r>
      <w:r>
        <w:rPr>
          <w:rFonts w:hint="eastAsia" w:ascii="宋体" w:hAnsi="宋体" w:cs="宋体"/>
          <w:color w:val="auto"/>
          <w:sz w:val="21"/>
          <w:szCs w:val="21"/>
          <w:highlight w:val="none"/>
        </w:rPr>
        <w:t>燃烧温度＞700℃；</w:t>
      </w:r>
    </w:p>
    <w:p>
      <w:pPr>
        <w:pStyle w:val="91"/>
        <w:keepNext w:val="0"/>
        <w:keepLines w:val="0"/>
        <w:pageBreakBefore w:val="0"/>
        <w:widowControl/>
        <w:numPr>
          <w:ilvl w:val="0"/>
          <w:numId w:val="0"/>
        </w:numPr>
        <w:kinsoku/>
        <w:wordWrap/>
        <w:overflowPunct/>
        <w:topLinePunct/>
        <w:autoSpaceDE w:val="0"/>
        <w:autoSpaceDN w:val="0"/>
        <w:bidi w:val="0"/>
        <w:adjustRightInd w:val="0"/>
        <w:snapToGrid w:val="0"/>
        <w:spacing w:line="360" w:lineRule="auto"/>
        <w:ind w:firstLine="399" w:firstLineChars="190"/>
        <w:textAlignment w:val="baseline"/>
        <w:rPr>
          <w:rFonts w:hint="eastAsia" w:ascii="宋体" w:hAnsi="宋体" w:cs="宋体"/>
          <w:color w:val="auto"/>
          <w:sz w:val="21"/>
          <w:szCs w:val="21"/>
          <w:highlight w:val="none"/>
        </w:rPr>
      </w:pPr>
      <w:r>
        <w:rPr>
          <w:rFonts w:ascii="宋体" w:hAnsi="宋体" w:cs="宋体"/>
          <w:color w:val="auto"/>
          <w:sz w:val="21"/>
          <w:szCs w:val="21"/>
          <w:highlight w:val="none"/>
        </w:rPr>
        <w:t>e.</w:t>
      </w:r>
      <w:r>
        <w:rPr>
          <w:rFonts w:hint="eastAsia" w:ascii="宋体" w:hAnsi="宋体" w:cs="宋体"/>
          <w:color w:val="auto"/>
          <w:sz w:val="21"/>
          <w:szCs w:val="21"/>
          <w:highlight w:val="none"/>
        </w:rPr>
        <w:t>烟化温度＞450℃；</w:t>
      </w:r>
    </w:p>
    <w:p>
      <w:pPr>
        <w:pStyle w:val="91"/>
        <w:keepNext w:val="0"/>
        <w:keepLines w:val="0"/>
        <w:pageBreakBefore w:val="0"/>
        <w:widowControl/>
        <w:numPr>
          <w:ilvl w:val="0"/>
          <w:numId w:val="0"/>
        </w:numPr>
        <w:kinsoku/>
        <w:wordWrap/>
        <w:overflowPunct/>
        <w:topLinePunct/>
        <w:autoSpaceDE w:val="0"/>
        <w:autoSpaceDN w:val="0"/>
        <w:bidi w:val="0"/>
        <w:adjustRightInd w:val="0"/>
        <w:snapToGrid w:val="0"/>
        <w:spacing w:line="360" w:lineRule="auto"/>
        <w:ind w:firstLine="399" w:firstLineChars="190"/>
        <w:textAlignment w:val="baseline"/>
        <w:rPr>
          <w:rFonts w:hint="eastAsia" w:ascii="宋体" w:hAnsi="宋体" w:cs="宋体"/>
          <w:color w:val="auto"/>
          <w:sz w:val="21"/>
          <w:szCs w:val="21"/>
          <w:highlight w:val="none"/>
        </w:rPr>
      </w:pPr>
      <w:r>
        <w:rPr>
          <w:rFonts w:ascii="宋体" w:hAnsi="宋体" w:cs="宋体"/>
          <w:color w:val="auto"/>
          <w:sz w:val="21"/>
          <w:szCs w:val="21"/>
          <w:highlight w:val="none"/>
        </w:rPr>
        <w:t>f.</w:t>
      </w:r>
      <w:r>
        <w:rPr>
          <w:rFonts w:hint="eastAsia" w:ascii="宋体" w:hAnsi="宋体" w:cs="宋体"/>
          <w:color w:val="auto"/>
          <w:sz w:val="21"/>
          <w:szCs w:val="21"/>
          <w:highlight w:val="none"/>
        </w:rPr>
        <w:t>四氯化炭吸附值＞60%；</w:t>
      </w:r>
    </w:p>
    <w:p>
      <w:pPr>
        <w:pStyle w:val="91"/>
        <w:keepNext w:val="0"/>
        <w:keepLines w:val="0"/>
        <w:pageBreakBefore w:val="0"/>
        <w:widowControl/>
        <w:numPr>
          <w:ilvl w:val="0"/>
          <w:numId w:val="0"/>
        </w:numPr>
        <w:kinsoku/>
        <w:wordWrap/>
        <w:overflowPunct/>
        <w:topLinePunct/>
        <w:autoSpaceDE w:val="0"/>
        <w:autoSpaceDN w:val="0"/>
        <w:bidi w:val="0"/>
        <w:adjustRightInd w:val="0"/>
        <w:snapToGrid w:val="0"/>
        <w:spacing w:line="360" w:lineRule="auto"/>
        <w:ind w:firstLine="399" w:firstLineChars="190"/>
        <w:textAlignment w:val="baseline"/>
        <w:rPr>
          <w:rFonts w:hint="eastAsia" w:ascii="宋体" w:hAnsi="宋体" w:cs="宋体"/>
          <w:color w:val="auto"/>
          <w:sz w:val="21"/>
          <w:szCs w:val="21"/>
          <w:highlight w:val="none"/>
        </w:rPr>
      </w:pPr>
      <w:r>
        <w:rPr>
          <w:rFonts w:ascii="宋体" w:hAnsi="宋体" w:cs="宋体"/>
          <w:color w:val="auto"/>
          <w:sz w:val="21"/>
          <w:szCs w:val="21"/>
          <w:highlight w:val="none"/>
        </w:rPr>
        <w:t>g.</w:t>
      </w:r>
      <w:r>
        <w:rPr>
          <w:rFonts w:hint="eastAsia" w:ascii="宋体" w:hAnsi="宋体" w:cs="宋体"/>
          <w:color w:val="auto"/>
          <w:sz w:val="21"/>
          <w:szCs w:val="21"/>
          <w:highlight w:val="none"/>
        </w:rPr>
        <w:t>水份＜3%；</w:t>
      </w:r>
    </w:p>
    <w:p>
      <w:pPr>
        <w:pStyle w:val="91"/>
        <w:keepNext w:val="0"/>
        <w:keepLines w:val="0"/>
        <w:pageBreakBefore w:val="0"/>
        <w:widowControl/>
        <w:numPr>
          <w:ilvl w:val="0"/>
          <w:numId w:val="0"/>
        </w:numPr>
        <w:kinsoku/>
        <w:wordWrap/>
        <w:overflowPunct/>
        <w:topLinePunct/>
        <w:autoSpaceDE w:val="0"/>
        <w:autoSpaceDN w:val="0"/>
        <w:bidi w:val="0"/>
        <w:adjustRightInd w:val="0"/>
        <w:snapToGrid w:val="0"/>
        <w:spacing w:line="360" w:lineRule="auto"/>
        <w:ind w:firstLine="399" w:firstLineChars="190"/>
        <w:textAlignment w:val="baseline"/>
        <w:rPr>
          <w:rFonts w:hint="eastAsia" w:ascii="宋体" w:hAnsi="宋体" w:cs="宋体"/>
          <w:color w:val="auto"/>
          <w:sz w:val="21"/>
          <w:szCs w:val="21"/>
          <w:highlight w:val="none"/>
        </w:rPr>
      </w:pPr>
      <w:r>
        <w:rPr>
          <w:rFonts w:ascii="宋体" w:hAnsi="宋体" w:cs="宋体"/>
          <w:color w:val="auto"/>
          <w:sz w:val="21"/>
          <w:szCs w:val="21"/>
          <w:highlight w:val="none"/>
        </w:rPr>
        <w:t>h.</w:t>
      </w:r>
      <w:r>
        <w:rPr>
          <w:rFonts w:hint="eastAsia" w:ascii="宋体" w:hAnsi="宋体" w:cs="宋体"/>
          <w:color w:val="auto"/>
          <w:sz w:val="21"/>
          <w:szCs w:val="21"/>
          <w:highlight w:val="none"/>
        </w:rPr>
        <w:t>灰分＜10%；</w:t>
      </w:r>
    </w:p>
    <w:p>
      <w:pPr>
        <w:pStyle w:val="91"/>
        <w:keepNext w:val="0"/>
        <w:keepLines w:val="0"/>
        <w:pageBreakBefore w:val="0"/>
        <w:widowControl/>
        <w:numPr>
          <w:ilvl w:val="0"/>
          <w:numId w:val="0"/>
        </w:numPr>
        <w:kinsoku/>
        <w:wordWrap/>
        <w:overflowPunct/>
        <w:topLinePunct/>
        <w:autoSpaceDE w:val="0"/>
        <w:autoSpaceDN w:val="0"/>
        <w:bidi w:val="0"/>
        <w:adjustRightInd w:val="0"/>
        <w:snapToGrid w:val="0"/>
        <w:spacing w:line="360" w:lineRule="auto"/>
        <w:ind w:firstLine="399" w:firstLineChars="190"/>
        <w:textAlignment w:val="baseline"/>
        <w:rPr>
          <w:rFonts w:hint="eastAsia" w:ascii="宋体" w:hAnsi="宋体" w:cs="宋体"/>
          <w:color w:val="auto"/>
          <w:sz w:val="21"/>
          <w:szCs w:val="21"/>
          <w:highlight w:val="none"/>
        </w:rPr>
      </w:pPr>
      <w:r>
        <w:rPr>
          <w:rFonts w:ascii="宋体" w:hAnsi="宋体" w:cs="宋体"/>
          <w:color w:val="auto"/>
          <w:sz w:val="21"/>
          <w:szCs w:val="21"/>
          <w:highlight w:val="none"/>
        </w:rPr>
        <w:t>i.</w:t>
      </w:r>
      <w:r>
        <w:rPr>
          <w:rFonts w:hint="eastAsia" w:ascii="宋体" w:hAnsi="宋体" w:cs="宋体"/>
          <w:color w:val="auto"/>
          <w:sz w:val="21"/>
          <w:szCs w:val="21"/>
          <w:highlight w:val="none"/>
        </w:rPr>
        <w:t>PH5~7.5；</w:t>
      </w:r>
    </w:p>
    <w:p>
      <w:pPr>
        <w:pStyle w:val="91"/>
        <w:keepNext w:val="0"/>
        <w:keepLines w:val="0"/>
        <w:pageBreakBefore w:val="0"/>
        <w:widowControl/>
        <w:numPr>
          <w:ilvl w:val="0"/>
          <w:numId w:val="0"/>
        </w:numPr>
        <w:kinsoku/>
        <w:wordWrap/>
        <w:overflowPunct/>
        <w:topLinePunct/>
        <w:autoSpaceDE w:val="0"/>
        <w:autoSpaceDN w:val="0"/>
        <w:bidi w:val="0"/>
        <w:adjustRightInd w:val="0"/>
        <w:snapToGrid w:val="0"/>
        <w:spacing w:line="360" w:lineRule="auto"/>
        <w:ind w:firstLine="399" w:firstLineChars="190"/>
        <w:textAlignment w:val="baseline"/>
        <w:rPr>
          <w:rFonts w:hint="eastAsia" w:ascii="宋体" w:hAnsi="宋体" w:cs="宋体"/>
          <w:color w:val="auto"/>
          <w:sz w:val="21"/>
          <w:szCs w:val="21"/>
          <w:highlight w:val="none"/>
        </w:rPr>
      </w:pPr>
      <w:r>
        <w:rPr>
          <w:rFonts w:ascii="宋体" w:hAnsi="宋体" w:cs="宋体"/>
          <w:color w:val="auto"/>
          <w:sz w:val="21"/>
          <w:szCs w:val="21"/>
          <w:highlight w:val="none"/>
        </w:rPr>
        <w:t>j.</w:t>
      </w:r>
      <w:r>
        <w:rPr>
          <w:rFonts w:hint="eastAsia" w:ascii="宋体" w:hAnsi="宋体" w:cs="宋体"/>
          <w:color w:val="auto"/>
          <w:sz w:val="21"/>
          <w:szCs w:val="21"/>
          <w:highlight w:val="none"/>
        </w:rPr>
        <w:t>填充密度450-500kg/m</w:t>
      </w:r>
      <w:r>
        <w:rPr>
          <w:rFonts w:hint="eastAsia" w:ascii="宋体" w:hAnsi="宋体" w:cs="宋体"/>
          <w:color w:val="auto"/>
          <w:sz w:val="21"/>
          <w:szCs w:val="21"/>
          <w:highlight w:val="none"/>
          <w:vertAlign w:val="superscript"/>
        </w:rPr>
        <w:t>3</w:t>
      </w:r>
      <w:r>
        <w:rPr>
          <w:rFonts w:hint="eastAsia" w:ascii="宋体" w:hAnsi="宋体" w:cs="宋体"/>
          <w:color w:val="auto"/>
          <w:sz w:val="21"/>
          <w:szCs w:val="21"/>
          <w:highlight w:val="none"/>
        </w:rPr>
        <w:t>；</w:t>
      </w:r>
    </w:p>
    <w:p>
      <w:pPr>
        <w:pStyle w:val="91"/>
        <w:keepNext w:val="0"/>
        <w:keepLines w:val="0"/>
        <w:pageBreakBefore w:val="0"/>
        <w:widowControl/>
        <w:numPr>
          <w:ilvl w:val="0"/>
          <w:numId w:val="0"/>
        </w:numPr>
        <w:kinsoku/>
        <w:wordWrap/>
        <w:overflowPunct/>
        <w:topLinePunct/>
        <w:autoSpaceDE w:val="0"/>
        <w:autoSpaceDN w:val="0"/>
        <w:bidi w:val="0"/>
        <w:adjustRightInd w:val="0"/>
        <w:snapToGrid w:val="0"/>
        <w:spacing w:line="360" w:lineRule="auto"/>
        <w:ind w:firstLine="399" w:firstLineChars="190"/>
        <w:textAlignment w:val="baseline"/>
        <w:rPr>
          <w:rFonts w:hint="eastAsia" w:ascii="宋体" w:hAnsi="宋体" w:cs="宋体"/>
          <w:color w:val="auto"/>
          <w:sz w:val="21"/>
          <w:szCs w:val="21"/>
          <w:highlight w:val="none"/>
        </w:rPr>
      </w:pPr>
      <w:r>
        <w:rPr>
          <w:rFonts w:ascii="宋体" w:hAnsi="宋体" w:cs="宋体"/>
          <w:color w:val="auto"/>
          <w:sz w:val="21"/>
          <w:szCs w:val="21"/>
          <w:highlight w:val="none"/>
        </w:rPr>
        <w:t>k.</w:t>
      </w:r>
      <w:r>
        <w:rPr>
          <w:rFonts w:hint="eastAsia" w:ascii="宋体" w:hAnsi="宋体" w:cs="宋体"/>
          <w:color w:val="auto"/>
          <w:sz w:val="21"/>
          <w:szCs w:val="21"/>
          <w:highlight w:val="none"/>
        </w:rPr>
        <w:t>罐车运输。</w:t>
      </w:r>
    </w:p>
    <w:p>
      <w:pPr>
        <w:pStyle w:val="91"/>
        <w:keepNext w:val="0"/>
        <w:keepLines w:val="0"/>
        <w:pageBreakBefore w:val="0"/>
        <w:widowControl/>
        <w:numPr>
          <w:ilvl w:val="0"/>
          <w:numId w:val="0"/>
        </w:numPr>
        <w:kinsoku/>
        <w:wordWrap/>
        <w:overflowPunct/>
        <w:bidi w:val="0"/>
        <w:adjustRightInd w:val="0"/>
        <w:snapToGrid w:val="0"/>
        <w:spacing w:line="360" w:lineRule="auto"/>
        <w:ind w:firstLine="420" w:firstLineChars="200"/>
        <w:rPr>
          <w:rFonts w:hint="eastAsia" w:ascii="宋体" w:hAnsi="宋体" w:cs="宋体"/>
          <w:color w:val="auto"/>
          <w:sz w:val="21"/>
          <w:szCs w:val="21"/>
          <w:highlight w:val="none"/>
        </w:rPr>
      </w:pPr>
      <w:r>
        <w:rPr>
          <w:rFonts w:hint="default" w:ascii="宋体" w:hAnsi="宋体" w:cs="宋体"/>
          <w:color w:val="auto"/>
          <w:sz w:val="21"/>
          <w:szCs w:val="21"/>
          <w:highlight w:val="none"/>
        </w:rPr>
        <w:t>①</w:t>
      </w:r>
      <w:r>
        <w:rPr>
          <w:rFonts w:hint="eastAsia" w:ascii="宋体" w:hAnsi="宋体" w:cs="宋体"/>
          <w:color w:val="auto"/>
          <w:sz w:val="21"/>
          <w:szCs w:val="21"/>
          <w:highlight w:val="none"/>
        </w:rPr>
        <w:t>常规送第三方检测：</w:t>
      </w:r>
      <w:r>
        <w:rPr>
          <w:rFonts w:hint="eastAsia" w:ascii="宋体" w:hAnsi="宋体" w:cs="宋体"/>
          <w:snapToGrid w:val="0"/>
          <w:color w:val="auto"/>
          <w:sz w:val="21"/>
          <w:szCs w:val="21"/>
          <w:highlight w:val="none"/>
        </w:rPr>
        <w:t>甲方每两月1次，每次不定期从同一车次来料货物样品中随机</w:t>
      </w:r>
      <w:r>
        <w:rPr>
          <w:rFonts w:hint="eastAsia" w:ascii="宋体" w:hAnsi="宋体" w:cs="宋体"/>
          <w:color w:val="auto"/>
          <w:sz w:val="21"/>
          <w:szCs w:val="21"/>
          <w:highlight w:val="none"/>
        </w:rPr>
        <w:t>抽取4份样品（其中1份样品交由</w:t>
      </w:r>
      <w:r>
        <w:rPr>
          <w:rFonts w:hint="eastAsia" w:ascii="宋体" w:hAnsi="宋体" w:cs="宋体"/>
          <w:snapToGrid w:val="0"/>
          <w:color w:val="auto"/>
          <w:sz w:val="21"/>
          <w:szCs w:val="21"/>
          <w:highlight w:val="none"/>
        </w:rPr>
        <w:t>甲方</w:t>
      </w:r>
      <w:r>
        <w:rPr>
          <w:rFonts w:hint="eastAsia" w:ascii="宋体" w:hAnsi="宋体" w:cs="宋体"/>
          <w:color w:val="auto"/>
          <w:sz w:val="21"/>
          <w:szCs w:val="21"/>
          <w:highlight w:val="none"/>
        </w:rPr>
        <w:t>实验室检测，1份预备送第三方检测机构进行检测，另外2份样品作为备样交由</w:t>
      </w:r>
      <w:r>
        <w:rPr>
          <w:rFonts w:hint="eastAsia" w:ascii="宋体" w:hAnsi="宋体" w:cs="宋体"/>
          <w:snapToGrid w:val="0"/>
          <w:color w:val="auto"/>
          <w:sz w:val="21"/>
          <w:szCs w:val="21"/>
          <w:highlight w:val="none"/>
        </w:rPr>
        <w:t>甲方</w:t>
      </w:r>
      <w:r>
        <w:rPr>
          <w:rFonts w:hint="eastAsia" w:ascii="宋体" w:hAnsi="宋体" w:cs="宋体"/>
          <w:color w:val="auto"/>
          <w:sz w:val="21"/>
          <w:szCs w:val="21"/>
          <w:highlight w:val="none"/>
        </w:rPr>
        <w:t>备存）</w:t>
      </w:r>
      <w:r>
        <w:rPr>
          <w:rFonts w:hint="eastAsia" w:ascii="宋体" w:hAnsi="宋体" w:cs="宋体"/>
          <w:snapToGrid w:val="0"/>
          <w:color w:val="auto"/>
          <w:sz w:val="21"/>
          <w:szCs w:val="21"/>
          <w:highlight w:val="none"/>
        </w:rPr>
        <w:t>，</w:t>
      </w:r>
      <w:r>
        <w:rPr>
          <w:rFonts w:hint="eastAsia" w:ascii="宋体" w:hAnsi="宋体" w:cs="宋体"/>
          <w:color w:val="auto"/>
          <w:sz w:val="21"/>
          <w:szCs w:val="21"/>
          <w:highlight w:val="none"/>
        </w:rPr>
        <w:t>双方明确三家具有省级或以上级别的计量认证资格证书（CMA）的第三方检测机构，由现场使用单位将样品随机送检</w:t>
      </w:r>
      <w:r>
        <w:rPr>
          <w:rFonts w:hint="eastAsia" w:ascii="宋体" w:hAnsi="宋体" w:cs="宋体"/>
          <w:snapToGrid w:val="0"/>
          <w:color w:val="auto"/>
          <w:sz w:val="21"/>
          <w:szCs w:val="21"/>
          <w:highlight w:val="none"/>
        </w:rPr>
        <w:t>，检验费用（含寄送费用、检测费用等）由乙方承担（如乙方拒付时，甲方有权从应付乙方的货款中直接扣除），</w:t>
      </w:r>
      <w:r>
        <w:rPr>
          <w:rFonts w:hint="eastAsia" w:ascii="宋体" w:hAnsi="宋体" w:cs="宋体"/>
          <w:color w:val="auto"/>
          <w:sz w:val="21"/>
          <w:szCs w:val="21"/>
          <w:highlight w:val="none"/>
        </w:rPr>
        <w:t>电厂项目中</w:t>
      </w:r>
      <w:r>
        <w:rPr>
          <w:rFonts w:hint="eastAsia" w:ascii="宋体" w:hAnsi="宋体" w:cs="宋体"/>
          <w:snapToGrid w:val="0"/>
          <w:color w:val="auto"/>
          <w:sz w:val="21"/>
          <w:szCs w:val="21"/>
          <w:highlight w:val="none"/>
        </w:rPr>
        <w:t>每两月1次随机抽检的第三方检测合格报告作为结算依据。如因乙方未按时支付检测费用导致检测报告滞后出结果影响到付款时间，由乙方自行承担延误付款的不利后果，甲方概不负责。</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②出现异议货物送第三方检测：如乙方对</w:t>
      </w:r>
      <w:r>
        <w:rPr>
          <w:rFonts w:hint="eastAsia" w:ascii="宋体" w:hAnsi="宋体" w:cs="宋体"/>
          <w:color w:val="auto"/>
          <w:sz w:val="21"/>
          <w:szCs w:val="21"/>
          <w:highlight w:val="none"/>
        </w:rPr>
        <w:t>甲方实验室初步检验结果有异议，则甲方</w:t>
      </w:r>
      <w:r>
        <w:rPr>
          <w:rFonts w:hint="eastAsia" w:ascii="宋体" w:hAnsi="宋体" w:cs="宋体"/>
          <w:snapToGrid w:val="0"/>
          <w:color w:val="auto"/>
          <w:sz w:val="21"/>
          <w:szCs w:val="21"/>
          <w:highlight w:val="none"/>
        </w:rPr>
        <w:t>将共同封存的</w:t>
      </w:r>
      <w:r>
        <w:rPr>
          <w:rFonts w:hint="eastAsia" w:ascii="宋体" w:hAnsi="宋体" w:cs="宋体"/>
          <w:color w:val="auto"/>
          <w:sz w:val="21"/>
          <w:szCs w:val="21"/>
          <w:highlight w:val="none"/>
        </w:rPr>
        <w:t>1份该车次样品由甲方在确定的三家检测单位中指定一家送检</w:t>
      </w:r>
      <w:r>
        <w:rPr>
          <w:rFonts w:hint="eastAsia" w:ascii="宋体" w:hAnsi="宋体" w:cs="宋体"/>
          <w:snapToGrid w:val="0"/>
          <w:color w:val="auto"/>
          <w:sz w:val="21"/>
          <w:szCs w:val="21"/>
          <w:highlight w:val="none"/>
        </w:rPr>
        <w:t>。第三方检测结果合格的，检测费用由甲方承担；第三方检测结果不合格的，检测费用由乙方承担（如乙方拒付时，甲方有权从应付乙方的货款中直接扣除）。</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③</w:t>
      </w:r>
      <w:r>
        <w:rPr>
          <w:rFonts w:hint="eastAsia" w:ascii="宋体" w:hAnsi="宋体" w:cs="宋体"/>
          <w:snapToGrid w:val="0"/>
          <w:color w:val="auto"/>
          <w:sz w:val="21"/>
          <w:szCs w:val="21"/>
          <w:highlight w:val="none"/>
        </w:rPr>
        <w:t>甲方</w:t>
      </w:r>
      <w:r>
        <w:rPr>
          <w:rFonts w:hint="eastAsia" w:ascii="宋体" w:hAnsi="宋体" w:cs="宋体"/>
          <w:color w:val="auto"/>
          <w:sz w:val="21"/>
          <w:szCs w:val="21"/>
          <w:highlight w:val="none"/>
        </w:rPr>
        <w:t>不定点不定期抽样送第三方检测：</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甲方有权在合同期内在任一项目不定期随机抽检，双方见证取样，每车次取4份样品（1份样品送第三方检测机构进行检测，2份样品作为备样交由甲方备存，1份给乙方），由甲方指定检测单位及送检，检测费用由甲方承担。</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（6）检测内容及结果的应用：</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①每份检测报告内容包括但不限于：送检样品图片、样品封条（如有）、检验标准等技术需求书中规定的检测内容。</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②复检处理：若某车次货物第1份送检样品的第三方检测报告不合格，如乙方要求复检，</w:t>
      </w:r>
      <w:r>
        <w:rPr>
          <w:rFonts w:hint="eastAsia" w:ascii="宋体" w:hAnsi="宋体" w:cs="宋体"/>
          <w:color w:val="auto"/>
          <w:sz w:val="21"/>
          <w:szCs w:val="21"/>
          <w:highlight w:val="none"/>
        </w:rPr>
        <w:t>则由甲方将该车次2份备样在确定的三家检测单位中指定一家送检，乙方先垫付检测费，最终检测费用由责任方承担（包括送检运费、检测费用等）。</w:t>
      </w:r>
      <w:r>
        <w:rPr>
          <w:rFonts w:hint="eastAsia" w:ascii="宋体" w:hAnsi="宋体" w:cs="宋体"/>
          <w:snapToGrid w:val="0"/>
          <w:color w:val="auto"/>
          <w:sz w:val="21"/>
          <w:szCs w:val="21"/>
          <w:highlight w:val="none"/>
        </w:rPr>
        <w:t>2份备样检测全部合格则视为该车次货物合格，乙方免于处罚，合格检测报告作为该车次货物的结算依据；若有1份备样检测不合格，则视为该车次货物不合格，不予支付该车次货款。</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③第三方检测报告（如有复检，按复检的第三方检测报告）作为货物结算依据。如每车次货物甲方实验室初步检验报告、每两月1次随机抽检的第三方检测报告及甲方对异议货物要求乙方委托第三方出具的合格检测报告（如有）作为乙方进行结算的附件，若作为最终依据的第三方检测结果不合格，则视为该车次产品不合格。若乙方在货物质量方面不能满足甲方要求，事件发生一次，甲方将出具整改单给乙方，该不合格车次货款不予结算，且乙方须向甲方支付当月货款的2%作为违约金；累计不合格货物车次达三次或以上，乙方将被甲方列入严重不诚信行为名单，甲方有权单方面解除本合同，且乙方须向甲方支付合同暂定总价（计划采购供货量×中标综合单价）的2%作为违约金，并赔偿甲方由此遭受的一切相关经济损失。甲方有权从履约担保中扣除违约金，履约担保不足支付部分，甲方有权另行向乙方索赔。</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（7）若甲方在运行生产使用过程中，乙方的产品被甲方上级主管部门检查质量不合格，并对甲方进行做出相关处罚，由此所产生的责任及甲方损失全由乙方承担。</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bCs/>
          <w:color w:val="auto"/>
          <w:sz w:val="21"/>
          <w:szCs w:val="21"/>
          <w:highlight w:val="none"/>
        </w:rPr>
      </w:pPr>
    </w:p>
    <w:p>
      <w:pPr>
        <w:keepNext w:val="0"/>
        <w:keepLines w:val="0"/>
        <w:pageBreakBefore w:val="0"/>
        <w:widowControl/>
        <w:kinsoku/>
        <w:wordWrap/>
        <w:overflowPunct/>
        <w:bidi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第十条  履约担保及退回</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kern w:val="44"/>
          <w:sz w:val="21"/>
          <w:szCs w:val="21"/>
          <w:highlight w:val="none"/>
        </w:rPr>
        <w:t>乙方</w:t>
      </w:r>
      <w:r>
        <w:rPr>
          <w:rFonts w:hint="eastAsia" w:ascii="宋体" w:hAnsi="宋体"/>
          <w:color w:val="auto"/>
          <w:szCs w:val="21"/>
          <w:highlight w:val="none"/>
        </w:rPr>
        <w:t>在签订合同后15个日历天内</w:t>
      </w:r>
      <w:r>
        <w:rPr>
          <w:rFonts w:hint="eastAsia" w:ascii="宋体" w:hAnsi="宋体" w:cs="宋体"/>
          <w:color w:val="auto"/>
          <w:sz w:val="21"/>
          <w:szCs w:val="21"/>
          <w:highlight w:val="none"/>
        </w:rPr>
        <w:t>向甲方提供</w:t>
      </w:r>
      <w:r>
        <w:rPr>
          <w:rFonts w:hint="eastAsia" w:ascii="宋体" w:hAnsi="宋体"/>
          <w:color w:val="auto"/>
          <w:szCs w:val="21"/>
          <w:highlight w:val="none"/>
          <w:u w:val="none"/>
          <w:lang w:val="en-US" w:eastAsia="zh-CN"/>
        </w:rPr>
        <w:t>合同暂定总价的10%</w:t>
      </w:r>
      <w:r>
        <w:rPr>
          <w:rFonts w:hint="eastAsia" w:ascii="宋体" w:hAnsi="宋体" w:cs="宋体"/>
          <w:color w:val="auto"/>
          <w:sz w:val="21"/>
          <w:szCs w:val="21"/>
          <w:highlight w:val="none"/>
        </w:rPr>
        <w:t>履约保证金(以</w:t>
      </w:r>
      <w:r>
        <w:rPr>
          <w:rFonts w:hint="eastAsia" w:ascii="宋体" w:hAnsi="宋体" w:cs="宋体"/>
          <w:color w:val="auto"/>
          <w:kern w:val="44"/>
          <w:sz w:val="21"/>
          <w:szCs w:val="21"/>
          <w:highlight w:val="none"/>
        </w:rPr>
        <w:t>银行转账或不可撤销见索即付银行履约保函形式</w:t>
      </w:r>
      <w:r>
        <w:rPr>
          <w:rFonts w:hint="eastAsia" w:ascii="宋体" w:hAnsi="宋体" w:cs="宋体"/>
          <w:color w:val="auto"/>
          <w:sz w:val="21"/>
          <w:szCs w:val="21"/>
          <w:highlight w:val="none"/>
        </w:rPr>
        <w:t>)。</w:t>
      </w:r>
      <w:r>
        <w:rPr>
          <w:rFonts w:hint="eastAsia" w:ascii="宋体" w:hAnsi="宋体" w:cs="宋体"/>
          <w:color w:val="auto"/>
          <w:kern w:val="44"/>
          <w:sz w:val="21"/>
          <w:szCs w:val="21"/>
          <w:highlight w:val="none"/>
        </w:rPr>
        <w:t>乙方以银行保函方式提交履约担保并且保函规定了有效期的，乙方应当在保函有效期届满前一个月向甲方提交续期保函。</w:t>
      </w:r>
      <w:r>
        <w:rPr>
          <w:rFonts w:hint="eastAsia" w:ascii="宋体" w:hAnsi="宋体" w:cs="宋体"/>
          <w:color w:val="auto"/>
          <w:sz w:val="21"/>
          <w:szCs w:val="21"/>
          <w:highlight w:val="none"/>
        </w:rPr>
        <w:t>作为甲方对乙方合约履行的保证，如乙方违约（具体参考本合同第十四条及其他条款的约定），甲方则有权从该履约保证金中扣除。</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如乙方未依照本合同项下约定全面履行义务，甲方有权在书面通知乙方后，从履约保证金中支付因乙方违约行为所导致的一切损失（包括但不限于违约金，损害赔偿金及甲方因此而发生的全部费用，包括诉讼费、仲裁费、评估费、律师费等）。</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履约保证金不足支付部分，甲方有权另行向乙方索赔。</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4.乙方依照本合同约定全面履行义务，并经甲方书面同意后，</w:t>
      </w:r>
      <w:r>
        <w:rPr>
          <w:rFonts w:hint="eastAsia" w:ascii="宋体" w:hAnsi="宋体" w:cs="宋体"/>
          <w:color w:val="auto"/>
          <w:kern w:val="44"/>
          <w:sz w:val="21"/>
          <w:szCs w:val="21"/>
          <w:highlight w:val="none"/>
        </w:rPr>
        <w:t>履约担保在完成本合同全部义务且质保期（如有）满后二十八天内无息退还</w:t>
      </w:r>
      <w:r>
        <w:rPr>
          <w:rFonts w:hint="eastAsia" w:ascii="宋体" w:hAnsi="宋体" w:cs="宋体"/>
          <w:color w:val="auto"/>
          <w:sz w:val="21"/>
          <w:szCs w:val="21"/>
          <w:highlight w:val="none"/>
        </w:rPr>
        <w:t>，履约保函过期失效。乙方在履约保证期满后须提交退款申请，否则甲方有权延期退款。</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5.如履约担保到期不续期，则甲方有权先不支付费用，并要求乙方承担违约责任且继续履行义务。</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甲方收款银行账户如下：</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户名： </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银行：</w:t>
      </w:r>
    </w:p>
    <w:p>
      <w:pPr>
        <w:keepNext w:val="0"/>
        <w:keepLines w:val="0"/>
        <w:pageBreakBefore w:val="0"/>
        <w:widowControl/>
        <w:kinsoku/>
        <w:wordWrap/>
        <w:overflowPunct/>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账号：</w:t>
      </w:r>
    </w:p>
    <w:p>
      <w:pPr>
        <w:spacing w:line="360" w:lineRule="auto"/>
        <w:ind w:firstLine="420" w:firstLineChars="200"/>
        <w:rPr>
          <w:rFonts w:hint="eastAsia" w:ascii="宋体" w:hAnsi="宋体" w:cs="宋体"/>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第十一条付款方式及付款条件</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本合同项下确定的合同总价由甲方向乙方按</w:t>
      </w:r>
      <w:r>
        <w:rPr>
          <w:rFonts w:hint="eastAsia" w:ascii="宋体" w:hAnsi="宋体" w:cs="宋体"/>
          <w:color w:val="auto"/>
          <w:sz w:val="21"/>
          <w:szCs w:val="21"/>
          <w:highlight w:val="none"/>
          <w:u w:val="single"/>
        </w:rPr>
        <w:t>月结</w:t>
      </w:r>
      <w:r>
        <w:rPr>
          <w:rFonts w:hint="eastAsia" w:ascii="宋体" w:hAnsi="宋体" w:cs="宋体"/>
          <w:color w:val="auto"/>
          <w:sz w:val="21"/>
          <w:szCs w:val="21"/>
          <w:highlight w:val="none"/>
        </w:rPr>
        <w:t>方式支付：</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月结：每自然月结束后，甲方向乙方申请结算上月货物货款。结算数量按上月乙方货物经甲方验收合格的数量（对质量有争议的部分暂时不予结算支付），并且在甲方收到乙方交付的以下资料后三十个工作日内以电汇/转账/银行承兑汇票等方式向乙方支付：</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（货物的过磅计量清单）标的货物经甲方地磅计量的实际重量；</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B</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开具金额为该月验收合格货物总价100%的增值税专用发票；</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C</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乙方向甲方缴纳的履约担保证明资料（首次支付时需要）；</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D</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乙方</w:t>
      </w:r>
      <w:r>
        <w:rPr>
          <w:rFonts w:hint="eastAsia" w:ascii="宋体" w:hAnsi="宋体" w:cs="宋体"/>
          <w:snapToGrid w:val="0"/>
          <w:color w:val="auto"/>
          <w:sz w:val="21"/>
          <w:szCs w:val="21"/>
          <w:highlight w:val="none"/>
        </w:rPr>
        <w:t>每两月1次随机抽检的第三方检测合格报告；</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E</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送货清单（甲方指定收货人签字确认）；</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F</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每车次货物出厂化验报告；</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G.双方盖章确认的月度对账单。</w:t>
      </w:r>
    </w:p>
    <w:p>
      <w:pPr>
        <w:tabs>
          <w:tab w:val="left" w:pos="6597"/>
        </w:tabs>
        <w:autoSpaceDE w:val="0"/>
        <w:autoSpaceDN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乙方确认其收款银行账户如下：</w:t>
      </w:r>
    </w:p>
    <w:p>
      <w:pPr>
        <w:pStyle w:val="9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账户名称：</w:t>
      </w:r>
    </w:p>
    <w:p>
      <w:pPr>
        <w:pStyle w:val="9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p>
    <w:p>
      <w:pPr>
        <w:pStyle w:val="9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银行账号：</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3.甲乙双方各自承担因执行合同所发生的银行费用及各项税费。</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乙方在甲方支付合同款项时，应按各期付款数额向甲方开具按付款方式和付款条件要求的票据格式。不开具或开具不合格的，甲方有权迟延支付应付款项且不承担任何违约责任，且乙方的各项合同义务仍应按合同约定履行。</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5.如果乙方有赔偿和/或支付违约金的责任，则甲方有权从最近一笔付款或是履约保证金中扣除相应金额。如果最近一笔付款或履约保证金不足以抵扣违约金的，则可从下一笔付款中继续扣除。</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6.由于乙方未足额缴纳应缴税款和开具发票不真实、不合格而引起的一切责任（包括商业责任和法律责任）和损失，由乙方承担。</w:t>
      </w:r>
    </w:p>
    <w:p>
      <w:pPr>
        <w:spacing w:line="360" w:lineRule="auto"/>
        <w:ind w:firstLine="420" w:firstLineChars="200"/>
        <w:rPr>
          <w:rFonts w:hint="eastAsia" w:ascii="宋体" w:hAnsi="宋体" w:cs="宋体"/>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第十二条  不可抗力</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不可抗力”是指不能预见、不能避免并不能克服的客观情况，包括但不限于：天灾、水灾、地震或其他灾难，战争或暴乱，以及其他在受影响的一方合理控制范围以外且经该方合理努力后也不能防止或避免的类似事件。</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2.由于不可抗力的原因，而不能履行合同或延迟履行合同的一方可视不可抗力的实际影响免除部分或全部违约责任。但受不可抗力影响的一方应在通知可能的情况下立即通知对方,并在不可抗力发生后</w:t>
      </w:r>
      <w:r>
        <w:rPr>
          <w:rFonts w:hint="eastAsia" w:ascii="宋体" w:hAnsi="宋体" w:cs="宋体"/>
          <w:color w:val="auto"/>
          <w:sz w:val="21"/>
          <w:szCs w:val="21"/>
          <w:highlight w:val="none"/>
          <w:u w:val="single"/>
        </w:rPr>
        <w:t>7</w:t>
      </w:r>
      <w:r>
        <w:rPr>
          <w:rFonts w:hint="eastAsia" w:ascii="宋体" w:hAnsi="宋体" w:cs="宋体"/>
          <w:color w:val="auto"/>
          <w:sz w:val="21"/>
          <w:szCs w:val="21"/>
          <w:highlight w:val="none"/>
        </w:rPr>
        <w:t>日内特快专递邮寄相关的主管部门签发的证明文件,以便其他各方审查、确认。</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3.发生不可抗力事件终止或消除后，受不可抗力影响的一方，应立即通知对方, 发生不可抗力事件终止或消除后</w:t>
      </w:r>
      <w:r>
        <w:rPr>
          <w:rFonts w:hint="eastAsia" w:ascii="宋体" w:hAnsi="宋体" w:cs="宋体"/>
          <w:color w:val="auto"/>
          <w:sz w:val="21"/>
          <w:szCs w:val="21"/>
          <w:highlight w:val="none"/>
          <w:u w:val="single"/>
        </w:rPr>
        <w:t>7</w:t>
      </w:r>
      <w:r>
        <w:rPr>
          <w:rFonts w:hint="eastAsia" w:ascii="宋体" w:hAnsi="宋体" w:cs="宋体"/>
          <w:color w:val="auto"/>
          <w:sz w:val="21"/>
          <w:szCs w:val="21"/>
          <w:highlight w:val="none"/>
        </w:rPr>
        <w:t>日内特快专递邮寄相关的主管部门签发的证明文件确认不可抗力事件的终止或消除。</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4.如果不可抗力的影响持续超过</w:t>
      </w:r>
      <w:r>
        <w:rPr>
          <w:rFonts w:hint="eastAsia" w:ascii="宋体" w:hAnsi="宋体" w:cs="宋体"/>
          <w:color w:val="auto"/>
          <w:sz w:val="21"/>
          <w:szCs w:val="21"/>
          <w:highlight w:val="none"/>
          <w:u w:val="single"/>
        </w:rPr>
        <w:t>3个</w:t>
      </w:r>
      <w:r>
        <w:rPr>
          <w:rFonts w:hint="eastAsia" w:ascii="宋体" w:hAnsi="宋体" w:cs="宋体"/>
          <w:color w:val="auto"/>
          <w:sz w:val="21"/>
          <w:szCs w:val="21"/>
          <w:highlight w:val="none"/>
        </w:rPr>
        <w:t>月，受不可抗力影响的一方应与对方取得联系，以便解决进一步履行合同的问题。</w:t>
      </w:r>
    </w:p>
    <w:p>
      <w:pPr>
        <w:spacing w:line="360" w:lineRule="auto"/>
        <w:ind w:firstLine="420" w:firstLineChars="200"/>
        <w:rPr>
          <w:rFonts w:hint="eastAsia" w:ascii="宋体" w:hAnsi="宋体" w:cs="宋体"/>
          <w:bCs/>
          <w:color w:val="auto"/>
          <w:sz w:val="21"/>
          <w:szCs w:val="21"/>
          <w:highlight w:val="none"/>
        </w:rPr>
      </w:pPr>
      <w:r>
        <w:rPr>
          <w:rFonts w:hint="eastAsia" w:ascii="宋体" w:hAnsi="宋体" w:cs="宋体"/>
          <w:color w:val="auto"/>
          <w:sz w:val="21"/>
          <w:szCs w:val="21"/>
          <w:highlight w:val="none"/>
        </w:rPr>
        <w:t>5.</w:t>
      </w:r>
      <w:r>
        <w:rPr>
          <w:rFonts w:hint="eastAsia" w:ascii="宋体" w:hAnsi="宋体" w:cs="宋体"/>
          <w:bCs/>
          <w:color w:val="auto"/>
          <w:sz w:val="21"/>
          <w:szCs w:val="21"/>
          <w:highlight w:val="none"/>
        </w:rPr>
        <w:t>乙方应考虑因不可抗力或安全事故等突发因素导致甲方项目延期或停产而不能完成年度采购计划总量的情况，并自行承担风险。</w:t>
      </w:r>
    </w:p>
    <w:p>
      <w:pPr>
        <w:spacing w:line="360" w:lineRule="auto"/>
        <w:ind w:firstLine="420" w:firstLineChars="200"/>
        <w:rPr>
          <w:rFonts w:hint="eastAsia" w:ascii="宋体" w:hAnsi="宋体" w:cs="宋体"/>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第十三条  合同的变更和解除</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1.双方协商一致可变更或解除本合同。合同变更或解除应采取书面形式。</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有下列情形之一者，守约方可单方解除合同：（1）因不可抗力持续时间超过【3】个月，不能实现合同目的；（2）未经对方书面同意，将合同部分或全部权利义务转让给第三方；（3）在履行期限届满之前，一方明确表示或者以自己的行为表明不履行主要债务；（4）一方迟延履行主要债务，经催告后在合理期限内仍未履行，包括乙方任何一批货物逾期交货超过三天，甲方有权单方解除本合同；（5）一方迟延履行债务或者有其他违约行为致使不能实现合同目的；（6）货物质量指标不符合甲方所需技术要求者，包括乙方</w:t>
      </w:r>
      <w:r>
        <w:rPr>
          <w:rFonts w:hint="eastAsia" w:ascii="宋体" w:hAnsi="宋体" w:cs="宋体"/>
          <w:snapToGrid w:val="0"/>
          <w:color w:val="auto"/>
          <w:sz w:val="21"/>
          <w:szCs w:val="21"/>
          <w:highlight w:val="none"/>
        </w:rPr>
        <w:t>累计不合格货物车次达三次或以上的，甲方有权单方解除本合同；</w:t>
      </w:r>
      <w:r>
        <w:rPr>
          <w:rFonts w:hint="eastAsia" w:ascii="宋体" w:hAnsi="宋体" w:cs="宋体"/>
          <w:color w:val="auto"/>
          <w:sz w:val="21"/>
          <w:szCs w:val="21"/>
          <w:highlight w:val="none"/>
        </w:rPr>
        <w:t>（7）法律规定的其他情形。</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3.解除合同方在解除合同时，应履行通知对方义务。</w:t>
      </w:r>
    </w:p>
    <w:p>
      <w:pPr>
        <w:spacing w:line="360" w:lineRule="auto"/>
        <w:ind w:firstLine="420" w:firstLineChars="200"/>
        <w:rPr>
          <w:rFonts w:hint="eastAsia" w:ascii="宋体" w:hAnsi="宋体" w:cs="宋体"/>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第十四条  违约责任</w:t>
      </w:r>
    </w:p>
    <w:p>
      <w:pPr>
        <w:spacing w:line="360" w:lineRule="auto"/>
        <w:ind w:firstLine="420" w:firstLineChars="200"/>
        <w:rPr>
          <w:rFonts w:hint="eastAsia" w:ascii="宋体" w:hAnsi="宋体" w:cs="宋体"/>
          <w:b/>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乙方必须严格按照合同及采购订单约定的品名、数量、价格、规格、型号、质量以及交货期限等向甲方提供货物。因乙方原因逾期交货或者货物质量不符合约定的，乙方应以如下方式向甲方承担违约责任：</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每逾期交货一天，支付逾期交货部分价款0.5%的违约金；不满一天按一天计算；逾期违约金的支付不影响乙方交货义务的履行；任何一批货物逾期交货超过三天，甲方有权单方面取消对应订单或者终止本合同，并追究乙方的违约责任。甲方有权从履约担保中扣除违约金，履约担保不足支付部分，甲方有权另行向乙方索赔。</w:t>
      </w:r>
    </w:p>
    <w:p>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因乙方违约或者乙方交付的货物不符合本合同约定要求，甲方要求退货或者解除合同的，乙方应当退还甲方支付的全部货款（如有）及按中国人民银行同期同类贷款利率计算的利息、向甲方支付合同总价款2%的违约金并且赔偿甲方的全部损失。甲方有权从履约担保中扣除违约金，履约担保不足支付部分，甲方有权另行向乙方索赔。若乙方已经交付货物的，乙方应当自甲方通知解除合同之日起5个工作日内自行将所退货物运离，否则视为乙方放弃对货物的一切权利，甲方有权自行处置。由此产生的保管费、运费、处置费等一切费用及货物的损毁、灭失风险均由乙方承担。</w:t>
      </w:r>
    </w:p>
    <w:p>
      <w:pPr>
        <w:pStyle w:val="9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snapToGrid w:val="0"/>
          <w:color w:val="auto"/>
          <w:sz w:val="21"/>
          <w:szCs w:val="21"/>
          <w:highlight w:val="none"/>
        </w:rPr>
        <w:t>每车次货物</w:t>
      </w:r>
      <w:r>
        <w:rPr>
          <w:rFonts w:hint="eastAsia" w:ascii="宋体" w:hAnsi="宋体" w:cs="宋体"/>
          <w:color w:val="auto"/>
          <w:sz w:val="21"/>
          <w:szCs w:val="21"/>
          <w:highlight w:val="none"/>
        </w:rPr>
        <w:t>甲方实验室初步检验报告、</w:t>
      </w:r>
      <w:r>
        <w:rPr>
          <w:rFonts w:hint="eastAsia" w:ascii="宋体" w:hAnsi="宋体" w:cs="宋体"/>
          <w:snapToGrid w:val="0"/>
          <w:color w:val="auto"/>
          <w:sz w:val="21"/>
          <w:szCs w:val="21"/>
          <w:highlight w:val="none"/>
        </w:rPr>
        <w:t>每两月1次随机抽检的第三方检测报告及甲方对异议货物要求乙方委托第三方出具的合格检测报告（如有）作为乙方进行结算的附件，</w:t>
      </w:r>
      <w:r>
        <w:rPr>
          <w:rFonts w:hint="eastAsia" w:ascii="宋体" w:hAnsi="宋体" w:cs="宋体"/>
          <w:color w:val="auto"/>
          <w:sz w:val="21"/>
          <w:szCs w:val="21"/>
          <w:highlight w:val="none"/>
        </w:rPr>
        <w:t>若作为最终依据的</w:t>
      </w:r>
      <w:r>
        <w:rPr>
          <w:rFonts w:hint="eastAsia" w:ascii="宋体" w:hAnsi="宋体" w:cs="宋体"/>
          <w:snapToGrid w:val="0"/>
          <w:color w:val="auto"/>
          <w:sz w:val="21"/>
          <w:szCs w:val="21"/>
          <w:highlight w:val="none"/>
        </w:rPr>
        <w:t>第三方检测结果不合格，则视为该不合格车次产品不合格。若乙方在货物质量方面不能满足甲方要求，事件发生一次，甲方将出具整改单给乙方，该车次货款不予结算，且乙方须向甲方支付当月货款的2%作为违约金；</w:t>
      </w:r>
      <w:r>
        <w:rPr>
          <w:rFonts w:hint="eastAsia" w:ascii="宋体" w:hAnsi="宋体" w:cs="宋体"/>
          <w:color w:val="auto"/>
          <w:sz w:val="21"/>
          <w:szCs w:val="21"/>
          <w:highlight w:val="none"/>
        </w:rPr>
        <w:t>累计不合格货物车次达三次或以上，乙方将被甲方列入严重不诚信行为名单，甲方有权单方面解除本合同，且乙方须向甲方支付合同暂定总价（</w:t>
      </w:r>
      <w:r>
        <w:rPr>
          <w:rFonts w:hint="eastAsia" w:ascii="宋体" w:hAnsi="宋体" w:cs="宋体"/>
          <w:snapToGrid w:val="0"/>
          <w:color w:val="auto"/>
          <w:sz w:val="21"/>
          <w:szCs w:val="21"/>
          <w:highlight w:val="none"/>
        </w:rPr>
        <w:t>计划采购供货量×中标综合单价</w:t>
      </w:r>
      <w:r>
        <w:rPr>
          <w:rFonts w:hint="eastAsia" w:ascii="宋体" w:hAnsi="宋体" w:cs="宋体"/>
          <w:color w:val="auto"/>
          <w:sz w:val="21"/>
          <w:szCs w:val="21"/>
          <w:highlight w:val="none"/>
        </w:rPr>
        <w:t>）的2%作为违约金，并赔偿甲方由此遭受的一切相关经济损失。甲方有权从履约担保中扣除违约金，履约担保不足支付部分，甲方有权另行向乙方索赔。</w:t>
      </w:r>
    </w:p>
    <w:p>
      <w:pPr>
        <w:pStyle w:val="9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4.如乙方配送伪劣假冒的产品，一经查出，甲方有权立即终止本合同并追究乙方的违约责任，由此而引起的安全事故责任，由乙方承担全部责任。</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5.发生其他违约情形，违约方应赔偿由此给对方造成的损失。如属双方过错，应各自承担相应责任。</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6.乙方交付的货物不符合合同约定的数量，乙方应按甲方要求在</w:t>
      </w:r>
      <w:r>
        <w:rPr>
          <w:rFonts w:hint="eastAsia" w:ascii="宋体" w:hAnsi="宋体" w:cs="宋体"/>
          <w:color w:val="auto"/>
          <w:sz w:val="21"/>
          <w:szCs w:val="21"/>
          <w:highlight w:val="none"/>
          <w:u w:val="single"/>
        </w:rPr>
        <w:t>两</w:t>
      </w:r>
      <w:r>
        <w:rPr>
          <w:rFonts w:hint="eastAsia" w:ascii="宋体" w:hAnsi="宋体" w:cs="宋体"/>
          <w:color w:val="auto"/>
          <w:sz w:val="21"/>
          <w:szCs w:val="21"/>
          <w:highlight w:val="none"/>
        </w:rPr>
        <w:t>日内补足货物数量，如在甲方通知的期限内，乙方未能进行更换或补足，则乙方应承担本合同第十四条第1款逾期交货的违约责任。同时甲方有权要求乙方赔偿因其不完全履约而造成的损失。</w:t>
      </w:r>
    </w:p>
    <w:p>
      <w:pPr>
        <w:pStyle w:val="92"/>
        <w:keepNext w:val="0"/>
        <w:keepLines w:val="0"/>
        <w:pageBreakBefore w:val="0"/>
        <w:widowControl/>
        <w:kinsoku/>
        <w:wordWrap/>
        <w:overflowPunct/>
        <w:topLinePunct w:val="0"/>
        <w:autoSpaceDE/>
        <w:autoSpaceDN/>
        <w:bidi w:val="0"/>
        <w:adjustRightInd w:val="0"/>
        <w:snapToGrid w:val="0"/>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7.乙方擅自解除合同或者因乙方违约造成甲方解除合同的，乙方应当向甲方支付本合同总金额（</w:t>
      </w:r>
      <w:r>
        <w:rPr>
          <w:rFonts w:hint="eastAsia" w:ascii="宋体" w:hAnsi="宋体" w:cs="宋体"/>
          <w:color w:val="auto"/>
          <w:kern w:val="0"/>
          <w:sz w:val="21"/>
          <w:szCs w:val="21"/>
          <w:highlight w:val="none"/>
        </w:rPr>
        <w:t>计划供货量*中标单价</w:t>
      </w:r>
      <w:r>
        <w:rPr>
          <w:rFonts w:hint="eastAsia" w:ascii="宋体" w:hAnsi="宋体" w:cs="宋体"/>
          <w:color w:val="auto"/>
          <w:sz w:val="21"/>
          <w:szCs w:val="21"/>
          <w:highlight w:val="none"/>
        </w:rPr>
        <w:t>）2%的违约金并且赔偿甲方全部损失，同时甲方没收乙方的履约保证金。</w:t>
      </w:r>
    </w:p>
    <w:p>
      <w:pPr>
        <w:keepNext w:val="0"/>
        <w:keepLines w:val="0"/>
        <w:pageBreakBefore w:val="0"/>
        <w:widowControl/>
        <w:tabs>
          <w:tab w:val="left" w:pos="79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8.如乙方交付的货物质量不符合合同约定标准，导致甲方设备故障，甲方有权解除合同，并且乙方应当向甲方支付合同暂定总价（</w:t>
      </w:r>
      <w:r>
        <w:rPr>
          <w:rFonts w:hint="eastAsia" w:ascii="宋体" w:hAnsi="宋体" w:cs="宋体"/>
          <w:snapToGrid w:val="0"/>
          <w:color w:val="auto"/>
          <w:sz w:val="21"/>
          <w:szCs w:val="21"/>
          <w:highlight w:val="none"/>
        </w:rPr>
        <w:t>计划供货量×中标综合单价</w:t>
      </w:r>
      <w:r>
        <w:rPr>
          <w:rFonts w:hint="eastAsia" w:ascii="宋体" w:hAnsi="宋体" w:cs="宋体"/>
          <w:color w:val="auto"/>
          <w:sz w:val="21"/>
          <w:szCs w:val="21"/>
          <w:highlight w:val="none"/>
        </w:rPr>
        <w:t>）2%的违约金，如该费用不足抵扣设备维修费，甲方有权继续追偿。</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9.乙方违约金的支付不免除乙方在本合同项下的各项义务。</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本合同中所写的全部损失皆指所造成的一切实际损失与可得利益损失、甲方另外采购的货物价格高于本合同约定价格而产生的差额，并包含承担守约方为维护自身权益所产生的一切费用，包括但不限于律师费、诉讼费、保全费、公证费、公告费等。</w:t>
      </w:r>
    </w:p>
    <w:p>
      <w:pPr>
        <w:spacing w:line="360" w:lineRule="auto"/>
        <w:ind w:firstLine="422" w:firstLineChars="200"/>
        <w:rPr>
          <w:rFonts w:hint="eastAsia" w:ascii="宋体" w:hAnsi="宋体" w:cs="宋体"/>
          <w:b/>
          <w:bCs/>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第十五条  法律适用及争议解决</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1.本合同的订立、履行、变更、争议解决均适用中华人民共和国法律。</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2.因本合同引起的或者在履行本合同过程中产生的任何争议，双方应当协商解决。双方协商不成时，任何一方均可向甲方所在地人民法院提起诉讼。</w:t>
      </w:r>
    </w:p>
    <w:p>
      <w:pPr>
        <w:spacing w:line="360" w:lineRule="auto"/>
        <w:ind w:firstLine="422" w:firstLineChars="200"/>
        <w:rPr>
          <w:rFonts w:hint="eastAsia" w:ascii="宋体" w:hAnsi="宋体" w:cs="宋体"/>
          <w:b/>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第十六条  合同生效及其他</w:t>
      </w:r>
    </w:p>
    <w:p>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乙方应当保证甲方在使用货物、服务及其任何部份时不受到任何第三方关于侵犯专利权、商标权或其他知识产权的指控。任何第三方如果提出侵权指控，乙方须与第三方交涉，并承担由此而发生的一切法律责任和费用。乙方同意自费解决相关问题，同时保证甲方的利益免受损失，并且对销售和使用此设备引起的侵权导致的对甲方的一切损失和额外费用承担赔偿责任。</w:t>
      </w:r>
    </w:p>
    <w:p>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2.任何一方对因履行本合同而获悉的对方的商业秘密负有保密义务，未经对方书面允许，不得向任何第三方披露。违反上述约定，泄露对方商业秘密的一方应当赔偿对方的全部损失。</w:t>
      </w:r>
    </w:p>
    <w:p>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3.本合同未尽事项，由甲、乙双方另行议定并签订补充协议。补充协议与本合同具有同等法律效力。谈判过程中形成的资料、意向与本合同不一致的一律以本合同为准。</w:t>
      </w:r>
    </w:p>
    <w:p>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任何一方向对方发出的通知和文件，应按照本合同记载的对方地址，用EMS特快专递或专人送达或电子邮件方式发出。如果使用EMS特快专递方式，在发出后第三日视为通知已到达对方；如果使用专人送达方式，则在对方法定代表人或授权代表或收件部门签收之日视为通知已到达对方；如果使用电子邮件方式，除电子邮件因技术问题被退回外，在通知方发出电子邮件时即视为通知已到达对方；如果同时使用几种通知方式的，以其中较快到达接收方者为准。</w:t>
      </w:r>
    </w:p>
    <w:p>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5.任何一方联络方法发生变更的，应当及时书面通知另一方。在另一方收到对方变更通讯地址的通知之前，另一方根据变更前的地址所发出的通知应视为有效。</w:t>
      </w:r>
    </w:p>
    <w:p>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6.本合同包括下列附件：</w:t>
      </w:r>
      <w:r>
        <w:rPr>
          <w:rFonts w:hint="eastAsia" w:ascii="宋体" w:hAnsi="宋体" w:cs="宋体"/>
          <w:color w:val="auto"/>
          <w:sz w:val="21"/>
          <w:szCs w:val="21"/>
          <w:highlight w:val="none"/>
          <w:u w:val="single"/>
        </w:rPr>
        <w:t>合同签订时补充_以及技术协议书、用户需求书、设备规格书、</w:t>
      </w:r>
      <w:r>
        <w:rPr>
          <w:rFonts w:hint="eastAsia" w:ascii="宋体" w:hAnsi="宋体" w:cs="宋体"/>
          <w:color w:val="auto"/>
          <w:sz w:val="21"/>
          <w:szCs w:val="21"/>
          <w:highlight w:val="none"/>
          <w:u w:val="single"/>
          <w:lang w:eastAsia="zh-CN"/>
        </w:rPr>
        <w:t>采购</w:t>
      </w:r>
      <w:r>
        <w:rPr>
          <w:rFonts w:hint="eastAsia" w:ascii="宋体" w:hAnsi="宋体" w:cs="宋体"/>
          <w:color w:val="auto"/>
          <w:sz w:val="21"/>
          <w:szCs w:val="21"/>
          <w:highlight w:val="none"/>
          <w:u w:val="single"/>
        </w:rPr>
        <w:t>文件及投标文件（如有）等</w:t>
      </w:r>
      <w:r>
        <w:rPr>
          <w:rFonts w:hint="eastAsia" w:ascii="宋体" w:hAnsi="宋体" w:cs="宋体"/>
          <w:color w:val="auto"/>
          <w:sz w:val="21"/>
          <w:szCs w:val="21"/>
          <w:highlight w:val="none"/>
        </w:rPr>
        <w:t>。该等附件均为本合同不可分割的组成部分，与本合同具有同等法律效力。合同附件与本合同内容发生冲突时，以对甲方有利的内容为准。</w:t>
      </w:r>
    </w:p>
    <w:p>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 本合同一式_八_份，甲方执_六_份，乙方执_二_份，具有同等法律效力。</w:t>
      </w:r>
    </w:p>
    <w:p>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8.双方在签署本合同前已经认真研究了合同各条内容，对合同内容无异议，同意签署。</w:t>
      </w:r>
    </w:p>
    <w:p>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9.本合同自双方签字并盖章之日起生效，合同有效期自生效之日起至达到供货量止。</w:t>
      </w:r>
    </w:p>
    <w:p>
      <w:pPr>
        <w:widowControl/>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10.其他约定：</w:t>
      </w:r>
      <w:r>
        <w:rPr>
          <w:rFonts w:hint="eastAsia" w:ascii="宋体" w:hAnsi="宋体" w:cs="宋体"/>
          <w:color w:val="auto"/>
          <w:sz w:val="21"/>
          <w:szCs w:val="21"/>
          <w:highlight w:val="none"/>
          <w:u w:val="single"/>
        </w:rPr>
        <w:t>无</w:t>
      </w:r>
      <w:r>
        <w:rPr>
          <w:rFonts w:hint="eastAsia" w:ascii="宋体" w:hAnsi="宋体" w:cs="宋体"/>
          <w:color w:val="auto"/>
          <w:sz w:val="21"/>
          <w:szCs w:val="21"/>
          <w:highlight w:val="none"/>
        </w:rPr>
        <w:t>。</w:t>
      </w:r>
    </w:p>
    <w:p>
      <w:pPr>
        <w:tabs>
          <w:tab w:val="right" w:pos="8306"/>
        </w:tabs>
        <w:spacing w:line="360" w:lineRule="auto"/>
        <w:ind w:firstLine="422" w:firstLineChars="200"/>
        <w:rPr>
          <w:rFonts w:hint="eastAsia" w:ascii="宋体" w:hAnsi="宋体" w:cs="宋体"/>
          <w:b/>
          <w:bCs/>
          <w:snapToGrid w:val="0"/>
          <w:color w:val="auto"/>
          <w:sz w:val="21"/>
          <w:szCs w:val="21"/>
          <w:highlight w:val="none"/>
        </w:rPr>
      </w:pPr>
    </w:p>
    <w:p>
      <w:pPr>
        <w:tabs>
          <w:tab w:val="right" w:pos="8306"/>
        </w:tabs>
        <w:spacing w:line="360" w:lineRule="auto"/>
        <w:ind w:firstLine="422" w:firstLineChars="200"/>
        <w:rPr>
          <w:rFonts w:hint="eastAsia" w:ascii="宋体" w:hAnsi="宋体" w:cs="宋体"/>
          <w:b/>
          <w:bCs/>
          <w:snapToGrid w:val="0"/>
          <w:color w:val="auto"/>
          <w:sz w:val="21"/>
          <w:szCs w:val="21"/>
          <w:highlight w:val="none"/>
        </w:rPr>
      </w:pPr>
      <w:r>
        <w:rPr>
          <w:rFonts w:hint="eastAsia" w:ascii="宋体" w:hAnsi="宋体" w:cs="宋体"/>
          <w:b/>
          <w:bCs/>
          <w:snapToGrid w:val="0"/>
          <w:color w:val="auto"/>
          <w:sz w:val="21"/>
          <w:szCs w:val="21"/>
          <w:highlight w:val="none"/>
        </w:rPr>
        <w:t>第十七条  附件</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附件一、活性炭采购技术需求书</w:t>
      </w:r>
    </w:p>
    <w:p>
      <w:pPr>
        <w:tabs>
          <w:tab w:val="right" w:pos="8306"/>
        </w:tabs>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附件二、阳光协议</w:t>
      </w:r>
    </w:p>
    <w:p>
      <w:pPr>
        <w:tabs>
          <w:tab w:val="right" w:pos="8306"/>
        </w:tabs>
        <w:spacing w:line="360" w:lineRule="auto"/>
        <w:ind w:firstLine="420" w:firstLineChars="200"/>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（以下为各方签署页，无正文）</w:t>
      </w:r>
    </w:p>
    <w:p>
      <w:pPr>
        <w:spacing w:line="360" w:lineRule="auto"/>
        <w:rPr>
          <w:rFonts w:hint="eastAsia" w:ascii="宋体" w:hAnsi="宋体" w:cs="宋体"/>
          <w:b/>
          <w:color w:val="auto"/>
          <w:sz w:val="21"/>
          <w:szCs w:val="21"/>
          <w:highlight w:val="none"/>
        </w:rPr>
      </w:pPr>
      <w:r>
        <w:rPr>
          <w:rFonts w:ascii="宋体" w:hAnsi="宋体" w:cs="宋体"/>
          <w:b/>
          <w:color w:val="auto"/>
          <w:sz w:val="21"/>
          <w:szCs w:val="21"/>
          <w:highlight w:val="none"/>
        </w:rPr>
        <w:br w:type="page"/>
      </w:r>
      <w:r>
        <w:rPr>
          <w:rFonts w:hint="eastAsia" w:ascii="宋体" w:hAnsi="宋体" w:cs="宋体"/>
          <w:b/>
          <w:color w:val="auto"/>
          <w:sz w:val="21"/>
          <w:szCs w:val="21"/>
          <w:highlight w:val="none"/>
        </w:rPr>
        <w:t>（盖章页）</w:t>
      </w:r>
    </w:p>
    <w:p>
      <w:pPr>
        <w:spacing w:line="360" w:lineRule="auto"/>
        <w:ind w:firstLine="422" w:firstLineChars="200"/>
        <w:rPr>
          <w:rFonts w:hint="eastAsia" w:ascii="宋体" w:hAnsi="宋体" w:cs="宋体"/>
          <w:b/>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甲方：                  </w:t>
      </w:r>
      <w:r>
        <w:rPr>
          <w:rFonts w:ascii="宋体" w:hAnsi="宋体" w:cs="宋体"/>
          <w:b/>
          <w:color w:val="auto"/>
          <w:sz w:val="21"/>
          <w:szCs w:val="21"/>
          <w:highlight w:val="none"/>
        </w:rPr>
        <w:t xml:space="preserve">                    </w:t>
      </w:r>
      <w:r>
        <w:rPr>
          <w:rFonts w:hint="eastAsia" w:ascii="宋体" w:hAnsi="宋体" w:cs="宋体"/>
          <w:b/>
          <w:color w:val="auto"/>
          <w:sz w:val="21"/>
          <w:szCs w:val="21"/>
          <w:highlight w:val="none"/>
        </w:rPr>
        <w:t>乙方：</w:t>
      </w:r>
    </w:p>
    <w:p>
      <w:pPr>
        <w:spacing w:line="360" w:lineRule="auto"/>
        <w:ind w:firstLine="422" w:firstLineChars="200"/>
        <w:rPr>
          <w:rFonts w:hint="eastAsia" w:ascii="宋体" w:hAnsi="宋体" w:cs="宋体"/>
          <w:b/>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法定代表人或授权代理人：                    法定代表人或授权代理人：  </w:t>
      </w:r>
    </w:p>
    <w:p>
      <w:pPr>
        <w:pStyle w:val="9"/>
        <w:ind w:left="0" w:leftChars="0" w:firstLine="0" w:firstLineChars="0"/>
        <w:rPr>
          <w:rFonts w:hint="eastAsia" w:ascii="宋体" w:hAnsi="宋体" w:eastAsia="宋体" w:cs="宋体"/>
          <w:b/>
          <w:color w:val="auto"/>
          <w:sz w:val="21"/>
          <w:szCs w:val="21"/>
          <w:highlight w:val="none"/>
        </w:rPr>
      </w:pPr>
    </w:p>
    <w:p>
      <w:pPr>
        <w:pStyle w:val="9"/>
        <w:ind w:left="0" w:leftChars="0" w:firstLine="422" w:firstLineChars="200"/>
        <w:rPr>
          <w:color w:val="auto"/>
          <w:szCs w:val="24"/>
          <w:highlight w:val="none"/>
        </w:rPr>
      </w:pPr>
      <w:r>
        <w:rPr>
          <w:rFonts w:hint="eastAsia" w:ascii="宋体" w:hAnsi="宋体" w:eastAsia="宋体" w:cs="宋体"/>
          <w:b/>
          <w:color w:val="auto"/>
          <w:sz w:val="21"/>
          <w:szCs w:val="21"/>
          <w:highlight w:val="none"/>
        </w:rPr>
        <w:t>签订日期：                                  签订日期：</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widowControl w:val="0"/>
        <w:adjustRightInd/>
        <w:snapToGrid/>
        <w:spacing w:line="240" w:lineRule="auto"/>
        <w:jc w:val="both"/>
        <w:outlineLvl w:val="2"/>
        <w:rPr>
          <w:rFonts w:ascii="宋体" w:hAnsi="宋体" w:cs="Times New Roman"/>
          <w:b/>
          <w:color w:val="auto"/>
          <w:kern w:val="2"/>
          <w:sz w:val="28"/>
          <w:szCs w:val="28"/>
          <w:highlight w:val="none"/>
        </w:rPr>
      </w:pPr>
      <w:r>
        <w:rPr>
          <w:rFonts w:hint="eastAsia" w:ascii="宋体" w:hAnsi="宋体" w:cs="Times New Roman"/>
          <w:b/>
          <w:color w:val="auto"/>
          <w:kern w:val="2"/>
          <w:sz w:val="28"/>
          <w:szCs w:val="28"/>
          <w:highlight w:val="none"/>
        </w:rPr>
        <w:t>适用于</w:t>
      </w:r>
      <w:r>
        <w:rPr>
          <w:rFonts w:hint="eastAsia" w:ascii="宋体" w:hAnsi="宋体" w:cs="Times New Roman"/>
          <w:b/>
          <w:color w:val="auto"/>
          <w:kern w:val="2"/>
          <w:sz w:val="28"/>
          <w:szCs w:val="28"/>
          <w:highlight w:val="none"/>
          <w:lang w:val="en-US" w:eastAsia="zh-CN"/>
        </w:rPr>
        <w:t>B</w:t>
      </w:r>
      <w:r>
        <w:rPr>
          <w:rFonts w:hint="eastAsia" w:ascii="宋体" w:hAnsi="宋体" w:cs="Times New Roman"/>
          <w:b/>
          <w:color w:val="auto"/>
          <w:kern w:val="2"/>
          <w:sz w:val="28"/>
          <w:szCs w:val="28"/>
          <w:highlight w:val="none"/>
        </w:rPr>
        <w:t>包</w:t>
      </w:r>
    </w:p>
    <w:p>
      <w:pPr>
        <w:widowControl w:val="0"/>
        <w:rPr>
          <w:rFonts w:ascii="宋体" w:hAnsi="宋体" w:cs="Times New Roman"/>
          <w:color w:val="auto"/>
          <w:kern w:val="2"/>
          <w:sz w:val="28"/>
          <w:szCs w:val="28"/>
          <w:highlight w:val="none"/>
        </w:rPr>
      </w:pPr>
    </w:p>
    <w:p>
      <w:pPr>
        <w:widowControl w:val="0"/>
        <w:rPr>
          <w:rFonts w:ascii="宋体" w:hAnsi="宋体" w:cs="Times New Roman"/>
          <w:color w:val="auto"/>
          <w:kern w:val="2"/>
          <w:sz w:val="21"/>
          <w:szCs w:val="21"/>
          <w:highlight w:val="none"/>
        </w:rPr>
      </w:pPr>
      <w:r>
        <w:rPr>
          <w:rFonts w:hint="eastAsia" w:ascii="宋体" w:hAnsi="宋体" w:cs="Times New Roman"/>
          <w:color w:val="auto"/>
          <w:kern w:val="2"/>
          <w:sz w:val="21"/>
          <w:szCs w:val="21"/>
          <w:highlight w:val="none"/>
        </w:rPr>
        <w:t>甲方合同编号：</w:t>
      </w:r>
    </w:p>
    <w:p>
      <w:pPr>
        <w:widowControl w:val="0"/>
        <w:rPr>
          <w:rFonts w:ascii="宋体" w:hAnsi="宋体" w:cs="Times New Roman"/>
          <w:color w:val="auto"/>
          <w:kern w:val="2"/>
          <w:sz w:val="21"/>
          <w:szCs w:val="21"/>
          <w:highlight w:val="none"/>
        </w:rPr>
      </w:pPr>
      <w:r>
        <w:rPr>
          <w:rFonts w:hint="eastAsia" w:ascii="宋体" w:hAnsi="宋体" w:cs="Times New Roman"/>
          <w:color w:val="auto"/>
          <w:kern w:val="2"/>
          <w:sz w:val="21"/>
          <w:szCs w:val="21"/>
          <w:highlight w:val="none"/>
        </w:rPr>
        <w:t>乙方合同编号：</w:t>
      </w:r>
    </w:p>
    <w:p>
      <w:pPr>
        <w:widowControl w:val="0"/>
        <w:jc w:val="center"/>
        <w:rPr>
          <w:rFonts w:ascii="宋体" w:hAnsi="宋体" w:cs="Times New Roman"/>
          <w:color w:val="auto"/>
          <w:kern w:val="2"/>
          <w:sz w:val="44"/>
          <w:szCs w:val="44"/>
          <w:highlight w:val="none"/>
        </w:rPr>
      </w:pPr>
    </w:p>
    <w:p>
      <w:pPr>
        <w:widowControl w:val="0"/>
        <w:jc w:val="center"/>
        <w:rPr>
          <w:rFonts w:ascii="宋体" w:hAnsi="宋体" w:cs="Times New Roman"/>
          <w:color w:val="auto"/>
          <w:kern w:val="2"/>
          <w:sz w:val="44"/>
          <w:szCs w:val="44"/>
          <w:highlight w:val="none"/>
        </w:rPr>
      </w:pPr>
    </w:p>
    <w:p>
      <w:pPr>
        <w:widowControl w:val="0"/>
        <w:jc w:val="center"/>
        <w:rPr>
          <w:rFonts w:ascii="宋体" w:hAnsi="宋体" w:cs="Times New Roman"/>
          <w:color w:val="auto"/>
          <w:kern w:val="2"/>
          <w:sz w:val="40"/>
          <w:szCs w:val="40"/>
          <w:highlight w:val="none"/>
        </w:rPr>
      </w:pPr>
    </w:p>
    <w:p>
      <w:pPr>
        <w:widowControl w:val="0"/>
        <w:jc w:val="center"/>
        <w:outlineLvl w:val="1"/>
        <w:rPr>
          <w:rFonts w:ascii="宋体" w:hAnsi="Calibri" w:cs="Times New Roman"/>
          <w:b/>
          <w:bCs/>
          <w:color w:val="auto"/>
          <w:kern w:val="2"/>
          <w:sz w:val="28"/>
          <w:szCs w:val="28"/>
          <w:highlight w:val="none"/>
        </w:rPr>
      </w:pPr>
      <w:r>
        <w:rPr>
          <w:rFonts w:hint="eastAsia" w:ascii="宋体" w:hAnsi="宋体" w:cs="Times New Roman"/>
          <w:b/>
          <w:bCs/>
          <w:color w:val="auto"/>
          <w:kern w:val="2"/>
          <w:sz w:val="40"/>
          <w:szCs w:val="40"/>
          <w:highlight w:val="none"/>
          <w:lang w:eastAsia="zh-CN"/>
        </w:rPr>
        <w:t>东莞市海心沙资源综合利用中心环保热电厂202</w:t>
      </w:r>
      <w:r>
        <w:rPr>
          <w:rFonts w:hint="eastAsia" w:ascii="宋体" w:hAnsi="宋体" w:cs="Times New Roman"/>
          <w:b/>
          <w:bCs/>
          <w:color w:val="auto"/>
          <w:kern w:val="2"/>
          <w:sz w:val="40"/>
          <w:szCs w:val="40"/>
          <w:highlight w:val="none"/>
          <w:lang w:val="en-US" w:eastAsia="zh-CN"/>
        </w:rPr>
        <w:t>5</w:t>
      </w:r>
      <w:r>
        <w:rPr>
          <w:rFonts w:hint="eastAsia" w:ascii="宋体" w:hAnsi="宋体" w:cs="Times New Roman"/>
          <w:b/>
          <w:bCs/>
          <w:color w:val="auto"/>
          <w:kern w:val="2"/>
          <w:sz w:val="40"/>
          <w:szCs w:val="40"/>
          <w:highlight w:val="none"/>
          <w:lang w:eastAsia="zh-CN"/>
        </w:rPr>
        <w:t>年度熟石灰采购</w:t>
      </w:r>
      <w:r>
        <w:rPr>
          <w:rFonts w:hint="eastAsia" w:ascii="宋体" w:hAnsi="宋体" w:cs="Times New Roman"/>
          <w:b/>
          <w:bCs/>
          <w:color w:val="auto"/>
          <w:kern w:val="2"/>
          <w:sz w:val="40"/>
          <w:szCs w:val="40"/>
          <w:highlight w:val="none"/>
        </w:rPr>
        <w:t>合同</w:t>
      </w:r>
    </w:p>
    <w:p>
      <w:pPr>
        <w:widowControl w:val="0"/>
        <w:jc w:val="both"/>
        <w:rPr>
          <w:rFonts w:ascii="Times" w:hAnsi="Times" w:cs="Times New Roman"/>
          <w:color w:val="auto"/>
          <w:kern w:val="2"/>
          <w:szCs w:val="24"/>
          <w:highlight w:val="none"/>
        </w:rPr>
      </w:pPr>
    </w:p>
    <w:p>
      <w:pPr>
        <w:widowControl w:val="0"/>
        <w:jc w:val="both"/>
        <w:rPr>
          <w:rFonts w:ascii="Times" w:hAnsi="Times" w:cs="Times New Roman"/>
          <w:color w:val="auto"/>
          <w:kern w:val="2"/>
          <w:szCs w:val="24"/>
          <w:highlight w:val="none"/>
        </w:rPr>
      </w:pPr>
    </w:p>
    <w:p>
      <w:pPr>
        <w:widowControl w:val="0"/>
        <w:jc w:val="both"/>
        <w:rPr>
          <w:rFonts w:ascii="Times" w:hAnsi="Times" w:cs="Times New Roman"/>
          <w:color w:val="auto"/>
          <w:kern w:val="2"/>
          <w:szCs w:val="24"/>
          <w:highlight w:val="none"/>
        </w:rPr>
      </w:pPr>
    </w:p>
    <w:p>
      <w:pPr>
        <w:widowControl w:val="0"/>
        <w:jc w:val="both"/>
        <w:rPr>
          <w:rFonts w:ascii="Times" w:hAnsi="Times" w:cs="Times New Roman"/>
          <w:color w:val="auto"/>
          <w:kern w:val="2"/>
          <w:szCs w:val="24"/>
          <w:highlight w:val="none"/>
        </w:rPr>
      </w:pPr>
    </w:p>
    <w:p>
      <w:pPr>
        <w:widowControl w:val="0"/>
        <w:jc w:val="both"/>
        <w:rPr>
          <w:rFonts w:ascii="宋体" w:hAnsi="Calibri" w:cs="Times New Roman"/>
          <w:color w:val="auto"/>
          <w:kern w:val="2"/>
          <w:sz w:val="30"/>
          <w:szCs w:val="30"/>
          <w:highlight w:val="none"/>
        </w:rPr>
      </w:pPr>
    </w:p>
    <w:p>
      <w:pPr>
        <w:widowControl w:val="0"/>
        <w:jc w:val="both"/>
        <w:rPr>
          <w:rFonts w:ascii="Times" w:hAnsi="Times" w:cs="Times New Roman"/>
          <w:color w:val="auto"/>
          <w:kern w:val="2"/>
          <w:sz w:val="30"/>
          <w:szCs w:val="30"/>
          <w:highlight w:val="none"/>
        </w:rPr>
      </w:pPr>
    </w:p>
    <w:p>
      <w:pPr>
        <w:widowControl w:val="0"/>
        <w:ind w:firstLine="1475" w:firstLineChars="527"/>
        <w:rPr>
          <w:rFonts w:hint="eastAsia" w:ascii="宋体" w:hAnsi="宋体" w:eastAsia="宋体" w:cs="Times New Roman"/>
          <w:color w:val="auto"/>
          <w:kern w:val="2"/>
          <w:sz w:val="28"/>
          <w:szCs w:val="28"/>
          <w:highlight w:val="none"/>
          <w:lang w:eastAsia="zh-CN"/>
        </w:rPr>
      </w:pPr>
      <w:r>
        <w:rPr>
          <w:rFonts w:hint="eastAsia" w:ascii="宋体" w:hAnsi="宋体" w:cs="Times New Roman"/>
          <w:color w:val="auto"/>
          <w:kern w:val="2"/>
          <w:sz w:val="28"/>
          <w:szCs w:val="28"/>
          <w:highlight w:val="none"/>
        </w:rPr>
        <w:t xml:space="preserve">甲方： </w:t>
      </w:r>
      <w:r>
        <w:rPr>
          <w:rFonts w:hint="eastAsia" w:ascii="宋体" w:hAnsi="宋体" w:cs="Times New Roman"/>
          <w:color w:val="auto"/>
          <w:kern w:val="2"/>
          <w:sz w:val="28"/>
          <w:szCs w:val="28"/>
          <w:highlight w:val="none"/>
          <w:lang w:eastAsia="zh-CN"/>
        </w:rPr>
        <w:t>东莞市新东元环保投资有限公司</w:t>
      </w:r>
    </w:p>
    <w:p>
      <w:pPr>
        <w:widowControl w:val="0"/>
        <w:ind w:firstLine="1475" w:firstLineChars="527"/>
        <w:rPr>
          <w:rFonts w:ascii="宋体" w:hAnsi="宋体" w:cs="Times New Roman"/>
          <w:color w:val="auto"/>
          <w:kern w:val="2"/>
          <w:sz w:val="28"/>
          <w:szCs w:val="28"/>
          <w:highlight w:val="none"/>
          <w:u w:val="single"/>
        </w:rPr>
      </w:pPr>
      <w:r>
        <w:rPr>
          <w:rFonts w:hint="eastAsia" w:ascii="宋体" w:hAnsi="宋体" w:cs="Times New Roman"/>
          <w:color w:val="auto"/>
          <w:kern w:val="2"/>
          <w:sz w:val="28"/>
          <w:szCs w:val="28"/>
          <w:highlight w:val="none"/>
        </w:rPr>
        <w:t>乙方：</w:t>
      </w:r>
    </w:p>
    <w:p>
      <w:pPr>
        <w:widowControl w:val="0"/>
        <w:ind w:firstLine="1475" w:firstLineChars="527"/>
        <w:rPr>
          <w:rFonts w:ascii="宋体" w:hAnsi="宋体" w:cs="Times New Roman"/>
          <w:color w:val="auto"/>
          <w:kern w:val="2"/>
          <w:sz w:val="28"/>
          <w:szCs w:val="28"/>
          <w:highlight w:val="none"/>
          <w:u w:val="single"/>
        </w:rPr>
      </w:pPr>
    </w:p>
    <w:p>
      <w:pPr>
        <w:widowControl w:val="0"/>
        <w:jc w:val="both"/>
        <w:rPr>
          <w:rFonts w:ascii="Times" w:hAnsi="宋体" w:cs="Times New Roman"/>
          <w:color w:val="auto"/>
          <w:kern w:val="2"/>
          <w:szCs w:val="28"/>
          <w:highlight w:val="none"/>
        </w:rPr>
      </w:pPr>
    </w:p>
    <w:p>
      <w:pPr>
        <w:widowControl w:val="0"/>
        <w:jc w:val="both"/>
        <w:rPr>
          <w:rFonts w:ascii="Times" w:hAnsi="宋体" w:cs="Times New Roman"/>
          <w:color w:val="auto"/>
          <w:kern w:val="2"/>
          <w:szCs w:val="28"/>
          <w:highlight w:val="none"/>
        </w:rPr>
      </w:pPr>
    </w:p>
    <w:p>
      <w:pPr>
        <w:widowControl w:val="0"/>
        <w:jc w:val="both"/>
        <w:rPr>
          <w:rFonts w:ascii="Times" w:hAnsi="宋体" w:cs="Times New Roman"/>
          <w:color w:val="auto"/>
          <w:kern w:val="2"/>
          <w:szCs w:val="28"/>
          <w:highlight w:val="none"/>
        </w:rPr>
      </w:pPr>
    </w:p>
    <w:p>
      <w:pPr>
        <w:widowControl w:val="0"/>
        <w:jc w:val="center"/>
        <w:outlineLvl w:val="1"/>
        <w:rPr>
          <w:rFonts w:ascii="Times" w:hAnsi="宋体" w:cs="Times New Roman"/>
          <w:color w:val="auto"/>
          <w:kern w:val="2"/>
          <w:sz w:val="28"/>
          <w:szCs w:val="28"/>
          <w:highlight w:val="none"/>
        </w:rPr>
      </w:pPr>
      <w:r>
        <w:rPr>
          <w:rFonts w:hint="eastAsia" w:ascii="宋体" w:hAnsi="宋体" w:cs="宋体"/>
          <w:color w:val="auto"/>
          <w:sz w:val="28"/>
          <w:szCs w:val="28"/>
          <w:highlight w:val="none"/>
        </w:rPr>
        <w:t>二○二</w:t>
      </w:r>
      <w:r>
        <w:rPr>
          <w:rFonts w:hint="eastAsia" w:ascii="宋体" w:hAnsi="宋体" w:cs="宋体"/>
          <w:color w:val="auto"/>
          <w:sz w:val="28"/>
          <w:szCs w:val="28"/>
          <w:highlight w:val="none"/>
          <w:lang w:val="en-US" w:eastAsia="zh-CN"/>
        </w:rPr>
        <w:t>五</w:t>
      </w:r>
      <w:r>
        <w:rPr>
          <w:rFonts w:hint="eastAsia" w:ascii="Times" w:hAnsi="宋体" w:cs="Times New Roman"/>
          <w:color w:val="auto"/>
          <w:kern w:val="2"/>
          <w:sz w:val="28"/>
          <w:szCs w:val="28"/>
          <w:highlight w:val="none"/>
        </w:rPr>
        <w:t>年    月    日</w:t>
      </w:r>
    </w:p>
    <w:p>
      <w:pPr>
        <w:rPr>
          <w:rFonts w:hint="eastAsia" w:ascii="宋体" w:hAnsi="宋体" w:cs="宋体"/>
          <w:b/>
          <w:snapToGrid w:val="0"/>
          <w:color w:val="auto"/>
          <w:sz w:val="21"/>
          <w:szCs w:val="21"/>
          <w:highlight w:val="none"/>
        </w:rPr>
      </w:pPr>
      <w:r>
        <w:rPr>
          <w:rFonts w:hint="eastAsia" w:ascii="宋体" w:hAnsi="宋体" w:cs="宋体"/>
          <w:b/>
          <w:snapToGrid w:val="0"/>
          <w:color w:val="auto"/>
          <w:sz w:val="21"/>
          <w:szCs w:val="21"/>
          <w:highlight w:val="none"/>
        </w:rPr>
        <w:br w:type="page"/>
      </w:r>
    </w:p>
    <w:p>
      <w:pPr>
        <w:tabs>
          <w:tab w:val="right" w:pos="8306"/>
        </w:tabs>
        <w:spacing w:line="360" w:lineRule="auto"/>
        <w:rPr>
          <w:rFonts w:hint="eastAsia" w:ascii="宋体" w:hAnsi="宋体" w:cs="宋体"/>
          <w:snapToGrid w:val="0"/>
          <w:color w:val="auto"/>
          <w:sz w:val="21"/>
          <w:szCs w:val="21"/>
          <w:highlight w:val="none"/>
        </w:rPr>
      </w:pPr>
      <w:r>
        <w:rPr>
          <w:rFonts w:hint="eastAsia" w:ascii="宋体" w:hAnsi="宋体" w:cs="宋体"/>
          <w:b/>
          <w:snapToGrid w:val="0"/>
          <w:color w:val="auto"/>
          <w:sz w:val="21"/>
          <w:szCs w:val="21"/>
          <w:highlight w:val="none"/>
        </w:rPr>
        <w:t>甲方（买方）：</w:t>
      </w:r>
    </w:p>
    <w:p>
      <w:pPr>
        <w:tabs>
          <w:tab w:val="right" w:pos="8306"/>
        </w:tabs>
        <w:spacing w:line="360" w:lineRule="auto"/>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法定代表人：</w:t>
      </w:r>
    </w:p>
    <w:p>
      <w:pPr>
        <w:tabs>
          <w:tab w:val="right" w:pos="8306"/>
        </w:tabs>
        <w:spacing w:line="360" w:lineRule="auto"/>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通讯地址：</w:t>
      </w:r>
    </w:p>
    <w:p>
      <w:pPr>
        <w:tabs>
          <w:tab w:val="right" w:pos="8306"/>
        </w:tabs>
        <w:spacing w:line="360" w:lineRule="auto"/>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联系人：               联系电话：             电子邮件：</w:t>
      </w:r>
    </w:p>
    <w:p>
      <w:pPr>
        <w:spacing w:line="360" w:lineRule="auto"/>
        <w:rPr>
          <w:rFonts w:hint="eastAsia" w:ascii="宋体" w:hAnsi="宋体" w:cs="宋体"/>
          <w:b/>
          <w:snapToGrid w:val="0"/>
          <w:color w:val="auto"/>
          <w:sz w:val="21"/>
          <w:szCs w:val="21"/>
          <w:highlight w:val="none"/>
        </w:rPr>
      </w:pPr>
    </w:p>
    <w:p>
      <w:pPr>
        <w:spacing w:line="360" w:lineRule="auto"/>
        <w:rPr>
          <w:rFonts w:hint="eastAsia" w:ascii="宋体" w:hAnsi="宋体" w:cs="宋体"/>
          <w:b/>
          <w:color w:val="auto"/>
          <w:sz w:val="21"/>
          <w:szCs w:val="21"/>
          <w:highlight w:val="none"/>
        </w:rPr>
      </w:pPr>
      <w:r>
        <w:rPr>
          <w:rFonts w:hint="eastAsia" w:ascii="宋体" w:hAnsi="宋体" w:cs="宋体"/>
          <w:b/>
          <w:snapToGrid w:val="0"/>
          <w:color w:val="auto"/>
          <w:sz w:val="21"/>
          <w:szCs w:val="21"/>
          <w:highlight w:val="none"/>
        </w:rPr>
        <w:t>乙方（卖方）：</w:t>
      </w:r>
    </w:p>
    <w:p>
      <w:pPr>
        <w:spacing w:line="360" w:lineRule="auto"/>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法定代表人：</w:t>
      </w:r>
    </w:p>
    <w:p>
      <w:pPr>
        <w:tabs>
          <w:tab w:val="right" w:pos="8306"/>
        </w:tabs>
        <w:spacing w:line="360" w:lineRule="auto"/>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通讯地址：</w:t>
      </w:r>
    </w:p>
    <w:p>
      <w:pPr>
        <w:tabs>
          <w:tab w:val="right" w:pos="8306"/>
        </w:tabs>
        <w:spacing w:line="360" w:lineRule="auto"/>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联系人：               联系电话：             电子邮件：</w:t>
      </w:r>
    </w:p>
    <w:p>
      <w:pPr>
        <w:tabs>
          <w:tab w:val="right" w:pos="8306"/>
        </w:tabs>
        <w:spacing w:line="360" w:lineRule="auto"/>
        <w:ind w:firstLine="420" w:firstLineChars="200"/>
        <w:rPr>
          <w:rFonts w:hint="eastAsia" w:ascii="宋体" w:hAnsi="宋体" w:cs="宋体"/>
          <w:snapToGrid w:val="0"/>
          <w:color w:val="auto"/>
          <w:sz w:val="21"/>
          <w:szCs w:val="21"/>
          <w:highlight w:val="none"/>
        </w:rPr>
      </w:pP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本合同双方根据《中华人民共和国民法典》、《中华人民共和国产品质量法》等有关法律、法规规定，经充分协商，现就甲方向乙方采购相关货物事宜达成以下协议：</w:t>
      </w:r>
    </w:p>
    <w:p>
      <w:pPr>
        <w:spacing w:line="360" w:lineRule="auto"/>
        <w:ind w:firstLine="420" w:firstLineChars="200"/>
        <w:rPr>
          <w:rFonts w:hint="eastAsia" w:ascii="宋体" w:hAnsi="宋体" w:cs="宋体"/>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第一条  采购货物清单及合同价款</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412"/>
        <w:gridCol w:w="990"/>
        <w:gridCol w:w="508"/>
        <w:gridCol w:w="395"/>
        <w:gridCol w:w="1282"/>
        <w:gridCol w:w="1168"/>
        <w:gridCol w:w="1057"/>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6" w:type="pct"/>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828" w:type="pct"/>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580" w:type="pct"/>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品牌</w:t>
            </w:r>
          </w:p>
        </w:tc>
        <w:tc>
          <w:tcPr>
            <w:tcW w:w="298" w:type="pct"/>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产地</w:t>
            </w:r>
          </w:p>
        </w:tc>
        <w:tc>
          <w:tcPr>
            <w:tcW w:w="231" w:type="pct"/>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单位</w:t>
            </w:r>
          </w:p>
        </w:tc>
        <w:tc>
          <w:tcPr>
            <w:tcW w:w="752" w:type="pct"/>
            <w:noWrap w:val="0"/>
            <w:vAlign w:val="center"/>
          </w:tcPr>
          <w:p>
            <w:pPr>
              <w:spacing w:line="360" w:lineRule="auto"/>
              <w:jc w:val="center"/>
              <w:rPr>
                <w:rFonts w:hint="eastAsia" w:ascii="宋体" w:hAnsi="宋体" w:cs="宋体"/>
                <w:b/>
                <w:color w:val="auto"/>
                <w:szCs w:val="21"/>
                <w:highlight w:val="none"/>
              </w:rPr>
            </w:pPr>
            <w:r>
              <w:rPr>
                <w:rFonts w:hint="eastAsia" w:hAnsi="宋体"/>
                <w:b/>
                <w:color w:val="auto"/>
                <w:szCs w:val="21"/>
                <w:highlight w:val="none"/>
              </w:rPr>
              <w:t>计划采购供货量</w:t>
            </w:r>
          </w:p>
        </w:tc>
        <w:tc>
          <w:tcPr>
            <w:tcW w:w="685" w:type="pct"/>
            <w:noWrap w:val="0"/>
            <w:vAlign w:val="center"/>
          </w:tcPr>
          <w:p>
            <w:pPr>
              <w:spacing w:line="360" w:lineRule="auto"/>
              <w:jc w:val="center"/>
              <w:rPr>
                <w:rFonts w:hint="eastAsia" w:ascii="宋体" w:hAnsi="宋体" w:cs="宋体"/>
                <w:b/>
                <w:color w:val="auto"/>
                <w:szCs w:val="21"/>
                <w:highlight w:val="none"/>
              </w:rPr>
            </w:pPr>
            <w:r>
              <w:rPr>
                <w:rFonts w:hint="eastAsia" w:hAnsi="宋体"/>
                <w:b/>
                <w:color w:val="auto"/>
                <w:szCs w:val="21"/>
                <w:highlight w:val="none"/>
              </w:rPr>
              <w:t>综合单价（元/吨）</w:t>
            </w:r>
          </w:p>
        </w:tc>
        <w:tc>
          <w:tcPr>
            <w:tcW w:w="620" w:type="pct"/>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暂定总价</w:t>
            </w:r>
          </w:p>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（含税）</w:t>
            </w:r>
          </w:p>
        </w:tc>
        <w:tc>
          <w:tcPr>
            <w:tcW w:w="677" w:type="pct"/>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326"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2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熟石灰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200目过筛</w:t>
            </w:r>
            <w:r>
              <w:rPr>
                <w:rFonts w:hint="eastAsia" w:ascii="宋体" w:hAnsi="宋体" w:cs="宋体"/>
                <w:color w:val="auto"/>
                <w:szCs w:val="21"/>
                <w:highlight w:val="none"/>
                <w:lang w:eastAsia="zh-CN"/>
              </w:rPr>
              <w:t>）</w:t>
            </w:r>
          </w:p>
        </w:tc>
        <w:tc>
          <w:tcPr>
            <w:tcW w:w="580" w:type="pct"/>
            <w:noWrap w:val="0"/>
            <w:vAlign w:val="center"/>
          </w:tcPr>
          <w:p>
            <w:pPr>
              <w:spacing w:line="360" w:lineRule="auto"/>
              <w:rPr>
                <w:rFonts w:hint="eastAsia" w:ascii="宋体" w:hAnsi="宋体" w:cs="宋体"/>
                <w:color w:val="auto"/>
                <w:szCs w:val="21"/>
                <w:highlight w:val="none"/>
              </w:rPr>
            </w:pPr>
          </w:p>
        </w:tc>
        <w:tc>
          <w:tcPr>
            <w:tcW w:w="298" w:type="pct"/>
            <w:noWrap w:val="0"/>
            <w:vAlign w:val="top"/>
          </w:tcPr>
          <w:p>
            <w:pPr>
              <w:spacing w:line="360" w:lineRule="auto"/>
              <w:jc w:val="center"/>
              <w:rPr>
                <w:rFonts w:hint="eastAsia" w:ascii="宋体" w:hAnsi="宋体" w:cs="宋体"/>
                <w:color w:val="auto"/>
                <w:szCs w:val="21"/>
                <w:highlight w:val="none"/>
              </w:rPr>
            </w:pPr>
          </w:p>
        </w:tc>
        <w:tc>
          <w:tcPr>
            <w:tcW w:w="231"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吨</w:t>
            </w:r>
          </w:p>
        </w:tc>
        <w:tc>
          <w:tcPr>
            <w:tcW w:w="752"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约</w:t>
            </w:r>
            <w:r>
              <w:rPr>
                <w:rFonts w:hint="eastAsia" w:ascii="宋体" w:hAnsi="宋体" w:cs="宋体"/>
                <w:color w:val="auto"/>
                <w:szCs w:val="21"/>
                <w:highlight w:val="none"/>
                <w:lang w:val="en-US" w:eastAsia="zh-CN"/>
              </w:rPr>
              <w:t>7800</w:t>
            </w:r>
          </w:p>
        </w:tc>
        <w:tc>
          <w:tcPr>
            <w:tcW w:w="685" w:type="pct"/>
            <w:noWrap w:val="0"/>
            <w:vAlign w:val="center"/>
          </w:tcPr>
          <w:p>
            <w:pPr>
              <w:spacing w:line="360" w:lineRule="auto"/>
              <w:jc w:val="center"/>
              <w:rPr>
                <w:rFonts w:hint="eastAsia" w:ascii="宋体" w:hAnsi="宋体" w:cs="宋体"/>
                <w:color w:val="auto"/>
                <w:szCs w:val="21"/>
                <w:highlight w:val="none"/>
              </w:rPr>
            </w:pPr>
          </w:p>
        </w:tc>
        <w:tc>
          <w:tcPr>
            <w:tcW w:w="620" w:type="pct"/>
            <w:noWrap w:val="0"/>
            <w:vAlign w:val="center"/>
          </w:tcPr>
          <w:p>
            <w:pPr>
              <w:spacing w:line="360" w:lineRule="auto"/>
              <w:jc w:val="center"/>
              <w:rPr>
                <w:rFonts w:hint="eastAsia" w:ascii="宋体" w:hAnsi="宋体" w:cs="宋体"/>
                <w:color w:val="auto"/>
                <w:szCs w:val="21"/>
                <w:highlight w:val="none"/>
              </w:rPr>
            </w:pPr>
          </w:p>
        </w:tc>
        <w:tc>
          <w:tcPr>
            <w:tcW w:w="677" w:type="pct"/>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326" w:type="pct"/>
            <w:noWrap w:val="0"/>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82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熟石灰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325目过筛</w:t>
            </w:r>
            <w:r>
              <w:rPr>
                <w:rFonts w:hint="eastAsia" w:ascii="宋体" w:hAnsi="宋体" w:cs="宋体"/>
                <w:color w:val="auto"/>
                <w:szCs w:val="21"/>
                <w:highlight w:val="none"/>
                <w:lang w:eastAsia="zh-CN"/>
              </w:rPr>
              <w:t>）</w:t>
            </w:r>
          </w:p>
        </w:tc>
        <w:tc>
          <w:tcPr>
            <w:tcW w:w="580" w:type="pct"/>
            <w:noWrap w:val="0"/>
            <w:vAlign w:val="center"/>
          </w:tcPr>
          <w:p>
            <w:pPr>
              <w:spacing w:line="360" w:lineRule="auto"/>
              <w:rPr>
                <w:rFonts w:hint="eastAsia" w:ascii="宋体" w:hAnsi="宋体" w:cs="宋体"/>
                <w:color w:val="auto"/>
                <w:szCs w:val="21"/>
                <w:highlight w:val="none"/>
              </w:rPr>
            </w:pPr>
          </w:p>
        </w:tc>
        <w:tc>
          <w:tcPr>
            <w:tcW w:w="298" w:type="pct"/>
            <w:noWrap w:val="0"/>
            <w:vAlign w:val="top"/>
          </w:tcPr>
          <w:p>
            <w:pPr>
              <w:spacing w:line="360" w:lineRule="auto"/>
              <w:jc w:val="center"/>
              <w:rPr>
                <w:rFonts w:hint="eastAsia" w:ascii="宋体" w:hAnsi="宋体" w:cs="宋体"/>
                <w:color w:val="auto"/>
                <w:szCs w:val="21"/>
                <w:highlight w:val="none"/>
              </w:rPr>
            </w:pPr>
          </w:p>
        </w:tc>
        <w:tc>
          <w:tcPr>
            <w:tcW w:w="231"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吨</w:t>
            </w:r>
          </w:p>
        </w:tc>
        <w:tc>
          <w:tcPr>
            <w:tcW w:w="752"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约</w:t>
            </w:r>
            <w:r>
              <w:rPr>
                <w:rFonts w:hint="eastAsia" w:ascii="宋体" w:hAnsi="宋体" w:cs="宋体"/>
                <w:color w:val="auto"/>
                <w:szCs w:val="21"/>
                <w:highlight w:val="none"/>
                <w:lang w:val="en-US" w:eastAsia="zh-CN"/>
              </w:rPr>
              <w:t>3300</w:t>
            </w:r>
          </w:p>
        </w:tc>
        <w:tc>
          <w:tcPr>
            <w:tcW w:w="685" w:type="pct"/>
            <w:noWrap w:val="0"/>
            <w:vAlign w:val="center"/>
          </w:tcPr>
          <w:p>
            <w:pPr>
              <w:spacing w:line="360" w:lineRule="auto"/>
              <w:jc w:val="center"/>
              <w:rPr>
                <w:rFonts w:hint="eastAsia" w:ascii="宋体" w:hAnsi="宋体" w:cs="宋体"/>
                <w:color w:val="auto"/>
                <w:szCs w:val="21"/>
                <w:highlight w:val="none"/>
              </w:rPr>
            </w:pPr>
          </w:p>
        </w:tc>
        <w:tc>
          <w:tcPr>
            <w:tcW w:w="620" w:type="pct"/>
            <w:noWrap w:val="0"/>
            <w:vAlign w:val="center"/>
          </w:tcPr>
          <w:p>
            <w:pPr>
              <w:spacing w:line="360" w:lineRule="auto"/>
              <w:jc w:val="center"/>
              <w:rPr>
                <w:rFonts w:hint="eastAsia" w:ascii="宋体" w:hAnsi="宋体" w:cs="宋体"/>
                <w:color w:val="auto"/>
                <w:szCs w:val="21"/>
                <w:highlight w:val="none"/>
              </w:rPr>
            </w:pPr>
          </w:p>
        </w:tc>
        <w:tc>
          <w:tcPr>
            <w:tcW w:w="677" w:type="pct"/>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5000" w:type="pct"/>
            <w:gridSpan w:val="9"/>
            <w:noWrap w:val="0"/>
            <w:vAlign w:val="top"/>
          </w:tcPr>
          <w:p>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1.综合单价已包含</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增值税专用发票。综合单价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 </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2.上述数量为乙方计划供应数量。实际采购数量以甲方实际需求为准。具体每批送货数量以甲方通知为准。</w:t>
            </w:r>
          </w:p>
          <w:p>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3.此价格</w:t>
            </w:r>
            <w:r>
              <w:rPr>
                <w:rFonts w:hint="eastAsia" w:ascii="宋体" w:hAnsi="宋体" w:cs="宋体"/>
                <w:color w:val="auto"/>
                <w:szCs w:val="21"/>
                <w:highlight w:val="none"/>
              </w:rPr>
              <w:t>包括合同货物及相关的技术服务等费用，还包括合同货物的税费、所有货物包装费、运输费、装卸费、保险费等与本合同中乙方应承担的所有义务和所有工作的有关费用。</w:t>
            </w:r>
          </w:p>
        </w:tc>
      </w:tr>
    </w:tbl>
    <w:p>
      <w:pPr>
        <w:spacing w:line="360" w:lineRule="auto"/>
        <w:ind w:firstLine="422" w:firstLineChars="200"/>
        <w:rPr>
          <w:rFonts w:hint="eastAsia" w:ascii="宋体" w:hAnsi="宋体" w:cs="宋体"/>
          <w:b/>
          <w:bCs/>
          <w:color w:val="auto"/>
          <w:sz w:val="21"/>
          <w:szCs w:val="21"/>
          <w:highlight w:val="none"/>
        </w:rPr>
      </w:pPr>
    </w:p>
    <w:p>
      <w:pPr>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第二条  质量标准及考核：货物的质量标准和性能应当同时满足下列要求：</w:t>
      </w:r>
    </w:p>
    <w:p>
      <w:pPr>
        <w:tabs>
          <w:tab w:val="right" w:pos="8306"/>
        </w:tabs>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双方约定的标准：</w:t>
      </w:r>
      <w:r>
        <w:rPr>
          <w:rFonts w:hint="eastAsia" w:ascii="宋体" w:hAnsi="宋体" w:cs="宋体"/>
          <w:color w:val="auto"/>
          <w:sz w:val="21"/>
          <w:szCs w:val="21"/>
          <w:highlight w:val="none"/>
          <w:u w:val="single"/>
        </w:rPr>
        <w:t>以《熟石灰采购技术需求书》约定为准。</w:t>
      </w:r>
    </w:p>
    <w:p>
      <w:pPr>
        <w:tabs>
          <w:tab w:val="left" w:pos="792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熟石灰技术参数需求：</w:t>
      </w:r>
    </w:p>
    <w:p>
      <w:pPr>
        <w:numPr>
          <w:ilvl w:val="0"/>
          <w:numId w:val="0"/>
        </w:numPr>
        <w:tabs>
          <w:tab w:val="left" w:pos="7920"/>
        </w:tabs>
        <w:spacing w:line="360" w:lineRule="auto"/>
        <w:ind w:left="0" w:leftChars="0" w:firstLine="397"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bidi="ar-SA"/>
        </w:rPr>
        <w:t>（1）</w:t>
      </w:r>
      <w:r>
        <w:rPr>
          <w:rFonts w:hint="eastAsia" w:ascii="宋体" w:hAnsi="宋体" w:eastAsia="宋体" w:cs="宋体"/>
          <w:color w:val="auto"/>
          <w:sz w:val="21"/>
          <w:szCs w:val="21"/>
          <w:highlight w:val="none"/>
        </w:rPr>
        <w:t>Ca(OH)</w:t>
      </w:r>
      <w:r>
        <w:rPr>
          <w:rFonts w:hint="eastAsia" w:ascii="宋体" w:hAnsi="宋体" w:eastAsia="宋体" w:cs="宋体"/>
          <w:color w:val="auto"/>
          <w:sz w:val="21"/>
          <w:szCs w:val="21"/>
          <w:highlight w:val="none"/>
          <w:vertAlign w:val="subscript"/>
        </w:rPr>
        <w:t xml:space="preserve"> 2</w:t>
      </w:r>
      <w:r>
        <w:rPr>
          <w:rFonts w:hint="eastAsia" w:ascii="宋体" w:hAnsi="宋体" w:eastAsia="宋体" w:cs="宋体"/>
          <w:color w:val="auto"/>
          <w:sz w:val="21"/>
          <w:szCs w:val="21"/>
          <w:highlight w:val="none"/>
        </w:rPr>
        <w:t>纯度 ≥95%；</w:t>
      </w:r>
    </w:p>
    <w:p>
      <w:pPr>
        <w:numPr>
          <w:ilvl w:val="0"/>
          <w:numId w:val="0"/>
        </w:numPr>
        <w:tabs>
          <w:tab w:val="left" w:pos="7920"/>
        </w:tabs>
        <w:spacing w:line="360" w:lineRule="auto"/>
        <w:ind w:left="0" w:leftChars="0" w:firstLine="397"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bidi="ar-SA"/>
        </w:rPr>
        <w:t>（2）</w:t>
      </w:r>
      <w:r>
        <w:rPr>
          <w:rFonts w:hint="eastAsia" w:ascii="宋体" w:hAnsi="宋体" w:eastAsia="宋体" w:cs="宋体"/>
          <w:color w:val="auto"/>
          <w:sz w:val="21"/>
          <w:szCs w:val="21"/>
          <w:highlight w:val="none"/>
        </w:rPr>
        <w:t>粒度：</w:t>
      </w:r>
      <w:r>
        <w:rPr>
          <w:rFonts w:hint="eastAsia" w:ascii="宋体" w:hAnsi="宋体" w:eastAsia="宋体" w:cs="宋体"/>
          <w:color w:val="auto"/>
          <w:sz w:val="21"/>
          <w:szCs w:val="21"/>
          <w:highlight w:val="none"/>
          <w:lang w:val="en-US" w:eastAsia="zh-CN"/>
        </w:rPr>
        <w:t>分别适用200目过筛通过率</w:t>
      </w:r>
      <w:r>
        <w:rPr>
          <w:rFonts w:hint="eastAsia" w:ascii="宋体" w:hAnsi="宋体" w:eastAsia="宋体" w:cs="宋体"/>
          <w:color w:val="auto"/>
          <w:sz w:val="21"/>
          <w:szCs w:val="21"/>
          <w:highlight w:val="none"/>
        </w:rPr>
        <w:t>≥95%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325</w:t>
      </w:r>
      <w:r>
        <w:rPr>
          <w:rFonts w:hint="eastAsia" w:ascii="宋体" w:hAnsi="宋体" w:cs="宋体"/>
          <w:color w:val="auto"/>
          <w:sz w:val="21"/>
          <w:szCs w:val="21"/>
          <w:highlight w:val="none"/>
          <w:lang w:eastAsia="zh-CN"/>
        </w:rPr>
        <w:t>目过筛</w:t>
      </w:r>
      <w:r>
        <w:rPr>
          <w:rFonts w:hint="eastAsia" w:ascii="宋体" w:hAnsi="宋体" w:eastAsia="宋体" w:cs="宋体"/>
          <w:color w:val="auto"/>
          <w:sz w:val="21"/>
          <w:szCs w:val="21"/>
          <w:highlight w:val="none"/>
        </w:rPr>
        <w:t>通过率≥95%；</w:t>
      </w:r>
    </w:p>
    <w:p>
      <w:pPr>
        <w:numPr>
          <w:ilvl w:val="0"/>
          <w:numId w:val="0"/>
        </w:numPr>
        <w:tabs>
          <w:tab w:val="left" w:pos="7920"/>
        </w:tabs>
        <w:spacing w:line="360" w:lineRule="auto"/>
        <w:ind w:left="0" w:leftChars="0" w:firstLine="397"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外观：灰白色粉末；</w:t>
      </w:r>
    </w:p>
    <w:p>
      <w:pPr>
        <w:numPr>
          <w:ilvl w:val="0"/>
          <w:numId w:val="0"/>
        </w:numPr>
        <w:tabs>
          <w:tab w:val="left" w:pos="7920"/>
        </w:tabs>
        <w:spacing w:line="360" w:lineRule="auto"/>
        <w:ind w:left="0" w:leftChars="0" w:firstLine="397"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bidi="ar-SA"/>
        </w:rPr>
        <w:t>（4）</w:t>
      </w:r>
      <w:r>
        <w:rPr>
          <w:rFonts w:hint="eastAsia" w:ascii="宋体" w:hAnsi="宋体" w:eastAsia="宋体" w:cs="宋体"/>
          <w:color w:val="auto"/>
          <w:sz w:val="21"/>
          <w:szCs w:val="21"/>
          <w:highlight w:val="none"/>
        </w:rPr>
        <w:t>比表面积（BET）≥</w:t>
      </w:r>
      <w:r>
        <w:rPr>
          <w:rFonts w:hint="eastAsia" w:ascii="宋体" w:hAnsi="宋体" w:eastAsia="宋体" w:cs="宋体"/>
          <w:bCs/>
          <w:color w:val="auto"/>
          <w:sz w:val="21"/>
          <w:szCs w:val="21"/>
          <w:highlight w:val="none"/>
        </w:rPr>
        <w:t>18㎡/g</w:t>
      </w:r>
      <w:r>
        <w:rPr>
          <w:rFonts w:hint="eastAsia" w:ascii="宋体" w:hAnsi="宋体" w:eastAsia="宋体" w:cs="宋体"/>
          <w:b/>
          <w:bCs/>
          <w:color w:val="auto"/>
          <w:sz w:val="21"/>
          <w:szCs w:val="21"/>
          <w:highlight w:val="none"/>
        </w:rPr>
        <w:t>；</w:t>
      </w:r>
    </w:p>
    <w:p>
      <w:pPr>
        <w:numPr>
          <w:ilvl w:val="0"/>
          <w:numId w:val="0"/>
        </w:numPr>
        <w:tabs>
          <w:tab w:val="left" w:pos="7920"/>
        </w:tabs>
        <w:spacing w:line="360" w:lineRule="auto"/>
        <w:ind w:left="0" w:leftChars="0" w:firstLine="397"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bidi="ar-SA"/>
        </w:rPr>
        <w:t>（5）</w:t>
      </w:r>
      <w:r>
        <w:rPr>
          <w:rFonts w:hint="eastAsia" w:ascii="宋体" w:hAnsi="宋体" w:eastAsia="宋体" w:cs="宋体"/>
          <w:color w:val="auto"/>
          <w:sz w:val="21"/>
          <w:szCs w:val="21"/>
          <w:highlight w:val="none"/>
        </w:rPr>
        <w:t>温升≤4.50C：将200ml水倒入100g熟石灰样品的保温壶中，温升不超过4.50C。</w:t>
      </w:r>
    </w:p>
    <w:p>
      <w:pPr>
        <w:numPr>
          <w:ilvl w:val="0"/>
          <w:numId w:val="0"/>
        </w:numPr>
        <w:tabs>
          <w:tab w:val="left" w:pos="7920"/>
        </w:tabs>
        <w:spacing w:line="360" w:lineRule="auto"/>
        <w:ind w:left="0" w:leftChars="0" w:firstLine="397"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bidi="ar-SA"/>
        </w:rPr>
        <w:t>（6）</w:t>
      </w:r>
      <w:r>
        <w:rPr>
          <w:rFonts w:hint="eastAsia" w:ascii="宋体" w:hAnsi="宋体" w:eastAsia="宋体" w:cs="宋体"/>
          <w:color w:val="auto"/>
          <w:sz w:val="21"/>
          <w:szCs w:val="21"/>
          <w:highlight w:val="none"/>
        </w:rPr>
        <w:t>若化验结果达不到双方合同约定的氢氧化钙含量标准，经供方要求,可协商收货,协商单价按氢氧化钙有效成分计价，即氢氧化钙含量每降低一个百分点，单价则减少50元/吨。但氢氧化钙含量低于92%，</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拒绝收货</w:t>
      </w:r>
      <w:r>
        <w:rPr>
          <w:rFonts w:hint="eastAsia" w:ascii="宋体" w:hAnsi="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与双方确认的样品的质量相同。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国家标准、行业标准、地方标准、厂家标准中的最高标准。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合同附件技术协议书、用户需求、货物规格书、</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、投标文件等文件（如有）约定的标准。</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甲方按考核评分表对乙方供货质量、服务情况等进行季度考核。季度考核综合得分大于等于80分，甲方继续履行合同；季度考核综合得分小于80分，甲方有权解除合同。</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季度总评考核结果：</w:t>
      </w:r>
    </w:p>
    <w:tbl>
      <w:tblPr>
        <w:tblStyle w:val="30"/>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3000"/>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考核结果</w:t>
            </w:r>
          </w:p>
        </w:tc>
        <w:tc>
          <w:tcPr>
            <w:tcW w:w="300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分值区间</w:t>
            </w:r>
          </w:p>
        </w:tc>
        <w:tc>
          <w:tcPr>
            <w:tcW w:w="2759"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是否继续执行合同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合格</w:t>
            </w:r>
          </w:p>
        </w:tc>
        <w:tc>
          <w:tcPr>
            <w:tcW w:w="300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综合得分≥80分</w:t>
            </w:r>
          </w:p>
        </w:tc>
        <w:tc>
          <w:tcPr>
            <w:tcW w:w="2759"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继续执行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不合格</w:t>
            </w:r>
          </w:p>
        </w:tc>
        <w:tc>
          <w:tcPr>
            <w:tcW w:w="300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综合得分＜80分</w:t>
            </w:r>
          </w:p>
        </w:tc>
        <w:tc>
          <w:tcPr>
            <w:tcW w:w="2759"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任一次不合格有权解除合同</w:t>
            </w:r>
          </w:p>
        </w:tc>
      </w:tr>
    </w:tbl>
    <w:p>
      <w:pPr>
        <w:spacing w:line="360" w:lineRule="auto"/>
        <w:ind w:firstLine="420" w:firstLineChars="200"/>
        <w:rPr>
          <w:rFonts w:hint="eastAsia" w:ascii="宋体" w:hAnsi="宋体" w:cs="宋体"/>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第三条  质量保证期</w:t>
      </w:r>
    </w:p>
    <w:p>
      <w:pPr>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1.质量保证期按</w:t>
      </w:r>
      <w:r>
        <w:rPr>
          <w:rFonts w:hint="eastAsia" w:ascii="宋体" w:hAnsi="宋体" w:cs="宋体"/>
          <w:color w:val="auto"/>
          <w:sz w:val="21"/>
          <w:szCs w:val="21"/>
          <w:highlight w:val="none"/>
          <w:u w:val="single"/>
        </w:rPr>
        <w:t>（3）</w:t>
      </w:r>
      <w:r>
        <w:rPr>
          <w:rFonts w:hint="eastAsia" w:ascii="宋体" w:hAnsi="宋体" w:cs="宋体"/>
          <w:bCs/>
          <w:color w:val="auto"/>
          <w:sz w:val="21"/>
          <w:szCs w:val="21"/>
          <w:highlight w:val="none"/>
        </w:rPr>
        <w:t>执行。</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（1）交付后</w:t>
      </w:r>
      <w:r>
        <w:rPr>
          <w:rFonts w:hint="eastAsia" w:ascii="宋体" w:hAnsi="宋体" w:cs="宋体"/>
          <w:color w:val="auto"/>
          <w:sz w:val="21"/>
          <w:szCs w:val="21"/>
          <w:highlight w:val="none"/>
          <w:u w:val="single"/>
        </w:rPr>
        <w:t>﹨</w:t>
      </w:r>
      <w:r>
        <w:rPr>
          <w:rFonts w:hint="eastAsia" w:ascii="宋体" w:hAnsi="宋体" w:cs="宋体"/>
          <w:bCs/>
          <w:color w:val="auto"/>
          <w:sz w:val="21"/>
          <w:szCs w:val="21"/>
          <w:highlight w:val="none"/>
        </w:rPr>
        <w:t>个月保质期；</w:t>
      </w:r>
      <w:r>
        <w:rPr>
          <w:rFonts w:hint="eastAsia" w:ascii="宋体" w:hAnsi="宋体" w:cs="宋体"/>
          <w:bCs/>
          <w:vanish/>
          <w:color w:val="auto"/>
          <w:sz w:val="21"/>
          <w:szCs w:val="21"/>
          <w:highlight w:val="none"/>
        </w:rPr>
        <w:t>(</w:t>
      </w:r>
      <w:r>
        <w:rPr>
          <w:rFonts w:hint="eastAsia" w:ascii="宋体" w:hAnsi="宋体" w:cs="宋体"/>
          <w:bCs/>
          <w:color w:val="auto"/>
          <w:sz w:val="21"/>
          <w:szCs w:val="21"/>
          <w:highlight w:val="none"/>
        </w:rPr>
        <w:t>2）</w:t>
      </w:r>
      <w:r>
        <w:rPr>
          <w:rFonts w:hint="eastAsia" w:ascii="宋体" w:hAnsi="宋体" w:cs="宋体"/>
          <w:color w:val="auto"/>
          <w:sz w:val="21"/>
          <w:szCs w:val="21"/>
          <w:highlight w:val="none"/>
        </w:rPr>
        <w:t>正常运行</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个月；（3）初步验收合格之日起</w:t>
      </w:r>
      <w:r>
        <w:rPr>
          <w:rFonts w:hint="eastAsia" w:ascii="宋体" w:hAnsi="宋体" w:cs="宋体"/>
          <w:color w:val="auto"/>
          <w:sz w:val="21"/>
          <w:szCs w:val="21"/>
          <w:highlight w:val="none"/>
          <w:u w:val="single"/>
        </w:rPr>
        <w:t>6</w:t>
      </w:r>
      <w:r>
        <w:rPr>
          <w:rFonts w:hint="eastAsia" w:ascii="宋体" w:hAnsi="宋体" w:cs="宋体"/>
          <w:color w:val="auto"/>
          <w:sz w:val="21"/>
          <w:szCs w:val="21"/>
          <w:highlight w:val="none"/>
        </w:rPr>
        <w:t>个月；</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2.如果乙方知道或者应当知道所出卖产品存在质量缺陷，所承担的质量保证期限不受前款质量负责期限的约束，应依法承担相应责任。</w:t>
      </w:r>
    </w:p>
    <w:p>
      <w:pPr>
        <w:spacing w:line="360" w:lineRule="auto"/>
        <w:ind w:firstLine="420" w:firstLineChars="200"/>
        <w:rPr>
          <w:rFonts w:hint="eastAsia" w:ascii="宋体" w:hAnsi="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第四条  包装标准、包装物的供应与回收</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b/>
          <w:color w:val="auto"/>
          <w:sz w:val="21"/>
          <w:szCs w:val="21"/>
          <w:highlight w:val="none"/>
        </w:rPr>
      </w:pPr>
      <w:r>
        <w:rPr>
          <w:rFonts w:hint="eastAsia" w:ascii="宋体" w:hAnsi="宋体" w:cs="宋体"/>
          <w:color w:val="auto"/>
          <w:sz w:val="21"/>
          <w:szCs w:val="21"/>
          <w:highlight w:val="none"/>
        </w:rPr>
        <w:t xml:space="preserve">1.产品所需包装由乙方合理包装并符合技术附件的要求（如有），适合水运和/或长途内陆运输，防潮，防湿，防震，防锈，符合甲方使用要求。  </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2.包装物由乙方提供，不计费、</w:t>
      </w:r>
      <w:r>
        <w:rPr>
          <w:rFonts w:hint="eastAsia" w:ascii="宋体" w:hAnsi="宋体" w:cs="宋体"/>
          <w:color w:val="auto"/>
          <w:sz w:val="21"/>
          <w:szCs w:val="21"/>
          <w:highlight w:val="none"/>
          <w:u w:val="single"/>
        </w:rPr>
        <w:t>乙方</w:t>
      </w:r>
      <w:r>
        <w:rPr>
          <w:rFonts w:hint="eastAsia" w:ascii="宋体" w:hAnsi="宋体" w:cs="宋体"/>
          <w:color w:val="auto"/>
          <w:sz w:val="21"/>
          <w:szCs w:val="21"/>
          <w:highlight w:val="none"/>
        </w:rPr>
        <w:t>回收。</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3.化学品的包装必须满足国家标准《化学品包装及标志》（GB15346-</w:t>
      </w:r>
      <w:r>
        <w:rPr>
          <w:rFonts w:ascii="宋体" w:hAnsi="宋体" w:cs="宋体"/>
          <w:color w:val="auto"/>
          <w:sz w:val="21"/>
          <w:szCs w:val="21"/>
          <w:highlight w:val="none"/>
        </w:rPr>
        <w:t>2012</w:t>
      </w:r>
      <w:r>
        <w:rPr>
          <w:rFonts w:hint="eastAsia" w:ascii="宋体" w:hAnsi="宋体" w:cs="宋体"/>
          <w:color w:val="auto"/>
          <w:sz w:val="21"/>
          <w:szCs w:val="21"/>
          <w:highlight w:val="none"/>
        </w:rPr>
        <w:t>）和《危险货物包装标志》（GB190-</w:t>
      </w:r>
      <w:r>
        <w:rPr>
          <w:rFonts w:ascii="宋体" w:hAnsi="宋体" w:cs="宋体"/>
          <w:color w:val="auto"/>
          <w:sz w:val="21"/>
          <w:szCs w:val="21"/>
          <w:highlight w:val="none"/>
        </w:rPr>
        <w:t>2009</w:t>
      </w:r>
      <w:r>
        <w:rPr>
          <w:rFonts w:hint="eastAsia" w:ascii="宋体" w:hAnsi="宋体" w:cs="宋体"/>
          <w:color w:val="auto"/>
          <w:sz w:val="21"/>
          <w:szCs w:val="21"/>
          <w:highlight w:val="none"/>
        </w:rPr>
        <w:t>）。对于瓶装或桶装的化学品，其标识必须包含化学品的名称、分子式、有效成分含量及等级、净重、危险标识、供货厂家、批号、生产日期、有效期、产品质量符合标准的证明和标准编号等信息。对于运送散装化学品的储槽上必须有标识，必须包含化学品的名称和危险标识等信息，运送人员同时提供产品质量检验报告。</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4.所采购品含腐蚀性、有毒成分，产品进厂后，将严格执行厂区的安全规定和政府部门的《危险化学品的安全管理》。</w:t>
      </w:r>
    </w:p>
    <w:p>
      <w:pPr>
        <w:keepNext w:val="0"/>
        <w:keepLines w:val="0"/>
        <w:pageBreakBefore w:val="0"/>
        <w:widowControl/>
        <w:kinsoku/>
        <w:wordWrap/>
        <w:overflowPunct/>
        <w:topLinePunct w:val="0"/>
        <w:bidi w:val="0"/>
        <w:adjustRightInd w:val="0"/>
        <w:snapToGrid w:val="0"/>
        <w:spacing w:line="360" w:lineRule="auto"/>
        <w:ind w:firstLine="422" w:firstLineChars="200"/>
        <w:rPr>
          <w:rFonts w:hint="eastAsia" w:ascii="宋体" w:hAnsi="宋体" w:cs="宋体"/>
          <w:b/>
          <w:color w:val="auto"/>
          <w:sz w:val="21"/>
          <w:szCs w:val="21"/>
          <w:highlight w:val="none"/>
        </w:rPr>
      </w:pPr>
    </w:p>
    <w:p>
      <w:pPr>
        <w:keepNext w:val="0"/>
        <w:keepLines w:val="0"/>
        <w:pageBreakBefore w:val="0"/>
        <w:widowControl/>
        <w:kinsoku/>
        <w:wordWrap/>
        <w:overflowPunct/>
        <w:topLinePunct w:val="0"/>
        <w:bidi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第五条  交货时间、地点及供货期限</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1.交货地点：东莞市海心沙资源综合利用中心环保热电厂项目指定地点。</w:t>
      </w:r>
    </w:p>
    <w:p>
      <w:pPr>
        <w:keepNext w:val="0"/>
        <w:keepLines w:val="0"/>
        <w:pageBreakBefore w:val="0"/>
        <w:widowControl/>
        <w:tabs>
          <w:tab w:val="left" w:pos="0"/>
          <w:tab w:val="left" w:pos="709"/>
        </w:tabs>
        <w:kinsoku/>
        <w:wordWrap/>
        <w:overflowPunct/>
        <w:topLinePunct w:val="0"/>
        <w:bidi w:val="0"/>
        <w:adjustRightInd w:val="0"/>
        <w:snapToGrid w:val="0"/>
        <w:spacing w:line="360" w:lineRule="auto"/>
        <w:ind w:firstLine="420" w:firstLineChars="200"/>
        <w:rPr>
          <w:rFonts w:hint="eastAsia" w:ascii="宋体" w:hAnsi="宋体" w:cs="宋体"/>
          <w:bCs/>
          <w:snapToGrid w:val="0"/>
          <w:color w:val="auto"/>
          <w:sz w:val="21"/>
          <w:szCs w:val="21"/>
          <w:highlight w:val="none"/>
        </w:rPr>
      </w:pPr>
      <w:r>
        <w:rPr>
          <w:rFonts w:hint="eastAsia" w:ascii="宋体" w:hAnsi="宋体" w:cs="宋体"/>
          <w:color w:val="auto"/>
          <w:sz w:val="21"/>
          <w:szCs w:val="21"/>
          <w:highlight w:val="none"/>
        </w:rPr>
        <w:t>2.交货时间及顺序：经甲方提前2日以书面、微信、电子邮件或短信通知后，乙方需确保在规定期限内交货到厂。乙方在收到甲方书面、微信、电子邮件或短信等通知后应立即供货，如不能在约定时间内及时供货时，则承担逾期供货相关责任。</w:t>
      </w:r>
      <w:r>
        <w:rPr>
          <w:rFonts w:hint="eastAsia" w:ascii="宋体" w:hAnsi="宋体" w:cs="宋体"/>
          <w:bCs/>
          <w:snapToGrid w:val="0"/>
          <w:color w:val="auto"/>
          <w:sz w:val="21"/>
          <w:szCs w:val="21"/>
          <w:highlight w:val="none"/>
        </w:rPr>
        <w:t>本次采购不限定每次采购的时间、数量。乙方应当根据甲方的随时通知在上述期限内及时供货。乙方应当自行预估并且承担由此可能带来的风险。</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3.紧急供货：如甲方的任一项目因突发状况要求紧急供货，乙方应在收到甲方通知后根据甲方订单或电子邮件、短信等要求在10个小时内交货到厂。如不能在约定时间交货到厂，则承担逾期交货相关责任。</w:t>
      </w:r>
    </w:p>
    <w:p>
      <w:pPr>
        <w:keepNext w:val="0"/>
        <w:keepLines w:val="0"/>
        <w:pageBreakBefore w:val="0"/>
        <w:widowControl/>
        <w:tabs>
          <w:tab w:val="left" w:pos="0"/>
          <w:tab w:val="left" w:pos="709"/>
        </w:tabs>
        <w:kinsoku/>
        <w:wordWrap/>
        <w:overflowPunct/>
        <w:topLinePunct w:val="0"/>
        <w:bidi w:val="0"/>
        <w:adjustRightInd w:val="0"/>
        <w:snapToGrid w:val="0"/>
        <w:spacing w:line="360" w:lineRule="auto"/>
        <w:ind w:firstLine="420" w:firstLineChars="200"/>
        <w:rPr>
          <w:rFonts w:hint="eastAsia" w:ascii="宋体" w:hAnsi="宋体" w:cs="宋体"/>
          <w:b/>
          <w:color w:val="auto"/>
          <w:sz w:val="21"/>
          <w:szCs w:val="21"/>
          <w:highlight w:val="none"/>
        </w:rPr>
      </w:pPr>
      <w:r>
        <w:rPr>
          <w:rFonts w:hint="eastAsia" w:ascii="宋体" w:hAnsi="宋体" w:cs="宋体"/>
          <w:color w:val="auto"/>
          <w:sz w:val="21"/>
          <w:szCs w:val="21"/>
          <w:highlight w:val="none"/>
        </w:rPr>
        <w:t>4.</w:t>
      </w:r>
      <w:r>
        <w:rPr>
          <w:rFonts w:hint="eastAsia" w:ascii="宋体" w:hAnsi="宋体" w:cs="宋体"/>
          <w:b/>
          <w:color w:val="auto"/>
          <w:sz w:val="21"/>
          <w:szCs w:val="21"/>
          <w:highlight w:val="none"/>
        </w:rPr>
        <w:t>供货期限：</w:t>
      </w:r>
    </w:p>
    <w:p>
      <w:pPr>
        <w:keepNext w:val="0"/>
        <w:keepLines w:val="0"/>
        <w:pageBreakBefore w:val="0"/>
        <w:widowControl/>
        <w:tabs>
          <w:tab w:val="left" w:pos="0"/>
          <w:tab w:val="left" w:pos="709"/>
        </w:tabs>
        <w:kinsoku/>
        <w:wordWrap/>
        <w:overflowPunct/>
        <w:topLinePunct w:val="0"/>
        <w:bidi w:val="0"/>
        <w:adjustRightInd w:val="0"/>
        <w:snapToGrid w:val="0"/>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供货期限为：自中标通知书发出之日起至</w:t>
      </w:r>
      <w:r>
        <w:rPr>
          <w:rFonts w:hint="eastAsia" w:ascii="宋体" w:hAnsi="宋体" w:cs="宋体"/>
          <w:bCs/>
          <w:color w:val="auto"/>
          <w:sz w:val="21"/>
          <w:szCs w:val="21"/>
          <w:highlight w:val="none"/>
          <w:lang w:val="en-US" w:eastAsia="zh-CN"/>
        </w:rPr>
        <w:t xml:space="preserve">    </w:t>
      </w:r>
      <w:r>
        <w:rPr>
          <w:rFonts w:hint="eastAsia" w:ascii="宋体" w:hAnsi="宋体" w:cs="宋体"/>
          <w:bCs/>
          <w:color w:val="auto"/>
          <w:sz w:val="21"/>
          <w:szCs w:val="21"/>
          <w:highlight w:val="none"/>
        </w:rPr>
        <w:t>年  月   日。开始送货时间以采购人通知为准。</w:t>
      </w:r>
    </w:p>
    <w:p>
      <w:pPr>
        <w:keepNext w:val="0"/>
        <w:keepLines w:val="0"/>
        <w:pageBreakBefore w:val="0"/>
        <w:widowControl/>
        <w:tabs>
          <w:tab w:val="left" w:pos="0"/>
          <w:tab w:val="left" w:pos="709"/>
        </w:tabs>
        <w:kinsoku/>
        <w:wordWrap/>
        <w:overflowPunct/>
        <w:topLinePunct w:val="0"/>
        <w:bidi w:val="0"/>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 w:val="21"/>
          <w:szCs w:val="21"/>
          <w:highlight w:val="none"/>
        </w:rPr>
        <w:t>合同执行期间，甲方有权根据项目实际需求提前终止合同，选择不继续采购乙方货物，乙方不得要求甲方继续采购乙方货物或要求赔偿。</w:t>
      </w:r>
    </w:p>
    <w:p>
      <w:pPr>
        <w:keepNext w:val="0"/>
        <w:keepLines w:val="0"/>
        <w:pageBreakBefore w:val="0"/>
        <w:widowControl/>
        <w:kinsoku/>
        <w:wordWrap/>
        <w:overflowPunct/>
        <w:topLinePunct w:val="0"/>
        <w:bidi w:val="0"/>
        <w:adjustRightInd w:val="0"/>
        <w:snapToGrid w:val="0"/>
        <w:spacing w:line="360" w:lineRule="auto"/>
        <w:ind w:firstLine="422" w:firstLineChars="200"/>
        <w:rPr>
          <w:rFonts w:ascii="宋体" w:hAnsi="宋体" w:cs="宋体"/>
          <w:b/>
          <w:color w:val="auto"/>
          <w:sz w:val="21"/>
          <w:szCs w:val="21"/>
          <w:highlight w:val="none"/>
        </w:rPr>
      </w:pPr>
    </w:p>
    <w:p>
      <w:pPr>
        <w:keepNext w:val="0"/>
        <w:keepLines w:val="0"/>
        <w:pageBreakBefore w:val="0"/>
        <w:widowControl/>
        <w:kinsoku/>
        <w:wordWrap/>
        <w:overflowPunct/>
        <w:topLinePunct w:val="0"/>
        <w:bidi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第六条  合理损耗标准及计算方法</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1.双方共同确定的计量方法，即</w:t>
      </w:r>
      <w:r>
        <w:rPr>
          <w:rFonts w:hint="eastAsia" w:ascii="宋体" w:hAnsi="宋体" w:cs="宋体"/>
          <w:color w:val="auto"/>
          <w:sz w:val="21"/>
          <w:szCs w:val="21"/>
          <w:highlight w:val="none"/>
          <w:u w:val="single"/>
        </w:rPr>
        <w:t>甲方指定送货电厂地磅计量法，无出厂化验报告，禁止入厂。</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2.根据上述方法乙方向甲方实际交付的产品数量在本合同约定的合理损耗（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%）的范围内，乙方不承担责任。</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第七条  货物的保管风险及所有权的转移</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1.货物的保管风险自交付至甲方指定的交货地点之时转移至甲方，即在约定时间、约定地点交付之前货物的保管风险由乙方承担，交付之后货物的保管风险由甲方承担。</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2.货物的所有权自</w:t>
      </w:r>
      <w:r>
        <w:rPr>
          <w:rFonts w:hint="eastAsia" w:ascii="宋体" w:hAnsi="宋体" w:cs="宋体"/>
          <w:color w:val="auto"/>
          <w:sz w:val="21"/>
          <w:szCs w:val="21"/>
          <w:highlight w:val="none"/>
          <w:u w:val="single"/>
        </w:rPr>
        <w:t>交付</w:t>
      </w:r>
      <w:r>
        <w:rPr>
          <w:rFonts w:hint="eastAsia" w:ascii="宋体" w:hAnsi="宋体" w:cs="宋体"/>
          <w:color w:val="auto"/>
          <w:sz w:val="21"/>
          <w:szCs w:val="21"/>
          <w:highlight w:val="none"/>
        </w:rPr>
        <w:t>起转移至甲方。</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3.乙方迟延交付的，承担迟延期间货物的风险责任。</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第八条  运输方法</w:t>
      </w:r>
      <w:r>
        <w:rPr>
          <w:rFonts w:hint="eastAsia" w:ascii="宋体" w:hAnsi="宋体" w:cs="宋体"/>
          <w:color w:val="auto"/>
          <w:sz w:val="21"/>
          <w:szCs w:val="21"/>
          <w:highlight w:val="none"/>
        </w:rPr>
        <w:t>、</w:t>
      </w:r>
      <w:r>
        <w:rPr>
          <w:rFonts w:hint="eastAsia" w:ascii="宋体" w:hAnsi="宋体" w:cs="宋体"/>
          <w:b/>
          <w:color w:val="auto"/>
          <w:sz w:val="21"/>
          <w:szCs w:val="21"/>
          <w:highlight w:val="none"/>
        </w:rPr>
        <w:t>运费及运输保险负担、到达站（港）</w:t>
      </w:r>
      <w:r>
        <w:rPr>
          <w:rFonts w:hint="eastAsia" w:ascii="宋体" w:hAnsi="宋体" w:cs="宋体"/>
          <w:color w:val="auto"/>
          <w:sz w:val="21"/>
          <w:szCs w:val="21"/>
          <w:highlight w:val="none"/>
          <w:u w:val="single"/>
        </w:rPr>
        <w:t xml:space="preserve">   ﹨      </w:t>
      </w:r>
      <w:r>
        <w:rPr>
          <w:rFonts w:hint="eastAsia" w:ascii="宋体" w:hAnsi="宋体" w:cs="宋体"/>
          <w:b/>
          <w:color w:val="auto"/>
          <w:sz w:val="21"/>
          <w:szCs w:val="21"/>
          <w:highlight w:val="none"/>
        </w:rPr>
        <w:t>。</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b/>
          <w:color w:val="auto"/>
          <w:sz w:val="21"/>
          <w:szCs w:val="21"/>
          <w:highlight w:val="none"/>
        </w:rPr>
      </w:pPr>
      <w:r>
        <w:rPr>
          <w:rFonts w:hint="eastAsia" w:ascii="宋体" w:hAnsi="宋体" w:cs="宋体"/>
          <w:color w:val="auto"/>
          <w:sz w:val="21"/>
          <w:szCs w:val="21"/>
          <w:highlight w:val="none"/>
        </w:rPr>
        <w:t>1.运输方法：乙方须用合规格密封良好的槽罐车运输合同货物。槽罐必须注意防泄漏，注意环境保护。槽罐车实际容量可根据甲方实际送货需求调整。按最新交通运输法，载货后整车总质量必须</w:t>
      </w:r>
      <w:r>
        <w:rPr>
          <w:rFonts w:hint="eastAsia" w:ascii="宋体" w:hAnsi="宋体" w:cs="宋体"/>
          <w:color w:val="auto"/>
          <w:sz w:val="21"/>
          <w:szCs w:val="21"/>
          <w:highlight w:val="none"/>
          <w:shd w:val="clear" w:color="auto" w:fill="FFFFFF"/>
        </w:rPr>
        <w:t>＜</w:t>
      </w:r>
      <w:r>
        <w:rPr>
          <w:rFonts w:hint="eastAsia" w:ascii="宋体" w:hAnsi="宋体" w:cs="宋体"/>
          <w:color w:val="auto"/>
          <w:sz w:val="21"/>
          <w:szCs w:val="21"/>
          <w:highlight w:val="none"/>
        </w:rPr>
        <w:t>49吨。以上由乙方承担运输及装卸等费用，自行卸货。</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2.费用负担：按</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执行。</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（1）运费已包含在本合同价款内；（2）运输费用</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元，由甲方另行支付。</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3.运输保险费由</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方承担，共计：</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。由乙方代办托运的保险受益人为甲方。保险费已包含在本合同价款内。</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第九条  检验标准、方法、地点及期限</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1.检验标准：按本合同第二条质量标准进行检验。</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2.验收方式：按</w:t>
      </w:r>
      <w:r>
        <w:rPr>
          <w:rFonts w:hint="eastAsia" w:ascii="宋体" w:hAnsi="宋体" w:cs="宋体"/>
          <w:color w:val="auto"/>
          <w:sz w:val="21"/>
          <w:szCs w:val="21"/>
          <w:highlight w:val="none"/>
          <w:u w:val="single"/>
        </w:rPr>
        <w:t xml:space="preserve"> (1)、 (2) 、(3) 、(4) 、（5）、（6）、（7）</w:t>
      </w:r>
      <w:r>
        <w:rPr>
          <w:rFonts w:hint="eastAsia" w:ascii="宋体" w:hAnsi="宋体" w:cs="宋体"/>
          <w:color w:val="auto"/>
          <w:sz w:val="21"/>
          <w:szCs w:val="21"/>
          <w:highlight w:val="none"/>
        </w:rPr>
        <w:t>执行。</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u w:val="single"/>
        </w:rPr>
        <w:t>乙方在送货时，必须提供每一批货物的出厂化验报告及送货单，要求必须签字盖章。无出厂化验报告，禁止入厂。</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车次过磅后乙方送达产品到甲方指定地点进行抽样取样，每次取样时，供需双方应当共同见证取样，且取样单须经供需双方共同签字签章确认（乙方拒绝派人参加取样或者拒绝签字盖章确认的，不影响甲方取样的效力）。每车次取4份样品（</w:t>
      </w:r>
      <w:r>
        <w:rPr>
          <w:rFonts w:hint="eastAsia" w:ascii="宋体" w:hAnsi="宋体" w:cs="宋体"/>
          <w:color w:val="auto"/>
          <w:sz w:val="21"/>
          <w:szCs w:val="21"/>
          <w:highlight w:val="none"/>
          <w:u w:val="single"/>
        </w:rPr>
        <w:t>其中1份样品交由甲方实验室检测，1份预备送第三方检测机构进行检测，</w:t>
      </w:r>
      <w:r>
        <w:rPr>
          <w:rFonts w:hint="eastAsia" w:ascii="宋体" w:hAnsi="宋体" w:cs="宋体"/>
          <w:color w:val="auto"/>
          <w:sz w:val="21"/>
          <w:szCs w:val="21"/>
          <w:highlight w:val="none"/>
        </w:rPr>
        <w:t>另外2份样品作为备样交由甲方备存），甲方完成取样并且实验室初步检验合格后，由乙方负责卸货至甲方指定地点，卸货费用已经包含在合同价款中。卸货后乙方必须再次到甲方地磅过空磅，签字确认并拿取过磅单后，方可离厂。如退货，乙方必须在10小时内第二车送货到厂。</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（3）不予收货：乙方所供货物经甲方分析检测室检验确认，应符合以下技术参数要求：（1）熟石灰（Ca(OH)</w:t>
      </w:r>
      <w:r>
        <w:rPr>
          <w:rFonts w:hint="eastAsia" w:ascii="宋体" w:hAnsi="宋体" w:cs="宋体"/>
          <w:color w:val="auto"/>
          <w:sz w:val="21"/>
          <w:szCs w:val="21"/>
          <w:highlight w:val="none"/>
          <w:vertAlign w:val="subscript"/>
        </w:rPr>
        <w:t xml:space="preserve"> 2</w:t>
      </w:r>
      <w:r>
        <w:rPr>
          <w:rFonts w:hint="eastAsia" w:ascii="宋体" w:hAnsi="宋体" w:cs="宋体"/>
          <w:color w:val="auto"/>
          <w:sz w:val="21"/>
          <w:szCs w:val="21"/>
          <w:highlight w:val="none"/>
        </w:rPr>
        <w:t>）含量≥95%（2）熟石灰（Ca(OH)</w:t>
      </w:r>
      <w:r>
        <w:rPr>
          <w:rFonts w:hint="eastAsia" w:ascii="宋体" w:hAnsi="宋体" w:cs="宋体"/>
          <w:color w:val="auto"/>
          <w:sz w:val="21"/>
          <w:szCs w:val="21"/>
          <w:highlight w:val="none"/>
          <w:vertAlign w:val="subscript"/>
        </w:rPr>
        <w:t xml:space="preserve"> 2</w:t>
      </w:r>
      <w:r>
        <w:rPr>
          <w:rFonts w:hint="eastAsia" w:ascii="宋体" w:hAnsi="宋体" w:cs="宋体"/>
          <w:color w:val="auto"/>
          <w:sz w:val="21"/>
          <w:szCs w:val="21"/>
          <w:highlight w:val="none"/>
        </w:rPr>
        <w:t>）粒度通过率（325目）≥95%</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lang w:eastAsia="zh-CN"/>
        </w:rPr>
        <w:t>粒度通过率（</w:t>
      </w:r>
      <w:r>
        <w:rPr>
          <w:rFonts w:hint="eastAsia" w:ascii="宋体" w:hAnsi="宋体" w:cs="宋体"/>
          <w:color w:val="auto"/>
          <w:sz w:val="21"/>
          <w:szCs w:val="21"/>
          <w:highlight w:val="none"/>
          <w:lang w:eastAsia="zh-CN"/>
        </w:rPr>
        <w:t>200目）≥95%</w:t>
      </w:r>
      <w:r>
        <w:rPr>
          <w:rFonts w:hint="eastAsia" w:ascii="宋体" w:hAnsi="宋体" w:cs="宋体"/>
          <w:color w:val="auto"/>
          <w:sz w:val="21"/>
          <w:szCs w:val="21"/>
          <w:highlight w:val="none"/>
        </w:rPr>
        <w:t>（3）温升≤4.5</w:t>
      </w:r>
      <w:r>
        <w:rPr>
          <w:rFonts w:hint="eastAsia" w:ascii="宋体" w:hAnsi="宋体" w:cs="宋体"/>
          <w:color w:val="auto"/>
          <w:sz w:val="21"/>
          <w:szCs w:val="21"/>
          <w:highlight w:val="none"/>
          <w:vertAlign w:val="superscript"/>
        </w:rPr>
        <w:t>0</w:t>
      </w:r>
      <w:r>
        <w:rPr>
          <w:rFonts w:hint="eastAsia" w:ascii="宋体" w:hAnsi="宋体" w:cs="宋体"/>
          <w:color w:val="auto"/>
          <w:sz w:val="21"/>
          <w:szCs w:val="21"/>
          <w:highlight w:val="none"/>
        </w:rPr>
        <w:t>C：将200ml水倒入100g熟石灰样品的保温壶中，温升不超过4.5</w:t>
      </w:r>
      <w:r>
        <w:rPr>
          <w:rFonts w:hint="eastAsia" w:ascii="宋体" w:hAnsi="宋体" w:cs="宋体"/>
          <w:color w:val="auto"/>
          <w:sz w:val="21"/>
          <w:szCs w:val="21"/>
          <w:highlight w:val="none"/>
          <w:vertAlign w:val="superscript"/>
        </w:rPr>
        <w:t>0。</w:t>
      </w:r>
      <w:r>
        <w:rPr>
          <w:rFonts w:hint="eastAsia" w:ascii="宋体" w:hAnsi="宋体" w:cs="宋体"/>
          <w:color w:val="auto"/>
          <w:sz w:val="21"/>
          <w:szCs w:val="21"/>
          <w:highlight w:val="none"/>
        </w:rPr>
        <w:t>，如出现氢氧化钙含量以外的指标不符合技术要求的甲方有权拒绝收货。若化验结果达不到双方合同约定的氢氧化钙含量标准，经乙方要求可协商收货，协商单价按氢氧化钙有效成分计价，即氢氧化钙含量每降低一个百分点，单价则减少50元/吨。但氢氧化钙含量低于92%，视为所供货物不合格。</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（4）第三方检测：</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熟石灰第三方检测指标如下：</w:t>
      </w:r>
    </w:p>
    <w:p>
      <w:pPr>
        <w:keepNext w:val="0"/>
        <w:keepLines w:val="0"/>
        <w:pageBreakBefore w:val="0"/>
        <w:widowControl/>
        <w:tabs>
          <w:tab w:val="left" w:pos="7920"/>
        </w:tabs>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a.</w:t>
      </w:r>
      <w:r>
        <w:rPr>
          <w:rFonts w:hint="eastAsia" w:ascii="宋体" w:hAnsi="宋体" w:cs="宋体"/>
          <w:color w:val="auto"/>
          <w:sz w:val="21"/>
          <w:szCs w:val="21"/>
          <w:highlight w:val="none"/>
        </w:rPr>
        <w:t>Ca(OH)</w:t>
      </w:r>
      <w:r>
        <w:rPr>
          <w:rFonts w:hint="eastAsia" w:ascii="宋体" w:hAnsi="宋体" w:cs="宋体"/>
          <w:color w:val="auto"/>
          <w:sz w:val="21"/>
          <w:szCs w:val="21"/>
          <w:highlight w:val="none"/>
          <w:vertAlign w:val="subscript"/>
        </w:rPr>
        <w:t xml:space="preserve"> 2</w:t>
      </w:r>
      <w:r>
        <w:rPr>
          <w:rFonts w:hint="eastAsia" w:ascii="宋体" w:hAnsi="宋体" w:cs="宋体"/>
          <w:color w:val="auto"/>
          <w:sz w:val="21"/>
          <w:szCs w:val="21"/>
          <w:highlight w:val="none"/>
        </w:rPr>
        <w:t>纯度 ≥95%；</w:t>
      </w:r>
    </w:p>
    <w:p>
      <w:pPr>
        <w:keepNext w:val="0"/>
        <w:keepLines w:val="0"/>
        <w:pageBreakBefore w:val="0"/>
        <w:widowControl/>
        <w:tabs>
          <w:tab w:val="left" w:pos="7920"/>
        </w:tabs>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b.</w:t>
      </w:r>
      <w:r>
        <w:rPr>
          <w:rFonts w:hint="eastAsia" w:ascii="宋体" w:hAnsi="宋体" w:cs="宋体"/>
          <w:color w:val="auto"/>
          <w:sz w:val="21"/>
          <w:szCs w:val="21"/>
          <w:highlight w:val="none"/>
        </w:rPr>
        <w:t>粒度：</w:t>
      </w:r>
      <w:r>
        <w:rPr>
          <w:rFonts w:hint="eastAsia" w:ascii="宋体" w:hAnsi="宋体" w:cs="宋体"/>
          <w:color w:val="auto"/>
          <w:sz w:val="21"/>
          <w:szCs w:val="21"/>
          <w:highlight w:val="none"/>
          <w:lang w:val="en-US" w:eastAsia="zh-CN"/>
        </w:rPr>
        <w:t>分别适用200目过筛通过率</w:t>
      </w:r>
      <w:r>
        <w:rPr>
          <w:rFonts w:hint="eastAsia" w:ascii="宋体" w:hAnsi="宋体" w:cs="宋体"/>
          <w:color w:val="auto"/>
          <w:sz w:val="21"/>
          <w:szCs w:val="21"/>
          <w:highlight w:val="none"/>
        </w:rPr>
        <w:t>≥95%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325</w:t>
      </w:r>
      <w:r>
        <w:rPr>
          <w:rFonts w:hint="eastAsia" w:ascii="宋体" w:hAnsi="宋体" w:cs="宋体"/>
          <w:color w:val="auto"/>
          <w:sz w:val="21"/>
          <w:szCs w:val="21"/>
          <w:highlight w:val="none"/>
          <w:lang w:eastAsia="zh-CN"/>
        </w:rPr>
        <w:t>目过筛</w:t>
      </w:r>
      <w:r>
        <w:rPr>
          <w:rFonts w:hint="eastAsia" w:ascii="宋体" w:hAnsi="宋体" w:cs="宋体"/>
          <w:color w:val="auto"/>
          <w:sz w:val="21"/>
          <w:szCs w:val="21"/>
          <w:highlight w:val="none"/>
        </w:rPr>
        <w:t>通过率≥95%；</w:t>
      </w:r>
    </w:p>
    <w:p>
      <w:pPr>
        <w:keepNext w:val="0"/>
        <w:keepLines w:val="0"/>
        <w:pageBreakBefore w:val="0"/>
        <w:widowControl/>
        <w:tabs>
          <w:tab w:val="left" w:pos="7920"/>
        </w:tabs>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c.</w:t>
      </w:r>
      <w:r>
        <w:rPr>
          <w:rFonts w:hint="eastAsia" w:ascii="宋体" w:hAnsi="宋体" w:cs="宋体"/>
          <w:color w:val="auto"/>
          <w:sz w:val="21"/>
          <w:szCs w:val="21"/>
          <w:highlight w:val="none"/>
        </w:rPr>
        <w:t>外观：灰白色粉末；</w:t>
      </w:r>
    </w:p>
    <w:p>
      <w:pPr>
        <w:keepNext w:val="0"/>
        <w:keepLines w:val="0"/>
        <w:pageBreakBefore w:val="0"/>
        <w:widowControl/>
        <w:tabs>
          <w:tab w:val="left" w:pos="7920"/>
        </w:tabs>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d.</w:t>
      </w:r>
      <w:r>
        <w:rPr>
          <w:rFonts w:hint="eastAsia" w:ascii="宋体" w:hAnsi="宋体" w:cs="宋体"/>
          <w:color w:val="auto"/>
          <w:sz w:val="21"/>
          <w:szCs w:val="21"/>
          <w:highlight w:val="none"/>
        </w:rPr>
        <w:t>比表面积（BET）≥</w:t>
      </w:r>
      <w:r>
        <w:rPr>
          <w:rFonts w:hint="eastAsia" w:ascii="宋体" w:hAnsi="宋体" w:cs="宋体"/>
          <w:bCs/>
          <w:color w:val="auto"/>
          <w:sz w:val="21"/>
          <w:szCs w:val="21"/>
          <w:highlight w:val="none"/>
        </w:rPr>
        <w:t>18㎡/g；</w:t>
      </w:r>
    </w:p>
    <w:p>
      <w:pPr>
        <w:keepNext w:val="0"/>
        <w:keepLines w:val="0"/>
        <w:pageBreakBefore w:val="0"/>
        <w:widowControl/>
        <w:tabs>
          <w:tab w:val="left" w:pos="7920"/>
        </w:tabs>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e.</w:t>
      </w:r>
      <w:r>
        <w:rPr>
          <w:rFonts w:hint="eastAsia" w:ascii="宋体" w:hAnsi="宋体" w:cs="宋体"/>
          <w:color w:val="auto"/>
          <w:sz w:val="21"/>
          <w:szCs w:val="21"/>
          <w:highlight w:val="none"/>
        </w:rPr>
        <w:t>温升≤4.5</w:t>
      </w:r>
      <w:r>
        <w:rPr>
          <w:rFonts w:hint="eastAsia" w:ascii="宋体" w:hAnsi="宋体" w:cs="宋体"/>
          <w:color w:val="auto"/>
          <w:sz w:val="21"/>
          <w:szCs w:val="21"/>
          <w:highlight w:val="none"/>
          <w:vertAlign w:val="superscript"/>
        </w:rPr>
        <w:t>0</w:t>
      </w:r>
      <w:r>
        <w:rPr>
          <w:rFonts w:hint="eastAsia" w:ascii="宋体" w:hAnsi="宋体" w:cs="宋体"/>
          <w:color w:val="auto"/>
          <w:sz w:val="21"/>
          <w:szCs w:val="21"/>
          <w:highlight w:val="none"/>
        </w:rPr>
        <w:t>C：将200ml水倒入100g熟石灰样品的保温壶中，温升不超过4.5</w:t>
      </w:r>
      <w:r>
        <w:rPr>
          <w:rFonts w:hint="eastAsia" w:ascii="宋体" w:hAnsi="宋体" w:cs="宋体"/>
          <w:color w:val="auto"/>
          <w:sz w:val="21"/>
          <w:szCs w:val="21"/>
          <w:highlight w:val="none"/>
          <w:vertAlign w:val="superscript"/>
        </w:rPr>
        <w:t>0</w:t>
      </w:r>
      <w:r>
        <w:rPr>
          <w:rFonts w:hint="eastAsia" w:ascii="宋体" w:hAnsi="宋体" w:cs="宋体"/>
          <w:color w:val="auto"/>
          <w:sz w:val="21"/>
          <w:szCs w:val="21"/>
          <w:highlight w:val="none"/>
        </w:rPr>
        <w:t>C。</w:t>
      </w:r>
    </w:p>
    <w:p>
      <w:pPr>
        <w:pStyle w:val="41"/>
        <w:keepNext w:val="0"/>
        <w:keepLines w:val="0"/>
        <w:pageBreakBefore w:val="0"/>
        <w:widowControl/>
        <w:kinsoku/>
        <w:wordWrap/>
        <w:overflowPunct/>
        <w:topLinePunct w:val="0"/>
        <w:bidi w:val="0"/>
        <w:adjustRightInd w:val="0"/>
        <w:snapToGrid w:val="0"/>
        <w:spacing w:line="360" w:lineRule="auto"/>
        <w:ind w:firstLineChars="0"/>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①常规送第三方检测：甲方每月2次，每次不定期从同一车次来料货物样品中随机</w:t>
      </w:r>
      <w:r>
        <w:rPr>
          <w:rFonts w:hint="eastAsia" w:ascii="宋体" w:hAnsi="宋体" w:cs="宋体"/>
          <w:color w:val="auto"/>
          <w:szCs w:val="21"/>
          <w:highlight w:val="none"/>
          <w:u w:val="single"/>
        </w:rPr>
        <w:t>抽取4份样品（其中1份样品交由甲方实验室检测，1份预备送第三方检测机构进行检测，另外2份样品作为备样交由甲方备存）</w:t>
      </w:r>
      <w:r>
        <w:rPr>
          <w:rFonts w:hint="eastAsia" w:ascii="宋体" w:hAnsi="宋体" w:cs="宋体"/>
          <w:snapToGrid w:val="0"/>
          <w:color w:val="auto"/>
          <w:szCs w:val="21"/>
          <w:highlight w:val="none"/>
        </w:rPr>
        <w:t>，</w:t>
      </w:r>
      <w:r>
        <w:rPr>
          <w:rFonts w:hint="eastAsia" w:ascii="宋体" w:hAnsi="宋体" w:cs="宋体"/>
          <w:color w:val="auto"/>
          <w:szCs w:val="21"/>
          <w:highlight w:val="none"/>
        </w:rPr>
        <w:t>双方明确三家具有省级或以上级别的计量认证资格证书（CMA）的第三方检测机构，由现场使用单位将样品随机送检</w:t>
      </w:r>
      <w:r>
        <w:rPr>
          <w:rFonts w:hint="eastAsia" w:ascii="宋体" w:hAnsi="宋体" w:cs="宋体"/>
          <w:snapToGrid w:val="0"/>
          <w:color w:val="auto"/>
          <w:szCs w:val="21"/>
          <w:highlight w:val="none"/>
        </w:rPr>
        <w:t>，检验费用（含寄送费用、检测费用等）由乙方承担（如乙方拒付时，</w:t>
      </w:r>
      <w:r>
        <w:rPr>
          <w:rFonts w:hint="eastAsia" w:ascii="宋体" w:hAnsi="宋体" w:cs="宋体"/>
          <w:color w:val="auto"/>
          <w:szCs w:val="21"/>
          <w:highlight w:val="none"/>
          <w:u w:val="single"/>
        </w:rPr>
        <w:t>甲方</w:t>
      </w:r>
      <w:r>
        <w:rPr>
          <w:rFonts w:hint="eastAsia" w:ascii="宋体" w:hAnsi="宋体" w:cs="宋体"/>
          <w:snapToGrid w:val="0"/>
          <w:color w:val="auto"/>
          <w:szCs w:val="21"/>
          <w:highlight w:val="none"/>
        </w:rPr>
        <w:t>有权从应付中标人的货款中直接扣除），</w:t>
      </w:r>
      <w:r>
        <w:rPr>
          <w:rFonts w:hint="eastAsia" w:ascii="宋体" w:hAnsi="宋体" w:cs="宋体"/>
          <w:color w:val="auto"/>
          <w:szCs w:val="21"/>
          <w:highlight w:val="none"/>
        </w:rPr>
        <w:t>电厂项目中</w:t>
      </w:r>
      <w:r>
        <w:rPr>
          <w:rFonts w:hint="eastAsia" w:ascii="宋体" w:hAnsi="宋体" w:cs="宋体"/>
          <w:snapToGrid w:val="0"/>
          <w:color w:val="auto"/>
          <w:szCs w:val="21"/>
          <w:highlight w:val="none"/>
        </w:rPr>
        <w:t>每月2次随机抽检的第三方检测合格报告作为结算依据。如因乙方未按时支付检测费用导致检测报告滞后出结果影响到付款时间，由乙方自行承担延误付款的不利后果，甲方概不负责。</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②出现异议货物送第三方检测：如乙方对</w:t>
      </w:r>
      <w:r>
        <w:rPr>
          <w:rFonts w:hint="eastAsia" w:ascii="宋体" w:hAnsi="宋体" w:cs="宋体"/>
          <w:color w:val="auto"/>
          <w:sz w:val="21"/>
          <w:szCs w:val="21"/>
          <w:highlight w:val="none"/>
        </w:rPr>
        <w:t>甲方实验室初步检验结果有异议，则甲方</w:t>
      </w:r>
      <w:r>
        <w:rPr>
          <w:rFonts w:hint="eastAsia" w:ascii="宋体" w:hAnsi="宋体" w:cs="宋体"/>
          <w:snapToGrid w:val="0"/>
          <w:color w:val="auto"/>
          <w:sz w:val="21"/>
          <w:szCs w:val="21"/>
          <w:highlight w:val="none"/>
        </w:rPr>
        <w:t>将共同封存的</w:t>
      </w:r>
      <w:r>
        <w:rPr>
          <w:rFonts w:hint="eastAsia" w:ascii="宋体" w:hAnsi="宋体" w:cs="宋体"/>
          <w:color w:val="auto"/>
          <w:sz w:val="21"/>
          <w:szCs w:val="21"/>
          <w:highlight w:val="none"/>
        </w:rPr>
        <w:t>1份该车次样品由甲方在确定的三家检测单位中指定一家送检</w:t>
      </w:r>
      <w:r>
        <w:rPr>
          <w:rFonts w:hint="eastAsia" w:ascii="宋体" w:hAnsi="宋体" w:cs="宋体"/>
          <w:snapToGrid w:val="0"/>
          <w:color w:val="auto"/>
          <w:sz w:val="21"/>
          <w:szCs w:val="21"/>
          <w:highlight w:val="none"/>
        </w:rPr>
        <w:t>。第三方检测结果合格的，检测费用由甲方承担；第三方检测结果不合格的，检测费用由乙方承担（如乙方拒付时，甲方有权从应付乙方的货款中直接扣除）。</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③</w:t>
      </w:r>
      <w:r>
        <w:rPr>
          <w:rFonts w:hint="eastAsia" w:ascii="宋体" w:hAnsi="宋体" w:cs="宋体"/>
          <w:snapToGrid w:val="0"/>
          <w:color w:val="auto"/>
          <w:sz w:val="21"/>
          <w:szCs w:val="21"/>
          <w:highlight w:val="none"/>
        </w:rPr>
        <w:t>甲方</w:t>
      </w:r>
      <w:r>
        <w:rPr>
          <w:rFonts w:hint="eastAsia" w:ascii="宋体" w:hAnsi="宋体" w:cs="宋体"/>
          <w:color w:val="auto"/>
          <w:sz w:val="21"/>
          <w:szCs w:val="21"/>
          <w:highlight w:val="none"/>
        </w:rPr>
        <w:t>不定点不定期抽样送第三方检测：</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甲方有权在合同期内在任一项目不定期随机抽检，双方见证取样，每车次取4份样品（1份样品送第三方检测机构进行检测，2份样品作为备样交由甲方备存，1份给乙方），由甲方指定检测单位及送检，检测费用由甲方承担。</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（5）检测内容及结果的应用：</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 xml:space="preserve"> ①每份检测报告内容包括但不限于：送检样品图片、样品封条（如有）、检验标准等技术需求书中规定的检测内容。</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②复检处理：若某车次货物第1份送检样品的第三方检测报告不合格，如乙方要求复检，</w:t>
      </w:r>
      <w:r>
        <w:rPr>
          <w:rFonts w:hint="eastAsia" w:ascii="宋体" w:hAnsi="宋体" w:cs="宋体"/>
          <w:color w:val="auto"/>
          <w:sz w:val="21"/>
          <w:szCs w:val="21"/>
          <w:highlight w:val="none"/>
        </w:rPr>
        <w:t>则由甲方将该车次2份备样在确定的三家检测单位中指定一家送检，乙方先垫付检测费 ，最终检测费用由责任方承担（包括送检运费、检测费用等）。</w:t>
      </w:r>
      <w:r>
        <w:rPr>
          <w:rFonts w:hint="eastAsia" w:ascii="宋体" w:hAnsi="宋体" w:cs="宋体"/>
          <w:snapToGrid w:val="0"/>
          <w:color w:val="auto"/>
          <w:sz w:val="21"/>
          <w:szCs w:val="21"/>
          <w:highlight w:val="none"/>
        </w:rPr>
        <w:t xml:space="preserve"> 2份备样检测全部合格则视为该车次货物合格，乙方免于处罚，合格检测报告作为该车次货物的结算依据；若有1份备样检测不合格，则视为该车次货物不合格，不予支付该车次货款。</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③第三方检测报告（如有复检，按复检的第三方检测报告）作为货物结算依据。如每车次货物甲方实验室初步检验报告、所有电厂项目中每月二次随机抽检的第三方检测报告及甲方对异议货物要求乙方委托第三方出具的合格检测报告（如有）作为乙方进行结算的附件，若作为最终依据的第三方检测结果不合格，则视为该车次产品不合格。若乙方在货物质量方面不能满足甲方要求，事件发生一次，甲方将出具整改单给乙方，该不合格车次货款不予结算，且乙方须向甲方支付当月货款的2%作为违约金；累计不合格货物车次达三次或以上，乙方将被甲方列入严重不诚信行为名单，甲方有权单方面解除本合同，且乙方须向甲方支付合同暂定总价（计划供货量×中标综合单价）的2%作为违约金，并赔偿甲方由此遭受的一切相关经济损失。甲方有权从履约担保中扣除违约金，履约担保不足支付部分，甲方有权另行向乙方索赔</w:t>
      </w:r>
      <w:r>
        <w:rPr>
          <w:rFonts w:hint="eastAsia" w:ascii="宋体" w:hAnsi="宋体" w:cs="宋体"/>
          <w:color w:val="auto"/>
          <w:sz w:val="21"/>
          <w:szCs w:val="21"/>
          <w:highlight w:val="none"/>
        </w:rPr>
        <w:t>。</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（6）若甲方在运行生产使用过程中，乙方的产品被甲方上级主管部门检查质量不合格，并对甲方进行做出相关处罚，由此所产生的责任及甲方损失全由乙方承担。</w:t>
      </w:r>
    </w:p>
    <w:p>
      <w:pPr>
        <w:pStyle w:val="90"/>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rPr>
        <w:t>本项目采购的200目熟石灰用于干粉系统，</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rPr>
        <w:t>应确保所投产品适用于该类设备，若</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rPr>
        <w:t>使用</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rPr>
        <w:t>提供的熟石灰造成设备频繁堵塞（单次造成设备堵塞时间间距小于20天的），每发生一次，</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rPr>
        <w:t>须向</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rPr>
        <w:t>支付2000元/次的违约金；采购的325目熟石灰用于制浆系统，</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rPr>
        <w:t>应确保所投产品适用于该类设备，若</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rPr>
        <w:t>使用</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rPr>
        <w:t>提供的熟石灰造成滤网频繁堵塞（单次造成设备堵塞时间间距小于15天的），每发生一次，</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rPr>
        <w:t>须向</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rPr>
        <w:t>支付2000元/次的违约金；若发生5次（含）或以上频繁堵塞的，</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rPr>
        <w:t>有权单方面终止合同。</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bCs/>
          <w:color w:val="auto"/>
          <w:sz w:val="21"/>
          <w:szCs w:val="21"/>
          <w:highlight w:val="none"/>
        </w:rPr>
      </w:pPr>
    </w:p>
    <w:p>
      <w:pPr>
        <w:keepNext w:val="0"/>
        <w:keepLines w:val="0"/>
        <w:pageBreakBefore w:val="0"/>
        <w:widowControl/>
        <w:kinsoku/>
        <w:wordWrap/>
        <w:overflowPunct/>
        <w:topLinePunct w:val="0"/>
        <w:bidi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第十条  履约担保及退回</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kern w:val="44"/>
          <w:sz w:val="21"/>
          <w:szCs w:val="21"/>
          <w:highlight w:val="none"/>
        </w:rPr>
        <w:t>乙方</w:t>
      </w:r>
      <w:r>
        <w:rPr>
          <w:rFonts w:hint="eastAsia" w:ascii="宋体" w:hAnsi="宋体"/>
          <w:color w:val="auto"/>
          <w:szCs w:val="21"/>
          <w:highlight w:val="none"/>
        </w:rPr>
        <w:t>在签订合同后15个日历天内</w:t>
      </w:r>
      <w:r>
        <w:rPr>
          <w:rFonts w:hint="eastAsia" w:ascii="宋体" w:hAnsi="宋体" w:cs="宋体"/>
          <w:color w:val="auto"/>
          <w:sz w:val="21"/>
          <w:szCs w:val="21"/>
          <w:highlight w:val="none"/>
        </w:rPr>
        <w:t>向甲方提供</w:t>
      </w:r>
      <w:r>
        <w:rPr>
          <w:rFonts w:hint="eastAsia" w:ascii="宋体" w:hAnsi="宋体"/>
          <w:color w:val="auto"/>
          <w:szCs w:val="21"/>
          <w:highlight w:val="none"/>
          <w:u w:val="none"/>
          <w:lang w:val="en-US" w:eastAsia="zh-CN"/>
        </w:rPr>
        <w:t>合同暂定总价的10%</w:t>
      </w:r>
      <w:r>
        <w:rPr>
          <w:rFonts w:hint="eastAsia" w:ascii="宋体" w:hAnsi="宋体" w:cs="宋体"/>
          <w:color w:val="auto"/>
          <w:sz w:val="21"/>
          <w:szCs w:val="21"/>
          <w:highlight w:val="none"/>
        </w:rPr>
        <w:t>履约保证金(以银行转账或不可撤销见索即付银行履约保函形式)。</w:t>
      </w:r>
      <w:r>
        <w:rPr>
          <w:rFonts w:hint="eastAsia" w:ascii="宋体" w:hAnsi="宋体" w:cs="宋体"/>
          <w:color w:val="auto"/>
          <w:kern w:val="44"/>
          <w:sz w:val="21"/>
          <w:szCs w:val="21"/>
          <w:highlight w:val="none"/>
        </w:rPr>
        <w:t>乙方以银行保函方式提交履约担保并且保函规定了有效期的，乙方应当在保函有效期届满前一个月向甲方提交续期保函。</w:t>
      </w:r>
      <w:r>
        <w:rPr>
          <w:rFonts w:hint="eastAsia" w:ascii="宋体" w:hAnsi="宋体" w:cs="宋体"/>
          <w:color w:val="auto"/>
          <w:sz w:val="21"/>
          <w:szCs w:val="21"/>
          <w:highlight w:val="none"/>
        </w:rPr>
        <w:t>作为甲方对乙方合约履行的保证，如乙方违约（具体参考本合同第十四条及其他条款的约定），甲方则有权从该履约保证金中扣除。</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如乙方未依照本合同项下约定全面履行义务，甲方有权在书面通知乙方后，从履约保证金中支付因乙方违约行为所导致的一切损失（包括但不限于违约金，损害赔偿金及甲方因此而发生的全部费用，包括诉讼费、仲裁费、评估费、律师费等）。</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3．履约保证金不足支付部分，甲方有权另行向乙方索赔。</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4.乙方依照本合同约定全面履行义务，并经甲方书面同意后，</w:t>
      </w:r>
      <w:r>
        <w:rPr>
          <w:rFonts w:hint="eastAsia" w:ascii="宋体" w:hAnsi="宋体" w:cs="宋体"/>
          <w:color w:val="auto"/>
          <w:kern w:val="44"/>
          <w:sz w:val="21"/>
          <w:szCs w:val="21"/>
          <w:highlight w:val="none"/>
        </w:rPr>
        <w:t>履约担保在完成本合同全部义务且质保期（如有）满后二十八天内无息退还</w:t>
      </w:r>
      <w:r>
        <w:rPr>
          <w:rFonts w:hint="eastAsia" w:ascii="宋体" w:hAnsi="宋体" w:cs="宋体"/>
          <w:color w:val="auto"/>
          <w:sz w:val="21"/>
          <w:szCs w:val="21"/>
          <w:highlight w:val="none"/>
        </w:rPr>
        <w:t>，履约保函过期失效。乙方在履约保证期满后须提交退款申请，否则甲方有权延期退款。</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5.如履约担保到期不续期，则甲方有权先不支付费用，并要求乙方承担违约责任且继续履行义务。</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6．甲方收款银行账户如下：</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户名： </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银行：</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账号：</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第十一条 付款方式及付款条件</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1.本合同项下确定的合同总价由甲方向乙方按</w:t>
      </w:r>
      <w:r>
        <w:rPr>
          <w:rFonts w:hint="eastAsia" w:ascii="宋体" w:hAnsi="宋体" w:cs="宋体"/>
          <w:color w:val="auto"/>
          <w:sz w:val="21"/>
          <w:szCs w:val="21"/>
          <w:highlight w:val="none"/>
          <w:u w:val="single"/>
        </w:rPr>
        <w:t>月结</w:t>
      </w:r>
      <w:r>
        <w:rPr>
          <w:rFonts w:hint="eastAsia" w:ascii="宋体" w:hAnsi="宋体" w:cs="宋体"/>
          <w:color w:val="auto"/>
          <w:sz w:val="21"/>
          <w:szCs w:val="21"/>
          <w:highlight w:val="none"/>
        </w:rPr>
        <w:t>方式支付：</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月结：每自然月结束后，甲方向乙方申请结算上月货物货款。结算数量按上月乙方货物经甲方验收合格的数量（对质量有争议的部分暂时不予结算支付），并且在甲方收到乙方交付的以下资料后三十个工作日内以电汇/转账/银行承兑汇票等方式向乙方支付：</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（货物的过磅计量清单）标的货物经甲方地磅计量的实际重量；</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B</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开具金额为该月验收合格货物总价100%的增值税专用发票；</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C</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乙方向甲方缴纳的履约担保证明资料（首次支付时需要）；</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D</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乙方</w:t>
      </w:r>
      <w:r>
        <w:rPr>
          <w:rFonts w:hint="eastAsia" w:ascii="宋体" w:hAnsi="宋体" w:cs="宋体"/>
          <w:snapToGrid w:val="0"/>
          <w:color w:val="auto"/>
          <w:sz w:val="21"/>
          <w:szCs w:val="21"/>
          <w:highlight w:val="none"/>
        </w:rPr>
        <w:t>每月二次随机抽检的第三方检测合格报告；</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E</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送货清单（甲方指定收货人签字确认）；</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F</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每车次货物出厂化验报告；</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G</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双方盖章确认的月度对账单。</w:t>
      </w:r>
    </w:p>
    <w:p>
      <w:pPr>
        <w:keepNext w:val="0"/>
        <w:keepLines w:val="0"/>
        <w:pageBreakBefore w:val="0"/>
        <w:widowControl/>
        <w:tabs>
          <w:tab w:val="left" w:pos="6597"/>
        </w:tabs>
        <w:kinsoku/>
        <w:wordWrap/>
        <w:overflowPunct/>
        <w:topLinePunct w:val="0"/>
        <w:autoSpaceDE w:val="0"/>
        <w:autoSpaceDN w:val="0"/>
        <w:bidi w:val="0"/>
        <w:adjustRightInd w:val="0"/>
        <w:snapToGrid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乙方确认其收款银行账户如下：</w:t>
      </w:r>
    </w:p>
    <w:p>
      <w:pPr>
        <w:pStyle w:val="90"/>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账户名称：</w:t>
      </w:r>
    </w:p>
    <w:p>
      <w:pPr>
        <w:pStyle w:val="90"/>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p>
    <w:p>
      <w:pPr>
        <w:pStyle w:val="90"/>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银行账号：</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3.甲乙双方各自承担因执行合同所发生的银行费用及各项税费。</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乙方在甲方支付合同款项时，应按各期付款数额向甲方开具按付款方式和付款条件要求的票据格式。不开具或开具不合格的，甲方有权迟延支付应付款项且不承担任何违约责任，且乙方的各项合同义务仍应按合同约定履行。</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5.如果乙方有赔偿和/或支付违约金的责任，则甲方有权从最近一笔付款或是履约保证金中扣除相应金额。如果最近一笔付款或履约保证金不足以抵扣违约金的，则可从下一笔付款中继续扣除。</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6.由于乙方未足额缴纳应缴税款和开具发票不真实、不合格而引起的一切责任（包括商业责任和法律责任）和损失，由乙方承担。</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第十二条  不可抗力</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不可抗力”是指不能预见、不能避免并不能克服的客观情况，包括但不限于：天灾、水灾、地震或其他灾难，战争或暴乱，以及其他在受影响的一方合理控制范围以外且经该方合理努力后也不能防止或避免的类似事件。</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2.由于不可抗力的原因，而不能履行合同或延迟履行合同的一方可视不可抗力的实际影响免除部分或全部违约责任。但受不可抗力影响的一方应在通知可能的情况下立即通知对方,并在不可抗力发生后</w:t>
      </w:r>
      <w:r>
        <w:rPr>
          <w:rFonts w:hint="eastAsia" w:ascii="宋体" w:hAnsi="宋体" w:cs="宋体"/>
          <w:color w:val="auto"/>
          <w:sz w:val="21"/>
          <w:szCs w:val="21"/>
          <w:highlight w:val="none"/>
          <w:u w:val="single"/>
        </w:rPr>
        <w:t>7</w:t>
      </w:r>
      <w:r>
        <w:rPr>
          <w:rFonts w:hint="eastAsia" w:ascii="宋体" w:hAnsi="宋体" w:cs="宋体"/>
          <w:color w:val="auto"/>
          <w:sz w:val="21"/>
          <w:szCs w:val="21"/>
          <w:highlight w:val="none"/>
        </w:rPr>
        <w:t>日内特快专递邮寄相关的主管部门签发的证明文件,以便其他各方审查、确认。</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3.发生不可抗力事件终止或消除后，受不可抗力影响的一方，应立即通知对方, 发生不可抗力事件终止或消除后</w:t>
      </w:r>
      <w:r>
        <w:rPr>
          <w:rFonts w:hint="eastAsia" w:ascii="宋体" w:hAnsi="宋体" w:cs="宋体"/>
          <w:color w:val="auto"/>
          <w:sz w:val="21"/>
          <w:szCs w:val="21"/>
          <w:highlight w:val="none"/>
          <w:u w:val="single"/>
        </w:rPr>
        <w:t>7</w:t>
      </w:r>
      <w:r>
        <w:rPr>
          <w:rFonts w:hint="eastAsia" w:ascii="宋体" w:hAnsi="宋体" w:cs="宋体"/>
          <w:color w:val="auto"/>
          <w:sz w:val="21"/>
          <w:szCs w:val="21"/>
          <w:highlight w:val="none"/>
        </w:rPr>
        <w:t>日内特快专递邮寄相关的主管部门签发的证明文件确认不可抗力事件的终止或消除。</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4.如果不可抗力的影响持续超过</w:t>
      </w:r>
      <w:r>
        <w:rPr>
          <w:rFonts w:hint="eastAsia" w:ascii="宋体" w:hAnsi="宋体" w:cs="宋体"/>
          <w:color w:val="auto"/>
          <w:sz w:val="21"/>
          <w:szCs w:val="21"/>
          <w:highlight w:val="none"/>
          <w:u w:val="single"/>
        </w:rPr>
        <w:t>3个</w:t>
      </w:r>
      <w:r>
        <w:rPr>
          <w:rFonts w:hint="eastAsia" w:ascii="宋体" w:hAnsi="宋体" w:cs="宋体"/>
          <w:color w:val="auto"/>
          <w:sz w:val="21"/>
          <w:szCs w:val="21"/>
          <w:highlight w:val="none"/>
        </w:rPr>
        <w:t>月，受不可抗力影响的一方应与对方取得联系，以便解决进一步履行合同的问题。</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bCs/>
          <w:color w:val="auto"/>
          <w:sz w:val="21"/>
          <w:szCs w:val="21"/>
          <w:highlight w:val="none"/>
        </w:rPr>
      </w:pPr>
      <w:r>
        <w:rPr>
          <w:rFonts w:hint="eastAsia" w:ascii="宋体" w:hAnsi="宋体" w:cs="宋体"/>
          <w:color w:val="auto"/>
          <w:sz w:val="21"/>
          <w:szCs w:val="21"/>
          <w:highlight w:val="none"/>
        </w:rPr>
        <w:t>5.</w:t>
      </w:r>
      <w:r>
        <w:rPr>
          <w:rFonts w:hint="eastAsia" w:ascii="宋体" w:hAnsi="宋体" w:cs="宋体"/>
          <w:bCs/>
          <w:color w:val="auto"/>
          <w:sz w:val="21"/>
          <w:szCs w:val="21"/>
          <w:highlight w:val="none"/>
        </w:rPr>
        <w:t xml:space="preserve"> 乙方应考虑因不可抗力或安全事故等突发因素导致甲方项目延期或停产而不能完成年度采购计划总量的情况，并自行承担风险。</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第十三条  合同的变更和解除</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1.双方协商一致可变更或解除本合同。合同变更或解除应采取书面形式。</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有下列情形之一者，守约方可单方解除合同：（1）因不可抗力持续时间超过【3】个月，不能实现合同目的；（2）未经对方书面同意，将合同部分或全部权利义务转让给第三方；（3）在履行期限届满之前，一方明确表示或者以自己的行为表明不履行主要债务；（4）一方迟延履行主要债务，经催告后在合理期限内仍未履行，包括乙方任何一批货物逾期交货超过三天，甲方有权单方解除本合同；（5）一方迟延履行债务或者有其他违约行为致使不能实现合同目的；（6）货物质量指标不符合甲方所需技术要求者，包括乙方累计不合格货物车次达三次或以上的，甲方有权单方解除本合同；（7）法律规定的其他情形。</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3.解除合同方在解除合同时，应履行通知对方义务。</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p>
    <w:p>
      <w:pPr>
        <w:keepNext w:val="0"/>
        <w:keepLines w:val="0"/>
        <w:pageBreakBefore w:val="0"/>
        <w:widowControl/>
        <w:kinsoku/>
        <w:wordWrap/>
        <w:overflowPunct/>
        <w:topLinePunct w:val="0"/>
        <w:bidi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第十四条  违约责任</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b/>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乙方必须严格按照合同及采购订单约定的品名、数量、价格、规格、型号、质量以及交货期限等向甲方提供货物。因乙方原因逾期交货或者货物质量不符合约定的，乙方应以如下方式向甲方承担违约责任：</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每逾期交货一天，支付逾期交货部分价款0.5%的违约金；不满一天按一天计算；逾期违约金的支付不影响乙方交货义务的履行；任何一批货物逾期交货超过三天，甲方有权单方面取消对应订单或者终止本合同，并追究乙方的违约责任。甲方有权从履约担保中扣除违约金，履约担保不足支付部分，甲方有权另行向乙方索赔。</w:t>
      </w:r>
    </w:p>
    <w:p>
      <w:pPr>
        <w:keepNext w:val="0"/>
        <w:keepLines w:val="0"/>
        <w:pageBreakBefore w:val="0"/>
        <w:widowControl/>
        <w:kinsoku/>
        <w:wordWrap/>
        <w:overflowPunct/>
        <w:topLinePunct w:val="0"/>
        <w:bidi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因乙方违约或者乙方交付的货物不符合本合同约定要求，甲方要求退货或者解除合同的，乙方应当退还甲方支付的全部货款（如有）及按中国人民银行同期同类贷款利率计算的利息、向甲方支付合同总价款2%的违约金并且赔偿甲方的全部损失。甲方有权从履约担保中扣除违约金，履约担保不足支付部分，甲方有权另行向乙方索赔。若乙方已经交付货物的，乙方应当自甲方通知解除合同之日起5个工作日内自行将所退货物运离，否则视为乙方放弃对货物的一切权利，甲方有权自行处置。由此产生的保管费、运费、处置费等一切费用及货物的损毁、灭失风险均由乙方承担。</w:t>
      </w:r>
    </w:p>
    <w:p>
      <w:pPr>
        <w:pStyle w:val="90"/>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cs="宋体"/>
          <w:snapToGrid w:val="0"/>
          <w:color w:val="auto"/>
          <w:sz w:val="21"/>
          <w:szCs w:val="21"/>
          <w:highlight w:val="none"/>
        </w:rPr>
        <w:t>每车次货物</w:t>
      </w:r>
      <w:r>
        <w:rPr>
          <w:rFonts w:hint="eastAsia" w:ascii="宋体" w:hAnsi="宋体" w:cs="宋体"/>
          <w:color w:val="auto"/>
          <w:sz w:val="21"/>
          <w:szCs w:val="21"/>
          <w:highlight w:val="none"/>
        </w:rPr>
        <w:t>甲方实验室初步检验报告、所有电厂项目中</w:t>
      </w:r>
      <w:r>
        <w:rPr>
          <w:rFonts w:hint="eastAsia" w:ascii="宋体" w:hAnsi="宋体" w:cs="宋体"/>
          <w:snapToGrid w:val="0"/>
          <w:color w:val="auto"/>
          <w:sz w:val="21"/>
          <w:szCs w:val="21"/>
          <w:highlight w:val="none"/>
        </w:rPr>
        <w:t>每月二次随机抽检的第三方检测报告及甲方对异议货物要求乙方委托第三方出具的合格检测报告（如有）作为乙方进行结算的附件，</w:t>
      </w:r>
      <w:r>
        <w:rPr>
          <w:rFonts w:hint="eastAsia" w:ascii="宋体" w:hAnsi="宋体" w:cs="宋体"/>
          <w:color w:val="auto"/>
          <w:sz w:val="21"/>
          <w:szCs w:val="21"/>
          <w:highlight w:val="none"/>
        </w:rPr>
        <w:t>若作为最终依据的</w:t>
      </w:r>
      <w:r>
        <w:rPr>
          <w:rFonts w:hint="eastAsia" w:ascii="宋体" w:hAnsi="宋体" w:cs="宋体"/>
          <w:snapToGrid w:val="0"/>
          <w:color w:val="auto"/>
          <w:sz w:val="21"/>
          <w:szCs w:val="21"/>
          <w:highlight w:val="none"/>
        </w:rPr>
        <w:t>第三方检测结果不合格，则视为该车次产品不合格。若乙方在货物质量方面不能满足甲方要求，事件发生一次，甲方将出具整改单给乙方，该不合格车次货款不予结算，且乙方须向甲方支付当月货款的2%作为违约金；</w:t>
      </w:r>
      <w:r>
        <w:rPr>
          <w:rFonts w:hint="eastAsia" w:ascii="宋体" w:hAnsi="宋体" w:cs="宋体"/>
          <w:color w:val="auto"/>
          <w:sz w:val="21"/>
          <w:szCs w:val="21"/>
          <w:highlight w:val="none"/>
        </w:rPr>
        <w:t>累计不合格货物车次达三次以上，乙方将被甲方列入严重不诚信行为名单，甲方有权单方面解除本合同，且乙方须向甲方支付合同暂定总价（</w:t>
      </w:r>
      <w:r>
        <w:rPr>
          <w:rFonts w:hint="eastAsia" w:ascii="宋体" w:hAnsi="宋体" w:cs="宋体"/>
          <w:snapToGrid w:val="0"/>
          <w:color w:val="auto"/>
          <w:sz w:val="21"/>
          <w:szCs w:val="21"/>
          <w:highlight w:val="none"/>
        </w:rPr>
        <w:t>计划供货量×中标综合单价</w:t>
      </w:r>
      <w:r>
        <w:rPr>
          <w:rFonts w:hint="eastAsia" w:ascii="宋体" w:hAnsi="宋体" w:cs="宋体"/>
          <w:color w:val="auto"/>
          <w:sz w:val="21"/>
          <w:szCs w:val="21"/>
          <w:highlight w:val="none"/>
        </w:rPr>
        <w:t>）的2%作为违约金，并赔偿甲方由此遭受的一切相关经济损失。甲方有权从履约担保中扣除违约金，履约担保不足支付部分，甲方有权另行向乙方索赔。</w:t>
      </w:r>
    </w:p>
    <w:p>
      <w:pPr>
        <w:pStyle w:val="90"/>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4.如乙方配送伪劣假冒的产品，一经查出，甲方有权立即终止本合同并追究乙方的违约责任，由此而引起的安全事故责任，由乙方承担全部责任。</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5.发生其他违约情形，违约方应赔偿由此给对方造成的损失。如属双方过错，应各自承担相应责任。</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6.乙方交付的货物不符合合同约定的数量，乙方应按甲方要求在</w:t>
      </w:r>
      <w:r>
        <w:rPr>
          <w:rFonts w:hint="eastAsia" w:ascii="宋体" w:hAnsi="宋体" w:cs="宋体"/>
          <w:color w:val="auto"/>
          <w:sz w:val="21"/>
          <w:szCs w:val="21"/>
          <w:highlight w:val="none"/>
          <w:u w:val="single"/>
        </w:rPr>
        <w:t xml:space="preserve"> 两 </w:t>
      </w:r>
      <w:r>
        <w:rPr>
          <w:rFonts w:hint="eastAsia" w:ascii="宋体" w:hAnsi="宋体" w:cs="宋体"/>
          <w:color w:val="auto"/>
          <w:sz w:val="21"/>
          <w:szCs w:val="21"/>
          <w:highlight w:val="none"/>
        </w:rPr>
        <w:t>日内补足货物数量，如在甲方通知的期限内，乙方未能进行更换或补足，则乙方应承担本合同第十四条第1款逾期交货的违约责任。同时甲方有权要求乙方赔偿因其不完全履约而造成的损失。</w:t>
      </w:r>
    </w:p>
    <w:p>
      <w:pPr>
        <w:pStyle w:val="92"/>
        <w:keepNext w:val="0"/>
        <w:keepLines w:val="0"/>
        <w:pageBreakBefore w:val="0"/>
        <w:widowControl/>
        <w:kinsoku/>
        <w:wordWrap/>
        <w:overflowPunct/>
        <w:topLinePunct w:val="0"/>
        <w:bidi w:val="0"/>
        <w:adjustRightInd w:val="0"/>
        <w:snapToGrid w:val="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7.乙方擅自解除合同或者因乙方违约造成甲方解除合同的，乙方应当向甲方支付合同暂定总价（</w:t>
      </w:r>
      <w:r>
        <w:rPr>
          <w:rFonts w:hint="eastAsia" w:ascii="宋体" w:hAnsi="宋体" w:cs="宋体"/>
          <w:snapToGrid w:val="0"/>
          <w:color w:val="auto"/>
          <w:sz w:val="21"/>
          <w:szCs w:val="21"/>
          <w:highlight w:val="none"/>
        </w:rPr>
        <w:t>计划供货量×中标综合单价</w:t>
      </w:r>
      <w:r>
        <w:rPr>
          <w:rFonts w:hint="eastAsia" w:ascii="宋体" w:hAnsi="宋体" w:cs="宋体"/>
          <w:color w:val="auto"/>
          <w:sz w:val="21"/>
          <w:szCs w:val="21"/>
          <w:highlight w:val="none"/>
        </w:rPr>
        <w:t>）2%的违约金并且赔偿甲方全部损失，同时甲方没收乙方的履约保证金。</w:t>
      </w:r>
    </w:p>
    <w:p>
      <w:pPr>
        <w:keepNext w:val="0"/>
        <w:keepLines w:val="0"/>
        <w:pageBreakBefore w:val="0"/>
        <w:widowControl/>
        <w:tabs>
          <w:tab w:val="left" w:pos="7920"/>
        </w:tabs>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8.如乙方交付的货物质量不符合合同约定标准，导致甲方设备故障，甲方有权解除合同，并且乙方应当向甲方支付合同暂定总价（</w:t>
      </w:r>
      <w:r>
        <w:rPr>
          <w:rFonts w:hint="eastAsia" w:ascii="宋体" w:hAnsi="宋体" w:cs="宋体"/>
          <w:snapToGrid w:val="0"/>
          <w:color w:val="auto"/>
          <w:sz w:val="21"/>
          <w:szCs w:val="21"/>
          <w:highlight w:val="none"/>
        </w:rPr>
        <w:t>计划供货量×中标综合单价</w:t>
      </w:r>
      <w:r>
        <w:rPr>
          <w:rFonts w:hint="eastAsia" w:ascii="宋体" w:hAnsi="宋体" w:cs="宋体"/>
          <w:color w:val="auto"/>
          <w:sz w:val="21"/>
          <w:szCs w:val="21"/>
          <w:highlight w:val="none"/>
        </w:rPr>
        <w:t>）2%的违约金，如该费用不足抵扣设备维修费，甲方有权继续追偿。</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9.乙方违约金的支付不免除乙方在本合同项下的各项义务。</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本合同中所写的全部损失皆指所造成的一切实际损失与可得利益损失、甲方另外采购的货物价格高于本合同约定价格而产生的差额，并包含承担守约方为维护自身权益所产生的一切费用，包括但不限于律师费、诉讼费、保全费、公证费、公告费等。</w:t>
      </w:r>
    </w:p>
    <w:p>
      <w:pPr>
        <w:keepNext w:val="0"/>
        <w:keepLines w:val="0"/>
        <w:pageBreakBefore w:val="0"/>
        <w:widowControl/>
        <w:kinsoku/>
        <w:wordWrap/>
        <w:overflowPunct/>
        <w:topLinePunct w:val="0"/>
        <w:bidi w:val="0"/>
        <w:adjustRightInd w:val="0"/>
        <w:snapToGrid w:val="0"/>
        <w:spacing w:line="360" w:lineRule="auto"/>
        <w:ind w:firstLine="422" w:firstLineChars="200"/>
        <w:rPr>
          <w:rFonts w:hint="eastAsia" w:ascii="宋体" w:hAnsi="宋体" w:cs="宋体"/>
          <w:b/>
          <w:bCs/>
          <w:color w:val="auto"/>
          <w:sz w:val="21"/>
          <w:szCs w:val="21"/>
          <w:highlight w:val="none"/>
        </w:rPr>
      </w:pPr>
    </w:p>
    <w:p>
      <w:pPr>
        <w:keepNext w:val="0"/>
        <w:keepLines w:val="0"/>
        <w:pageBreakBefore w:val="0"/>
        <w:widowControl/>
        <w:kinsoku/>
        <w:wordWrap/>
        <w:overflowPunct/>
        <w:topLinePunct w:val="0"/>
        <w:bidi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第十五条  法律适用及争议解决</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1.本合同的订立、履行、变更、争议解决均适用中华人民共和国法律。</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2.因本合同引起的或者在履行本合同过程中产生的任何争议，双方应当协商解决。双方协商不成时，任何一方均可向甲方所在地人民法院提起诉讼。</w:t>
      </w:r>
    </w:p>
    <w:p>
      <w:pPr>
        <w:keepNext w:val="0"/>
        <w:keepLines w:val="0"/>
        <w:pageBreakBefore w:val="0"/>
        <w:widowControl/>
        <w:kinsoku/>
        <w:wordWrap/>
        <w:overflowPunct/>
        <w:topLinePunct w:val="0"/>
        <w:bidi w:val="0"/>
        <w:adjustRightInd w:val="0"/>
        <w:snapToGrid w:val="0"/>
        <w:spacing w:line="360" w:lineRule="auto"/>
        <w:ind w:firstLine="422" w:firstLineChars="200"/>
        <w:rPr>
          <w:rFonts w:hint="eastAsia" w:ascii="宋体" w:hAnsi="宋体" w:cs="宋体"/>
          <w:b/>
          <w:color w:val="auto"/>
          <w:sz w:val="21"/>
          <w:szCs w:val="21"/>
          <w:highlight w:val="none"/>
        </w:rPr>
      </w:pPr>
    </w:p>
    <w:p>
      <w:pPr>
        <w:keepNext w:val="0"/>
        <w:keepLines w:val="0"/>
        <w:pageBreakBefore w:val="0"/>
        <w:widowControl/>
        <w:kinsoku/>
        <w:wordWrap/>
        <w:overflowPunct/>
        <w:topLinePunct w:val="0"/>
        <w:bidi w:val="0"/>
        <w:adjustRightInd w:val="0"/>
        <w:snapToGrid w:val="0"/>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第十六条  合同生效及其他</w:t>
      </w:r>
    </w:p>
    <w:p>
      <w:pPr>
        <w:keepNext w:val="0"/>
        <w:keepLines w:val="0"/>
        <w:pageBreakBefore w:val="0"/>
        <w:widowControl/>
        <w:kinsoku/>
        <w:wordWrap/>
        <w:overflowPunct/>
        <w:topLinePunct w:val="0"/>
        <w:bidi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乙方应当保证甲方在使用货物、服务及其任何部份时不受到任何第三方关于侵犯专利权、商标权或其他知识产权的指控。任何第三方如果提出侵权指控，乙方须与第三方交涉，并承担由此而发生的一切法律责任和费用。乙方同意自费解决相关问题，同时保证甲方的利益免受损失，并且对销售和使用此设备引起的侵权导致的对甲方的一切损失和额外费用承担赔偿责任。</w:t>
      </w:r>
    </w:p>
    <w:p>
      <w:pPr>
        <w:keepNext w:val="0"/>
        <w:keepLines w:val="0"/>
        <w:pageBreakBefore w:val="0"/>
        <w:widowControl/>
        <w:kinsoku/>
        <w:wordWrap/>
        <w:overflowPunct/>
        <w:topLinePunct w:val="0"/>
        <w:bidi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2.任何一方对因履行本合同而获悉的对方的商业秘密负有保密义务，未经对方书面允许，不得向任何第三方披露。违反上述约定，泄露对方商业秘密的一方应当赔偿对方的全部损失。</w:t>
      </w:r>
    </w:p>
    <w:p>
      <w:pPr>
        <w:keepNext w:val="0"/>
        <w:keepLines w:val="0"/>
        <w:pageBreakBefore w:val="0"/>
        <w:widowControl/>
        <w:kinsoku/>
        <w:wordWrap/>
        <w:overflowPunct/>
        <w:topLinePunct w:val="0"/>
        <w:bidi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3.本合同未尽事项，由甲、乙双方另行议定并签订补充协议。补充协议与本合同具有同等法律效力。谈判过程中形成的资料、意向与本合同不一致的一律以本合同为准。</w:t>
      </w:r>
    </w:p>
    <w:p>
      <w:pPr>
        <w:keepNext w:val="0"/>
        <w:keepLines w:val="0"/>
        <w:pageBreakBefore w:val="0"/>
        <w:widowControl/>
        <w:kinsoku/>
        <w:wordWrap/>
        <w:overflowPunct/>
        <w:topLinePunct w:val="0"/>
        <w:bidi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任何一方向对方发出的通知和文件，应按照本合同记载的对方地址，用EMS特快专递或专人送达或电子邮件方式发出。如果使用EMS特快专递方式，在发出后第三日视为通知已到达对方；如果使用专人送达方式，则在对方法定代表人或授权代表或收件部门签收之日视为通知已到达对方；如果使用电子邮件方式，除电子邮件因技术问题被退回外，在通知方发出电子邮件时即视为通知已到达对方；如果同时使用几种通知方式的，以其中较快到达接收方者为准。</w:t>
      </w:r>
    </w:p>
    <w:p>
      <w:pPr>
        <w:keepNext w:val="0"/>
        <w:keepLines w:val="0"/>
        <w:pageBreakBefore w:val="0"/>
        <w:widowControl/>
        <w:kinsoku/>
        <w:wordWrap/>
        <w:overflowPunct/>
        <w:topLinePunct w:val="0"/>
        <w:bidi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5.任何一方联络方法发生变更的，应当及时书面通知另一方。在另一方收到对方变更通讯地址的通知之前，另一方根据变更前的地址所发出的通知应视为有效。</w:t>
      </w:r>
    </w:p>
    <w:p>
      <w:pPr>
        <w:keepNext w:val="0"/>
        <w:keepLines w:val="0"/>
        <w:pageBreakBefore w:val="0"/>
        <w:widowControl/>
        <w:kinsoku/>
        <w:wordWrap/>
        <w:overflowPunct/>
        <w:topLinePunct w:val="0"/>
        <w:bidi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6.本合同包括下列附件：</w:t>
      </w:r>
      <w:r>
        <w:rPr>
          <w:rFonts w:hint="eastAsia" w:ascii="宋体" w:hAnsi="宋体" w:cs="宋体"/>
          <w:color w:val="auto"/>
          <w:sz w:val="21"/>
          <w:szCs w:val="21"/>
          <w:highlight w:val="none"/>
          <w:u w:val="single"/>
        </w:rPr>
        <w:t>合同签订时补充_以及技术协议书、用户需求书、规格书、</w:t>
      </w:r>
      <w:r>
        <w:rPr>
          <w:rFonts w:hint="eastAsia" w:ascii="宋体" w:hAnsi="宋体" w:cs="宋体"/>
          <w:color w:val="auto"/>
          <w:sz w:val="21"/>
          <w:szCs w:val="21"/>
          <w:highlight w:val="none"/>
          <w:u w:val="single"/>
          <w:lang w:eastAsia="zh-CN"/>
        </w:rPr>
        <w:t>采购文件</w:t>
      </w:r>
      <w:r>
        <w:rPr>
          <w:rFonts w:hint="eastAsia" w:ascii="宋体" w:hAnsi="宋体" w:cs="宋体"/>
          <w:color w:val="auto"/>
          <w:sz w:val="21"/>
          <w:szCs w:val="21"/>
          <w:highlight w:val="none"/>
          <w:u w:val="single"/>
        </w:rPr>
        <w:t>及投标文件（如有）等</w:t>
      </w:r>
      <w:r>
        <w:rPr>
          <w:rFonts w:hint="eastAsia" w:ascii="宋体" w:hAnsi="宋体" w:cs="宋体"/>
          <w:color w:val="auto"/>
          <w:sz w:val="21"/>
          <w:szCs w:val="21"/>
          <w:highlight w:val="none"/>
        </w:rPr>
        <w:t>。该等附件均为本合同不可分割的组成部分，与本合同具有同等法律效力。合同附件与本合同内容发生冲突时，以对甲方有利的内容为准。</w:t>
      </w:r>
    </w:p>
    <w:p>
      <w:pPr>
        <w:keepNext w:val="0"/>
        <w:keepLines w:val="0"/>
        <w:pageBreakBefore w:val="0"/>
        <w:widowControl/>
        <w:kinsoku/>
        <w:wordWrap/>
        <w:overflowPunct/>
        <w:topLinePunct w:val="0"/>
        <w:bidi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 本合同一式_八_份，甲方执_六_份，乙方执_二_份，具有同等法律效力。</w:t>
      </w:r>
    </w:p>
    <w:p>
      <w:pPr>
        <w:keepNext w:val="0"/>
        <w:keepLines w:val="0"/>
        <w:pageBreakBefore w:val="0"/>
        <w:widowControl/>
        <w:kinsoku/>
        <w:wordWrap/>
        <w:overflowPunct/>
        <w:topLinePunct w:val="0"/>
        <w:bidi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8.双方在签署本合同前已经认真研究了合同各条内容，对合同内容无异议，同意签署。</w:t>
      </w:r>
    </w:p>
    <w:p>
      <w:pPr>
        <w:keepNext w:val="0"/>
        <w:keepLines w:val="0"/>
        <w:pageBreakBefore w:val="0"/>
        <w:widowControl/>
        <w:kinsoku/>
        <w:wordWrap/>
        <w:overflowPunct/>
        <w:topLinePunct w:val="0"/>
        <w:bidi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9.本合同自双方签字并盖章之日起生效，合同有效期自生效之日起至达到供货量止。</w:t>
      </w:r>
    </w:p>
    <w:p>
      <w:pPr>
        <w:keepNext w:val="0"/>
        <w:keepLines w:val="0"/>
        <w:pageBreakBefore w:val="0"/>
        <w:widowControl/>
        <w:kinsoku/>
        <w:wordWrap/>
        <w:overflowPunct/>
        <w:topLinePunct w:val="0"/>
        <w:bidi w:val="0"/>
        <w:adjustRightInd w:val="0"/>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10.其他约定：</w:t>
      </w:r>
      <w:r>
        <w:rPr>
          <w:rFonts w:hint="eastAsia" w:ascii="宋体" w:hAnsi="宋体" w:cs="宋体"/>
          <w:color w:val="auto"/>
          <w:sz w:val="21"/>
          <w:szCs w:val="21"/>
          <w:highlight w:val="none"/>
          <w:u w:val="single"/>
        </w:rPr>
        <w:t>无</w:t>
      </w:r>
      <w:r>
        <w:rPr>
          <w:rFonts w:hint="eastAsia" w:ascii="宋体" w:hAnsi="宋体" w:cs="宋体"/>
          <w:color w:val="auto"/>
          <w:sz w:val="21"/>
          <w:szCs w:val="21"/>
          <w:highlight w:val="none"/>
        </w:rPr>
        <w:t>。</w:t>
      </w:r>
    </w:p>
    <w:p>
      <w:pPr>
        <w:keepNext w:val="0"/>
        <w:keepLines w:val="0"/>
        <w:pageBreakBefore w:val="0"/>
        <w:widowControl/>
        <w:tabs>
          <w:tab w:val="right" w:pos="8306"/>
        </w:tabs>
        <w:kinsoku/>
        <w:wordWrap/>
        <w:overflowPunct/>
        <w:topLinePunct w:val="0"/>
        <w:bidi w:val="0"/>
        <w:adjustRightInd w:val="0"/>
        <w:snapToGrid w:val="0"/>
        <w:spacing w:line="360" w:lineRule="auto"/>
        <w:ind w:firstLine="422" w:firstLineChars="200"/>
        <w:rPr>
          <w:rFonts w:hint="eastAsia" w:ascii="宋体" w:hAnsi="宋体" w:cs="宋体"/>
          <w:b/>
          <w:bCs/>
          <w:snapToGrid w:val="0"/>
          <w:color w:val="auto"/>
          <w:sz w:val="21"/>
          <w:szCs w:val="21"/>
          <w:highlight w:val="none"/>
        </w:rPr>
      </w:pPr>
    </w:p>
    <w:p>
      <w:pPr>
        <w:keepNext w:val="0"/>
        <w:keepLines w:val="0"/>
        <w:pageBreakBefore w:val="0"/>
        <w:widowControl/>
        <w:tabs>
          <w:tab w:val="right" w:pos="8306"/>
        </w:tabs>
        <w:kinsoku/>
        <w:wordWrap/>
        <w:overflowPunct/>
        <w:topLinePunct w:val="0"/>
        <w:bidi w:val="0"/>
        <w:adjustRightInd w:val="0"/>
        <w:snapToGrid w:val="0"/>
        <w:spacing w:line="360" w:lineRule="auto"/>
        <w:ind w:firstLine="422" w:firstLineChars="200"/>
        <w:rPr>
          <w:rFonts w:hint="eastAsia" w:ascii="宋体" w:hAnsi="宋体" w:cs="宋体"/>
          <w:b/>
          <w:bCs/>
          <w:snapToGrid w:val="0"/>
          <w:color w:val="auto"/>
          <w:sz w:val="21"/>
          <w:szCs w:val="21"/>
          <w:highlight w:val="none"/>
        </w:rPr>
      </w:pPr>
      <w:r>
        <w:rPr>
          <w:rFonts w:hint="eastAsia" w:ascii="宋体" w:hAnsi="宋体" w:cs="宋体"/>
          <w:b/>
          <w:bCs/>
          <w:snapToGrid w:val="0"/>
          <w:color w:val="auto"/>
          <w:sz w:val="21"/>
          <w:szCs w:val="21"/>
          <w:highlight w:val="none"/>
        </w:rPr>
        <w:t>第十七条  附件</w:t>
      </w:r>
    </w:p>
    <w:p>
      <w:pPr>
        <w:keepNext w:val="0"/>
        <w:keepLines w:val="0"/>
        <w:pageBreakBefore w:val="0"/>
        <w:widowControl/>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附件一、熟石灰采购技术需求书</w:t>
      </w:r>
    </w:p>
    <w:p>
      <w:pPr>
        <w:keepNext w:val="0"/>
        <w:keepLines w:val="0"/>
        <w:pageBreakBefore w:val="0"/>
        <w:widowControl/>
        <w:tabs>
          <w:tab w:val="right" w:pos="8306"/>
        </w:tabs>
        <w:kinsoku/>
        <w:wordWrap/>
        <w:overflowPunct/>
        <w:topLinePunct w:val="0"/>
        <w:bidi w:val="0"/>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附件二、阳光协议</w:t>
      </w:r>
    </w:p>
    <w:p>
      <w:pPr>
        <w:keepNext w:val="0"/>
        <w:keepLines w:val="0"/>
        <w:pageBreakBefore w:val="0"/>
        <w:widowControl/>
        <w:tabs>
          <w:tab w:val="right" w:pos="8306"/>
        </w:tabs>
        <w:kinsoku/>
        <w:wordWrap/>
        <w:overflowPunct/>
        <w:topLinePunct w:val="0"/>
        <w:bidi w:val="0"/>
        <w:adjustRightInd w:val="0"/>
        <w:snapToGrid w:val="0"/>
        <w:spacing w:line="360" w:lineRule="auto"/>
        <w:ind w:firstLine="420" w:firstLineChars="200"/>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（以下为各方签署页，无正文）</w:t>
      </w:r>
    </w:p>
    <w:p>
      <w:pPr>
        <w:spacing w:line="360" w:lineRule="auto"/>
        <w:rPr>
          <w:rFonts w:hint="eastAsia" w:ascii="宋体" w:hAnsi="宋体" w:cs="宋体"/>
          <w:b/>
          <w:color w:val="auto"/>
          <w:sz w:val="21"/>
          <w:szCs w:val="21"/>
          <w:highlight w:val="none"/>
        </w:rPr>
      </w:pPr>
      <w:r>
        <w:rPr>
          <w:rFonts w:ascii="宋体" w:hAnsi="宋体" w:cs="宋体"/>
          <w:b/>
          <w:color w:val="auto"/>
          <w:sz w:val="21"/>
          <w:szCs w:val="21"/>
          <w:highlight w:val="none"/>
        </w:rPr>
        <w:br w:type="page"/>
      </w:r>
      <w:r>
        <w:rPr>
          <w:rFonts w:hint="eastAsia" w:ascii="宋体" w:hAnsi="宋体" w:cs="宋体"/>
          <w:b/>
          <w:color w:val="auto"/>
          <w:sz w:val="21"/>
          <w:szCs w:val="21"/>
          <w:highlight w:val="none"/>
        </w:rPr>
        <w:t>（盖章页）</w:t>
      </w:r>
    </w:p>
    <w:p>
      <w:pPr>
        <w:spacing w:line="360" w:lineRule="auto"/>
        <w:ind w:firstLine="422" w:firstLineChars="200"/>
        <w:rPr>
          <w:rFonts w:hint="eastAsia" w:ascii="宋体" w:hAnsi="宋体" w:cs="宋体"/>
          <w:b/>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甲方：                  </w:t>
      </w:r>
      <w:r>
        <w:rPr>
          <w:rFonts w:ascii="宋体" w:hAnsi="宋体" w:cs="宋体"/>
          <w:b/>
          <w:color w:val="auto"/>
          <w:sz w:val="21"/>
          <w:szCs w:val="21"/>
          <w:highlight w:val="none"/>
        </w:rPr>
        <w:t xml:space="preserve">                    </w:t>
      </w:r>
      <w:r>
        <w:rPr>
          <w:rFonts w:hint="eastAsia" w:ascii="宋体" w:hAnsi="宋体" w:cs="宋体"/>
          <w:b/>
          <w:color w:val="auto"/>
          <w:sz w:val="21"/>
          <w:szCs w:val="21"/>
          <w:highlight w:val="none"/>
        </w:rPr>
        <w:t>乙方：</w:t>
      </w:r>
    </w:p>
    <w:p>
      <w:pPr>
        <w:spacing w:line="360" w:lineRule="auto"/>
        <w:ind w:firstLine="422" w:firstLineChars="200"/>
        <w:rPr>
          <w:rFonts w:hint="eastAsia" w:ascii="宋体" w:hAnsi="宋体" w:cs="宋体"/>
          <w:b/>
          <w:color w:val="auto"/>
          <w:sz w:val="21"/>
          <w:szCs w:val="21"/>
          <w:highlight w:val="none"/>
        </w:rPr>
      </w:pPr>
    </w:p>
    <w:p>
      <w:pPr>
        <w:spacing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法定代表人或授权代理人：                    法定代表人或授权代理人：  </w:t>
      </w:r>
    </w:p>
    <w:p>
      <w:pPr>
        <w:spacing w:line="360" w:lineRule="auto"/>
        <w:ind w:firstLine="422" w:firstLineChars="200"/>
        <w:rPr>
          <w:rFonts w:hint="eastAsia" w:ascii="宋体" w:hAnsi="宋体" w:cs="宋体"/>
          <w:b/>
          <w:color w:val="auto"/>
          <w:sz w:val="21"/>
          <w:szCs w:val="21"/>
          <w:highlight w:val="none"/>
        </w:rPr>
      </w:pPr>
    </w:p>
    <w:p>
      <w:pPr>
        <w:bidi w:val="0"/>
        <w:ind w:left="0" w:leftChars="0" w:firstLine="422" w:firstLineChars="200"/>
        <w:rPr>
          <w:rFonts w:ascii="宋体" w:hAnsi="宋体"/>
          <w:b/>
          <w:color w:val="auto"/>
          <w:sz w:val="24"/>
          <w:szCs w:val="24"/>
          <w:highlight w:val="none"/>
        </w:rPr>
      </w:pPr>
      <w:r>
        <w:rPr>
          <w:rFonts w:hint="eastAsia" w:ascii="宋体" w:hAnsi="宋体" w:cs="宋体"/>
          <w:b/>
          <w:color w:val="auto"/>
          <w:sz w:val="21"/>
          <w:szCs w:val="21"/>
          <w:highlight w:val="none"/>
        </w:rPr>
        <w:t>签订日期：                                  签订日期：</w:t>
      </w:r>
      <w:r>
        <w:rPr>
          <w:rFonts w:hint="eastAsia" w:ascii="宋体" w:hAnsi="宋体" w:cs="宋体"/>
          <w:color w:val="auto"/>
          <w:sz w:val="24"/>
          <w:szCs w:val="24"/>
          <w:highlight w:val="none"/>
        </w:rPr>
        <w:br w:type="page"/>
      </w:r>
      <w:r>
        <w:rPr>
          <w:rFonts w:hint="eastAsia" w:ascii="宋体" w:hAnsi="宋体" w:cs="宋体"/>
          <w:color w:val="auto"/>
          <w:sz w:val="21"/>
          <w:szCs w:val="21"/>
          <w:highlight w:val="none"/>
        </w:rPr>
        <w:t>附件二</w:t>
      </w:r>
      <w:r>
        <w:rPr>
          <w:rFonts w:hint="eastAsia" w:ascii="宋体" w:hAnsi="宋体" w:cs="宋体"/>
          <w:color w:val="auto"/>
          <w:sz w:val="21"/>
          <w:szCs w:val="21"/>
          <w:highlight w:val="none"/>
          <w:lang w:eastAsia="zh-CN"/>
        </w:rPr>
        <w:t>：</w:t>
      </w:r>
    </w:p>
    <w:p>
      <w:pPr>
        <w:jc w:val="center"/>
        <w:rPr>
          <w:rFonts w:ascii="宋体" w:hAnsi="宋体"/>
          <w:b/>
          <w:color w:val="auto"/>
          <w:sz w:val="24"/>
          <w:szCs w:val="24"/>
          <w:highlight w:val="none"/>
        </w:rPr>
      </w:pPr>
      <w:r>
        <w:rPr>
          <w:rFonts w:hint="eastAsia" w:ascii="宋体" w:hAnsi="宋体"/>
          <w:b/>
          <w:color w:val="auto"/>
          <w:sz w:val="24"/>
          <w:szCs w:val="24"/>
          <w:highlight w:val="none"/>
        </w:rPr>
        <w:t>阳光合作协议</w:t>
      </w:r>
    </w:p>
    <w:p>
      <w:pPr>
        <w:jc w:val="center"/>
        <w:rPr>
          <w:rFonts w:ascii="宋体" w:hAnsi="宋体"/>
          <w:b/>
          <w:color w:val="auto"/>
          <w:sz w:val="24"/>
          <w:szCs w:val="24"/>
          <w:highlight w:val="none"/>
        </w:rPr>
      </w:pPr>
    </w:p>
    <w:p>
      <w:pPr>
        <w:spacing w:before="180" w:beforeLines="50" w:after="180" w:afterLines="50" w:line="480" w:lineRule="exact"/>
        <w:ind w:firstLine="420" w:firstLineChars="200"/>
        <w:contextualSpacing/>
        <w:rPr>
          <w:rFonts w:hint="eastAsia" w:ascii="宋体" w:hAnsi="宋体" w:eastAsia="宋体"/>
          <w:bCs/>
          <w:color w:val="auto"/>
          <w:sz w:val="24"/>
          <w:szCs w:val="24"/>
          <w:highlight w:val="none"/>
          <w:lang w:eastAsia="zh-CN"/>
        </w:rPr>
      </w:pPr>
      <w:r>
        <w:rPr>
          <w:rFonts w:hint="eastAsia" w:ascii="宋体" w:hAnsi="宋体"/>
          <w:color w:val="auto"/>
          <w:highlight w:val="none"/>
        </w:rPr>
        <w:t>甲方（采购方全称）：</w:t>
      </w:r>
      <w:r>
        <w:rPr>
          <w:rFonts w:hint="eastAsia" w:ascii="宋体" w:hAnsi="宋体"/>
          <w:color w:val="auto"/>
          <w:kern w:val="2"/>
          <w:szCs w:val="20"/>
          <w:highlight w:val="none"/>
          <w:lang w:eastAsia="zh-CN"/>
        </w:rPr>
        <w:t>东莞市新东元环保投资有限公司</w:t>
      </w:r>
    </w:p>
    <w:p>
      <w:pPr>
        <w:spacing w:before="180" w:beforeLines="50" w:after="180" w:afterLines="50" w:line="480" w:lineRule="exact"/>
        <w:ind w:firstLine="420" w:firstLineChars="200"/>
        <w:contextualSpacing/>
        <w:rPr>
          <w:rFonts w:ascii="宋体" w:hAnsi="宋体"/>
          <w:color w:val="auto"/>
          <w:highlight w:val="none"/>
        </w:rPr>
      </w:pPr>
      <w:r>
        <w:rPr>
          <w:rFonts w:hint="eastAsia" w:ascii="宋体" w:hAnsi="宋体"/>
          <w:color w:val="auto"/>
          <w:highlight w:val="none"/>
        </w:rPr>
        <w:t>乙方（供应方全称）：</w:t>
      </w:r>
      <w:r>
        <w:rPr>
          <w:rFonts w:ascii="宋体" w:hAnsi="宋体"/>
          <w:color w:val="auto"/>
          <w:highlight w:val="none"/>
        </w:rPr>
        <w:t xml:space="preserve"> </w:t>
      </w:r>
    </w:p>
    <w:p>
      <w:pPr>
        <w:spacing w:before="180" w:beforeLines="50" w:after="180" w:afterLines="50"/>
        <w:ind w:firstLine="420" w:firstLineChars="200"/>
        <w:contextualSpacing/>
        <w:rPr>
          <w:rFonts w:ascii="宋体"/>
          <w:color w:val="auto"/>
          <w:highlight w:val="none"/>
        </w:rPr>
      </w:pPr>
      <w:r>
        <w:rPr>
          <w:rFonts w:hint="eastAsia" w:ascii="宋体" w:hAnsi="宋体"/>
          <w:color w:val="auto"/>
          <w:highlight w:val="none"/>
        </w:rPr>
        <w:t>甲乙双方于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 xml:space="preserve">月 </w:t>
      </w:r>
      <w:r>
        <w:rPr>
          <w:rFonts w:hint="eastAsia" w:ascii="宋体" w:hAnsi="宋体"/>
          <w:color w:val="auto"/>
          <w:highlight w:val="none"/>
          <w:u w:val="single"/>
        </w:rPr>
        <w:t xml:space="preserve">     </w:t>
      </w:r>
      <w:r>
        <w:rPr>
          <w:rFonts w:hint="eastAsia" w:ascii="宋体" w:hAnsi="宋体"/>
          <w:color w:val="auto"/>
          <w:highlight w:val="none"/>
        </w:rPr>
        <w:t>日签署了《……合同》（以下简称原合同），为加强双方阳光合作，保证职员职业安全，甲乙双方经协商签订本协议并作为双方共同遵守的阳光合作行为准则。</w:t>
      </w:r>
    </w:p>
    <w:p>
      <w:pPr>
        <w:spacing w:before="180" w:beforeLines="50" w:after="180" w:afterLines="50"/>
        <w:ind w:left="420" w:leftChars="200"/>
        <w:contextualSpacing/>
        <w:rPr>
          <w:rFonts w:ascii="宋体" w:hAnsi="宋体"/>
          <w:b/>
          <w:color w:val="auto"/>
          <w:highlight w:val="none"/>
        </w:rPr>
      </w:pPr>
      <w:r>
        <w:rPr>
          <w:rFonts w:hint="eastAsia" w:ascii="宋体" w:hAnsi="宋体"/>
          <w:b/>
          <w:color w:val="auto"/>
          <w:highlight w:val="none"/>
        </w:rPr>
        <w:t>一、甲方责任</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1.甲方有责任向乙方介绍本单位有关采购管理通用原则和本协议的规定。</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2.甲方有责任对本单位相关人员进行阳光合作教育。</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4.甲方人员如违反阳光合作管理制度及本协议规定，甲方视情节轻重、影响大小给予行政及经济处罚。</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5．对于乙方举报甲方人员违反阳光合作规定的情况，甲方应及时进行调查，根据调查情况进行处理，并将调查结果向乙方反馈。</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6.接受举报的一方应为举报方保密，不得对举报方进行报复，对举报属实和严格遵守《阳光合作协议》的合作方，在同等条件下给予后续合作的优先权。</w:t>
      </w:r>
    </w:p>
    <w:p>
      <w:pPr>
        <w:spacing w:before="180" w:beforeLines="50" w:after="180" w:afterLines="50"/>
        <w:ind w:left="420" w:leftChars="200"/>
        <w:contextualSpacing/>
        <w:rPr>
          <w:rFonts w:ascii="宋体" w:hAnsi="宋体"/>
          <w:b/>
          <w:color w:val="auto"/>
          <w:highlight w:val="none"/>
        </w:rPr>
      </w:pPr>
      <w:r>
        <w:rPr>
          <w:rFonts w:hint="eastAsia" w:ascii="宋体" w:hAnsi="宋体"/>
          <w:b/>
          <w:color w:val="auto"/>
          <w:highlight w:val="none"/>
        </w:rPr>
        <w:t>二、乙方责任</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1.乙方应保证乙方人员了解甲方有关采购管理通用原则和及本协议的规定，并遵照执行。</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2.乙方不得以任何形式给予甲方人员回扣、赠送实物、现金、有价证券、礼券等有价物品或提供旅游等其他可能影响职务行为公正履行的活动（以下统称“财物”）。</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3.乙方有责任接受甲方对乙方在合作期间阳光合作管理执行情况的监督，并对甲方相关调查工作主动配合。</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 xml:space="preserve">5．甲方接受乙方实名或匿名举报，保证为举报者的信息保密，常设举报部门及电话： </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举报受理部门：东莞实业投资控股集团有限公司法律合规部</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东实集团举报邮箱：dgsyxf@163.com</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东实集团举报电话：0769-28820703（周一至周五9:00-12:00和14:00-18:00）</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邮寄地址：东莞市东城区八一路1号机关二号大院9号楼，东莞实业投资控股集团有限公司法律合规部收，邮编523000。</w:t>
      </w:r>
    </w:p>
    <w:p>
      <w:pPr>
        <w:spacing w:before="180" w:beforeLines="50" w:after="180" w:afterLines="50"/>
        <w:ind w:left="420" w:leftChars="200"/>
        <w:contextualSpacing/>
        <w:rPr>
          <w:rFonts w:ascii="宋体" w:hAnsi="宋体"/>
          <w:b/>
          <w:color w:val="auto"/>
          <w:highlight w:val="none"/>
        </w:rPr>
      </w:pPr>
      <w:r>
        <w:rPr>
          <w:rFonts w:hint="eastAsia" w:ascii="宋体" w:hAnsi="宋体"/>
          <w:b/>
          <w:color w:val="auto"/>
          <w:highlight w:val="none"/>
        </w:rPr>
        <w:t>三、其他</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1.本协议是原合同的补充协议，与原合同有同等法律效力。</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2.</w:t>
      </w:r>
      <w:r>
        <w:rPr>
          <w:rFonts w:ascii="宋体" w:hAnsi="宋体"/>
          <w:color w:val="auto"/>
          <w:highlight w:val="none"/>
        </w:rPr>
        <w:t>本</w:t>
      </w:r>
      <w:r>
        <w:rPr>
          <w:rFonts w:hint="eastAsia" w:ascii="宋体" w:hAnsi="宋体"/>
          <w:color w:val="auto"/>
          <w:highlight w:val="none"/>
        </w:rPr>
        <w:t>协议</w:t>
      </w:r>
      <w:r>
        <w:rPr>
          <w:rFonts w:ascii="宋体" w:hAnsi="宋体"/>
          <w:color w:val="auto"/>
          <w:highlight w:val="none"/>
        </w:rPr>
        <w:t>一式</w:t>
      </w:r>
      <w:r>
        <w:rPr>
          <w:rFonts w:hint="eastAsia" w:ascii="宋体" w:hAnsi="宋体"/>
          <w:color w:val="auto"/>
          <w:highlight w:val="none"/>
        </w:rPr>
        <w:t>陆</w:t>
      </w:r>
      <w:r>
        <w:rPr>
          <w:rFonts w:ascii="宋体" w:hAnsi="宋体"/>
          <w:color w:val="auto"/>
          <w:highlight w:val="none"/>
        </w:rPr>
        <w:t>份，甲方执</w:t>
      </w:r>
      <w:r>
        <w:rPr>
          <w:rFonts w:hint="eastAsia" w:ascii="宋体" w:hAnsi="宋体"/>
          <w:color w:val="auto"/>
          <w:highlight w:val="none"/>
        </w:rPr>
        <w:t>肆</w:t>
      </w:r>
      <w:r>
        <w:rPr>
          <w:rFonts w:ascii="宋体" w:hAnsi="宋体"/>
          <w:color w:val="auto"/>
          <w:highlight w:val="none"/>
        </w:rPr>
        <w:t>份，乙方执</w:t>
      </w:r>
      <w:r>
        <w:rPr>
          <w:rFonts w:hint="eastAsia" w:ascii="宋体" w:hAnsi="宋体"/>
          <w:color w:val="auto"/>
          <w:highlight w:val="none"/>
        </w:rPr>
        <w:t>贰</w:t>
      </w:r>
      <w:r>
        <w:rPr>
          <w:rFonts w:ascii="宋体" w:hAnsi="宋体"/>
          <w:color w:val="auto"/>
          <w:highlight w:val="none"/>
        </w:rPr>
        <w:t>份</w:t>
      </w:r>
      <w:r>
        <w:rPr>
          <w:rFonts w:hint="eastAsia" w:ascii="宋体" w:hAnsi="宋体"/>
          <w:color w:val="auto"/>
          <w:highlight w:val="none"/>
        </w:rPr>
        <w:t>,具有同等法律效力。</w:t>
      </w:r>
    </w:p>
    <w:p>
      <w:pPr>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3.本协议经双方签署后生效。</w:t>
      </w:r>
    </w:p>
    <w:p>
      <w:pPr>
        <w:spacing w:before="180" w:beforeLines="50" w:after="180" w:afterLines="50"/>
        <w:ind w:firstLine="420" w:firstLineChars="200"/>
        <w:contextualSpacing/>
        <w:rPr>
          <w:rFonts w:ascii="宋体" w:hAnsi="宋体"/>
          <w:color w:val="auto"/>
          <w:highlight w:val="none"/>
        </w:rPr>
      </w:pPr>
    </w:p>
    <w:p>
      <w:pPr>
        <w:spacing w:before="180" w:beforeLines="50" w:after="180" w:afterLines="50"/>
        <w:ind w:firstLine="420" w:firstLineChars="200"/>
        <w:contextualSpacing/>
        <w:rPr>
          <w:rFonts w:ascii="宋体"/>
          <w:color w:val="auto"/>
          <w:highlight w:val="none"/>
        </w:rPr>
      </w:pPr>
      <w:r>
        <w:rPr>
          <w:rFonts w:hint="eastAsia" w:ascii="宋体" w:hAnsi="宋体"/>
          <w:color w:val="auto"/>
          <w:highlight w:val="none"/>
        </w:rPr>
        <w:t>甲方（盖章）：                 乙方（盖章）：</w:t>
      </w:r>
      <w:r>
        <w:rPr>
          <w:rFonts w:ascii="宋体"/>
          <w:color w:val="auto"/>
          <w:highlight w:val="none"/>
        </w:rPr>
        <w:t xml:space="preserve"> </w:t>
      </w:r>
    </w:p>
    <w:p>
      <w:pPr>
        <w:spacing w:before="180" w:beforeLines="50" w:after="180" w:afterLines="50"/>
        <w:ind w:firstLine="420" w:firstLineChars="200"/>
        <w:contextualSpacing/>
        <w:rPr>
          <w:rFonts w:ascii="宋体" w:hAnsi="宋体"/>
          <w:color w:val="auto"/>
          <w:highlight w:val="none"/>
        </w:rPr>
      </w:pPr>
    </w:p>
    <w:p>
      <w:pPr>
        <w:spacing w:before="180" w:beforeLines="50" w:after="180" w:afterLines="50"/>
        <w:ind w:firstLine="420" w:firstLineChars="200"/>
        <w:contextualSpacing/>
        <w:rPr>
          <w:rFonts w:ascii="宋体"/>
          <w:color w:val="auto"/>
          <w:highlight w:val="none"/>
        </w:rPr>
      </w:pPr>
      <w:r>
        <w:rPr>
          <w:rFonts w:hint="eastAsia" w:ascii="宋体" w:hAnsi="宋体"/>
          <w:color w:val="auto"/>
          <w:highlight w:val="none"/>
        </w:rPr>
        <w:t>法定代表人（授权代表）：</w:t>
      </w:r>
      <w:r>
        <w:rPr>
          <w:rFonts w:hint="eastAsia" w:ascii="宋体"/>
          <w:color w:val="auto"/>
          <w:highlight w:val="none"/>
        </w:rPr>
        <w:tab/>
      </w:r>
      <w:r>
        <w:rPr>
          <w:rFonts w:hint="eastAsia" w:ascii="宋体"/>
          <w:color w:val="auto"/>
          <w:highlight w:val="none"/>
        </w:rPr>
        <w:tab/>
      </w:r>
      <w:r>
        <w:rPr>
          <w:rFonts w:hint="eastAsia" w:ascii="宋体"/>
          <w:color w:val="auto"/>
          <w:highlight w:val="none"/>
        </w:rPr>
        <w:t xml:space="preserve">  </w:t>
      </w:r>
      <w:r>
        <w:rPr>
          <w:rFonts w:hint="eastAsia" w:ascii="宋体"/>
          <w:color w:val="auto"/>
          <w:highlight w:val="none"/>
        </w:rPr>
        <w:tab/>
      </w:r>
      <w:r>
        <w:rPr>
          <w:rFonts w:hint="eastAsia" w:ascii="宋体"/>
          <w:color w:val="auto"/>
          <w:highlight w:val="none"/>
        </w:rPr>
        <w:t xml:space="preserve"> </w:t>
      </w:r>
      <w:r>
        <w:rPr>
          <w:rFonts w:hint="eastAsia" w:ascii="宋体"/>
          <w:color w:val="auto"/>
          <w:highlight w:val="none"/>
          <w:lang w:val="en-US" w:eastAsia="zh-CN"/>
        </w:rPr>
        <w:t xml:space="preserve">   </w:t>
      </w:r>
      <w:r>
        <w:rPr>
          <w:rFonts w:hint="eastAsia" w:ascii="宋体" w:hAnsi="宋体"/>
          <w:color w:val="auto"/>
          <w:highlight w:val="none"/>
        </w:rPr>
        <w:t>法定代表人（授权代表）：</w:t>
      </w:r>
    </w:p>
    <w:p>
      <w:pPr>
        <w:spacing w:before="180" w:beforeLines="50" w:after="180" w:afterLines="50"/>
        <w:ind w:firstLine="420" w:firstLineChars="200"/>
        <w:contextualSpacing/>
        <w:rPr>
          <w:rFonts w:ascii="宋体" w:hAnsi="宋体"/>
          <w:color w:val="auto"/>
          <w:sz w:val="21"/>
          <w:szCs w:val="21"/>
          <w:highlight w:val="none"/>
        </w:rPr>
      </w:pPr>
    </w:p>
    <w:p>
      <w:pPr>
        <w:spacing w:before="180" w:beforeLines="50" w:after="180" w:afterLines="50"/>
        <w:ind w:firstLine="420" w:firstLineChars="200"/>
        <w:contextualSpacing/>
        <w:rPr>
          <w:rFonts w:ascii="宋体" w:hAnsi="宋体" w:cs="宋体"/>
          <w:color w:val="auto"/>
          <w:sz w:val="21"/>
          <w:szCs w:val="21"/>
          <w:highlight w:val="none"/>
        </w:rPr>
      </w:pPr>
      <w:r>
        <w:rPr>
          <w:rFonts w:hint="eastAsia" w:ascii="宋体" w:hAnsi="宋体"/>
          <w:color w:val="auto"/>
          <w:sz w:val="21"/>
          <w:szCs w:val="21"/>
          <w:highlight w:val="none"/>
        </w:rPr>
        <w:t>签约日期：</w:t>
      </w:r>
      <w:bookmarkStart w:id="148" w:name="现场签证通知单"/>
      <w:bookmarkEnd w:id="148"/>
      <w:bookmarkStart w:id="149" w:name="设计变更通知单"/>
      <w:bookmarkEnd w:id="149"/>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 xml:space="preserve">年 月 日   </w:t>
      </w:r>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color w:val="auto"/>
          <w:sz w:val="21"/>
          <w:szCs w:val="21"/>
          <w:highlight w:val="none"/>
        </w:rPr>
        <w:t xml:space="preserve"> </w:t>
      </w:r>
      <w:r>
        <w:rPr>
          <w:rFonts w:hint="eastAsia"/>
          <w:color w:val="auto"/>
          <w:sz w:val="21"/>
          <w:szCs w:val="21"/>
          <w:highlight w:val="none"/>
        </w:rPr>
        <w:t xml:space="preserve"> </w:t>
      </w:r>
      <w:r>
        <w:rPr>
          <w:rFonts w:hint="eastAsia" w:ascii="宋体" w:hAnsi="宋体"/>
          <w:color w:val="auto"/>
          <w:sz w:val="21"/>
          <w:szCs w:val="21"/>
          <w:highlight w:val="none"/>
        </w:rPr>
        <w:t>签约日期：</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 月 日</w:t>
      </w:r>
    </w:p>
    <w:p>
      <w:pPr>
        <w:spacing w:before="180" w:beforeLines="50" w:after="180" w:afterLines="50"/>
        <w:ind w:firstLine="420" w:firstLineChars="200"/>
        <w:contextualSpacing/>
        <w:rPr>
          <w:color w:val="auto"/>
          <w:highlight w:val="none"/>
        </w:rPr>
      </w:pPr>
    </w:p>
    <w:p>
      <w:pPr>
        <w:rPr>
          <w:color w:val="auto"/>
          <w:highlight w:val="none"/>
        </w:rPr>
      </w:pPr>
    </w:p>
    <w:p>
      <w:pPr>
        <w:rPr>
          <w:rFonts w:asciiTheme="minorEastAsia" w:hAnsiTheme="minorEastAsia" w:eastAsiaTheme="minorEastAsia"/>
          <w:color w:val="auto"/>
          <w:highlight w:val="none"/>
          <w:lang w:bidi="zh-CN"/>
        </w:rPr>
      </w:pPr>
    </w:p>
    <w:p>
      <w:pPr>
        <w:rPr>
          <w:rFonts w:asciiTheme="minorEastAsia" w:hAnsiTheme="minorEastAsia" w:eastAsiaTheme="minorEastAsia"/>
          <w:color w:val="auto"/>
          <w:highlight w:val="none"/>
          <w:lang w:bidi="zh-CN"/>
        </w:rPr>
      </w:pPr>
    </w:p>
    <w:p>
      <w:pPr>
        <w:rPr>
          <w:rFonts w:asciiTheme="minorEastAsia" w:hAnsiTheme="minorEastAsia" w:eastAsiaTheme="minorEastAsia"/>
          <w:color w:val="auto"/>
          <w:highlight w:val="none"/>
        </w:rPr>
      </w:pPr>
      <w:r>
        <w:rPr>
          <w:rFonts w:asciiTheme="minorEastAsia" w:hAnsiTheme="minorEastAsia" w:eastAsiaTheme="minorEastAsia"/>
          <w:color w:val="auto"/>
          <w:highlight w:val="none"/>
          <w:lang w:bidi="zh-CN"/>
        </w:rPr>
        <w:br w:type="page"/>
      </w:r>
    </w:p>
    <w:p>
      <w:pPr>
        <w:pStyle w:val="3"/>
        <w:spacing w:before="0" w:after="0" w:line="240" w:lineRule="auto"/>
        <w:rPr>
          <w:rFonts w:asciiTheme="minorEastAsia" w:hAnsiTheme="minorEastAsia" w:eastAsiaTheme="minorEastAsia"/>
          <w:color w:val="auto"/>
          <w:sz w:val="28"/>
          <w:szCs w:val="28"/>
          <w:highlight w:val="none"/>
        </w:rPr>
      </w:pPr>
      <w:bookmarkStart w:id="150" w:name="_Toc160826348"/>
      <w:r>
        <w:rPr>
          <w:rFonts w:hint="eastAsia" w:asciiTheme="minorEastAsia" w:hAnsiTheme="minorEastAsia" w:eastAsiaTheme="minorEastAsia"/>
          <w:color w:val="auto"/>
          <w:sz w:val="28"/>
          <w:szCs w:val="28"/>
          <w:highlight w:val="none"/>
        </w:rPr>
        <w:t>第六部分附件－投标文件格式</w:t>
      </w:r>
      <w:bookmarkEnd w:id="150"/>
    </w:p>
    <w:p>
      <w:pPr>
        <w:rPr>
          <w:rFonts w:asciiTheme="minorEastAsia" w:hAnsiTheme="minorEastAsia" w:eastAsiaTheme="minorEastAsia"/>
          <w:color w:val="auto"/>
          <w:highlight w:val="none"/>
        </w:rPr>
      </w:pPr>
    </w:p>
    <w:p>
      <w:pPr>
        <w:pStyle w:val="5"/>
        <w:widowControl w:val="0"/>
        <w:overflowPunct w:val="0"/>
        <w:spacing w:line="240" w:lineRule="auto"/>
        <w:rPr>
          <w:rFonts w:asciiTheme="minorEastAsia" w:hAnsiTheme="minorEastAsia" w:eastAsiaTheme="minorEastAsia"/>
          <w:color w:val="auto"/>
          <w:sz w:val="21"/>
          <w:szCs w:val="21"/>
          <w:highlight w:val="none"/>
        </w:rPr>
      </w:pPr>
      <w:bookmarkStart w:id="151" w:name="_Toc160826349"/>
      <w:r>
        <w:rPr>
          <w:rFonts w:hint="eastAsia" w:asciiTheme="minorEastAsia" w:hAnsiTheme="minorEastAsia" w:eastAsiaTheme="minorEastAsia"/>
          <w:color w:val="auto"/>
          <w:sz w:val="21"/>
          <w:szCs w:val="21"/>
          <w:highlight w:val="none"/>
        </w:rPr>
        <w:t>投标文件目录</w:t>
      </w:r>
      <w:bookmarkEnd w:id="151"/>
    </w:p>
    <w:p>
      <w:pPr>
        <w:jc w:val="center"/>
        <w:rPr>
          <w:rFonts w:asciiTheme="minorEastAsia" w:hAnsiTheme="minorEastAsia" w:eastAsiaTheme="minorEastAsia"/>
          <w:color w:val="auto"/>
          <w:sz w:val="32"/>
          <w:szCs w:val="32"/>
          <w:highlight w:val="none"/>
        </w:rPr>
      </w:pPr>
    </w:p>
    <w:p>
      <w:pPr>
        <w:jc w:val="center"/>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目录</w:t>
      </w:r>
    </w:p>
    <w:p>
      <w:pPr>
        <w:adjustRightInd/>
        <w:snapToGrid/>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格式自理。</w:t>
      </w:r>
    </w:p>
    <w:p>
      <w:pPr>
        <w:adjustRightInd/>
        <w:snapToGrid/>
        <w:spacing w:line="276" w:lineRule="auto"/>
        <w:rPr>
          <w:rFonts w:asciiTheme="minorEastAsia" w:hAnsiTheme="minorEastAsia" w:eastAsiaTheme="minorEastAsia"/>
          <w:color w:val="auto"/>
          <w:szCs w:val="21"/>
          <w:highlight w:val="none"/>
        </w:rPr>
      </w:pPr>
    </w:p>
    <w:p>
      <w:pPr>
        <w:adjustRightInd/>
        <w:snapToGrid/>
        <w:spacing w:line="276" w:lineRule="auto"/>
        <w:rPr>
          <w:rFonts w:asciiTheme="minorEastAsia" w:hAnsiTheme="minorEastAsia" w:eastAsiaTheme="minorEastAsia"/>
          <w:color w:val="auto"/>
          <w:szCs w:val="21"/>
          <w:highlight w:val="none"/>
        </w:rPr>
      </w:pPr>
    </w:p>
    <w:p>
      <w:pPr>
        <w:adjustRightInd/>
        <w:snapToGrid/>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w:t>
      </w:r>
    </w:p>
    <w:p>
      <w:pPr>
        <w:adjustRightInd/>
        <w:snapToGrid/>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1、投标人制作的投标文件应当具备目录。</w:t>
      </w:r>
      <w:r>
        <w:rPr>
          <w:rFonts w:asciiTheme="minorEastAsia" w:hAnsiTheme="minorEastAsia" w:eastAsiaTheme="minorEastAsia"/>
          <w:color w:val="auto"/>
          <w:szCs w:val="21"/>
          <w:highlight w:val="none"/>
        </w:rPr>
        <w:br w:type="page"/>
      </w:r>
    </w:p>
    <w:p>
      <w:pPr>
        <w:pStyle w:val="5"/>
        <w:widowControl w:val="0"/>
        <w:overflowPunct w:val="0"/>
        <w:spacing w:line="240" w:lineRule="auto"/>
        <w:rPr>
          <w:rFonts w:asciiTheme="minorEastAsia" w:hAnsiTheme="minorEastAsia" w:eastAsiaTheme="minorEastAsia"/>
          <w:color w:val="auto"/>
          <w:sz w:val="21"/>
          <w:szCs w:val="21"/>
          <w:highlight w:val="none"/>
        </w:rPr>
      </w:pPr>
      <w:bookmarkStart w:id="152" w:name="_Toc160826350"/>
      <w:r>
        <w:rPr>
          <w:rFonts w:hint="eastAsia" w:asciiTheme="minorEastAsia" w:hAnsiTheme="minorEastAsia" w:eastAsiaTheme="minorEastAsia"/>
          <w:color w:val="auto"/>
          <w:sz w:val="21"/>
          <w:szCs w:val="21"/>
          <w:highlight w:val="none"/>
        </w:rPr>
        <w:t>附件1.评分标准索引表</w:t>
      </w:r>
      <w:bookmarkEnd w:id="152"/>
    </w:p>
    <w:p>
      <w:pPr>
        <w:adjustRightInd/>
        <w:snapToGrid/>
        <w:spacing w:line="276" w:lineRule="auto"/>
        <w:rPr>
          <w:rFonts w:asciiTheme="minorEastAsia" w:hAnsiTheme="minorEastAsia" w:eastAsiaTheme="minorEastAsia"/>
          <w:color w:val="auto"/>
          <w:szCs w:val="21"/>
          <w:highlight w:val="none"/>
        </w:rPr>
      </w:pPr>
    </w:p>
    <w:p>
      <w:pPr>
        <w:jc w:val="center"/>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评分标准索引表</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pPr>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序号</w:t>
            </w:r>
          </w:p>
        </w:tc>
        <w:tc>
          <w:tcPr>
            <w:tcW w:w="1704" w:type="dxa"/>
            <w:vAlign w:val="center"/>
          </w:tcPr>
          <w:p>
            <w:pPr>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评审项目</w:t>
            </w:r>
          </w:p>
        </w:tc>
        <w:tc>
          <w:tcPr>
            <w:tcW w:w="1704" w:type="dxa"/>
            <w:vAlign w:val="center"/>
          </w:tcPr>
          <w:p>
            <w:pPr>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评审细则</w:t>
            </w:r>
          </w:p>
        </w:tc>
        <w:tc>
          <w:tcPr>
            <w:tcW w:w="1705" w:type="dxa"/>
            <w:vAlign w:val="center"/>
          </w:tcPr>
          <w:p>
            <w:pPr>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分值</w:t>
            </w:r>
          </w:p>
        </w:tc>
        <w:tc>
          <w:tcPr>
            <w:tcW w:w="1705" w:type="dxa"/>
            <w:vAlign w:val="center"/>
          </w:tcPr>
          <w:p>
            <w:pPr>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cs="宋体" w:asciiTheme="minorEastAsia" w:hAnsiTheme="minorEastAsia" w:eastAsiaTheme="minorEastAsia"/>
                <w:color w:val="auto"/>
                <w:highlight w:val="none"/>
              </w:rPr>
            </w:pPr>
          </w:p>
        </w:tc>
        <w:tc>
          <w:tcPr>
            <w:tcW w:w="1704" w:type="dxa"/>
            <w:vAlign w:val="center"/>
          </w:tcPr>
          <w:p>
            <w:pPr>
              <w:jc w:val="center"/>
              <w:rPr>
                <w:rFonts w:cs="宋体" w:asciiTheme="minorEastAsia" w:hAnsiTheme="minorEastAsia" w:eastAsiaTheme="minorEastAsia"/>
                <w:color w:val="auto"/>
                <w:highlight w:val="none"/>
              </w:rPr>
            </w:pPr>
          </w:p>
        </w:tc>
        <w:tc>
          <w:tcPr>
            <w:tcW w:w="1704" w:type="dxa"/>
            <w:vAlign w:val="center"/>
          </w:tcPr>
          <w:p>
            <w:pPr>
              <w:jc w:val="center"/>
              <w:rPr>
                <w:rFonts w:cs="宋体" w:asciiTheme="minorEastAsia" w:hAnsiTheme="minorEastAsia" w:eastAsiaTheme="minorEastAsia"/>
                <w:color w:val="auto"/>
                <w:highlight w:val="none"/>
              </w:rPr>
            </w:pPr>
          </w:p>
        </w:tc>
        <w:tc>
          <w:tcPr>
            <w:tcW w:w="1705" w:type="dxa"/>
            <w:vAlign w:val="center"/>
          </w:tcPr>
          <w:p>
            <w:pPr>
              <w:jc w:val="center"/>
              <w:rPr>
                <w:rFonts w:cs="宋体" w:asciiTheme="minorEastAsia" w:hAnsiTheme="minorEastAsia" w:eastAsiaTheme="minorEastAsia"/>
                <w:color w:val="auto"/>
                <w:highlight w:val="none"/>
              </w:rPr>
            </w:pPr>
          </w:p>
        </w:tc>
        <w:tc>
          <w:tcPr>
            <w:tcW w:w="1705" w:type="dxa"/>
            <w:vAlign w:val="center"/>
          </w:tcPr>
          <w:p>
            <w:pPr>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cs="宋体" w:asciiTheme="minorEastAsia" w:hAnsiTheme="minorEastAsia" w:eastAsiaTheme="minorEastAsia"/>
                <w:color w:val="auto"/>
                <w:highlight w:val="none"/>
              </w:rPr>
            </w:pPr>
          </w:p>
        </w:tc>
        <w:tc>
          <w:tcPr>
            <w:tcW w:w="1704" w:type="dxa"/>
            <w:vAlign w:val="center"/>
          </w:tcPr>
          <w:p>
            <w:pPr>
              <w:jc w:val="center"/>
              <w:rPr>
                <w:rFonts w:cs="宋体" w:asciiTheme="minorEastAsia" w:hAnsiTheme="minorEastAsia" w:eastAsiaTheme="minorEastAsia"/>
                <w:color w:val="auto"/>
                <w:highlight w:val="none"/>
              </w:rPr>
            </w:pPr>
          </w:p>
        </w:tc>
        <w:tc>
          <w:tcPr>
            <w:tcW w:w="1704" w:type="dxa"/>
            <w:vAlign w:val="center"/>
          </w:tcPr>
          <w:p>
            <w:pPr>
              <w:jc w:val="center"/>
              <w:rPr>
                <w:rFonts w:cs="宋体" w:asciiTheme="minorEastAsia" w:hAnsiTheme="minorEastAsia" w:eastAsiaTheme="minorEastAsia"/>
                <w:color w:val="auto"/>
                <w:highlight w:val="none"/>
              </w:rPr>
            </w:pPr>
          </w:p>
        </w:tc>
        <w:tc>
          <w:tcPr>
            <w:tcW w:w="1705" w:type="dxa"/>
            <w:vAlign w:val="center"/>
          </w:tcPr>
          <w:p>
            <w:pPr>
              <w:jc w:val="center"/>
              <w:rPr>
                <w:rFonts w:cs="宋体" w:asciiTheme="minorEastAsia" w:hAnsiTheme="minorEastAsia" w:eastAsiaTheme="minorEastAsia"/>
                <w:color w:val="auto"/>
                <w:highlight w:val="none"/>
              </w:rPr>
            </w:pPr>
          </w:p>
        </w:tc>
        <w:tc>
          <w:tcPr>
            <w:tcW w:w="1705" w:type="dxa"/>
            <w:vAlign w:val="center"/>
          </w:tcPr>
          <w:p>
            <w:pPr>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cs="宋体" w:asciiTheme="minorEastAsia" w:hAnsiTheme="minorEastAsia" w:eastAsiaTheme="minorEastAsia"/>
                <w:color w:val="auto"/>
                <w:highlight w:val="none"/>
              </w:rPr>
            </w:pPr>
          </w:p>
        </w:tc>
        <w:tc>
          <w:tcPr>
            <w:tcW w:w="1704" w:type="dxa"/>
            <w:vAlign w:val="center"/>
          </w:tcPr>
          <w:p>
            <w:pPr>
              <w:jc w:val="center"/>
              <w:rPr>
                <w:rFonts w:cs="宋体" w:asciiTheme="minorEastAsia" w:hAnsiTheme="minorEastAsia" w:eastAsiaTheme="minorEastAsia"/>
                <w:color w:val="auto"/>
                <w:highlight w:val="none"/>
              </w:rPr>
            </w:pPr>
          </w:p>
        </w:tc>
        <w:tc>
          <w:tcPr>
            <w:tcW w:w="1704" w:type="dxa"/>
            <w:vAlign w:val="center"/>
          </w:tcPr>
          <w:p>
            <w:pPr>
              <w:jc w:val="center"/>
              <w:rPr>
                <w:rFonts w:cs="宋体" w:asciiTheme="minorEastAsia" w:hAnsiTheme="minorEastAsia" w:eastAsiaTheme="minorEastAsia"/>
                <w:color w:val="auto"/>
                <w:highlight w:val="none"/>
              </w:rPr>
            </w:pPr>
          </w:p>
        </w:tc>
        <w:tc>
          <w:tcPr>
            <w:tcW w:w="1705" w:type="dxa"/>
            <w:vAlign w:val="center"/>
          </w:tcPr>
          <w:p>
            <w:pPr>
              <w:jc w:val="center"/>
              <w:rPr>
                <w:rFonts w:cs="宋体" w:asciiTheme="minorEastAsia" w:hAnsiTheme="minorEastAsia" w:eastAsiaTheme="minorEastAsia"/>
                <w:color w:val="auto"/>
                <w:highlight w:val="none"/>
              </w:rPr>
            </w:pPr>
          </w:p>
        </w:tc>
        <w:tc>
          <w:tcPr>
            <w:tcW w:w="1705" w:type="dxa"/>
            <w:vAlign w:val="center"/>
          </w:tcPr>
          <w:p>
            <w:pPr>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cs="宋体" w:asciiTheme="minorEastAsia" w:hAnsiTheme="minorEastAsia" w:eastAsiaTheme="minorEastAsia"/>
                <w:color w:val="auto"/>
                <w:highlight w:val="none"/>
              </w:rPr>
            </w:pPr>
          </w:p>
        </w:tc>
        <w:tc>
          <w:tcPr>
            <w:tcW w:w="1704" w:type="dxa"/>
            <w:vAlign w:val="center"/>
          </w:tcPr>
          <w:p>
            <w:pPr>
              <w:jc w:val="center"/>
              <w:rPr>
                <w:rFonts w:cs="宋体" w:asciiTheme="minorEastAsia" w:hAnsiTheme="minorEastAsia" w:eastAsiaTheme="minorEastAsia"/>
                <w:color w:val="auto"/>
                <w:highlight w:val="none"/>
              </w:rPr>
            </w:pPr>
          </w:p>
        </w:tc>
        <w:tc>
          <w:tcPr>
            <w:tcW w:w="1704" w:type="dxa"/>
            <w:vAlign w:val="center"/>
          </w:tcPr>
          <w:p>
            <w:pPr>
              <w:jc w:val="center"/>
              <w:rPr>
                <w:rFonts w:cs="宋体" w:asciiTheme="minorEastAsia" w:hAnsiTheme="minorEastAsia" w:eastAsiaTheme="minorEastAsia"/>
                <w:color w:val="auto"/>
                <w:highlight w:val="none"/>
              </w:rPr>
            </w:pPr>
          </w:p>
        </w:tc>
        <w:tc>
          <w:tcPr>
            <w:tcW w:w="1705" w:type="dxa"/>
            <w:vAlign w:val="center"/>
          </w:tcPr>
          <w:p>
            <w:pPr>
              <w:jc w:val="center"/>
              <w:rPr>
                <w:rFonts w:cs="宋体" w:asciiTheme="minorEastAsia" w:hAnsiTheme="minorEastAsia" w:eastAsiaTheme="minorEastAsia"/>
                <w:color w:val="auto"/>
                <w:highlight w:val="none"/>
              </w:rPr>
            </w:pPr>
          </w:p>
        </w:tc>
        <w:tc>
          <w:tcPr>
            <w:tcW w:w="1705" w:type="dxa"/>
            <w:vAlign w:val="center"/>
          </w:tcPr>
          <w:p>
            <w:pPr>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cs="宋体" w:asciiTheme="minorEastAsia" w:hAnsiTheme="minorEastAsia" w:eastAsiaTheme="minorEastAsia"/>
                <w:color w:val="auto"/>
                <w:highlight w:val="none"/>
              </w:rPr>
            </w:pPr>
          </w:p>
        </w:tc>
        <w:tc>
          <w:tcPr>
            <w:tcW w:w="1704" w:type="dxa"/>
            <w:vAlign w:val="center"/>
          </w:tcPr>
          <w:p>
            <w:pPr>
              <w:jc w:val="center"/>
              <w:rPr>
                <w:rFonts w:cs="宋体" w:asciiTheme="minorEastAsia" w:hAnsiTheme="minorEastAsia" w:eastAsiaTheme="minorEastAsia"/>
                <w:color w:val="auto"/>
                <w:highlight w:val="none"/>
              </w:rPr>
            </w:pPr>
          </w:p>
        </w:tc>
        <w:tc>
          <w:tcPr>
            <w:tcW w:w="1704" w:type="dxa"/>
            <w:vAlign w:val="center"/>
          </w:tcPr>
          <w:p>
            <w:pPr>
              <w:jc w:val="center"/>
              <w:rPr>
                <w:rFonts w:cs="宋体" w:asciiTheme="minorEastAsia" w:hAnsiTheme="minorEastAsia" w:eastAsiaTheme="minorEastAsia"/>
                <w:color w:val="auto"/>
                <w:highlight w:val="none"/>
              </w:rPr>
            </w:pPr>
          </w:p>
        </w:tc>
        <w:tc>
          <w:tcPr>
            <w:tcW w:w="1705" w:type="dxa"/>
            <w:vAlign w:val="center"/>
          </w:tcPr>
          <w:p>
            <w:pPr>
              <w:jc w:val="center"/>
              <w:rPr>
                <w:rFonts w:cs="宋体" w:asciiTheme="minorEastAsia" w:hAnsiTheme="minorEastAsia" w:eastAsiaTheme="minorEastAsia"/>
                <w:color w:val="auto"/>
                <w:highlight w:val="none"/>
              </w:rPr>
            </w:pPr>
          </w:p>
        </w:tc>
        <w:tc>
          <w:tcPr>
            <w:tcW w:w="1705" w:type="dxa"/>
            <w:vAlign w:val="center"/>
          </w:tcPr>
          <w:p>
            <w:pPr>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cs="宋体" w:asciiTheme="minorEastAsia" w:hAnsiTheme="minorEastAsia" w:eastAsiaTheme="minorEastAsia"/>
                <w:color w:val="auto"/>
                <w:highlight w:val="none"/>
              </w:rPr>
            </w:pPr>
          </w:p>
        </w:tc>
        <w:tc>
          <w:tcPr>
            <w:tcW w:w="1704" w:type="dxa"/>
            <w:vAlign w:val="center"/>
          </w:tcPr>
          <w:p>
            <w:pPr>
              <w:jc w:val="center"/>
              <w:rPr>
                <w:rFonts w:cs="宋体" w:asciiTheme="minorEastAsia" w:hAnsiTheme="minorEastAsia" w:eastAsiaTheme="minorEastAsia"/>
                <w:color w:val="auto"/>
                <w:highlight w:val="none"/>
              </w:rPr>
            </w:pPr>
          </w:p>
        </w:tc>
        <w:tc>
          <w:tcPr>
            <w:tcW w:w="1704" w:type="dxa"/>
            <w:vAlign w:val="center"/>
          </w:tcPr>
          <w:p>
            <w:pPr>
              <w:jc w:val="center"/>
              <w:rPr>
                <w:rFonts w:cs="宋体" w:asciiTheme="minorEastAsia" w:hAnsiTheme="minorEastAsia" w:eastAsiaTheme="minorEastAsia"/>
                <w:color w:val="auto"/>
                <w:highlight w:val="none"/>
              </w:rPr>
            </w:pPr>
          </w:p>
        </w:tc>
        <w:tc>
          <w:tcPr>
            <w:tcW w:w="1705" w:type="dxa"/>
            <w:vAlign w:val="center"/>
          </w:tcPr>
          <w:p>
            <w:pPr>
              <w:jc w:val="center"/>
              <w:rPr>
                <w:rFonts w:cs="宋体" w:asciiTheme="minorEastAsia" w:hAnsiTheme="minorEastAsia" w:eastAsiaTheme="minorEastAsia"/>
                <w:color w:val="auto"/>
                <w:highlight w:val="none"/>
              </w:rPr>
            </w:pPr>
          </w:p>
        </w:tc>
        <w:tc>
          <w:tcPr>
            <w:tcW w:w="1705" w:type="dxa"/>
            <w:vAlign w:val="center"/>
          </w:tcPr>
          <w:p>
            <w:pPr>
              <w:jc w:val="center"/>
              <w:rPr>
                <w:rFonts w:cs="宋体" w:asciiTheme="minorEastAsia" w:hAnsiTheme="minorEastAsia" w:eastAsiaTheme="minorEastAsia"/>
                <w:color w:val="auto"/>
                <w:highlight w:val="none"/>
              </w:rPr>
            </w:pPr>
          </w:p>
        </w:tc>
      </w:tr>
    </w:tbl>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w:t>
      </w:r>
    </w:p>
    <w:p>
      <w:pPr>
        <w:numPr>
          <w:ilvl w:val="0"/>
          <w:numId w:val="10"/>
        </w:num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该表格为参考格式，投标人可按实际情况自行制订评分标准索引表。</w:t>
      </w:r>
    </w:p>
    <w:p>
      <w:pPr>
        <w:pStyle w:val="9"/>
        <w:spacing w:before="0"/>
        <w:ind w:left="0"/>
        <w:rPr>
          <w:rFonts w:asciiTheme="minorEastAsia" w:hAnsiTheme="minorEastAsia" w:eastAsiaTheme="minorEastAsia"/>
          <w:color w:val="auto"/>
          <w:highlight w:val="none"/>
        </w:rPr>
      </w:pPr>
    </w:p>
    <w:p>
      <w:pPr>
        <w:adjustRightInd/>
        <w:snapToGrid/>
        <w:spacing w:line="276" w:lineRule="auto"/>
        <w:rPr>
          <w:rFonts w:asciiTheme="minorEastAsia" w:hAnsiTheme="minorEastAsia" w:eastAsiaTheme="minorEastAsia"/>
          <w:color w:val="auto"/>
          <w:szCs w:val="21"/>
          <w:highlight w:val="none"/>
        </w:rPr>
      </w:pPr>
    </w:p>
    <w:p>
      <w:pPr>
        <w:adjustRightInd/>
        <w:snapToGrid/>
        <w:spacing w:line="276" w:lineRule="auto"/>
        <w:rPr>
          <w:rFonts w:asciiTheme="minorEastAsia" w:hAnsiTheme="minorEastAsia" w:eastAsiaTheme="minorEastAsia"/>
          <w:color w:val="auto"/>
          <w:szCs w:val="21"/>
          <w:highlight w:val="none"/>
        </w:rPr>
      </w:pPr>
    </w:p>
    <w:p>
      <w:pPr>
        <w:adjustRightInd/>
        <w:snapToGrid/>
        <w:spacing w:line="276" w:lineRule="auto"/>
        <w:rPr>
          <w:rFonts w:asciiTheme="minorEastAsia" w:hAnsiTheme="minorEastAsia" w:eastAsiaTheme="minorEastAsia"/>
          <w:color w:val="auto"/>
          <w:szCs w:val="21"/>
          <w:highlight w:val="none"/>
        </w:rPr>
      </w:pPr>
    </w:p>
    <w:p>
      <w:pPr>
        <w:adjustRightInd/>
        <w:snapToGrid/>
        <w:spacing w:line="276" w:lineRule="auto"/>
        <w:rPr>
          <w:rFonts w:asciiTheme="minorEastAsia" w:hAnsiTheme="minorEastAsia" w:eastAsiaTheme="minorEastAsia"/>
          <w:color w:val="auto"/>
          <w:szCs w:val="21"/>
          <w:highlight w:val="none"/>
        </w:rPr>
      </w:pPr>
    </w:p>
    <w:p>
      <w:pPr>
        <w:adjustRightInd/>
        <w:snapToGrid/>
        <w:spacing w:line="276" w:lineRule="auto"/>
        <w:rPr>
          <w:rFonts w:asciiTheme="minorEastAsia" w:hAnsiTheme="minorEastAsia" w:eastAsiaTheme="minorEastAsia"/>
          <w:color w:val="auto"/>
          <w:szCs w:val="21"/>
          <w:highlight w:val="none"/>
        </w:rPr>
      </w:pPr>
    </w:p>
    <w:p>
      <w:pPr>
        <w:adjustRightInd/>
        <w:snapToGrid/>
        <w:spacing w:line="276"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br w:type="page"/>
      </w:r>
    </w:p>
    <w:p>
      <w:pPr>
        <w:jc w:val="center"/>
        <w:rPr>
          <w:rFonts w:asciiTheme="minorEastAsia" w:hAnsiTheme="minorEastAsia" w:eastAsiaTheme="minorEastAsia"/>
          <w:color w:val="auto"/>
          <w:sz w:val="52"/>
          <w:szCs w:val="52"/>
          <w:highlight w:val="none"/>
        </w:rPr>
      </w:pPr>
      <w:bookmarkStart w:id="153" w:name="_Toc18450"/>
      <w:bookmarkStart w:id="154" w:name="_Toc30918"/>
      <w:bookmarkStart w:id="155" w:name="_Toc21746"/>
      <w:bookmarkStart w:id="156" w:name="_Toc28154"/>
      <w:bookmarkStart w:id="157" w:name="_Toc20335"/>
    </w:p>
    <w:p>
      <w:pPr>
        <w:pStyle w:val="3"/>
        <w:spacing w:before="0" w:after="0" w:line="360" w:lineRule="auto"/>
        <w:jc w:val="center"/>
        <w:rPr>
          <w:rFonts w:asciiTheme="minorEastAsia" w:hAnsiTheme="minorEastAsia" w:eastAsiaTheme="minorEastAsia"/>
          <w:color w:val="auto"/>
          <w:sz w:val="72"/>
          <w:szCs w:val="72"/>
          <w:highlight w:val="none"/>
        </w:rPr>
      </w:pPr>
      <w:bookmarkStart w:id="158" w:name="_Toc160826351"/>
      <w:r>
        <w:rPr>
          <w:rFonts w:hint="eastAsia" w:asciiTheme="minorEastAsia" w:hAnsiTheme="minorEastAsia" w:eastAsiaTheme="minorEastAsia"/>
          <w:color w:val="auto"/>
          <w:sz w:val="72"/>
          <w:szCs w:val="72"/>
          <w:highlight w:val="none"/>
        </w:rPr>
        <w:t>价格文件</w:t>
      </w:r>
      <w:bookmarkEnd w:id="153"/>
      <w:bookmarkEnd w:id="154"/>
      <w:bookmarkEnd w:id="158"/>
      <w:bookmarkStart w:id="159" w:name="_Hlt10519799"/>
      <w:bookmarkEnd w:id="159"/>
      <w:bookmarkStart w:id="160" w:name="_Hlt10456397"/>
      <w:bookmarkEnd w:id="160"/>
    </w:p>
    <w:p>
      <w:pPr>
        <w:jc w:val="center"/>
        <w:rPr>
          <w:rFonts w:asciiTheme="minorEastAsia" w:hAnsiTheme="minorEastAsia" w:eastAsiaTheme="minorEastAsia"/>
          <w:color w:val="auto"/>
          <w:sz w:val="72"/>
          <w:szCs w:val="72"/>
          <w:highlight w:val="none"/>
        </w:rPr>
      </w:pPr>
      <w:r>
        <w:rPr>
          <w:rFonts w:hint="eastAsia" w:asciiTheme="minorEastAsia" w:hAnsiTheme="minorEastAsia" w:eastAsiaTheme="minorEastAsia"/>
          <w:color w:val="auto"/>
          <w:sz w:val="72"/>
          <w:szCs w:val="72"/>
          <w:highlight w:val="none"/>
        </w:rPr>
        <w:t>（单独装订成册）</w:t>
      </w:r>
      <w:bookmarkEnd w:id="155"/>
      <w:bookmarkEnd w:id="156"/>
      <w:bookmarkEnd w:id="157"/>
    </w:p>
    <w:p>
      <w:pPr>
        <w:rPr>
          <w:rFonts w:asciiTheme="minorEastAsia" w:hAnsiTheme="minorEastAsia" w:eastAsiaTheme="minorEastAsia"/>
          <w:color w:val="auto"/>
          <w:highlight w:val="none"/>
        </w:rPr>
      </w:pPr>
    </w:p>
    <w:p>
      <w:pPr>
        <w:pStyle w:val="9"/>
        <w:rPr>
          <w:rFonts w:asciiTheme="minorEastAsia" w:hAnsiTheme="minorEastAsia" w:eastAsiaTheme="minorEastAsia"/>
          <w:color w:val="auto"/>
          <w:highlight w:val="none"/>
        </w:rPr>
      </w:pPr>
    </w:p>
    <w:p>
      <w:pPr>
        <w:pStyle w:val="10"/>
        <w:ind w:firstLine="240"/>
        <w:rPr>
          <w:rFonts w:asciiTheme="minorEastAsia" w:hAnsiTheme="minorEastAsia" w:eastAsiaTheme="minorEastAsia"/>
          <w:color w:val="auto"/>
          <w:highlight w:val="none"/>
        </w:rPr>
      </w:pPr>
    </w:p>
    <w:p>
      <w:pPr>
        <w:rPr>
          <w:rFonts w:cs="宋体" w:asciiTheme="minorEastAsia" w:hAnsiTheme="minorEastAsia" w:eastAsiaTheme="minorEastAsia"/>
          <w:b/>
          <w:bCs/>
          <w:color w:val="auto"/>
          <w:spacing w:val="-6"/>
          <w:sz w:val="32"/>
          <w:szCs w:val="32"/>
          <w:highlight w:val="none"/>
        </w:rPr>
      </w:pPr>
      <w:r>
        <w:rPr>
          <w:rFonts w:hint="eastAsia" w:cs="宋体" w:asciiTheme="minorEastAsia" w:hAnsiTheme="minorEastAsia" w:eastAsiaTheme="minorEastAsia"/>
          <w:b/>
          <w:bCs/>
          <w:color w:val="auto"/>
          <w:spacing w:val="106"/>
          <w:kern w:val="0"/>
          <w:sz w:val="32"/>
          <w:szCs w:val="32"/>
          <w:highlight w:val="none"/>
          <w:fitText w:val="1600" w:id="1947737316"/>
        </w:rPr>
        <w:t>项目名</w:t>
      </w:r>
      <w:r>
        <w:rPr>
          <w:rFonts w:hint="eastAsia" w:cs="宋体" w:asciiTheme="minorEastAsia" w:hAnsiTheme="minorEastAsia" w:eastAsiaTheme="minorEastAsia"/>
          <w:b/>
          <w:bCs/>
          <w:color w:val="auto"/>
          <w:spacing w:val="2"/>
          <w:kern w:val="0"/>
          <w:sz w:val="32"/>
          <w:szCs w:val="32"/>
          <w:highlight w:val="none"/>
          <w:fitText w:val="1600" w:id="1947737316"/>
        </w:rPr>
        <w:t>称</w:t>
      </w:r>
      <w:r>
        <w:rPr>
          <w:rFonts w:hint="eastAsia" w:cs="宋体" w:asciiTheme="minorEastAsia" w:hAnsiTheme="minorEastAsia" w:eastAsiaTheme="minorEastAsia"/>
          <w:b/>
          <w:bCs/>
          <w:color w:val="auto"/>
          <w:spacing w:val="-6"/>
          <w:sz w:val="32"/>
          <w:szCs w:val="32"/>
          <w:highlight w:val="none"/>
        </w:rPr>
        <w:t>：</w:t>
      </w:r>
    </w:p>
    <w:p>
      <w:pPr>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b/>
          <w:bCs/>
          <w:color w:val="auto"/>
          <w:spacing w:val="106"/>
          <w:kern w:val="0"/>
          <w:sz w:val="32"/>
          <w:szCs w:val="32"/>
          <w:highlight w:val="none"/>
          <w:fitText w:val="1600" w:id="70211570"/>
        </w:rPr>
        <w:t>项目编</w:t>
      </w:r>
      <w:r>
        <w:rPr>
          <w:rFonts w:hint="eastAsia" w:cs="宋体" w:asciiTheme="minorEastAsia" w:hAnsiTheme="minorEastAsia" w:eastAsiaTheme="minorEastAsia"/>
          <w:b/>
          <w:bCs/>
          <w:color w:val="auto"/>
          <w:spacing w:val="2"/>
          <w:kern w:val="0"/>
          <w:sz w:val="32"/>
          <w:szCs w:val="32"/>
          <w:highlight w:val="none"/>
          <w:fitText w:val="1600" w:id="70211570"/>
        </w:rPr>
        <w:t>号</w:t>
      </w:r>
      <w:r>
        <w:rPr>
          <w:rFonts w:hint="eastAsia" w:cs="宋体" w:asciiTheme="minorEastAsia" w:hAnsiTheme="minorEastAsia" w:eastAsiaTheme="minorEastAsia"/>
          <w:b/>
          <w:bCs/>
          <w:color w:val="auto"/>
          <w:sz w:val="32"/>
          <w:szCs w:val="32"/>
          <w:highlight w:val="none"/>
        </w:rPr>
        <w:t>：</w:t>
      </w:r>
    </w:p>
    <w:p>
      <w:pPr>
        <w:pStyle w:val="28"/>
        <w:widowControl/>
        <w:adjustRightInd w:val="0"/>
        <w:snapToGrid w:val="0"/>
        <w:spacing w:before="161" w:afterAutospacing="1"/>
        <w:jc w:val="left"/>
        <w:rPr>
          <w:rFonts w:cs="宋体" w:asciiTheme="minorEastAsia" w:hAnsiTheme="minorEastAsia" w:eastAsiaTheme="minorEastAsia"/>
          <w:b/>
          <w:color w:val="auto"/>
          <w:w w:val="83"/>
          <w:kern w:val="0"/>
          <w:sz w:val="32"/>
          <w:szCs w:val="32"/>
          <w:highlight w:val="none"/>
        </w:rPr>
      </w:pPr>
      <w:r>
        <w:rPr>
          <w:rFonts w:hint="eastAsia" w:cs="宋体" w:asciiTheme="minorEastAsia" w:hAnsiTheme="minorEastAsia" w:eastAsiaTheme="minorEastAsia"/>
          <w:b/>
          <w:color w:val="auto"/>
          <w:spacing w:val="106"/>
          <w:kern w:val="0"/>
          <w:sz w:val="32"/>
          <w:szCs w:val="32"/>
          <w:highlight w:val="none"/>
        </w:rPr>
        <w:t>包组号（如有）：</w:t>
      </w:r>
    </w:p>
    <w:p>
      <w:pPr>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pacing w:val="0"/>
          <w:kern w:val="0"/>
          <w:sz w:val="32"/>
          <w:szCs w:val="32"/>
          <w:highlight w:val="none"/>
          <w:fitText w:val="1600" w:id="1458731915"/>
        </w:rPr>
        <w:t>投标人名称</w:t>
      </w:r>
      <w:r>
        <w:rPr>
          <w:rFonts w:hint="eastAsia" w:cs="宋体" w:asciiTheme="minorEastAsia" w:hAnsiTheme="minorEastAsia" w:eastAsiaTheme="minorEastAsia"/>
          <w:b/>
          <w:color w:val="auto"/>
          <w:sz w:val="32"/>
          <w:szCs w:val="32"/>
          <w:highlight w:val="none"/>
        </w:rPr>
        <w:t>：</w:t>
      </w:r>
    </w:p>
    <w:p>
      <w:pPr>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pacing w:val="64"/>
          <w:kern w:val="0"/>
          <w:sz w:val="32"/>
          <w:szCs w:val="32"/>
          <w:highlight w:val="none"/>
          <w:fitText w:val="1600" w:id="437591866"/>
        </w:rPr>
        <w:t xml:space="preserve">日    </w:t>
      </w:r>
      <w:r>
        <w:rPr>
          <w:rFonts w:hint="eastAsia" w:cs="宋体" w:asciiTheme="minorEastAsia" w:hAnsiTheme="minorEastAsia" w:eastAsiaTheme="minorEastAsia"/>
          <w:b/>
          <w:color w:val="auto"/>
          <w:spacing w:val="0"/>
          <w:kern w:val="0"/>
          <w:sz w:val="32"/>
          <w:szCs w:val="32"/>
          <w:highlight w:val="none"/>
          <w:fitText w:val="1600" w:id="437591866"/>
        </w:rPr>
        <w:t>期</w:t>
      </w:r>
      <w:r>
        <w:rPr>
          <w:rFonts w:hint="eastAsia" w:cs="宋体" w:asciiTheme="minorEastAsia" w:hAnsiTheme="minorEastAsia" w:eastAsiaTheme="minorEastAsia"/>
          <w:b/>
          <w:color w:val="auto"/>
          <w:sz w:val="32"/>
          <w:szCs w:val="32"/>
          <w:highlight w:val="none"/>
        </w:rPr>
        <w:t>：</w:t>
      </w:r>
    </w:p>
    <w:p>
      <w:pPr>
        <w:rPr>
          <w:rFonts w:asciiTheme="minorEastAsia" w:hAnsiTheme="minorEastAsia" w:eastAsiaTheme="minorEastAsia"/>
          <w:color w:val="auto"/>
          <w:highlight w:val="none"/>
        </w:rPr>
      </w:pPr>
    </w:p>
    <w:p>
      <w:pPr>
        <w:pStyle w:val="9"/>
        <w:rPr>
          <w:rFonts w:asciiTheme="minorEastAsia" w:hAnsiTheme="minorEastAsia" w:eastAsiaTheme="minorEastAsia"/>
          <w:color w:val="auto"/>
          <w:highlight w:val="none"/>
        </w:rPr>
      </w:pPr>
    </w:p>
    <w:p>
      <w:pPr>
        <w:pStyle w:val="10"/>
        <w:ind w:firstLine="240"/>
        <w:rPr>
          <w:rFonts w:asciiTheme="minorEastAsia" w:hAnsiTheme="minorEastAsia" w:eastAsiaTheme="minorEastAsia"/>
          <w:color w:val="auto"/>
          <w:highlight w:val="none"/>
        </w:rPr>
      </w:pPr>
    </w:p>
    <w:p>
      <w:pPr>
        <w:pStyle w:val="25"/>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pStyle w:val="10"/>
        <w:ind w:firstLine="240"/>
        <w:rPr>
          <w:rFonts w:asciiTheme="minorEastAsia" w:hAnsiTheme="minorEastAsia" w:eastAsiaTheme="minorEastAsia"/>
          <w:color w:val="auto"/>
          <w:highlight w:val="none"/>
        </w:rPr>
      </w:pPr>
    </w:p>
    <w:p>
      <w:pPr>
        <w:pStyle w:val="25"/>
        <w:rPr>
          <w:rFonts w:asciiTheme="minorEastAsia" w:hAnsiTheme="minorEastAsia" w:eastAsiaTheme="minorEastAsia"/>
          <w:color w:val="auto"/>
          <w:highlight w:val="none"/>
        </w:rPr>
      </w:pPr>
    </w:p>
    <w:p>
      <w:pPr>
        <w:pStyle w:val="25"/>
        <w:ind w:left="0"/>
        <w:rPr>
          <w:rFonts w:asciiTheme="minorEastAsia" w:hAnsiTheme="minorEastAsia" w:eastAsiaTheme="minorEastAsia"/>
          <w:color w:val="auto"/>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br w:type="page"/>
      </w:r>
    </w:p>
    <w:p>
      <w:pPr>
        <w:pStyle w:val="5"/>
        <w:widowControl w:val="0"/>
        <w:overflowPunct w:val="0"/>
        <w:spacing w:line="240" w:lineRule="auto"/>
        <w:rPr>
          <w:rFonts w:asciiTheme="minorEastAsia" w:hAnsiTheme="minorEastAsia" w:eastAsiaTheme="minorEastAsia"/>
          <w:color w:val="auto"/>
          <w:sz w:val="21"/>
          <w:szCs w:val="21"/>
          <w:highlight w:val="none"/>
        </w:rPr>
      </w:pPr>
      <w:bookmarkStart w:id="161" w:name="_Toc160826352"/>
      <w:r>
        <w:rPr>
          <w:rFonts w:hint="eastAsia" w:asciiTheme="minorEastAsia" w:hAnsiTheme="minorEastAsia" w:eastAsiaTheme="minorEastAsia"/>
          <w:color w:val="auto"/>
          <w:sz w:val="21"/>
          <w:szCs w:val="21"/>
          <w:highlight w:val="none"/>
        </w:rPr>
        <w:t>附件2.开标一览表格式</w:t>
      </w:r>
      <w:bookmarkEnd w:id="161"/>
    </w:p>
    <w:p>
      <w:pPr>
        <w:pStyle w:val="4"/>
        <w:snapToGrid w:val="0"/>
        <w:spacing w:before="0" w:after="0" w:line="360" w:lineRule="auto"/>
        <w:jc w:val="center"/>
        <w:rPr>
          <w:rFonts w:ascii="宋体" w:hAnsi="宋体"/>
          <w:color w:val="auto"/>
          <w:highlight w:val="none"/>
        </w:rPr>
      </w:pPr>
      <w:bookmarkStart w:id="162" w:name="_Toc518900811"/>
      <w:bookmarkStart w:id="163" w:name="_Toc104195476"/>
      <w:bookmarkStart w:id="164" w:name="_Toc30863"/>
      <w:r>
        <w:rPr>
          <w:rFonts w:hint="eastAsia" w:ascii="宋体" w:hAnsi="宋体"/>
          <w:color w:val="auto"/>
          <w:sz w:val="28"/>
          <w:szCs w:val="28"/>
          <w:highlight w:val="none"/>
        </w:rPr>
        <w:t>开标一览表</w:t>
      </w:r>
      <w:bookmarkEnd w:id="162"/>
      <w:r>
        <w:rPr>
          <w:rFonts w:hint="eastAsia" w:ascii="宋体" w:hAnsi="宋体"/>
          <w:color w:val="auto"/>
          <w:sz w:val="28"/>
          <w:szCs w:val="28"/>
          <w:highlight w:val="none"/>
        </w:rPr>
        <w:t>（A包）</w:t>
      </w:r>
      <w:bookmarkEnd w:id="163"/>
      <w:bookmarkEnd w:id="164"/>
    </w:p>
    <w:p>
      <w:pPr>
        <w:spacing w:line="360" w:lineRule="auto"/>
        <w:ind w:left="1163" w:leftChars="171" w:hanging="804" w:hangingChars="383"/>
        <w:rPr>
          <w:rFonts w:ascii="宋体" w:hAnsi="宋体"/>
          <w:color w:val="auto"/>
          <w:sz w:val="21"/>
          <w:szCs w:val="21"/>
          <w:highlight w:val="none"/>
        </w:rPr>
      </w:pPr>
      <w:r>
        <w:rPr>
          <w:rFonts w:hint="eastAsia" w:ascii="宋体" w:hAnsi="宋体"/>
          <w:color w:val="auto"/>
          <w:sz w:val="21"/>
          <w:szCs w:val="21"/>
          <w:highlight w:val="none"/>
        </w:rPr>
        <w:t xml:space="preserve">投标人名称：                   </w:t>
      </w:r>
      <w:r>
        <w:rPr>
          <w:rFonts w:hint="eastAsia" w:ascii="宋体" w:hAnsi="宋体"/>
          <w:color w:val="auto"/>
          <w:sz w:val="21"/>
          <w:szCs w:val="21"/>
          <w:highlight w:val="none"/>
          <w:lang w:eastAsia="zh-CN"/>
        </w:rPr>
        <w:t>采购编号</w:t>
      </w:r>
      <w:r>
        <w:rPr>
          <w:rFonts w:hint="eastAsia" w:ascii="宋体" w:hAnsi="宋体"/>
          <w:color w:val="auto"/>
          <w:sz w:val="21"/>
          <w:szCs w:val="21"/>
          <w:highlight w:val="none"/>
        </w:rPr>
        <w:t>：</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886"/>
        <w:gridCol w:w="583"/>
        <w:gridCol w:w="875"/>
        <w:gridCol w:w="915"/>
        <w:gridCol w:w="2261"/>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b/>
                <w:color w:val="auto"/>
                <w:szCs w:val="21"/>
                <w:highlight w:val="none"/>
              </w:rPr>
            </w:pPr>
            <w:r>
              <w:rPr>
                <w:rFonts w:hint="eastAsia" w:hAnsi="宋体"/>
                <w:b/>
                <w:color w:val="auto"/>
                <w:szCs w:val="21"/>
                <w:highlight w:val="none"/>
              </w:rPr>
              <w:t>货物名称</w:t>
            </w:r>
          </w:p>
        </w:tc>
        <w:tc>
          <w:tcPr>
            <w:tcW w:w="349"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b/>
                <w:color w:val="auto"/>
                <w:szCs w:val="21"/>
                <w:highlight w:val="none"/>
              </w:rPr>
            </w:pPr>
            <w:r>
              <w:rPr>
                <w:rFonts w:hint="eastAsia" w:hAnsi="宋体"/>
                <w:b/>
                <w:color w:val="auto"/>
                <w:szCs w:val="21"/>
                <w:highlight w:val="none"/>
              </w:rPr>
              <w:t>品牌</w:t>
            </w:r>
          </w:p>
        </w:tc>
        <w:tc>
          <w:tcPr>
            <w:tcW w:w="524"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b/>
                <w:color w:val="auto"/>
                <w:szCs w:val="21"/>
                <w:highlight w:val="none"/>
              </w:rPr>
            </w:pPr>
            <w:r>
              <w:rPr>
                <w:rFonts w:hint="eastAsia" w:hAnsi="宋体"/>
                <w:b/>
                <w:color w:val="auto"/>
                <w:szCs w:val="21"/>
                <w:highlight w:val="none"/>
              </w:rPr>
              <w:t>产地</w:t>
            </w:r>
          </w:p>
        </w:tc>
        <w:tc>
          <w:tcPr>
            <w:tcW w:w="546"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b/>
                <w:color w:val="auto"/>
                <w:szCs w:val="21"/>
                <w:highlight w:val="none"/>
              </w:rPr>
            </w:pPr>
            <w:r>
              <w:rPr>
                <w:rFonts w:hint="eastAsia" w:hAnsi="宋体"/>
                <w:b/>
                <w:color w:val="auto"/>
                <w:szCs w:val="21"/>
                <w:highlight w:val="none"/>
              </w:rPr>
              <w:t>单位</w:t>
            </w:r>
          </w:p>
        </w:tc>
        <w:tc>
          <w:tcPr>
            <w:tcW w:w="1354"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b/>
                <w:color w:val="auto"/>
                <w:szCs w:val="21"/>
                <w:highlight w:val="none"/>
              </w:rPr>
            </w:pPr>
            <w:r>
              <w:rPr>
                <w:rFonts w:hint="eastAsia" w:hAnsi="宋体"/>
                <w:b/>
                <w:color w:val="auto"/>
                <w:szCs w:val="21"/>
                <w:highlight w:val="none"/>
              </w:rPr>
              <w:t>计划采购供货量</w:t>
            </w:r>
          </w:p>
        </w:tc>
        <w:tc>
          <w:tcPr>
            <w:tcW w:w="1693"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int="eastAsia" w:hAnsi="宋体"/>
                <w:b/>
                <w:color w:val="auto"/>
                <w:szCs w:val="21"/>
                <w:highlight w:val="none"/>
              </w:rPr>
            </w:pPr>
            <w:r>
              <w:rPr>
                <w:rFonts w:hint="eastAsia" w:hAnsi="宋体"/>
                <w:b/>
                <w:color w:val="auto"/>
                <w:szCs w:val="21"/>
                <w:highlight w:val="none"/>
              </w:rPr>
              <w:t xml:space="preserve">综合单价（元/吨）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0"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int="eastAsia" w:hAnsi="宋体"/>
                <w:color w:val="auto"/>
                <w:szCs w:val="21"/>
                <w:highlight w:val="none"/>
              </w:rPr>
            </w:pPr>
            <w:r>
              <w:rPr>
                <w:rFonts w:hint="eastAsia" w:hAnsi="宋体" w:cs="宋体"/>
                <w:color w:val="auto"/>
                <w:szCs w:val="21"/>
                <w:highlight w:val="none"/>
              </w:rPr>
              <w:t>活性炭</w:t>
            </w:r>
          </w:p>
        </w:tc>
        <w:tc>
          <w:tcPr>
            <w:tcW w:w="349"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color w:val="auto"/>
                <w:szCs w:val="21"/>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color w:val="auto"/>
                <w:szCs w:val="21"/>
                <w:highlight w:val="none"/>
              </w:rPr>
            </w:pPr>
          </w:p>
        </w:tc>
        <w:tc>
          <w:tcPr>
            <w:tcW w:w="546"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color w:val="auto"/>
                <w:szCs w:val="21"/>
                <w:highlight w:val="none"/>
              </w:rPr>
            </w:pPr>
            <w:r>
              <w:rPr>
                <w:rFonts w:hint="eastAsia" w:hAnsi="宋体"/>
                <w:color w:val="auto"/>
                <w:szCs w:val="21"/>
                <w:highlight w:val="none"/>
              </w:rPr>
              <w:t>吨</w:t>
            </w:r>
          </w:p>
        </w:tc>
        <w:tc>
          <w:tcPr>
            <w:tcW w:w="1354"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color w:val="auto"/>
                <w:szCs w:val="21"/>
                <w:highlight w:val="none"/>
              </w:rPr>
            </w:pPr>
            <w:r>
              <w:rPr>
                <w:rFonts w:hAnsi="宋体"/>
                <w:color w:val="auto"/>
                <w:szCs w:val="21"/>
                <w:highlight w:val="none"/>
              </w:rPr>
              <w:t>700</w:t>
            </w:r>
          </w:p>
        </w:tc>
        <w:tc>
          <w:tcPr>
            <w:tcW w:w="1693"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952" w:type="pct"/>
            <w:gridSpan w:val="4"/>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int="eastAsia" w:hAnsi="宋体"/>
                <w:color w:val="auto"/>
                <w:szCs w:val="21"/>
                <w:highlight w:val="none"/>
              </w:rPr>
            </w:pPr>
            <w:r>
              <w:rPr>
                <w:rFonts w:hint="eastAsia" w:hAnsi="宋体"/>
                <w:color w:val="auto"/>
                <w:szCs w:val="21"/>
                <w:highlight w:val="none"/>
              </w:rPr>
              <w:t>投标报价（元，暂定总价）</w:t>
            </w:r>
          </w:p>
        </w:tc>
        <w:tc>
          <w:tcPr>
            <w:tcW w:w="3047" w:type="pct"/>
            <w:gridSpan w:val="2"/>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int="eastAsia" w:hAnsi="宋体"/>
                <w:color w:val="auto"/>
                <w:szCs w:val="21"/>
                <w:highlight w:val="none"/>
              </w:rPr>
            </w:pPr>
            <w:r>
              <w:rPr>
                <w:rFonts w:hint="eastAsia" w:hAnsi="宋体"/>
                <w:color w:val="auto"/>
                <w:szCs w:val="21"/>
                <w:highlight w:val="none"/>
              </w:rPr>
              <w:t>（大写：人民币</w:t>
            </w:r>
            <w:r>
              <w:rPr>
                <w:rFonts w:hint="eastAsia" w:hAnsi="宋体"/>
                <w:color w:val="auto"/>
                <w:szCs w:val="21"/>
                <w:highlight w:val="none"/>
                <w:u w:val="single"/>
              </w:rPr>
              <w:t xml:space="preserve">             </w:t>
            </w:r>
            <w:r>
              <w:rPr>
                <w:rFonts w:hint="eastAsia" w:hAnsi="宋体"/>
                <w:color w:val="auto"/>
                <w:szCs w:val="21"/>
                <w:highlight w:val="none"/>
              </w:rPr>
              <w:t>）</w:t>
            </w:r>
          </w:p>
          <w:p>
            <w:pPr>
              <w:pStyle w:val="15"/>
              <w:snapToGrid w:val="0"/>
              <w:spacing w:line="400" w:lineRule="exact"/>
              <w:jc w:val="center"/>
              <w:rPr>
                <w:rFonts w:hint="eastAsia" w:hAnsi="宋体"/>
                <w:color w:val="auto"/>
                <w:szCs w:val="21"/>
                <w:highlight w:val="none"/>
              </w:rPr>
            </w:pPr>
            <w:r>
              <w:rPr>
                <w:rFonts w:hint="eastAsia" w:hAnsi="宋体"/>
                <w:color w:val="auto"/>
                <w:szCs w:val="21"/>
                <w:highlight w:val="none"/>
              </w:rPr>
              <w:t xml:space="preserve">  </w:t>
            </w:r>
            <w:r>
              <w:rPr>
                <w:rFonts w:hAnsi="宋体"/>
                <w:color w:val="auto"/>
                <w:szCs w:val="21"/>
                <w:highlight w:val="none"/>
              </w:rPr>
              <w:t>（小写：¥</w:t>
            </w:r>
            <w:r>
              <w:rPr>
                <w:rFonts w:hint="eastAsia" w:hAnsi="宋体"/>
                <w:color w:val="auto"/>
                <w:szCs w:val="21"/>
                <w:highlight w:val="none"/>
                <w:u w:val="single"/>
              </w:rPr>
              <w:t xml:space="preserve">              </w:t>
            </w:r>
            <w:r>
              <w:rPr>
                <w:rFonts w:hAnsi="宋体"/>
                <w:color w:val="auto"/>
                <w:szCs w:val="21"/>
                <w:highlight w:val="none"/>
              </w:rPr>
              <w:t>）</w:t>
            </w:r>
          </w:p>
        </w:tc>
      </w:tr>
    </w:tbl>
    <w:p>
      <w:pPr>
        <w:snapToGrid w:val="0"/>
        <w:spacing w:line="380" w:lineRule="exact"/>
        <w:rPr>
          <w:rFonts w:ascii="宋体" w:hAnsi="宋体"/>
          <w:color w:val="auto"/>
          <w:sz w:val="21"/>
          <w:szCs w:val="21"/>
          <w:highlight w:val="none"/>
        </w:rPr>
      </w:pPr>
    </w:p>
    <w:p>
      <w:pPr>
        <w:snapToGrid w:val="0"/>
        <w:spacing w:line="360" w:lineRule="auto"/>
        <w:ind w:left="716" w:leftChars="-59" w:hanging="840" w:hangingChars="400"/>
        <w:rPr>
          <w:rFonts w:ascii="宋体" w:hAnsi="宋体"/>
          <w:color w:val="auto"/>
          <w:sz w:val="21"/>
          <w:szCs w:val="21"/>
          <w:highlight w:val="none"/>
        </w:rPr>
      </w:pPr>
      <w:r>
        <w:rPr>
          <w:rFonts w:hint="eastAsia" w:ascii="宋体" w:hAnsi="宋体"/>
          <w:color w:val="auto"/>
          <w:sz w:val="21"/>
          <w:szCs w:val="21"/>
          <w:highlight w:val="none"/>
        </w:rPr>
        <w:t>备注：</w:t>
      </w:r>
    </w:p>
    <w:p>
      <w:pPr>
        <w:snapToGrid w:val="0"/>
        <w:spacing w:line="360" w:lineRule="auto"/>
        <w:ind w:left="396" w:leftChars="-58" w:hanging="518" w:hangingChars="247"/>
        <w:rPr>
          <w:rFonts w:ascii="宋体" w:hAnsi="宋体"/>
          <w:color w:val="auto"/>
          <w:sz w:val="21"/>
          <w:szCs w:val="21"/>
          <w:highlight w:val="none"/>
          <w:u w:val="single"/>
        </w:rPr>
      </w:pPr>
      <w:r>
        <w:rPr>
          <w:rFonts w:hint="eastAsia" w:ascii="宋体" w:hAnsi="宋体"/>
          <w:color w:val="auto"/>
          <w:sz w:val="21"/>
          <w:szCs w:val="21"/>
          <w:highlight w:val="none"/>
        </w:rPr>
        <w:t>（1）</w:t>
      </w:r>
      <w:r>
        <w:rPr>
          <w:rFonts w:hint="eastAsia" w:ascii="宋体" w:hAnsi="宋体"/>
          <w:b/>
          <w:color w:val="auto"/>
          <w:sz w:val="21"/>
          <w:szCs w:val="21"/>
          <w:highlight w:val="none"/>
          <w:u w:val="single"/>
        </w:rPr>
        <w:t>本项目报价为含税价，即为《中华人民共和国增值税暂行条例》（国务院令第691号修订版）规定的销售额，综合单价已包含    %增值税专用发票。</w:t>
      </w:r>
      <w:r>
        <w:rPr>
          <w:rFonts w:hint="eastAsia" w:ascii="宋体" w:hAnsi="宋体"/>
          <w:color w:val="auto"/>
          <w:sz w:val="21"/>
          <w:szCs w:val="21"/>
          <w:highlight w:val="none"/>
          <w:u w:val="single"/>
        </w:rPr>
        <w:t>本</w:t>
      </w:r>
      <w:r>
        <w:rPr>
          <w:rFonts w:hint="eastAsia" w:ascii="宋体" w:hAnsi="宋体"/>
          <w:color w:val="auto"/>
          <w:sz w:val="21"/>
          <w:szCs w:val="21"/>
          <w:highlight w:val="none"/>
          <w:u w:val="single"/>
          <w:lang w:eastAsia="zh-CN"/>
        </w:rPr>
        <w:t>采购文件</w:t>
      </w:r>
      <w:r>
        <w:rPr>
          <w:rFonts w:hint="eastAsia" w:ascii="宋体" w:hAnsi="宋体"/>
          <w:color w:val="auto"/>
          <w:sz w:val="21"/>
          <w:szCs w:val="21"/>
          <w:highlight w:val="none"/>
          <w:u w:val="single"/>
        </w:rPr>
        <w:t>所称的含税价是指含本采购项目的投标人销项税额，包含了投标人完成合同义务（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的其他全部费用。</w:t>
      </w:r>
    </w:p>
    <w:p>
      <w:pPr>
        <w:snapToGrid w:val="0"/>
        <w:spacing w:line="360" w:lineRule="auto"/>
        <w:ind w:left="396" w:leftChars="-58" w:hanging="518" w:hangingChars="247"/>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color w:val="auto"/>
          <w:kern w:val="2"/>
          <w:sz w:val="21"/>
          <w:szCs w:val="21"/>
          <w:highlight w:val="none"/>
          <w:u w:val="single"/>
          <w:lang w:val="zh-CN"/>
        </w:rPr>
        <w:t>投标人</w:t>
      </w:r>
      <w:r>
        <w:rPr>
          <w:rFonts w:hint="eastAsia" w:ascii="宋体" w:hAnsi="宋体"/>
          <w:b/>
          <w:bCs/>
          <w:color w:val="auto"/>
          <w:sz w:val="21"/>
          <w:highlight w:val="none"/>
          <w:u w:val="single"/>
        </w:rPr>
        <w:t>的综合单价高于单价最高限价的，该投标人的投标文件将被视为无效响应。</w:t>
      </w:r>
    </w:p>
    <w:p>
      <w:pPr>
        <w:snapToGrid w:val="0"/>
        <w:spacing w:line="360" w:lineRule="auto"/>
        <w:ind w:left="396" w:leftChars="-58" w:hanging="518" w:hangingChars="247"/>
        <w:rPr>
          <w:rFonts w:hint="eastAsia" w:ascii="宋体" w:hAnsi="宋体"/>
          <w:color w:val="auto"/>
          <w:kern w:val="2"/>
          <w:sz w:val="21"/>
          <w:szCs w:val="21"/>
          <w:highlight w:val="none"/>
          <w:lang w:val="zh-CN"/>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w:t>
      </w:r>
      <w:r>
        <w:rPr>
          <w:rFonts w:hint="eastAsia" w:ascii="宋体" w:hAnsi="宋体"/>
          <w:b/>
          <w:color w:val="auto"/>
          <w:sz w:val="21"/>
          <w:szCs w:val="21"/>
          <w:highlight w:val="none"/>
          <w:u w:val="single"/>
        </w:rPr>
        <w:t>本表的投标报价为含税综合单价乘以计划采购供货量的总价</w:t>
      </w:r>
      <w:r>
        <w:rPr>
          <w:rFonts w:hint="eastAsia" w:ascii="宋体" w:hAnsi="宋体"/>
          <w:b/>
          <w:color w:val="auto"/>
          <w:sz w:val="21"/>
          <w:szCs w:val="21"/>
          <w:highlight w:val="none"/>
        </w:rPr>
        <w:t>。</w:t>
      </w:r>
      <w:r>
        <w:rPr>
          <w:rFonts w:hint="eastAsia" w:ascii="宋体" w:hAnsi="宋体"/>
          <w:color w:val="auto"/>
          <w:kern w:val="2"/>
          <w:sz w:val="21"/>
          <w:szCs w:val="21"/>
          <w:highlight w:val="none"/>
          <w:lang w:val="zh-CN"/>
        </w:rPr>
        <w:t>本表内投标报价金额与按单价计算的总金额不一致的，以单价计算结果为准，单价金额小数点有明显错位的，应以总价为准，并修正单价；对不同文字文本投标文件的解释发生异议的，以中文文本为准。</w:t>
      </w:r>
    </w:p>
    <w:p>
      <w:pPr>
        <w:snapToGrid w:val="0"/>
        <w:spacing w:line="360" w:lineRule="auto"/>
        <w:ind w:left="396" w:leftChars="-58" w:hanging="518" w:hangingChars="247"/>
        <w:rPr>
          <w:rFonts w:ascii="宋体" w:hAnsi="宋体"/>
          <w:color w:val="auto"/>
          <w:kern w:val="2"/>
          <w:sz w:val="21"/>
          <w:highlight w:val="none"/>
          <w:lang w:val="zh-CN"/>
        </w:rPr>
      </w:pPr>
      <w:r>
        <w:rPr>
          <w:rFonts w:hint="eastAsia" w:ascii="宋体" w:hAnsi="宋体"/>
          <w:color w:val="auto"/>
          <w:kern w:val="2"/>
          <w:sz w:val="21"/>
          <w:highlight w:val="none"/>
          <w:lang w:val="zh-CN"/>
        </w:rPr>
        <w:t>（</w:t>
      </w:r>
      <w:r>
        <w:rPr>
          <w:rFonts w:ascii="宋体" w:hAnsi="宋体"/>
          <w:color w:val="auto"/>
          <w:kern w:val="2"/>
          <w:sz w:val="21"/>
          <w:highlight w:val="none"/>
          <w:lang w:val="zh-CN"/>
        </w:rPr>
        <w:t>4</w:t>
      </w:r>
      <w:r>
        <w:rPr>
          <w:rFonts w:hint="eastAsia" w:ascii="宋体" w:hAnsi="宋体"/>
          <w:color w:val="auto"/>
          <w:kern w:val="2"/>
          <w:sz w:val="21"/>
          <w:highlight w:val="none"/>
          <w:lang w:val="zh-CN"/>
        </w:rPr>
        <w:t>）上述计划采购供货量仅为方便合计投标报价使用，不作为采购人最终购买数量的保证，我方承诺不因实际采购数量的减少或增加而要求采购人提供任何形式的补偿或赔偿。</w:t>
      </w:r>
    </w:p>
    <w:p>
      <w:pPr>
        <w:snapToGrid w:val="0"/>
        <w:spacing w:line="360" w:lineRule="auto"/>
        <w:ind w:left="396" w:leftChars="-58" w:hanging="518" w:hangingChars="247"/>
        <w:rPr>
          <w:rFonts w:ascii="宋体" w:hAnsi="宋体"/>
          <w:color w:val="auto"/>
          <w:sz w:val="21"/>
          <w:szCs w:val="21"/>
          <w:highlight w:val="none"/>
        </w:rPr>
      </w:pPr>
      <w:r>
        <w:rPr>
          <w:rFonts w:hint="eastAsia" w:ascii="宋体" w:hAnsi="宋体"/>
          <w:bCs/>
          <w:color w:val="auto"/>
          <w:sz w:val="21"/>
          <w:szCs w:val="21"/>
          <w:highlight w:val="none"/>
          <w:lang w:val="zh-CN"/>
        </w:rPr>
        <w:t>（</w:t>
      </w:r>
      <w:r>
        <w:rPr>
          <w:rFonts w:ascii="宋体" w:hAnsi="宋体"/>
          <w:bCs/>
          <w:color w:val="auto"/>
          <w:sz w:val="21"/>
          <w:szCs w:val="21"/>
          <w:highlight w:val="none"/>
          <w:lang w:val="zh-CN"/>
        </w:rPr>
        <w:t>5</w:t>
      </w:r>
      <w:r>
        <w:rPr>
          <w:rFonts w:hint="eastAsia" w:ascii="宋体" w:hAnsi="宋体"/>
          <w:bCs/>
          <w:color w:val="auto"/>
          <w:sz w:val="21"/>
          <w:szCs w:val="21"/>
          <w:highlight w:val="none"/>
          <w:lang w:val="zh-CN"/>
        </w:rPr>
        <w:t>）</w:t>
      </w:r>
      <w:r>
        <w:rPr>
          <w:rFonts w:hint="eastAsia" w:ascii="宋体" w:hAnsi="宋体"/>
          <w:b/>
          <w:bCs/>
          <w:color w:val="auto"/>
          <w:sz w:val="21"/>
          <w:szCs w:val="21"/>
          <w:highlight w:val="none"/>
          <w:u w:val="single"/>
          <w:lang w:val="zh-CN"/>
        </w:rPr>
        <w:t>本表一式二份，一份随唱标信封一起提交，一份编入投标文件商务文件</w:t>
      </w:r>
      <w:r>
        <w:rPr>
          <w:rFonts w:hint="eastAsia" w:ascii="宋体" w:hAnsi="宋体"/>
          <w:b/>
          <w:bCs/>
          <w:color w:val="auto"/>
          <w:sz w:val="21"/>
          <w:szCs w:val="21"/>
          <w:highlight w:val="none"/>
          <w:lang w:val="zh-CN"/>
        </w:rPr>
        <w:t>。</w:t>
      </w:r>
    </w:p>
    <w:p>
      <w:pPr>
        <w:tabs>
          <w:tab w:val="left" w:pos="654"/>
          <w:tab w:val="left" w:pos="1734"/>
          <w:tab w:val="left" w:pos="2814"/>
          <w:tab w:val="left" w:pos="3894"/>
          <w:tab w:val="left" w:pos="5334"/>
          <w:tab w:val="left" w:pos="6414"/>
          <w:tab w:val="left" w:pos="7254"/>
          <w:tab w:val="left" w:pos="8574"/>
          <w:tab w:val="left" w:pos="9654"/>
        </w:tabs>
        <w:snapToGrid w:val="0"/>
        <w:spacing w:line="360" w:lineRule="auto"/>
        <w:rPr>
          <w:rFonts w:ascii="宋体" w:hAnsi="宋体"/>
          <w:color w:val="auto"/>
          <w:sz w:val="21"/>
          <w:szCs w:val="22"/>
          <w:highlight w:val="none"/>
        </w:rPr>
      </w:pPr>
    </w:p>
    <w:p>
      <w:pPr>
        <w:rPr>
          <w:rFonts w:ascii="宋体" w:hAnsi="宋体"/>
          <w:color w:val="auto"/>
          <w:szCs w:val="21"/>
          <w:highlight w:val="none"/>
        </w:rPr>
      </w:pPr>
      <w:r>
        <w:rPr>
          <w:rFonts w:hint="eastAsia" w:ascii="宋体" w:hAnsi="宋体"/>
          <w:color w:val="auto"/>
          <w:szCs w:val="21"/>
          <w:highlight w:val="none"/>
        </w:rPr>
        <w:t>投标人代表签字：</w:t>
      </w:r>
    </w:p>
    <w:p>
      <w:pPr>
        <w:rPr>
          <w:rFonts w:ascii="宋体" w:hAnsi="宋体"/>
          <w:color w:val="auto"/>
          <w:szCs w:val="21"/>
          <w:highlight w:val="none"/>
        </w:rPr>
      </w:pPr>
      <w:r>
        <w:rPr>
          <w:rFonts w:hint="eastAsia" w:ascii="宋体" w:hAnsi="宋体"/>
          <w:color w:val="auto"/>
          <w:szCs w:val="21"/>
          <w:highlight w:val="none"/>
        </w:rPr>
        <w:t>投标人盖章：</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日期：</w:t>
      </w:r>
    </w:p>
    <w:p>
      <w:pPr>
        <w:pStyle w:val="4"/>
        <w:snapToGrid w:val="0"/>
        <w:spacing w:before="0" w:after="0" w:line="360" w:lineRule="auto"/>
        <w:jc w:val="center"/>
        <w:rPr>
          <w:rFonts w:ascii="宋体" w:hAnsi="宋体"/>
          <w:color w:val="auto"/>
          <w:highlight w:val="none"/>
        </w:rPr>
      </w:pPr>
      <w:r>
        <w:rPr>
          <w:rFonts w:hint="eastAsia" w:ascii="宋体" w:hAnsi="宋体" w:eastAsia="宋体" w:cstheme="minorBidi"/>
          <w:b w:val="0"/>
          <w:bCs w:val="0"/>
          <w:color w:val="auto"/>
          <w:sz w:val="21"/>
          <w:szCs w:val="21"/>
          <w:highlight w:val="none"/>
          <w:lang w:val="en-US" w:eastAsia="zh-CN" w:bidi="ar-SA"/>
        </w:rPr>
        <w:br w:type="page"/>
      </w:r>
      <w:bookmarkStart w:id="165" w:name="_Toc104195477"/>
      <w:bookmarkStart w:id="166" w:name="_Toc23283"/>
      <w:r>
        <w:rPr>
          <w:rFonts w:hint="eastAsia" w:ascii="宋体" w:hAnsi="宋体"/>
          <w:color w:val="auto"/>
          <w:sz w:val="28"/>
          <w:szCs w:val="28"/>
          <w:highlight w:val="none"/>
        </w:rPr>
        <w:t>开标一览表（</w:t>
      </w:r>
      <w:r>
        <w:rPr>
          <w:rFonts w:ascii="宋体" w:hAnsi="宋体"/>
          <w:color w:val="auto"/>
          <w:sz w:val="28"/>
          <w:szCs w:val="28"/>
          <w:highlight w:val="none"/>
        </w:rPr>
        <w:t>B</w:t>
      </w:r>
      <w:r>
        <w:rPr>
          <w:rFonts w:hint="eastAsia" w:ascii="宋体" w:hAnsi="宋体"/>
          <w:color w:val="auto"/>
          <w:sz w:val="28"/>
          <w:szCs w:val="28"/>
          <w:highlight w:val="none"/>
        </w:rPr>
        <w:t>包）</w:t>
      </w:r>
      <w:bookmarkEnd w:id="165"/>
      <w:bookmarkEnd w:id="166"/>
    </w:p>
    <w:p>
      <w:pPr>
        <w:spacing w:line="360" w:lineRule="auto"/>
        <w:ind w:left="1163" w:leftChars="171" w:hanging="804" w:hangingChars="383"/>
        <w:rPr>
          <w:rFonts w:ascii="宋体" w:hAnsi="宋体"/>
          <w:color w:val="auto"/>
          <w:sz w:val="21"/>
          <w:szCs w:val="21"/>
          <w:highlight w:val="none"/>
        </w:rPr>
      </w:pPr>
      <w:r>
        <w:rPr>
          <w:rFonts w:hint="eastAsia" w:ascii="宋体" w:hAnsi="宋体"/>
          <w:color w:val="auto"/>
          <w:sz w:val="21"/>
          <w:szCs w:val="21"/>
          <w:highlight w:val="none"/>
        </w:rPr>
        <w:t xml:space="preserve">投标人名称：                   </w:t>
      </w:r>
      <w:r>
        <w:rPr>
          <w:rFonts w:hint="eastAsia" w:ascii="宋体" w:hAnsi="宋体"/>
          <w:color w:val="auto"/>
          <w:sz w:val="21"/>
          <w:szCs w:val="21"/>
          <w:highlight w:val="none"/>
          <w:lang w:eastAsia="zh-CN"/>
        </w:rPr>
        <w:t>采购编号</w:t>
      </w:r>
      <w:r>
        <w:rPr>
          <w:rFonts w:hint="eastAsia" w:ascii="宋体" w:hAnsi="宋体"/>
          <w:color w:val="auto"/>
          <w:sz w:val="21"/>
          <w:szCs w:val="21"/>
          <w:highlight w:val="none"/>
        </w:rPr>
        <w:t>：</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635"/>
        <w:gridCol w:w="713"/>
        <w:gridCol w:w="857"/>
        <w:gridCol w:w="947"/>
        <w:gridCol w:w="1615"/>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980"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b/>
                <w:color w:val="auto"/>
                <w:szCs w:val="21"/>
                <w:highlight w:val="none"/>
              </w:rPr>
            </w:pPr>
            <w:r>
              <w:rPr>
                <w:rFonts w:hint="eastAsia" w:hAnsi="宋体"/>
                <w:b/>
                <w:color w:val="auto"/>
                <w:szCs w:val="21"/>
                <w:highlight w:val="none"/>
              </w:rPr>
              <w:t>货物名称</w:t>
            </w:r>
          </w:p>
        </w:tc>
        <w:tc>
          <w:tcPr>
            <w:tcW w:w="427"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b/>
                <w:color w:val="auto"/>
                <w:szCs w:val="21"/>
                <w:highlight w:val="none"/>
              </w:rPr>
            </w:pPr>
            <w:r>
              <w:rPr>
                <w:rFonts w:hint="eastAsia" w:hAnsi="宋体"/>
                <w:b/>
                <w:color w:val="auto"/>
                <w:szCs w:val="21"/>
                <w:highlight w:val="none"/>
              </w:rPr>
              <w:t>品牌</w:t>
            </w:r>
          </w:p>
        </w:tc>
        <w:tc>
          <w:tcPr>
            <w:tcW w:w="513"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b/>
                <w:color w:val="auto"/>
                <w:szCs w:val="21"/>
                <w:highlight w:val="none"/>
              </w:rPr>
            </w:pPr>
            <w:r>
              <w:rPr>
                <w:rFonts w:hint="eastAsia" w:hAnsi="宋体"/>
                <w:b/>
                <w:color w:val="auto"/>
                <w:szCs w:val="21"/>
                <w:highlight w:val="none"/>
              </w:rPr>
              <w:t>产地</w:t>
            </w: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b/>
                <w:color w:val="auto"/>
                <w:szCs w:val="21"/>
                <w:highlight w:val="none"/>
              </w:rPr>
            </w:pPr>
            <w:r>
              <w:rPr>
                <w:rFonts w:hint="eastAsia" w:hAnsi="宋体"/>
                <w:b/>
                <w:color w:val="auto"/>
                <w:szCs w:val="21"/>
                <w:highlight w:val="none"/>
              </w:rPr>
              <w:t>单位</w:t>
            </w:r>
          </w:p>
        </w:tc>
        <w:tc>
          <w:tcPr>
            <w:tcW w:w="967"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b/>
                <w:color w:val="auto"/>
                <w:szCs w:val="21"/>
                <w:highlight w:val="none"/>
              </w:rPr>
            </w:pPr>
            <w:r>
              <w:rPr>
                <w:rFonts w:hint="eastAsia" w:hAnsi="宋体"/>
                <w:b/>
                <w:color w:val="auto"/>
                <w:szCs w:val="21"/>
                <w:highlight w:val="none"/>
              </w:rPr>
              <w:t>计划采购供货量</w:t>
            </w:r>
          </w:p>
        </w:tc>
        <w:tc>
          <w:tcPr>
            <w:tcW w:w="1545"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int="eastAsia" w:hAnsi="宋体"/>
                <w:b/>
                <w:color w:val="auto"/>
                <w:szCs w:val="21"/>
                <w:highlight w:val="none"/>
              </w:rPr>
            </w:pPr>
            <w:r>
              <w:rPr>
                <w:rFonts w:hint="eastAsia" w:hAnsi="宋体"/>
                <w:b/>
                <w:color w:val="auto"/>
                <w:szCs w:val="21"/>
                <w:highlight w:val="none"/>
              </w:rPr>
              <w:t>综合单价（元/吨）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0" w:hRule="atLeast"/>
          <w:jc w:val="center"/>
        </w:trPr>
        <w:tc>
          <w:tcPr>
            <w:tcW w:w="980"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int="eastAsia" w:hAnsi="宋体"/>
                <w:color w:val="auto"/>
                <w:szCs w:val="21"/>
                <w:highlight w:val="none"/>
              </w:rPr>
            </w:pPr>
            <w:r>
              <w:rPr>
                <w:rFonts w:hint="eastAsia" w:hAnsi="宋体"/>
                <w:color w:val="auto"/>
                <w:szCs w:val="21"/>
                <w:highlight w:val="none"/>
              </w:rPr>
              <w:t>熟石灰</w:t>
            </w:r>
            <w:r>
              <w:rPr>
                <w:rFonts w:hint="eastAsia" w:hAnsi="宋体"/>
                <w:color w:val="auto"/>
                <w:szCs w:val="21"/>
                <w:highlight w:val="none"/>
                <w:lang w:eastAsia="zh-CN"/>
              </w:rPr>
              <w:t>（</w:t>
            </w:r>
            <w:r>
              <w:rPr>
                <w:rFonts w:hint="eastAsia" w:hAnsi="宋体"/>
                <w:color w:val="auto"/>
                <w:szCs w:val="21"/>
                <w:highlight w:val="none"/>
                <w:lang w:val="en-US" w:eastAsia="zh-CN"/>
              </w:rPr>
              <w:t>200目过筛</w:t>
            </w:r>
            <w:r>
              <w:rPr>
                <w:rFonts w:hint="eastAsia" w:hAnsi="宋体"/>
                <w:color w:val="auto"/>
                <w:szCs w:val="21"/>
                <w:highlight w:val="none"/>
                <w:lang w:eastAsia="zh-CN"/>
              </w:rPr>
              <w:t>）</w:t>
            </w:r>
          </w:p>
        </w:tc>
        <w:tc>
          <w:tcPr>
            <w:tcW w:w="427"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color w:val="auto"/>
                <w:szCs w:val="21"/>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color w:val="auto"/>
                <w:szCs w:val="21"/>
                <w:highlight w:val="none"/>
              </w:rPr>
            </w:pPr>
            <w:r>
              <w:rPr>
                <w:rFonts w:hint="eastAsia" w:hAnsi="宋体"/>
                <w:color w:val="auto"/>
                <w:szCs w:val="21"/>
                <w:highlight w:val="none"/>
              </w:rPr>
              <w:t>吨</w:t>
            </w:r>
          </w:p>
        </w:tc>
        <w:tc>
          <w:tcPr>
            <w:tcW w:w="967"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color w:val="auto"/>
                <w:szCs w:val="21"/>
                <w:highlight w:val="none"/>
              </w:rPr>
            </w:pPr>
            <w:r>
              <w:rPr>
                <w:rFonts w:hint="eastAsia" w:hAnsi="宋体"/>
                <w:color w:val="auto"/>
                <w:szCs w:val="21"/>
                <w:highlight w:val="none"/>
                <w:lang w:val="en-US" w:eastAsia="zh-CN"/>
              </w:rPr>
              <w:t>7800</w:t>
            </w:r>
          </w:p>
        </w:tc>
        <w:tc>
          <w:tcPr>
            <w:tcW w:w="1545"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0" w:hRule="atLeast"/>
          <w:jc w:val="center"/>
        </w:trPr>
        <w:tc>
          <w:tcPr>
            <w:tcW w:w="980"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int="eastAsia" w:hAnsi="宋体" w:cs="宋体"/>
                <w:color w:val="auto"/>
                <w:szCs w:val="21"/>
                <w:highlight w:val="none"/>
              </w:rPr>
            </w:pPr>
            <w:r>
              <w:rPr>
                <w:rFonts w:hint="eastAsia" w:hAnsi="宋体" w:cs="宋体"/>
                <w:color w:val="auto"/>
                <w:szCs w:val="21"/>
                <w:highlight w:val="none"/>
                <w:lang w:val="en-US" w:eastAsia="zh-CN"/>
              </w:rPr>
              <w:t>熟石灰（325目过筛）</w:t>
            </w:r>
          </w:p>
        </w:tc>
        <w:tc>
          <w:tcPr>
            <w:tcW w:w="427"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color w:val="auto"/>
                <w:szCs w:val="21"/>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color w:val="auto"/>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int="eastAsia" w:hAnsi="宋体"/>
                <w:color w:val="auto"/>
                <w:szCs w:val="21"/>
                <w:highlight w:val="none"/>
              </w:rPr>
            </w:pPr>
            <w:r>
              <w:rPr>
                <w:rFonts w:hint="eastAsia" w:hAnsi="宋体"/>
                <w:color w:val="auto"/>
                <w:szCs w:val="21"/>
                <w:highlight w:val="none"/>
              </w:rPr>
              <w:t>吨</w:t>
            </w:r>
          </w:p>
        </w:tc>
        <w:tc>
          <w:tcPr>
            <w:tcW w:w="967"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color w:val="auto"/>
                <w:szCs w:val="21"/>
                <w:highlight w:val="none"/>
              </w:rPr>
            </w:pPr>
            <w:r>
              <w:rPr>
                <w:rFonts w:hint="eastAsia" w:hAnsi="宋体"/>
                <w:color w:val="auto"/>
                <w:szCs w:val="21"/>
                <w:highlight w:val="none"/>
                <w:lang w:val="en-US" w:eastAsia="zh-CN"/>
              </w:rPr>
              <w:t>3300</w:t>
            </w:r>
          </w:p>
        </w:tc>
        <w:tc>
          <w:tcPr>
            <w:tcW w:w="1545" w:type="pct"/>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487" w:type="pct"/>
            <w:gridSpan w:val="4"/>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int="eastAsia" w:hAnsi="宋体"/>
                <w:color w:val="auto"/>
                <w:szCs w:val="21"/>
                <w:highlight w:val="none"/>
              </w:rPr>
            </w:pPr>
            <w:r>
              <w:rPr>
                <w:rFonts w:hint="eastAsia" w:hAnsi="宋体"/>
                <w:color w:val="auto"/>
                <w:szCs w:val="21"/>
                <w:highlight w:val="none"/>
              </w:rPr>
              <w:t>投标报价（元，暂定总价）</w:t>
            </w:r>
          </w:p>
        </w:tc>
        <w:tc>
          <w:tcPr>
            <w:tcW w:w="2512" w:type="pct"/>
            <w:gridSpan w:val="2"/>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400" w:lineRule="exact"/>
              <w:jc w:val="center"/>
              <w:rPr>
                <w:rFonts w:hint="eastAsia" w:hAnsi="宋体"/>
                <w:color w:val="auto"/>
                <w:szCs w:val="21"/>
                <w:highlight w:val="none"/>
              </w:rPr>
            </w:pPr>
            <w:r>
              <w:rPr>
                <w:rFonts w:hint="eastAsia" w:hAnsi="宋体"/>
                <w:color w:val="auto"/>
                <w:szCs w:val="21"/>
                <w:highlight w:val="none"/>
              </w:rPr>
              <w:t>（大写：人民币</w:t>
            </w:r>
            <w:r>
              <w:rPr>
                <w:rFonts w:hint="eastAsia" w:hAnsi="宋体"/>
                <w:color w:val="auto"/>
                <w:szCs w:val="21"/>
                <w:highlight w:val="none"/>
                <w:u w:val="single"/>
              </w:rPr>
              <w:t xml:space="preserve">             </w:t>
            </w:r>
            <w:r>
              <w:rPr>
                <w:rFonts w:hint="eastAsia" w:hAnsi="宋体"/>
                <w:color w:val="auto"/>
                <w:szCs w:val="21"/>
                <w:highlight w:val="none"/>
              </w:rPr>
              <w:t>）</w:t>
            </w:r>
          </w:p>
          <w:p>
            <w:pPr>
              <w:pStyle w:val="15"/>
              <w:snapToGrid w:val="0"/>
              <w:spacing w:line="400" w:lineRule="exact"/>
              <w:jc w:val="center"/>
              <w:rPr>
                <w:rFonts w:hint="eastAsia" w:hAnsi="宋体"/>
                <w:color w:val="auto"/>
                <w:szCs w:val="21"/>
                <w:highlight w:val="none"/>
              </w:rPr>
            </w:pPr>
            <w:r>
              <w:rPr>
                <w:rFonts w:hint="eastAsia" w:hAnsi="宋体"/>
                <w:color w:val="auto"/>
                <w:szCs w:val="21"/>
                <w:highlight w:val="none"/>
              </w:rPr>
              <w:t xml:space="preserve">  </w:t>
            </w:r>
            <w:r>
              <w:rPr>
                <w:rFonts w:hAnsi="宋体"/>
                <w:color w:val="auto"/>
                <w:szCs w:val="21"/>
                <w:highlight w:val="none"/>
              </w:rPr>
              <w:t>（小写：¥</w:t>
            </w:r>
            <w:r>
              <w:rPr>
                <w:rFonts w:hint="eastAsia" w:hAnsi="宋体"/>
                <w:color w:val="auto"/>
                <w:szCs w:val="21"/>
                <w:highlight w:val="none"/>
                <w:u w:val="single"/>
              </w:rPr>
              <w:t xml:space="preserve">              </w:t>
            </w:r>
            <w:r>
              <w:rPr>
                <w:rFonts w:hAnsi="宋体"/>
                <w:color w:val="auto"/>
                <w:szCs w:val="21"/>
                <w:highlight w:val="none"/>
              </w:rPr>
              <w:t>）</w:t>
            </w:r>
          </w:p>
        </w:tc>
      </w:tr>
    </w:tbl>
    <w:p>
      <w:pPr>
        <w:snapToGrid w:val="0"/>
        <w:spacing w:line="360" w:lineRule="auto"/>
        <w:ind w:left="716" w:leftChars="-59" w:hanging="840" w:hangingChars="400"/>
        <w:rPr>
          <w:rFonts w:ascii="宋体" w:hAnsi="宋体"/>
          <w:color w:val="auto"/>
          <w:sz w:val="21"/>
          <w:szCs w:val="21"/>
          <w:highlight w:val="none"/>
        </w:rPr>
      </w:pPr>
      <w:r>
        <w:rPr>
          <w:rFonts w:hint="eastAsia" w:ascii="宋体" w:hAnsi="宋体"/>
          <w:color w:val="auto"/>
          <w:sz w:val="21"/>
          <w:szCs w:val="21"/>
          <w:highlight w:val="none"/>
        </w:rPr>
        <w:t>备注：</w:t>
      </w:r>
    </w:p>
    <w:p>
      <w:pPr>
        <w:snapToGrid w:val="0"/>
        <w:spacing w:line="360" w:lineRule="auto"/>
        <w:ind w:left="396" w:leftChars="-58" w:hanging="518" w:hangingChars="247"/>
        <w:rPr>
          <w:rFonts w:ascii="宋体" w:hAnsi="宋体"/>
          <w:color w:val="auto"/>
          <w:sz w:val="21"/>
          <w:szCs w:val="21"/>
          <w:highlight w:val="none"/>
          <w:u w:val="single"/>
        </w:rPr>
      </w:pPr>
      <w:r>
        <w:rPr>
          <w:rFonts w:hint="eastAsia" w:ascii="宋体" w:hAnsi="宋体"/>
          <w:color w:val="auto"/>
          <w:sz w:val="21"/>
          <w:szCs w:val="21"/>
          <w:highlight w:val="none"/>
        </w:rPr>
        <w:t>（1）</w:t>
      </w:r>
      <w:r>
        <w:rPr>
          <w:rFonts w:hint="eastAsia" w:ascii="宋体" w:hAnsi="宋体"/>
          <w:b/>
          <w:color w:val="auto"/>
          <w:sz w:val="21"/>
          <w:szCs w:val="21"/>
          <w:highlight w:val="none"/>
          <w:u w:val="single"/>
        </w:rPr>
        <w:t>本项目报价为含税价，即为《中华人民共和国增值税暂行条例》（国务院令第691号修订版）规定的销售额，综合单价已包含    %增值税专用发票。</w:t>
      </w:r>
      <w:r>
        <w:rPr>
          <w:rFonts w:hint="eastAsia" w:ascii="宋体" w:hAnsi="宋体"/>
          <w:color w:val="auto"/>
          <w:sz w:val="21"/>
          <w:szCs w:val="21"/>
          <w:highlight w:val="none"/>
          <w:u w:val="single"/>
        </w:rPr>
        <w:t>本</w:t>
      </w:r>
      <w:r>
        <w:rPr>
          <w:rFonts w:hint="eastAsia" w:ascii="宋体" w:hAnsi="宋体"/>
          <w:color w:val="auto"/>
          <w:sz w:val="21"/>
          <w:szCs w:val="21"/>
          <w:highlight w:val="none"/>
          <w:u w:val="single"/>
          <w:lang w:eastAsia="zh-CN"/>
        </w:rPr>
        <w:t>采购文件</w:t>
      </w:r>
      <w:r>
        <w:rPr>
          <w:rFonts w:hint="eastAsia" w:ascii="宋体" w:hAnsi="宋体"/>
          <w:color w:val="auto"/>
          <w:sz w:val="21"/>
          <w:szCs w:val="21"/>
          <w:highlight w:val="none"/>
          <w:u w:val="single"/>
        </w:rPr>
        <w:t>所称的含税价是指含本采购项目的投标人销项税额，包含了投标人完成合同义务（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的其他全部费用。</w:t>
      </w:r>
    </w:p>
    <w:p>
      <w:pPr>
        <w:snapToGrid w:val="0"/>
        <w:spacing w:line="360" w:lineRule="auto"/>
        <w:ind w:left="396" w:leftChars="-58" w:hanging="518" w:hangingChars="247"/>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color w:val="auto"/>
          <w:kern w:val="2"/>
          <w:sz w:val="21"/>
          <w:szCs w:val="21"/>
          <w:highlight w:val="none"/>
          <w:u w:val="single"/>
          <w:lang w:val="zh-CN"/>
        </w:rPr>
        <w:t>投标人</w:t>
      </w:r>
      <w:r>
        <w:rPr>
          <w:rFonts w:hint="eastAsia" w:ascii="宋体" w:hAnsi="宋体"/>
          <w:b/>
          <w:bCs/>
          <w:color w:val="auto"/>
          <w:sz w:val="21"/>
          <w:highlight w:val="none"/>
          <w:u w:val="single"/>
        </w:rPr>
        <w:t>的综合单价高于单价最高限价的，该投标人的投标文件将被视为无效响应。</w:t>
      </w:r>
    </w:p>
    <w:p>
      <w:pPr>
        <w:snapToGrid w:val="0"/>
        <w:spacing w:line="360" w:lineRule="auto"/>
        <w:ind w:left="396" w:leftChars="-58" w:hanging="518" w:hangingChars="247"/>
        <w:rPr>
          <w:rFonts w:hint="eastAsia" w:ascii="宋体" w:hAnsi="宋体"/>
          <w:color w:val="auto"/>
          <w:kern w:val="2"/>
          <w:sz w:val="21"/>
          <w:szCs w:val="21"/>
          <w:highlight w:val="none"/>
          <w:lang w:val="zh-CN"/>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w:t>
      </w:r>
      <w:r>
        <w:rPr>
          <w:rFonts w:hint="eastAsia" w:ascii="宋体" w:hAnsi="宋体"/>
          <w:b/>
          <w:color w:val="auto"/>
          <w:sz w:val="21"/>
          <w:szCs w:val="21"/>
          <w:highlight w:val="none"/>
          <w:u w:val="single"/>
        </w:rPr>
        <w:t>本表的投标报价为</w:t>
      </w:r>
      <w:r>
        <w:rPr>
          <w:rFonts w:hint="eastAsia" w:ascii="宋体" w:hAnsi="宋体"/>
          <w:b/>
          <w:color w:val="auto"/>
          <w:sz w:val="21"/>
          <w:szCs w:val="21"/>
          <w:highlight w:val="none"/>
          <w:u w:val="single"/>
          <w:lang w:eastAsia="zh-CN"/>
        </w:rPr>
        <w:t>【</w:t>
      </w:r>
      <w:r>
        <w:rPr>
          <w:rFonts w:hint="eastAsia" w:ascii="宋体" w:hAnsi="宋体"/>
          <w:b/>
          <w:color w:val="auto"/>
          <w:sz w:val="21"/>
          <w:szCs w:val="21"/>
          <w:highlight w:val="none"/>
          <w:u w:val="single"/>
        </w:rPr>
        <w:t>熟石灰</w:t>
      </w:r>
      <w:r>
        <w:rPr>
          <w:rFonts w:hint="eastAsia" w:ascii="宋体" w:hAnsi="宋体"/>
          <w:b/>
          <w:color w:val="auto"/>
          <w:sz w:val="21"/>
          <w:szCs w:val="21"/>
          <w:highlight w:val="none"/>
          <w:u w:val="single"/>
          <w:lang w:eastAsia="zh-CN"/>
        </w:rPr>
        <w:t>（</w:t>
      </w:r>
      <w:r>
        <w:rPr>
          <w:rFonts w:hint="eastAsia" w:ascii="宋体" w:hAnsi="宋体"/>
          <w:b/>
          <w:color w:val="auto"/>
          <w:sz w:val="21"/>
          <w:szCs w:val="21"/>
          <w:highlight w:val="none"/>
          <w:u w:val="single"/>
          <w:lang w:val="en-US" w:eastAsia="zh-CN"/>
        </w:rPr>
        <w:t>200目过筛</w:t>
      </w:r>
      <w:r>
        <w:rPr>
          <w:rFonts w:hint="eastAsia" w:ascii="宋体" w:hAnsi="宋体"/>
          <w:b/>
          <w:color w:val="auto"/>
          <w:sz w:val="21"/>
          <w:szCs w:val="21"/>
          <w:highlight w:val="none"/>
          <w:u w:val="single"/>
          <w:lang w:eastAsia="zh-CN"/>
        </w:rPr>
        <w:t>）</w:t>
      </w:r>
      <w:r>
        <w:rPr>
          <w:rFonts w:hint="eastAsia" w:ascii="宋体" w:hAnsi="宋体"/>
          <w:b/>
          <w:color w:val="auto"/>
          <w:sz w:val="21"/>
          <w:szCs w:val="21"/>
          <w:highlight w:val="none"/>
          <w:u w:val="single"/>
        </w:rPr>
        <w:t>含税综合单价乘以计划采购供货量的总价</w:t>
      </w:r>
      <w:r>
        <w:rPr>
          <w:rFonts w:hint="eastAsia" w:ascii="宋体" w:hAnsi="宋体"/>
          <w:b/>
          <w:color w:val="auto"/>
          <w:sz w:val="21"/>
          <w:szCs w:val="21"/>
          <w:highlight w:val="none"/>
          <w:u w:val="single"/>
          <w:lang w:val="en-US" w:eastAsia="zh-CN"/>
        </w:rPr>
        <w:t>+</w:t>
      </w:r>
      <w:r>
        <w:rPr>
          <w:rFonts w:hint="eastAsia" w:ascii="宋体" w:hAnsi="宋体"/>
          <w:b/>
          <w:color w:val="auto"/>
          <w:sz w:val="21"/>
          <w:szCs w:val="21"/>
          <w:highlight w:val="none"/>
          <w:u w:val="single"/>
        </w:rPr>
        <w:t>熟石灰</w:t>
      </w:r>
      <w:r>
        <w:rPr>
          <w:rFonts w:hint="eastAsia" w:ascii="宋体" w:hAnsi="宋体"/>
          <w:b/>
          <w:color w:val="auto"/>
          <w:sz w:val="21"/>
          <w:szCs w:val="21"/>
          <w:highlight w:val="none"/>
          <w:u w:val="single"/>
          <w:lang w:eastAsia="zh-CN"/>
        </w:rPr>
        <w:t>（</w:t>
      </w:r>
      <w:r>
        <w:rPr>
          <w:rFonts w:hint="eastAsia" w:ascii="宋体" w:hAnsi="宋体"/>
          <w:b/>
          <w:color w:val="auto"/>
          <w:sz w:val="21"/>
          <w:szCs w:val="21"/>
          <w:highlight w:val="none"/>
          <w:u w:val="single"/>
          <w:lang w:val="en-US" w:eastAsia="zh-CN"/>
        </w:rPr>
        <w:t>325目过筛</w:t>
      </w:r>
      <w:r>
        <w:rPr>
          <w:rFonts w:hint="eastAsia" w:ascii="宋体" w:hAnsi="宋体"/>
          <w:b/>
          <w:color w:val="auto"/>
          <w:sz w:val="21"/>
          <w:szCs w:val="21"/>
          <w:highlight w:val="none"/>
          <w:u w:val="single"/>
          <w:lang w:eastAsia="zh-CN"/>
        </w:rPr>
        <w:t>）含税综合单价乘以计划采购供货量的总价】</w:t>
      </w:r>
      <w:r>
        <w:rPr>
          <w:rFonts w:hint="eastAsia" w:ascii="宋体" w:hAnsi="宋体"/>
          <w:b/>
          <w:color w:val="auto"/>
          <w:sz w:val="21"/>
          <w:szCs w:val="21"/>
          <w:highlight w:val="none"/>
        </w:rPr>
        <w:t>。</w:t>
      </w:r>
      <w:r>
        <w:rPr>
          <w:rFonts w:hint="eastAsia" w:ascii="宋体" w:hAnsi="宋体"/>
          <w:color w:val="auto"/>
          <w:kern w:val="2"/>
          <w:sz w:val="21"/>
          <w:szCs w:val="21"/>
          <w:highlight w:val="none"/>
          <w:lang w:val="zh-CN"/>
        </w:rPr>
        <w:t>本表内投标报价金额与按单价计算的总金额不一致的，以单价计算结果为准，单价金额小数点有明显错位的，应以总价为准，并修正单价；对不同文字文本投标文件的解释发生异议的，以中文文本为准。</w:t>
      </w:r>
    </w:p>
    <w:p>
      <w:pPr>
        <w:snapToGrid w:val="0"/>
        <w:spacing w:line="360" w:lineRule="auto"/>
        <w:ind w:left="396" w:leftChars="-58" w:hanging="518" w:hangingChars="247"/>
        <w:rPr>
          <w:rFonts w:ascii="宋体" w:hAnsi="宋体"/>
          <w:color w:val="auto"/>
          <w:kern w:val="2"/>
          <w:sz w:val="21"/>
          <w:highlight w:val="none"/>
          <w:lang w:val="zh-CN"/>
        </w:rPr>
      </w:pPr>
      <w:r>
        <w:rPr>
          <w:rFonts w:hint="eastAsia" w:ascii="宋体" w:hAnsi="宋体"/>
          <w:color w:val="auto"/>
          <w:kern w:val="2"/>
          <w:sz w:val="21"/>
          <w:highlight w:val="none"/>
          <w:lang w:val="zh-CN"/>
        </w:rPr>
        <w:t>（</w:t>
      </w:r>
      <w:r>
        <w:rPr>
          <w:rFonts w:ascii="宋体" w:hAnsi="宋体"/>
          <w:color w:val="auto"/>
          <w:kern w:val="2"/>
          <w:sz w:val="21"/>
          <w:highlight w:val="none"/>
          <w:lang w:val="zh-CN"/>
        </w:rPr>
        <w:t>4</w:t>
      </w:r>
      <w:r>
        <w:rPr>
          <w:rFonts w:hint="eastAsia" w:ascii="宋体" w:hAnsi="宋体"/>
          <w:color w:val="auto"/>
          <w:kern w:val="2"/>
          <w:sz w:val="21"/>
          <w:highlight w:val="none"/>
          <w:lang w:val="zh-CN"/>
        </w:rPr>
        <w:t>）上述计划采购供货量仅为方便合计投标报价使用，不作为采购人最终购买数量的保证，我方承诺不因实际采购数量的减少或增加而要求采购人提供任何形式的补偿或赔偿。</w:t>
      </w:r>
    </w:p>
    <w:p>
      <w:pPr>
        <w:snapToGrid w:val="0"/>
        <w:spacing w:line="360" w:lineRule="auto"/>
        <w:ind w:left="396" w:leftChars="-58" w:hanging="518" w:hangingChars="247"/>
        <w:rPr>
          <w:rFonts w:ascii="宋体" w:hAnsi="宋体"/>
          <w:color w:val="auto"/>
          <w:sz w:val="21"/>
          <w:szCs w:val="21"/>
          <w:highlight w:val="none"/>
        </w:rPr>
      </w:pPr>
      <w:r>
        <w:rPr>
          <w:rFonts w:hint="eastAsia" w:ascii="宋体" w:hAnsi="宋体"/>
          <w:bCs/>
          <w:color w:val="auto"/>
          <w:sz w:val="21"/>
          <w:szCs w:val="21"/>
          <w:highlight w:val="none"/>
          <w:lang w:val="zh-CN"/>
        </w:rPr>
        <w:t>（</w:t>
      </w:r>
      <w:r>
        <w:rPr>
          <w:rFonts w:ascii="宋体" w:hAnsi="宋体"/>
          <w:bCs/>
          <w:color w:val="auto"/>
          <w:sz w:val="21"/>
          <w:szCs w:val="21"/>
          <w:highlight w:val="none"/>
          <w:lang w:val="zh-CN"/>
        </w:rPr>
        <w:t>5</w:t>
      </w:r>
      <w:r>
        <w:rPr>
          <w:rFonts w:hint="eastAsia" w:ascii="宋体" w:hAnsi="宋体"/>
          <w:bCs/>
          <w:color w:val="auto"/>
          <w:sz w:val="21"/>
          <w:szCs w:val="21"/>
          <w:highlight w:val="none"/>
          <w:lang w:val="zh-CN"/>
        </w:rPr>
        <w:t>）</w:t>
      </w:r>
      <w:r>
        <w:rPr>
          <w:rFonts w:hint="eastAsia" w:ascii="宋体" w:hAnsi="宋体"/>
          <w:b/>
          <w:bCs/>
          <w:color w:val="auto"/>
          <w:sz w:val="21"/>
          <w:szCs w:val="21"/>
          <w:highlight w:val="none"/>
          <w:u w:val="single"/>
          <w:lang w:val="zh-CN"/>
        </w:rPr>
        <w:t>本表一式二份，一份随唱标信封一起提交，一份编入投标文件商务文件</w:t>
      </w:r>
      <w:r>
        <w:rPr>
          <w:rFonts w:hint="eastAsia" w:ascii="宋体" w:hAnsi="宋体"/>
          <w:b/>
          <w:bCs/>
          <w:color w:val="auto"/>
          <w:sz w:val="21"/>
          <w:szCs w:val="21"/>
          <w:highlight w:val="none"/>
          <w:lang w:val="zh-CN"/>
        </w:rPr>
        <w:t>。</w:t>
      </w:r>
    </w:p>
    <w:p>
      <w:pPr>
        <w:tabs>
          <w:tab w:val="left" w:pos="654"/>
          <w:tab w:val="left" w:pos="1734"/>
          <w:tab w:val="left" w:pos="2814"/>
          <w:tab w:val="left" w:pos="3894"/>
          <w:tab w:val="left" w:pos="5334"/>
          <w:tab w:val="left" w:pos="6414"/>
          <w:tab w:val="left" w:pos="7254"/>
          <w:tab w:val="left" w:pos="8574"/>
          <w:tab w:val="left" w:pos="9654"/>
        </w:tabs>
        <w:snapToGrid w:val="0"/>
        <w:spacing w:line="360" w:lineRule="auto"/>
        <w:rPr>
          <w:rFonts w:ascii="宋体" w:hAnsi="宋体"/>
          <w:color w:val="auto"/>
          <w:sz w:val="21"/>
          <w:szCs w:val="22"/>
          <w:highlight w:val="none"/>
        </w:rPr>
      </w:pPr>
    </w:p>
    <w:p>
      <w:pPr>
        <w:rPr>
          <w:color w:val="auto"/>
          <w:highlight w:val="none"/>
        </w:rPr>
      </w:pPr>
    </w:p>
    <w:p>
      <w:pPr>
        <w:rPr>
          <w:rFonts w:ascii="宋体" w:hAnsi="宋体"/>
          <w:color w:val="auto"/>
          <w:szCs w:val="21"/>
          <w:highlight w:val="none"/>
        </w:rPr>
      </w:pPr>
      <w:r>
        <w:rPr>
          <w:rFonts w:hint="eastAsia" w:ascii="宋体" w:hAnsi="宋体"/>
          <w:color w:val="auto"/>
          <w:szCs w:val="21"/>
          <w:highlight w:val="none"/>
        </w:rPr>
        <w:t>投标人代表签字：</w:t>
      </w:r>
    </w:p>
    <w:p>
      <w:pPr>
        <w:rPr>
          <w:rFonts w:ascii="宋体" w:hAnsi="宋体"/>
          <w:color w:val="auto"/>
          <w:szCs w:val="21"/>
          <w:highlight w:val="none"/>
        </w:rPr>
      </w:pPr>
      <w:r>
        <w:rPr>
          <w:rFonts w:hint="eastAsia" w:ascii="宋体" w:hAnsi="宋体"/>
          <w:color w:val="auto"/>
          <w:szCs w:val="21"/>
          <w:highlight w:val="none"/>
        </w:rPr>
        <w:t>投标人盖章：</w:t>
      </w:r>
    </w:p>
    <w:p>
      <w:pPr>
        <w:rPr>
          <w:rFonts w:asciiTheme="minorEastAsia" w:hAnsiTheme="minorEastAsia" w:eastAsiaTheme="minorEastAsia"/>
          <w:color w:val="auto"/>
          <w:sz w:val="52"/>
          <w:szCs w:val="52"/>
          <w:highlight w:val="none"/>
        </w:rPr>
      </w:pPr>
      <w:r>
        <w:rPr>
          <w:rFonts w:hint="eastAsia" w:ascii="宋体" w:hAnsi="宋体"/>
          <w:color w:val="auto"/>
          <w:szCs w:val="21"/>
          <w:highlight w:val="none"/>
        </w:rPr>
        <w:t>日期：</w:t>
      </w:r>
    </w:p>
    <w:p>
      <w:pPr>
        <w:pStyle w:val="3"/>
        <w:spacing w:before="0" w:after="0" w:line="360" w:lineRule="auto"/>
        <w:jc w:val="center"/>
        <w:rPr>
          <w:rFonts w:asciiTheme="minorEastAsia" w:hAnsiTheme="minorEastAsia" w:eastAsiaTheme="minorEastAsia"/>
          <w:color w:val="auto"/>
          <w:sz w:val="72"/>
          <w:szCs w:val="72"/>
          <w:highlight w:val="none"/>
        </w:rPr>
      </w:pPr>
      <w:bookmarkStart w:id="167" w:name="_Toc160826354"/>
      <w:r>
        <w:rPr>
          <w:rFonts w:hint="eastAsia" w:asciiTheme="minorEastAsia" w:hAnsiTheme="minorEastAsia" w:eastAsiaTheme="minorEastAsia"/>
          <w:color w:val="auto"/>
          <w:sz w:val="72"/>
          <w:szCs w:val="72"/>
          <w:highlight w:val="none"/>
        </w:rPr>
        <w:t>商务文件</w:t>
      </w:r>
      <w:bookmarkEnd w:id="167"/>
    </w:p>
    <w:p>
      <w:pPr>
        <w:jc w:val="center"/>
        <w:rPr>
          <w:rFonts w:asciiTheme="minorEastAsia" w:hAnsiTheme="minorEastAsia" w:eastAsiaTheme="minorEastAsia"/>
          <w:color w:val="auto"/>
          <w:sz w:val="72"/>
          <w:szCs w:val="72"/>
          <w:highlight w:val="none"/>
        </w:rPr>
      </w:pPr>
      <w:r>
        <w:rPr>
          <w:rFonts w:hint="eastAsia" w:asciiTheme="minorEastAsia" w:hAnsiTheme="minorEastAsia" w:eastAsiaTheme="minorEastAsia"/>
          <w:color w:val="auto"/>
          <w:sz w:val="72"/>
          <w:szCs w:val="72"/>
          <w:highlight w:val="none"/>
        </w:rPr>
        <w:t>（单独装订成册）</w:t>
      </w:r>
    </w:p>
    <w:p>
      <w:pPr>
        <w:rPr>
          <w:rFonts w:asciiTheme="minorEastAsia" w:hAnsiTheme="minorEastAsia" w:eastAsiaTheme="minorEastAsia"/>
          <w:color w:val="auto"/>
          <w:highlight w:val="none"/>
        </w:rPr>
      </w:pPr>
    </w:p>
    <w:p>
      <w:pPr>
        <w:pStyle w:val="9"/>
        <w:rPr>
          <w:rFonts w:asciiTheme="minorEastAsia" w:hAnsiTheme="minorEastAsia" w:eastAsiaTheme="minorEastAsia"/>
          <w:color w:val="auto"/>
          <w:highlight w:val="none"/>
        </w:rPr>
      </w:pPr>
    </w:p>
    <w:p>
      <w:pPr>
        <w:pStyle w:val="10"/>
        <w:ind w:firstLine="240"/>
        <w:rPr>
          <w:rFonts w:asciiTheme="minorEastAsia" w:hAnsiTheme="minorEastAsia" w:eastAsiaTheme="minorEastAsia"/>
          <w:color w:val="auto"/>
          <w:highlight w:val="none"/>
        </w:rPr>
      </w:pPr>
    </w:p>
    <w:p>
      <w:pPr>
        <w:rPr>
          <w:rFonts w:cs="宋体" w:asciiTheme="minorEastAsia" w:hAnsiTheme="minorEastAsia" w:eastAsiaTheme="minorEastAsia"/>
          <w:b/>
          <w:bCs/>
          <w:color w:val="auto"/>
          <w:spacing w:val="-6"/>
          <w:sz w:val="32"/>
          <w:szCs w:val="32"/>
          <w:highlight w:val="none"/>
        </w:rPr>
      </w:pPr>
      <w:r>
        <w:rPr>
          <w:rFonts w:hint="eastAsia" w:cs="宋体" w:asciiTheme="minorEastAsia" w:hAnsiTheme="minorEastAsia" w:eastAsiaTheme="minorEastAsia"/>
          <w:b/>
          <w:bCs/>
          <w:color w:val="auto"/>
          <w:spacing w:val="106"/>
          <w:kern w:val="0"/>
          <w:sz w:val="32"/>
          <w:szCs w:val="32"/>
          <w:highlight w:val="none"/>
          <w:fitText w:val="1600" w:id="292250509"/>
        </w:rPr>
        <w:t>项目名</w:t>
      </w:r>
      <w:r>
        <w:rPr>
          <w:rFonts w:hint="eastAsia" w:cs="宋体" w:asciiTheme="minorEastAsia" w:hAnsiTheme="minorEastAsia" w:eastAsiaTheme="minorEastAsia"/>
          <w:b/>
          <w:bCs/>
          <w:color w:val="auto"/>
          <w:spacing w:val="2"/>
          <w:kern w:val="0"/>
          <w:sz w:val="32"/>
          <w:szCs w:val="32"/>
          <w:highlight w:val="none"/>
          <w:fitText w:val="1600" w:id="292250509"/>
        </w:rPr>
        <w:t>称</w:t>
      </w:r>
      <w:r>
        <w:rPr>
          <w:rFonts w:hint="eastAsia" w:cs="宋体" w:asciiTheme="minorEastAsia" w:hAnsiTheme="minorEastAsia" w:eastAsiaTheme="minorEastAsia"/>
          <w:b/>
          <w:bCs/>
          <w:color w:val="auto"/>
          <w:spacing w:val="-6"/>
          <w:sz w:val="32"/>
          <w:szCs w:val="32"/>
          <w:highlight w:val="none"/>
        </w:rPr>
        <w:t>：</w:t>
      </w:r>
    </w:p>
    <w:p>
      <w:pPr>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b/>
          <w:bCs/>
          <w:color w:val="auto"/>
          <w:spacing w:val="106"/>
          <w:kern w:val="0"/>
          <w:sz w:val="32"/>
          <w:szCs w:val="32"/>
          <w:highlight w:val="none"/>
          <w:fitText w:val="1600" w:id="1231831253"/>
        </w:rPr>
        <w:t>项目编</w:t>
      </w:r>
      <w:r>
        <w:rPr>
          <w:rFonts w:hint="eastAsia" w:cs="宋体" w:asciiTheme="minorEastAsia" w:hAnsiTheme="minorEastAsia" w:eastAsiaTheme="minorEastAsia"/>
          <w:b/>
          <w:bCs/>
          <w:color w:val="auto"/>
          <w:spacing w:val="2"/>
          <w:kern w:val="0"/>
          <w:sz w:val="32"/>
          <w:szCs w:val="32"/>
          <w:highlight w:val="none"/>
          <w:fitText w:val="1600" w:id="1231831253"/>
        </w:rPr>
        <w:t>号</w:t>
      </w:r>
      <w:r>
        <w:rPr>
          <w:rFonts w:hint="eastAsia" w:cs="宋体" w:asciiTheme="minorEastAsia" w:hAnsiTheme="minorEastAsia" w:eastAsiaTheme="minorEastAsia"/>
          <w:b/>
          <w:bCs/>
          <w:color w:val="auto"/>
          <w:sz w:val="32"/>
          <w:szCs w:val="32"/>
          <w:highlight w:val="none"/>
        </w:rPr>
        <w:t>：</w:t>
      </w:r>
    </w:p>
    <w:p>
      <w:pPr>
        <w:pStyle w:val="9"/>
        <w:ind w:left="0"/>
        <w:rPr>
          <w:rFonts w:asciiTheme="minorEastAsia" w:hAnsiTheme="minorEastAsia" w:eastAsiaTheme="minorEastAsia"/>
          <w:b/>
          <w:color w:val="auto"/>
          <w:spacing w:val="1280"/>
          <w:sz w:val="32"/>
          <w:szCs w:val="32"/>
          <w:highlight w:val="none"/>
        </w:rPr>
      </w:pPr>
      <w:r>
        <w:rPr>
          <w:rFonts w:asciiTheme="minorEastAsia" w:hAnsiTheme="minorEastAsia" w:eastAsiaTheme="minorEastAsia"/>
          <w:b/>
          <w:color w:val="auto"/>
          <w:spacing w:val="106"/>
          <w:sz w:val="32"/>
          <w:szCs w:val="32"/>
          <w:highlight w:val="none"/>
          <w:lang w:val="en-US" w:bidi="ar-SA"/>
        </w:rPr>
        <w:t>包组号（如有）：</w:t>
      </w:r>
    </w:p>
    <w:p>
      <w:pPr>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pacing w:val="0"/>
          <w:kern w:val="0"/>
          <w:sz w:val="32"/>
          <w:szCs w:val="32"/>
          <w:highlight w:val="none"/>
          <w:fitText w:val="1600" w:id="1764384445"/>
        </w:rPr>
        <w:t>投标人名称</w:t>
      </w:r>
      <w:r>
        <w:rPr>
          <w:rFonts w:hint="eastAsia" w:cs="宋体" w:asciiTheme="minorEastAsia" w:hAnsiTheme="minorEastAsia" w:eastAsiaTheme="minorEastAsia"/>
          <w:b/>
          <w:color w:val="auto"/>
          <w:sz w:val="32"/>
          <w:szCs w:val="32"/>
          <w:highlight w:val="none"/>
        </w:rPr>
        <w:t>：</w:t>
      </w:r>
    </w:p>
    <w:p>
      <w:pPr>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pacing w:val="64"/>
          <w:kern w:val="0"/>
          <w:sz w:val="32"/>
          <w:szCs w:val="32"/>
          <w:highlight w:val="none"/>
          <w:fitText w:val="1600" w:id="2061173831"/>
        </w:rPr>
        <w:t xml:space="preserve">日    </w:t>
      </w:r>
      <w:r>
        <w:rPr>
          <w:rFonts w:hint="eastAsia" w:cs="宋体" w:asciiTheme="minorEastAsia" w:hAnsiTheme="minorEastAsia" w:eastAsiaTheme="minorEastAsia"/>
          <w:b/>
          <w:color w:val="auto"/>
          <w:spacing w:val="0"/>
          <w:kern w:val="0"/>
          <w:sz w:val="32"/>
          <w:szCs w:val="32"/>
          <w:highlight w:val="none"/>
          <w:fitText w:val="1600" w:id="2061173831"/>
        </w:rPr>
        <w:t>期</w:t>
      </w:r>
      <w:r>
        <w:rPr>
          <w:rFonts w:hint="eastAsia" w:cs="宋体" w:asciiTheme="minorEastAsia" w:hAnsiTheme="minorEastAsia" w:eastAsiaTheme="minorEastAsia"/>
          <w:b/>
          <w:color w:val="auto"/>
          <w:sz w:val="32"/>
          <w:szCs w:val="32"/>
          <w:highlight w:val="none"/>
        </w:rPr>
        <w:t>：</w:t>
      </w:r>
    </w:p>
    <w:p>
      <w:pPr>
        <w:pStyle w:val="9"/>
        <w:rPr>
          <w:rFonts w:asciiTheme="minorEastAsia" w:hAnsiTheme="minorEastAsia" w:eastAsiaTheme="minorEastAsia"/>
          <w:b/>
          <w:color w:val="auto"/>
          <w:sz w:val="32"/>
          <w:szCs w:val="32"/>
          <w:highlight w:val="none"/>
        </w:rPr>
      </w:pPr>
    </w:p>
    <w:p>
      <w:pPr>
        <w:pStyle w:val="10"/>
        <w:ind w:firstLine="321"/>
        <w:rPr>
          <w:rFonts w:asciiTheme="minorEastAsia" w:hAnsiTheme="minorEastAsia" w:eastAsiaTheme="minorEastAsia"/>
          <w:b/>
          <w:color w:val="auto"/>
          <w:sz w:val="32"/>
          <w:szCs w:val="32"/>
          <w:highlight w:val="none"/>
        </w:rPr>
      </w:pPr>
    </w:p>
    <w:p>
      <w:pPr>
        <w:pStyle w:val="25"/>
        <w:rPr>
          <w:rFonts w:cs="宋体" w:asciiTheme="minorEastAsia" w:hAnsiTheme="minorEastAsia" w:eastAsiaTheme="minorEastAsia"/>
          <w:b/>
          <w:color w:val="auto"/>
          <w:sz w:val="32"/>
          <w:szCs w:val="32"/>
          <w:highlight w:val="none"/>
        </w:rPr>
      </w:pPr>
    </w:p>
    <w:p>
      <w:pPr>
        <w:rPr>
          <w:rFonts w:cs="宋体" w:asciiTheme="minorEastAsia" w:hAnsiTheme="minorEastAsia" w:eastAsiaTheme="minorEastAsia"/>
          <w:b/>
          <w:color w:val="auto"/>
          <w:sz w:val="32"/>
          <w:szCs w:val="32"/>
          <w:highlight w:val="none"/>
        </w:rPr>
      </w:pPr>
    </w:p>
    <w:p>
      <w:pPr>
        <w:pStyle w:val="9"/>
        <w:rPr>
          <w:rFonts w:asciiTheme="minorEastAsia" w:hAnsiTheme="minorEastAsia" w:eastAsiaTheme="minorEastAsia"/>
          <w:b/>
          <w:color w:val="auto"/>
          <w:sz w:val="32"/>
          <w:szCs w:val="32"/>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br w:type="page"/>
      </w:r>
    </w:p>
    <w:p>
      <w:pPr>
        <w:pStyle w:val="5"/>
        <w:widowControl w:val="0"/>
        <w:overflowPunct w:val="0"/>
        <w:spacing w:line="240" w:lineRule="auto"/>
        <w:rPr>
          <w:rFonts w:asciiTheme="minorEastAsia" w:hAnsiTheme="minorEastAsia" w:eastAsiaTheme="minorEastAsia"/>
          <w:color w:val="auto"/>
          <w:highlight w:val="none"/>
        </w:rPr>
      </w:pPr>
      <w:bookmarkStart w:id="168" w:name="_Toc160826355"/>
      <w:r>
        <w:rPr>
          <w:rFonts w:hint="eastAsia" w:asciiTheme="minorEastAsia" w:hAnsiTheme="minorEastAsia" w:eastAsiaTheme="minorEastAsia"/>
          <w:color w:val="auto"/>
          <w:sz w:val="21"/>
          <w:szCs w:val="21"/>
          <w:highlight w:val="none"/>
        </w:rPr>
        <w:t>附件</w:t>
      </w:r>
      <w:r>
        <w:rPr>
          <w:rFonts w:hint="eastAsia" w:asciiTheme="minorEastAsia" w:hAnsiTheme="minorEastAsia" w:eastAsiaTheme="minorEastAsia"/>
          <w:color w:val="auto"/>
          <w:sz w:val="21"/>
          <w:szCs w:val="21"/>
          <w:highlight w:val="none"/>
          <w:lang w:val="en-US" w:eastAsia="zh-CN"/>
        </w:rPr>
        <w:t>3</w:t>
      </w:r>
      <w:r>
        <w:rPr>
          <w:rFonts w:hint="eastAsia" w:asciiTheme="minorEastAsia" w:hAnsiTheme="minorEastAsia" w:eastAsiaTheme="minorEastAsia"/>
          <w:color w:val="auto"/>
          <w:sz w:val="21"/>
          <w:szCs w:val="21"/>
          <w:highlight w:val="none"/>
        </w:rPr>
        <w:t>.投标书格式</w:t>
      </w:r>
      <w:bookmarkEnd w:id="168"/>
    </w:p>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32"/>
          <w:szCs w:val="32"/>
          <w:highlight w:val="none"/>
        </w:rPr>
        <w:t>投标书</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致：xxx公司：</w:t>
      </w:r>
    </w:p>
    <w:p>
      <w:pPr>
        <w:rPr>
          <w:rFonts w:asciiTheme="minorEastAsia" w:hAnsiTheme="minorEastAsia" w:eastAsiaTheme="minorEastAsia"/>
          <w:color w:val="auto"/>
          <w:szCs w:val="21"/>
          <w:highlight w:val="none"/>
        </w:rPr>
      </w:pPr>
    </w:p>
    <w:p>
      <w:pPr>
        <w:keepNext w:val="0"/>
        <w:keepLines w:val="0"/>
        <w:pageBreakBefore w:val="0"/>
        <w:kinsoku/>
        <w:wordWrap/>
        <w:overflowPunct/>
        <w:topLinePunct w:val="0"/>
        <w:autoSpaceDE/>
        <w:autoSpaceDN/>
        <w:bidi w:val="0"/>
        <w:adjustRightInd w:val="0"/>
        <w:snapToGrid w:val="0"/>
        <w:ind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根据贵方为</w:t>
      </w:r>
      <w:r>
        <w:rPr>
          <w:rFonts w:hint="eastAsia" w:asciiTheme="minorEastAsia" w:hAnsiTheme="minorEastAsia" w:eastAsiaTheme="minorEastAsia"/>
          <w:color w:val="auto"/>
          <w:szCs w:val="21"/>
          <w:highlight w:val="none"/>
          <w:u w:val="single"/>
        </w:rPr>
        <w:t>（项目名称）（采购项目编号）</w:t>
      </w:r>
      <w:r>
        <w:rPr>
          <w:rFonts w:hint="eastAsia" w:asciiTheme="minorEastAsia" w:hAnsiTheme="minorEastAsia" w:eastAsiaTheme="minorEastAsia"/>
          <w:color w:val="auto"/>
          <w:szCs w:val="21"/>
          <w:highlight w:val="none"/>
        </w:rPr>
        <w:t>项目采购公告/采购邀请，签字代表</w:t>
      </w:r>
      <w:r>
        <w:rPr>
          <w:rFonts w:hint="eastAsia" w:asciiTheme="minorEastAsia" w:hAnsiTheme="minorEastAsia" w:eastAsiaTheme="minorEastAsia"/>
          <w:color w:val="auto"/>
          <w:szCs w:val="21"/>
          <w:highlight w:val="none"/>
          <w:u w:val="single"/>
        </w:rPr>
        <w:t>（姓名、职务）</w:t>
      </w:r>
      <w:r>
        <w:rPr>
          <w:rFonts w:hint="eastAsia" w:asciiTheme="minorEastAsia" w:hAnsiTheme="minorEastAsia" w:eastAsiaTheme="minorEastAsia"/>
          <w:color w:val="auto"/>
          <w:szCs w:val="21"/>
          <w:highlight w:val="none"/>
        </w:rPr>
        <w:t>经正式授权并代表投标人</w:t>
      </w:r>
      <w:r>
        <w:rPr>
          <w:rFonts w:hint="eastAsia" w:asciiTheme="minorEastAsia" w:hAnsiTheme="minorEastAsia" w:eastAsiaTheme="minorEastAsia"/>
          <w:color w:val="auto"/>
          <w:szCs w:val="21"/>
          <w:highlight w:val="none"/>
          <w:u w:val="single"/>
        </w:rPr>
        <w:t>（投标人名称、地址）</w:t>
      </w:r>
      <w:r>
        <w:rPr>
          <w:rFonts w:hint="eastAsia" w:asciiTheme="minorEastAsia" w:hAnsiTheme="minorEastAsia" w:eastAsiaTheme="minorEastAsia"/>
          <w:color w:val="auto"/>
          <w:szCs w:val="21"/>
          <w:highlight w:val="none"/>
        </w:rPr>
        <w:t>提交投标文件及“唱标信封”：</w:t>
      </w:r>
    </w:p>
    <w:p>
      <w:pPr>
        <w:keepNext w:val="0"/>
        <w:keepLines w:val="0"/>
        <w:pageBreakBefore w:val="0"/>
        <w:kinsoku/>
        <w:wordWrap/>
        <w:overflowPunct/>
        <w:topLinePunct w:val="0"/>
        <w:autoSpaceDE/>
        <w:autoSpaceDN/>
        <w:bidi w:val="0"/>
        <w:adjustRightInd w:val="0"/>
        <w:snapToGrid w:val="0"/>
        <w:ind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在此，签字代表宣布同意如下： </w:t>
      </w:r>
    </w:p>
    <w:p>
      <w:pPr>
        <w:keepNext w:val="0"/>
        <w:keepLines w:val="0"/>
        <w:pageBreakBefore w:val="0"/>
        <w:widowControl w:val="0"/>
        <w:numPr>
          <w:ilvl w:val="0"/>
          <w:numId w:val="11"/>
        </w:numPr>
        <w:kinsoku/>
        <w:wordWrap/>
        <w:overflowPunct/>
        <w:topLinePunct w:val="0"/>
        <w:autoSpaceDE/>
        <w:autoSpaceDN/>
        <w:bidi w:val="0"/>
        <w:adjustRightInd w:val="0"/>
        <w:snapToGrid w:val="0"/>
        <w:jc w:val="both"/>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我方将按采购文件的规定履行合同责任和义务。 </w:t>
      </w:r>
    </w:p>
    <w:p>
      <w:pPr>
        <w:keepNext w:val="0"/>
        <w:keepLines w:val="0"/>
        <w:pageBreakBefore w:val="0"/>
        <w:widowControl w:val="0"/>
        <w:numPr>
          <w:ilvl w:val="0"/>
          <w:numId w:val="11"/>
        </w:numPr>
        <w:kinsoku/>
        <w:wordWrap/>
        <w:overflowPunct/>
        <w:topLinePunct w:val="0"/>
        <w:autoSpaceDE/>
        <w:autoSpaceDN/>
        <w:bidi w:val="0"/>
        <w:adjustRightInd w:val="0"/>
        <w:snapToGrid w:val="0"/>
        <w:jc w:val="both"/>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pPr>
        <w:keepNext w:val="0"/>
        <w:keepLines w:val="0"/>
        <w:pageBreakBefore w:val="0"/>
        <w:widowControl w:val="0"/>
        <w:numPr>
          <w:ilvl w:val="0"/>
          <w:numId w:val="11"/>
        </w:numPr>
        <w:kinsoku/>
        <w:wordWrap/>
        <w:overflowPunct/>
        <w:topLinePunct w:val="0"/>
        <w:autoSpaceDE/>
        <w:autoSpaceDN/>
        <w:bidi w:val="0"/>
        <w:adjustRightInd w:val="0"/>
        <w:snapToGrid w:val="0"/>
        <w:jc w:val="both"/>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本投标有效期为自开标日起</w:t>
      </w:r>
      <w:r>
        <w:rPr>
          <w:rFonts w:hint="eastAsia" w:asciiTheme="minorEastAsia" w:hAnsiTheme="minorEastAsia" w:eastAsiaTheme="minorEastAsia"/>
          <w:color w:val="auto"/>
          <w:szCs w:val="21"/>
          <w:highlight w:val="none"/>
          <w:u w:val="single"/>
        </w:rPr>
        <w:t>90</w:t>
      </w:r>
      <w:r>
        <w:rPr>
          <w:rFonts w:hint="eastAsia" w:asciiTheme="minorEastAsia" w:hAnsiTheme="minorEastAsia" w:eastAsiaTheme="minorEastAsia"/>
          <w:color w:val="auto"/>
          <w:szCs w:val="21"/>
          <w:highlight w:val="none"/>
        </w:rPr>
        <w:t xml:space="preserve">个日历日。 </w:t>
      </w:r>
    </w:p>
    <w:p>
      <w:pPr>
        <w:keepNext w:val="0"/>
        <w:keepLines w:val="0"/>
        <w:pageBreakBefore w:val="0"/>
        <w:widowControl w:val="0"/>
        <w:numPr>
          <w:ilvl w:val="0"/>
          <w:numId w:val="11"/>
        </w:numPr>
        <w:kinsoku/>
        <w:wordWrap/>
        <w:overflowPunct/>
        <w:topLinePunct w:val="0"/>
        <w:autoSpaceDE/>
        <w:autoSpaceDN/>
        <w:bidi w:val="0"/>
        <w:adjustRightInd w:val="0"/>
        <w:snapToGrid w:val="0"/>
        <w:jc w:val="both"/>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我方保证遵守投标人须知中关于没收投标保证金的规定。</w:t>
      </w:r>
    </w:p>
    <w:p>
      <w:pPr>
        <w:keepNext w:val="0"/>
        <w:keepLines w:val="0"/>
        <w:pageBreakBefore w:val="0"/>
        <w:widowControl w:val="0"/>
        <w:numPr>
          <w:ilvl w:val="0"/>
          <w:numId w:val="11"/>
        </w:numPr>
        <w:kinsoku/>
        <w:wordWrap/>
        <w:overflowPunct/>
        <w:topLinePunct w:val="0"/>
        <w:autoSpaceDE/>
        <w:autoSpaceDN/>
        <w:bidi w:val="0"/>
        <w:adjustRightInd w:val="0"/>
        <w:snapToGrid w:val="0"/>
        <w:jc w:val="both"/>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我方承诺，与买方聘请的为此项目提供咨询服务的公司及任何附属机构均无关联，我方不是买方的附属机构。 </w:t>
      </w:r>
    </w:p>
    <w:p>
      <w:pPr>
        <w:keepNext w:val="0"/>
        <w:keepLines w:val="0"/>
        <w:pageBreakBefore w:val="0"/>
        <w:widowControl w:val="0"/>
        <w:numPr>
          <w:ilvl w:val="0"/>
          <w:numId w:val="11"/>
        </w:numPr>
        <w:kinsoku/>
        <w:wordWrap/>
        <w:overflowPunct/>
        <w:topLinePunct w:val="0"/>
        <w:autoSpaceDE/>
        <w:autoSpaceDN/>
        <w:bidi w:val="0"/>
        <w:adjustRightInd w:val="0"/>
        <w:snapToGrid w:val="0"/>
        <w:jc w:val="both"/>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pPr>
        <w:keepNext w:val="0"/>
        <w:keepLines w:val="0"/>
        <w:pageBreakBefore w:val="0"/>
        <w:widowControl w:val="0"/>
        <w:numPr>
          <w:ilvl w:val="0"/>
          <w:numId w:val="11"/>
        </w:numPr>
        <w:kinsoku/>
        <w:wordWrap/>
        <w:overflowPunct/>
        <w:topLinePunct w:val="0"/>
        <w:autoSpaceDE/>
        <w:autoSpaceDN/>
        <w:bidi w:val="0"/>
        <w:adjustRightInd w:val="0"/>
        <w:snapToGrid w:val="0"/>
        <w:jc w:val="both"/>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我方同意提供按照贵方可能要求的与其投标有关的一切数据或资料。</w:t>
      </w:r>
    </w:p>
    <w:p>
      <w:pPr>
        <w:keepNext w:val="0"/>
        <w:keepLines w:val="0"/>
        <w:pageBreakBefore w:val="0"/>
        <w:widowControl w:val="0"/>
        <w:numPr>
          <w:ilvl w:val="0"/>
          <w:numId w:val="11"/>
        </w:numPr>
        <w:kinsoku/>
        <w:wordWrap/>
        <w:overflowPunct/>
        <w:topLinePunct w:val="0"/>
        <w:autoSpaceDE/>
        <w:autoSpaceDN/>
        <w:bidi w:val="0"/>
        <w:adjustRightInd w:val="0"/>
        <w:snapToGrid w:val="0"/>
        <w:jc w:val="both"/>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与本投标有关的一切正式信函请寄：</w:t>
      </w:r>
    </w:p>
    <w:p>
      <w:pPr>
        <w:rPr>
          <w:rFonts w:hint="eastAsia" w:asciiTheme="minorEastAsia" w:hAnsiTheme="minorEastAsia" w:eastAsiaTheme="minorEastAsia"/>
          <w:color w:val="auto"/>
          <w:szCs w:val="21"/>
          <w:highlight w:val="none"/>
        </w:rPr>
      </w:pPr>
    </w:p>
    <w:p>
      <w:pPr>
        <w:rPr>
          <w:rFonts w:hint="eastAsia"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地址：　　　　　　　　　　　　　　　电子邮箱：　　　　</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电话/移动电话：</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投标人法定代表人（或其授权代表）签字：                  </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投标人名称（全称）： </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投标人盖章： </w:t>
      </w:r>
    </w:p>
    <w:p>
      <w:pP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日期：</w:t>
      </w:r>
      <w:r>
        <w:rPr>
          <w:rFonts w:asciiTheme="minorEastAsia" w:hAnsiTheme="minorEastAsia" w:eastAsiaTheme="minorEastAsia"/>
          <w:color w:val="auto"/>
          <w:highlight w:val="none"/>
        </w:rPr>
        <w:br w:type="page"/>
      </w:r>
    </w:p>
    <w:p>
      <w:pPr>
        <w:pStyle w:val="5"/>
        <w:widowControl w:val="0"/>
        <w:overflowPunct w:val="0"/>
        <w:spacing w:line="240" w:lineRule="auto"/>
        <w:rPr>
          <w:rFonts w:asciiTheme="minorEastAsia" w:hAnsiTheme="minorEastAsia" w:eastAsiaTheme="minorEastAsia"/>
          <w:color w:val="auto"/>
          <w:sz w:val="21"/>
          <w:szCs w:val="21"/>
          <w:highlight w:val="none"/>
        </w:rPr>
      </w:pPr>
      <w:bookmarkStart w:id="169" w:name="_Toc160826356"/>
      <w:r>
        <w:rPr>
          <w:rFonts w:hint="eastAsia" w:asciiTheme="minorEastAsia" w:hAnsiTheme="minorEastAsia" w:eastAsiaTheme="minorEastAsia"/>
          <w:color w:val="auto"/>
          <w:sz w:val="21"/>
          <w:szCs w:val="21"/>
          <w:highlight w:val="none"/>
        </w:rPr>
        <w:t>附件</w:t>
      </w:r>
      <w:r>
        <w:rPr>
          <w:rFonts w:hint="eastAsia" w:asciiTheme="minorEastAsia" w:hAnsiTheme="minorEastAsia" w:eastAsiaTheme="minorEastAsia"/>
          <w:color w:val="auto"/>
          <w:sz w:val="21"/>
          <w:szCs w:val="21"/>
          <w:highlight w:val="none"/>
          <w:lang w:val="en-US" w:eastAsia="zh-CN"/>
        </w:rPr>
        <w:t>4</w:t>
      </w:r>
      <w:r>
        <w:rPr>
          <w:rFonts w:hint="eastAsia" w:asciiTheme="minorEastAsia" w:hAnsiTheme="minorEastAsia" w:eastAsiaTheme="minorEastAsia"/>
          <w:color w:val="auto"/>
          <w:sz w:val="21"/>
          <w:szCs w:val="21"/>
          <w:highlight w:val="none"/>
        </w:rPr>
        <w:t>. 法定代表人证明书格式</w:t>
      </w:r>
      <w:bookmarkEnd w:id="169"/>
    </w:p>
    <w:p>
      <w:pPr>
        <w:rPr>
          <w:rFonts w:asciiTheme="minorEastAsia" w:hAnsiTheme="minorEastAsia" w:eastAsiaTheme="minorEastAsia"/>
          <w:color w:val="auto"/>
          <w:highlight w:val="none"/>
        </w:rPr>
      </w:pPr>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法定代表人证明书</w:t>
      </w:r>
    </w:p>
    <w:p>
      <w:pPr>
        <w:pStyle w:val="44"/>
        <w:spacing w:line="420" w:lineRule="atLeast"/>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致：xxx公司</w:t>
      </w:r>
    </w:p>
    <w:p>
      <w:pPr>
        <w:pStyle w:val="44"/>
        <w:spacing w:line="420" w:lineRule="atLeast"/>
        <w:ind w:firstLine="433"/>
        <w:rPr>
          <w:rFonts w:asciiTheme="minorEastAsia" w:hAnsiTheme="minorEastAsia" w:eastAsiaTheme="minorEastAsia"/>
          <w:color w:val="auto"/>
          <w:sz w:val="21"/>
          <w:szCs w:val="21"/>
          <w:highlight w:val="none"/>
        </w:rPr>
      </w:pPr>
    </w:p>
    <w:p>
      <w:pPr>
        <w:pStyle w:val="44"/>
        <w:spacing w:line="420" w:lineRule="atLeast"/>
        <w:ind w:firstLine="433"/>
        <w:rPr>
          <w:rFonts w:asciiTheme="minorEastAsia" w:hAnsiTheme="minorEastAsia" w:eastAsiaTheme="minorEastAsia"/>
          <w:color w:val="auto"/>
          <w:sz w:val="21"/>
          <w:szCs w:val="21"/>
          <w:highlight w:val="none"/>
          <w:u w:val="single"/>
        </w:rPr>
      </w:pPr>
      <w:r>
        <w:rPr>
          <w:rFonts w:hint="eastAsia" w:asciiTheme="minorEastAsia" w:hAnsiTheme="minorEastAsia" w:eastAsiaTheme="minorEastAsia"/>
          <w:color w:val="auto"/>
          <w:sz w:val="21"/>
          <w:szCs w:val="21"/>
          <w:highlight w:val="none"/>
        </w:rPr>
        <w:t>投标人名称:</w:t>
      </w:r>
    </w:p>
    <w:p>
      <w:pPr>
        <w:pStyle w:val="44"/>
        <w:spacing w:line="420" w:lineRule="atLeast"/>
        <w:ind w:firstLine="433"/>
        <w:rPr>
          <w:rFonts w:asciiTheme="minorEastAsia" w:hAnsiTheme="minorEastAsia" w:eastAsiaTheme="minorEastAsia"/>
          <w:color w:val="auto"/>
          <w:sz w:val="21"/>
          <w:szCs w:val="21"/>
          <w:highlight w:val="none"/>
          <w:u w:val="single"/>
        </w:rPr>
      </w:pPr>
      <w:r>
        <w:rPr>
          <w:rFonts w:hint="eastAsia" w:asciiTheme="minorEastAsia" w:hAnsiTheme="minorEastAsia" w:eastAsiaTheme="minorEastAsia"/>
          <w:color w:val="auto"/>
          <w:sz w:val="21"/>
          <w:szCs w:val="21"/>
          <w:highlight w:val="none"/>
        </w:rPr>
        <w:t>单 位 性质：</w:t>
      </w:r>
    </w:p>
    <w:p>
      <w:pPr>
        <w:pStyle w:val="44"/>
        <w:spacing w:line="420" w:lineRule="atLeast"/>
        <w:ind w:firstLine="433"/>
        <w:rPr>
          <w:rFonts w:asciiTheme="minorEastAsia" w:hAnsiTheme="minorEastAsia" w:eastAsiaTheme="minorEastAsia"/>
          <w:color w:val="auto"/>
          <w:sz w:val="21"/>
          <w:szCs w:val="21"/>
          <w:highlight w:val="none"/>
          <w:u w:val="single"/>
        </w:rPr>
      </w:pPr>
      <w:r>
        <w:rPr>
          <w:rFonts w:hint="eastAsia" w:asciiTheme="minorEastAsia" w:hAnsiTheme="minorEastAsia" w:eastAsiaTheme="minorEastAsia"/>
          <w:color w:val="auto"/>
          <w:sz w:val="21"/>
          <w:szCs w:val="21"/>
          <w:highlight w:val="none"/>
        </w:rPr>
        <w:t>地      址：</w:t>
      </w:r>
    </w:p>
    <w:p>
      <w:pPr>
        <w:pStyle w:val="44"/>
        <w:spacing w:line="420" w:lineRule="atLeast"/>
        <w:ind w:firstLine="433"/>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成 立 时间：年月日</w:t>
      </w:r>
    </w:p>
    <w:p>
      <w:pPr>
        <w:pStyle w:val="44"/>
        <w:spacing w:line="420" w:lineRule="atLeast"/>
        <w:ind w:firstLine="433"/>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经 营 期限：</w:t>
      </w:r>
    </w:p>
    <w:p>
      <w:pPr>
        <w:pStyle w:val="44"/>
        <w:spacing w:line="420" w:lineRule="atLeast"/>
        <w:ind w:firstLine="433"/>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姓名：性别：年龄：职务：</w:t>
      </w:r>
    </w:p>
    <w:p>
      <w:pPr>
        <w:pStyle w:val="44"/>
        <w:spacing w:line="420" w:lineRule="atLeast"/>
        <w:ind w:firstLine="433"/>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系（投标人名称）的法定代表人。</w:t>
      </w:r>
    </w:p>
    <w:p>
      <w:pPr>
        <w:spacing w:line="420" w:lineRule="atLeas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特此证明。</w:t>
      </w:r>
    </w:p>
    <w:p>
      <w:pPr>
        <w:pStyle w:val="44"/>
        <w:spacing w:line="500" w:lineRule="atLeast"/>
        <w:ind w:firstLine="3517" w:firstLineChars="1675"/>
        <w:rPr>
          <w:rFonts w:asciiTheme="minorEastAsia" w:hAnsiTheme="minorEastAsia" w:eastAsiaTheme="minorEastAsia"/>
          <w:color w:val="auto"/>
          <w:sz w:val="21"/>
          <w:szCs w:val="21"/>
          <w:highlight w:val="none"/>
        </w:rPr>
      </w:pPr>
    </w:p>
    <w:p>
      <w:pPr>
        <w:pStyle w:val="44"/>
        <w:spacing w:line="500" w:lineRule="atLeast"/>
        <w:ind w:firstLine="3517" w:firstLineChars="1675"/>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投标人名称（加盖公章）：</w:t>
      </w:r>
    </w:p>
    <w:p>
      <w:pPr>
        <w:pStyle w:val="44"/>
        <w:spacing w:line="500" w:lineRule="atLeast"/>
        <w:ind w:firstLine="3517" w:firstLineChars="1675"/>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法定代表人（签名或盖私章）：</w:t>
      </w:r>
    </w:p>
    <w:p>
      <w:pPr>
        <w:pStyle w:val="44"/>
        <w:spacing w:line="500" w:lineRule="atLeast"/>
        <w:ind w:firstLine="3517" w:firstLineChars="1675"/>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法定代表人联系方式：</w:t>
      </w:r>
    </w:p>
    <w:p>
      <w:pPr>
        <w:pStyle w:val="44"/>
        <w:spacing w:line="500" w:lineRule="atLeast"/>
        <w:ind w:firstLine="3517" w:firstLineChars="1675"/>
        <w:rPr>
          <w:rFonts w:asciiTheme="minorEastAsia" w:hAnsiTheme="minorEastAsia" w:eastAsiaTheme="minorEastAsia"/>
          <w:color w:val="auto"/>
          <w:sz w:val="21"/>
          <w:szCs w:val="21"/>
          <w:highlight w:val="none"/>
          <w:u w:val="single"/>
        </w:rPr>
      </w:pPr>
      <w:r>
        <w:rPr>
          <w:rFonts w:hint="eastAsia" w:asciiTheme="minorEastAsia" w:hAnsiTheme="minorEastAsia" w:eastAsiaTheme="minorEastAsia"/>
          <w:color w:val="auto"/>
          <w:sz w:val="21"/>
          <w:szCs w:val="21"/>
          <w:highlight w:val="none"/>
        </w:rPr>
        <w:t>身份证号码：</w:t>
      </w:r>
    </w:p>
    <w:p>
      <w:pPr>
        <w:pStyle w:val="44"/>
        <w:spacing w:line="500" w:lineRule="atLeast"/>
        <w:ind w:firstLine="3507" w:firstLineChars="167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日     期：  年  月  日</w:t>
      </w:r>
    </w:p>
    <w:p>
      <w:pPr>
        <w:ind w:firstLine="420" w:firstLineChars="200"/>
        <w:rPr>
          <w:rFonts w:asciiTheme="minorEastAsia" w:hAnsiTheme="minorEastAsia" w:eastAsiaTheme="minorEastAsia"/>
          <w:color w:val="auto"/>
          <w:szCs w:val="21"/>
          <w:highlight w:val="none"/>
        </w:rPr>
      </w:pPr>
    </w:p>
    <w:p>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注：法定代表人身份证明书需附法人代表身份证复印件。</w:t>
      </w:r>
    </w:p>
    <w:tbl>
      <w:tblPr>
        <w:tblStyle w:val="30"/>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44"/>
              <w:spacing w:line="460" w:lineRule="exact"/>
              <w:ind w:firstLine="0" w:firstLineChars="0"/>
              <w:jc w:val="cente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正面</w:t>
            </w:r>
          </w:p>
        </w:tc>
        <w:tc>
          <w:tcPr>
            <w:tcW w:w="4182" w:type="dxa"/>
            <w:vAlign w:val="center"/>
          </w:tcPr>
          <w:p>
            <w:pPr>
              <w:pStyle w:val="44"/>
              <w:spacing w:line="460" w:lineRule="exact"/>
              <w:ind w:firstLine="0" w:firstLineChars="0"/>
              <w:jc w:val="cente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背面</w:t>
            </w:r>
          </w:p>
        </w:tc>
      </w:tr>
    </w:tbl>
    <w:p>
      <w:pPr>
        <w:rPr>
          <w:rFonts w:asciiTheme="minorEastAsia" w:hAnsiTheme="minorEastAsia" w:eastAsiaTheme="minorEastAsia"/>
          <w:color w:val="auto"/>
          <w:highlight w:val="none"/>
        </w:rPr>
      </w:pPr>
    </w:p>
    <w:p>
      <w:pPr>
        <w:adjustRightInd/>
        <w:snapToGrid/>
        <w:spacing w:line="276" w:lineRule="auto"/>
        <w:rPr>
          <w:rFonts w:asciiTheme="minorEastAsia" w:hAnsiTheme="minorEastAsia" w:eastAsiaTheme="minorEastAsia" w:cstheme="majorBidi"/>
          <w:b/>
          <w:bCs/>
          <w:color w:val="auto"/>
          <w:sz w:val="24"/>
          <w:szCs w:val="28"/>
          <w:highlight w:val="none"/>
        </w:rPr>
      </w:pPr>
      <w:r>
        <w:rPr>
          <w:rFonts w:asciiTheme="minorEastAsia" w:hAnsiTheme="minorEastAsia" w:eastAsiaTheme="minorEastAsia"/>
          <w:color w:val="auto"/>
          <w:sz w:val="24"/>
          <w:highlight w:val="none"/>
        </w:rPr>
        <w:br w:type="page"/>
      </w:r>
    </w:p>
    <w:p>
      <w:pPr>
        <w:pStyle w:val="5"/>
        <w:widowControl w:val="0"/>
        <w:overflowPunct w:val="0"/>
        <w:spacing w:line="240" w:lineRule="auto"/>
        <w:rPr>
          <w:rFonts w:asciiTheme="minorEastAsia" w:hAnsiTheme="minorEastAsia" w:eastAsiaTheme="minorEastAsia"/>
          <w:color w:val="auto"/>
          <w:highlight w:val="none"/>
        </w:rPr>
      </w:pPr>
      <w:bookmarkStart w:id="170" w:name="_Toc160826357"/>
      <w:r>
        <w:rPr>
          <w:rFonts w:hint="eastAsia" w:asciiTheme="minorEastAsia" w:hAnsiTheme="minorEastAsia" w:eastAsiaTheme="minorEastAsia"/>
          <w:color w:val="auto"/>
          <w:sz w:val="21"/>
          <w:szCs w:val="21"/>
          <w:highlight w:val="none"/>
        </w:rPr>
        <w:t>附件</w:t>
      </w:r>
      <w:r>
        <w:rPr>
          <w:rFonts w:hint="eastAsia" w:asciiTheme="minorEastAsia" w:hAnsiTheme="minorEastAsia" w:eastAsiaTheme="minorEastAsia"/>
          <w:color w:val="auto"/>
          <w:sz w:val="21"/>
          <w:szCs w:val="21"/>
          <w:highlight w:val="none"/>
          <w:lang w:val="en-US" w:eastAsia="zh-CN"/>
        </w:rPr>
        <w:t>5</w:t>
      </w:r>
      <w:r>
        <w:rPr>
          <w:rFonts w:hint="eastAsia" w:asciiTheme="minorEastAsia" w:hAnsiTheme="minorEastAsia" w:eastAsiaTheme="minorEastAsia"/>
          <w:color w:val="auto"/>
          <w:sz w:val="21"/>
          <w:szCs w:val="21"/>
          <w:highlight w:val="none"/>
        </w:rPr>
        <w:t>.法定代表人授权书格式</w:t>
      </w:r>
      <w:bookmarkEnd w:id="170"/>
    </w:p>
    <w:p>
      <w:pPr>
        <w:rPr>
          <w:rFonts w:asciiTheme="minorEastAsia" w:hAnsiTheme="minorEastAsia" w:eastAsiaTheme="minorEastAsia"/>
          <w:color w:val="auto"/>
          <w:highlight w:val="none"/>
        </w:rPr>
      </w:pPr>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法定代表人授权书</w:t>
      </w:r>
    </w:p>
    <w:p>
      <w:pPr>
        <w:pStyle w:val="44"/>
        <w:spacing w:line="420" w:lineRule="atLeast"/>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致：xxx公司</w:t>
      </w:r>
    </w:p>
    <w:p>
      <w:pPr>
        <w:pStyle w:val="44"/>
        <w:spacing w:line="420" w:lineRule="atLeast"/>
        <w:ind w:firstLine="433"/>
        <w:rPr>
          <w:rFonts w:asciiTheme="minorEastAsia" w:hAnsiTheme="minorEastAsia" w:eastAsiaTheme="minorEastAsia"/>
          <w:color w:val="auto"/>
          <w:sz w:val="21"/>
          <w:szCs w:val="21"/>
          <w:highlight w:val="none"/>
        </w:rPr>
      </w:pPr>
    </w:p>
    <w:p>
      <w:pPr>
        <w:ind w:firstLine="420" w:firstLineChars="200"/>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本授权书声明：注册于</w:t>
      </w:r>
      <w:r>
        <w:rPr>
          <w:rFonts w:hint="eastAsia" w:cs="Times New Roman" w:asciiTheme="minorEastAsia" w:hAnsiTheme="minorEastAsia" w:eastAsiaTheme="minorEastAsia"/>
          <w:color w:val="auto"/>
          <w:szCs w:val="21"/>
          <w:highlight w:val="none"/>
          <w:u w:val="single"/>
        </w:rPr>
        <w:t>（国家或地区的名称）</w:t>
      </w:r>
      <w:r>
        <w:rPr>
          <w:rFonts w:hint="eastAsia" w:cs="Times New Roman" w:asciiTheme="minorEastAsia" w:hAnsiTheme="minorEastAsia" w:eastAsiaTheme="minorEastAsia"/>
          <w:color w:val="auto"/>
          <w:szCs w:val="21"/>
          <w:highlight w:val="none"/>
        </w:rPr>
        <w:t>的</w:t>
      </w:r>
      <w:r>
        <w:rPr>
          <w:rFonts w:hint="eastAsia" w:cs="Times New Roman" w:asciiTheme="minorEastAsia" w:hAnsiTheme="minorEastAsia" w:eastAsiaTheme="minorEastAsia"/>
          <w:color w:val="auto"/>
          <w:szCs w:val="21"/>
          <w:highlight w:val="none"/>
          <w:u w:val="single"/>
        </w:rPr>
        <w:t>（单位名称）</w:t>
      </w:r>
      <w:r>
        <w:rPr>
          <w:rFonts w:hint="eastAsia" w:cs="Times New Roman" w:asciiTheme="minorEastAsia" w:hAnsiTheme="minorEastAsia" w:eastAsiaTheme="minorEastAsia"/>
          <w:color w:val="auto"/>
          <w:szCs w:val="21"/>
          <w:highlight w:val="none"/>
        </w:rPr>
        <w:t>的在下面签字的</w:t>
      </w:r>
      <w:r>
        <w:rPr>
          <w:rFonts w:hint="eastAsia" w:cs="Times New Roman" w:asciiTheme="minorEastAsia" w:hAnsiTheme="minorEastAsia" w:eastAsiaTheme="minorEastAsia"/>
          <w:color w:val="auto"/>
          <w:szCs w:val="21"/>
          <w:highlight w:val="none"/>
          <w:u w:val="single"/>
        </w:rPr>
        <w:t>（法定代表人姓名、职务）</w:t>
      </w:r>
      <w:r>
        <w:rPr>
          <w:rFonts w:hint="eastAsia" w:cs="Times New Roman" w:asciiTheme="minorEastAsia" w:hAnsiTheme="minorEastAsia" w:eastAsiaTheme="minorEastAsia"/>
          <w:color w:val="auto"/>
          <w:szCs w:val="21"/>
          <w:highlight w:val="none"/>
        </w:rPr>
        <w:t>代表本单位授权</w:t>
      </w:r>
      <w:r>
        <w:rPr>
          <w:rFonts w:hint="eastAsia" w:cs="Times New Roman" w:asciiTheme="minorEastAsia" w:hAnsiTheme="minorEastAsia" w:eastAsiaTheme="minorEastAsia"/>
          <w:color w:val="auto"/>
          <w:szCs w:val="21"/>
          <w:highlight w:val="none"/>
          <w:u w:val="single"/>
        </w:rPr>
        <w:t>（单位名称）</w:t>
      </w:r>
      <w:r>
        <w:rPr>
          <w:rFonts w:hint="eastAsia" w:cs="Times New Roman" w:asciiTheme="minorEastAsia" w:hAnsiTheme="minorEastAsia" w:eastAsiaTheme="minorEastAsia"/>
          <w:color w:val="auto"/>
          <w:szCs w:val="21"/>
          <w:highlight w:val="none"/>
        </w:rPr>
        <w:t>的在下面签字的</w:t>
      </w:r>
      <w:r>
        <w:rPr>
          <w:rFonts w:hint="eastAsia" w:cs="Times New Roman" w:asciiTheme="minorEastAsia" w:hAnsiTheme="minorEastAsia" w:eastAsiaTheme="minorEastAsia"/>
          <w:color w:val="auto"/>
          <w:szCs w:val="21"/>
          <w:highlight w:val="none"/>
          <w:u w:val="single"/>
        </w:rPr>
        <w:t>（被授权人的姓名、职务）</w:t>
      </w:r>
      <w:r>
        <w:rPr>
          <w:rFonts w:hint="eastAsia" w:cs="Times New Roman" w:asciiTheme="minorEastAsia" w:hAnsiTheme="minorEastAsia" w:eastAsiaTheme="minorEastAsia"/>
          <w:color w:val="auto"/>
          <w:szCs w:val="21"/>
          <w:highlight w:val="none"/>
        </w:rPr>
        <w:t>为本单位的合法代理人，就</w:t>
      </w:r>
      <w:r>
        <w:rPr>
          <w:rFonts w:hint="eastAsia" w:cs="Times New Roman" w:asciiTheme="minorEastAsia" w:hAnsiTheme="minorEastAsia" w:eastAsiaTheme="minorEastAsia"/>
          <w:color w:val="auto"/>
          <w:szCs w:val="21"/>
          <w:highlight w:val="none"/>
          <w:u w:val="single"/>
        </w:rPr>
        <w:t>（项目名称）</w:t>
      </w:r>
      <w:r>
        <w:rPr>
          <w:rFonts w:hint="eastAsia" w:cs="Times New Roman" w:asciiTheme="minorEastAsia" w:hAnsiTheme="minorEastAsia" w:eastAsiaTheme="minorEastAsia"/>
          <w:color w:val="auto"/>
          <w:szCs w:val="21"/>
          <w:highlight w:val="none"/>
        </w:rPr>
        <w:t>投标及参加项目谈判，以本单位名义处理一切与之有关的事务。</w:t>
      </w:r>
    </w:p>
    <w:p>
      <w:pPr>
        <w:ind w:firstLine="315" w:firstLineChars="150"/>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本授权书于</w:t>
      </w:r>
      <w:r>
        <w:rPr>
          <w:rFonts w:hint="eastAsia" w:cs="Times New Roman" w:asciiTheme="minorEastAsia" w:hAnsiTheme="minorEastAsia" w:eastAsiaTheme="minorEastAsia"/>
          <w:color w:val="auto"/>
          <w:szCs w:val="21"/>
          <w:highlight w:val="none"/>
          <w:u w:val="single"/>
        </w:rPr>
        <w:t>　　</w:t>
      </w:r>
      <w:r>
        <w:rPr>
          <w:rFonts w:hint="eastAsia" w:cs="Times New Roman" w:asciiTheme="minorEastAsia" w:hAnsiTheme="minorEastAsia" w:eastAsiaTheme="minorEastAsia"/>
          <w:color w:val="auto"/>
          <w:szCs w:val="21"/>
          <w:highlight w:val="none"/>
        </w:rPr>
        <w:t>年</w:t>
      </w:r>
      <w:r>
        <w:rPr>
          <w:rFonts w:hint="eastAsia" w:cs="Times New Roman" w:asciiTheme="minorEastAsia" w:hAnsiTheme="minorEastAsia" w:eastAsiaTheme="minorEastAsia"/>
          <w:color w:val="auto"/>
          <w:szCs w:val="21"/>
          <w:highlight w:val="none"/>
          <w:u w:val="single"/>
        </w:rPr>
        <w:t>　　</w:t>
      </w:r>
      <w:r>
        <w:rPr>
          <w:rFonts w:hint="eastAsia" w:cs="Times New Roman" w:asciiTheme="minorEastAsia" w:hAnsiTheme="minorEastAsia" w:eastAsiaTheme="minorEastAsia"/>
          <w:color w:val="auto"/>
          <w:szCs w:val="21"/>
          <w:highlight w:val="none"/>
        </w:rPr>
        <w:t>月</w:t>
      </w:r>
      <w:r>
        <w:rPr>
          <w:rFonts w:hint="eastAsia" w:cs="Times New Roman" w:asciiTheme="minorEastAsia" w:hAnsiTheme="minorEastAsia" w:eastAsiaTheme="minorEastAsia"/>
          <w:color w:val="auto"/>
          <w:szCs w:val="21"/>
          <w:highlight w:val="none"/>
          <w:u w:val="single"/>
        </w:rPr>
        <w:t>　　</w:t>
      </w:r>
      <w:r>
        <w:rPr>
          <w:rFonts w:hint="eastAsia" w:cs="Times New Roman" w:asciiTheme="minorEastAsia" w:hAnsiTheme="minorEastAsia" w:eastAsiaTheme="minorEastAsia"/>
          <w:color w:val="auto"/>
          <w:szCs w:val="21"/>
          <w:highlight w:val="none"/>
        </w:rPr>
        <w:t>日签字生效，特此声明。</w:t>
      </w:r>
    </w:p>
    <w:p>
      <w:pPr>
        <w:pStyle w:val="44"/>
        <w:spacing w:line="500" w:lineRule="atLeast"/>
        <w:ind w:firstLine="3517" w:firstLineChars="1675"/>
        <w:rPr>
          <w:rFonts w:asciiTheme="minorEastAsia" w:hAnsiTheme="minorEastAsia" w:eastAsiaTheme="minorEastAsia"/>
          <w:color w:val="auto"/>
          <w:sz w:val="21"/>
          <w:szCs w:val="21"/>
          <w:highlight w:val="none"/>
        </w:rPr>
      </w:pPr>
    </w:p>
    <w:p>
      <w:pPr>
        <w:pStyle w:val="44"/>
        <w:spacing w:line="500" w:lineRule="atLeast"/>
        <w:ind w:firstLine="3517" w:firstLineChars="1675"/>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投标人名称（加盖公章）：</w:t>
      </w:r>
    </w:p>
    <w:p>
      <w:pPr>
        <w:pStyle w:val="44"/>
        <w:spacing w:line="500" w:lineRule="atLeast"/>
        <w:ind w:firstLine="3517" w:firstLineChars="1675"/>
        <w:rPr>
          <w:rFonts w:asciiTheme="minorEastAsia" w:hAnsiTheme="minorEastAsia" w:eastAsiaTheme="minorEastAsia"/>
          <w:color w:val="auto"/>
          <w:sz w:val="21"/>
          <w:szCs w:val="21"/>
          <w:highlight w:val="none"/>
          <w:u w:val="single"/>
        </w:rPr>
      </w:pPr>
      <w:r>
        <w:rPr>
          <w:rFonts w:hint="eastAsia" w:asciiTheme="minorEastAsia" w:hAnsiTheme="minorEastAsia" w:eastAsiaTheme="minorEastAsia"/>
          <w:color w:val="auto"/>
          <w:sz w:val="21"/>
          <w:szCs w:val="21"/>
          <w:highlight w:val="none"/>
        </w:rPr>
        <w:t>法定代表人签字（签名或盖私章）：</w:t>
      </w:r>
    </w:p>
    <w:p>
      <w:pPr>
        <w:pStyle w:val="44"/>
        <w:spacing w:line="500" w:lineRule="atLeast"/>
        <w:ind w:firstLine="3517" w:firstLineChars="1675"/>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被授权人签字：</w:t>
      </w:r>
    </w:p>
    <w:p>
      <w:pPr>
        <w:pStyle w:val="44"/>
        <w:spacing w:line="500" w:lineRule="atLeast"/>
        <w:ind w:firstLine="3517" w:firstLineChars="1675"/>
        <w:rPr>
          <w:rFonts w:asciiTheme="minorEastAsia" w:hAnsiTheme="minorEastAsia" w:eastAsiaTheme="minorEastAsia"/>
          <w:color w:val="auto"/>
          <w:sz w:val="21"/>
          <w:szCs w:val="21"/>
          <w:highlight w:val="none"/>
          <w:u w:val="single"/>
        </w:rPr>
      </w:pPr>
      <w:r>
        <w:rPr>
          <w:rFonts w:hint="eastAsia" w:asciiTheme="minorEastAsia" w:hAnsiTheme="minorEastAsia" w:eastAsiaTheme="minorEastAsia"/>
          <w:color w:val="auto"/>
          <w:sz w:val="21"/>
          <w:szCs w:val="21"/>
          <w:highlight w:val="none"/>
        </w:rPr>
        <w:t>职务：</w:t>
      </w:r>
    </w:p>
    <w:p>
      <w:pPr>
        <w:pStyle w:val="44"/>
        <w:spacing w:line="500" w:lineRule="atLeast"/>
        <w:ind w:firstLine="3517" w:firstLineChars="1675"/>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移动电话： </w:t>
      </w:r>
    </w:p>
    <w:p>
      <w:pPr>
        <w:pStyle w:val="44"/>
        <w:spacing w:line="500" w:lineRule="atLeast"/>
        <w:ind w:firstLine="3517" w:firstLineChars="1675"/>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详细通讯地址：</w:t>
      </w:r>
    </w:p>
    <w:p>
      <w:pPr>
        <w:pStyle w:val="44"/>
        <w:spacing w:line="500" w:lineRule="atLeast"/>
        <w:ind w:firstLine="3517" w:firstLineChars="1675"/>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邮箱：                          </w:t>
      </w:r>
    </w:p>
    <w:p>
      <w:pPr>
        <w:pStyle w:val="44"/>
        <w:spacing w:line="500" w:lineRule="atLeast"/>
        <w:ind w:firstLine="3507" w:firstLineChars="167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日     期：  年  月  日</w:t>
      </w:r>
    </w:p>
    <w:p>
      <w:pPr>
        <w:pStyle w:val="44"/>
        <w:spacing w:line="460" w:lineRule="exact"/>
        <w:ind w:firstLine="433"/>
        <w:rPr>
          <w:rFonts w:asciiTheme="minorEastAsia" w:hAnsiTheme="minorEastAsia" w:eastAsiaTheme="minorEastAsia"/>
          <w:color w:val="auto"/>
          <w:sz w:val="21"/>
          <w:szCs w:val="21"/>
          <w:highlight w:val="none"/>
        </w:rPr>
      </w:pPr>
    </w:p>
    <w:p>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须附：被授权人身份证复印件。</w:t>
      </w:r>
    </w:p>
    <w:tbl>
      <w:tblPr>
        <w:tblStyle w:val="30"/>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44"/>
              <w:spacing w:line="460" w:lineRule="exact"/>
              <w:ind w:firstLine="0" w:firstLineChars="0"/>
              <w:jc w:val="cente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正面</w:t>
            </w:r>
          </w:p>
        </w:tc>
        <w:tc>
          <w:tcPr>
            <w:tcW w:w="4232" w:type="dxa"/>
            <w:vAlign w:val="center"/>
          </w:tcPr>
          <w:p>
            <w:pPr>
              <w:pStyle w:val="44"/>
              <w:spacing w:line="460" w:lineRule="exact"/>
              <w:ind w:firstLine="0" w:firstLineChars="0"/>
              <w:jc w:val="center"/>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背面</w:t>
            </w:r>
          </w:p>
        </w:tc>
      </w:tr>
    </w:tbl>
    <w:p>
      <w:pPr>
        <w:adjustRightInd/>
        <w:snapToGrid/>
        <w:spacing w:line="276" w:lineRule="auto"/>
        <w:rPr>
          <w:rFonts w:asciiTheme="minorEastAsia" w:hAnsiTheme="minorEastAsia" w:eastAsiaTheme="minorEastAsia"/>
          <w:color w:val="auto"/>
          <w:highlight w:val="none"/>
        </w:rPr>
      </w:pPr>
      <w:bookmarkStart w:id="171" w:name="_Toc22486"/>
      <w:r>
        <w:rPr>
          <w:rFonts w:hint="eastAsia" w:asciiTheme="minorEastAsia" w:hAnsiTheme="minorEastAsia" w:eastAsiaTheme="minorEastAsia"/>
          <w:color w:val="auto"/>
          <w:szCs w:val="21"/>
          <w:highlight w:val="none"/>
        </w:rPr>
        <w:br w:type="page"/>
      </w:r>
    </w:p>
    <w:p>
      <w:pPr>
        <w:pStyle w:val="5"/>
        <w:widowControl w:val="0"/>
        <w:overflowPunct w:val="0"/>
        <w:spacing w:line="240" w:lineRule="auto"/>
        <w:rPr>
          <w:rFonts w:asciiTheme="minorEastAsia" w:hAnsiTheme="minorEastAsia" w:eastAsiaTheme="minorEastAsia"/>
          <w:color w:val="auto"/>
          <w:sz w:val="21"/>
          <w:szCs w:val="21"/>
          <w:highlight w:val="none"/>
        </w:rPr>
      </w:pPr>
      <w:bookmarkStart w:id="172" w:name="_Toc160826358"/>
      <w:r>
        <w:rPr>
          <w:rFonts w:hint="eastAsia" w:asciiTheme="minorEastAsia" w:hAnsiTheme="minorEastAsia" w:eastAsiaTheme="minorEastAsia"/>
          <w:color w:val="auto"/>
          <w:sz w:val="21"/>
          <w:szCs w:val="21"/>
          <w:highlight w:val="none"/>
        </w:rPr>
        <w:t>附件</w:t>
      </w: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rPr>
        <w:t>.资格申明</w:t>
      </w:r>
      <w:bookmarkEnd w:id="172"/>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资格申明</w:t>
      </w:r>
    </w:p>
    <w:p>
      <w:pPr>
        <w:pStyle w:val="44"/>
        <w:spacing w:line="420" w:lineRule="atLeast"/>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u w:val="single"/>
        </w:rPr>
        <w:t xml:space="preserve">  xxx   </w:t>
      </w:r>
      <w:r>
        <w:rPr>
          <w:rFonts w:hint="eastAsia" w:asciiTheme="minorEastAsia" w:hAnsiTheme="minorEastAsia" w:eastAsiaTheme="minorEastAsia"/>
          <w:color w:val="auto"/>
          <w:sz w:val="21"/>
          <w:szCs w:val="21"/>
          <w:highlight w:val="none"/>
        </w:rPr>
        <w:t>公司：</w:t>
      </w:r>
    </w:p>
    <w:p>
      <w:pPr>
        <w:ind w:firstLine="420" w:firstLineChars="200"/>
        <w:rPr>
          <w:rFonts w:asciiTheme="minorEastAsia" w:hAnsiTheme="minorEastAsia" w:eastAsiaTheme="minorEastAsia"/>
          <w:color w:val="auto"/>
          <w:szCs w:val="21"/>
          <w:highlight w:val="none"/>
        </w:rPr>
      </w:pPr>
    </w:p>
    <w:p>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我方</w:t>
      </w:r>
      <w:r>
        <w:rPr>
          <w:rFonts w:asciiTheme="minorEastAsia" w:hAnsiTheme="minorEastAsia" w:eastAsiaTheme="minorEastAsia"/>
          <w:color w:val="auto"/>
          <w:szCs w:val="21"/>
          <w:highlight w:val="none"/>
        </w:rPr>
        <w:t>愿响应</w:t>
      </w:r>
      <w:r>
        <w:rPr>
          <w:rFonts w:hint="eastAsia" w:asciiTheme="minorEastAsia" w:hAnsiTheme="minorEastAsia" w:eastAsiaTheme="minorEastAsia"/>
          <w:color w:val="auto"/>
          <w:szCs w:val="21"/>
          <w:highlight w:val="none"/>
        </w:rPr>
        <w:t>贵</w:t>
      </w:r>
      <w:r>
        <w:rPr>
          <w:rFonts w:asciiTheme="minorEastAsia" w:hAnsiTheme="minorEastAsia" w:eastAsiaTheme="minorEastAsia"/>
          <w:color w:val="auto"/>
          <w:szCs w:val="21"/>
          <w:highlight w:val="none"/>
        </w:rPr>
        <w:t>方</w:t>
      </w:r>
      <w:r>
        <w:rPr>
          <w:rFonts w:hint="eastAsia" w:asciiTheme="minorEastAsia" w:hAnsiTheme="minorEastAsia" w:eastAsiaTheme="minorEastAsia"/>
          <w:color w:val="auto"/>
          <w:szCs w:val="21"/>
          <w:highlight w:val="none"/>
        </w:rPr>
        <w:t>关于（项目名称：</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采购项目编号：</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r>
        <w:rPr>
          <w:rFonts w:asciiTheme="minorEastAsia" w:hAnsiTheme="minorEastAsia" w:eastAsiaTheme="minorEastAsia"/>
          <w:color w:val="auto"/>
          <w:szCs w:val="21"/>
          <w:highlight w:val="none"/>
        </w:rPr>
        <w:t>投标邀请，参与投标，提供用户需求书中规定的</w:t>
      </w:r>
      <w:r>
        <w:rPr>
          <w:rFonts w:hint="eastAsia" w:asciiTheme="minorEastAsia" w:hAnsiTheme="minorEastAsia" w:eastAsiaTheme="minorEastAsia"/>
          <w:color w:val="auto"/>
          <w:szCs w:val="21"/>
          <w:highlight w:val="none"/>
        </w:rPr>
        <w:t>货物及相关服务</w:t>
      </w:r>
      <w:r>
        <w:rPr>
          <w:rFonts w:asciiTheme="minorEastAsia" w:hAnsiTheme="minorEastAsia" w:eastAsiaTheme="minorEastAsia"/>
          <w:color w:val="auto"/>
          <w:szCs w:val="21"/>
          <w:highlight w:val="none"/>
        </w:rPr>
        <w:t>，并按</w:t>
      </w:r>
      <w:r>
        <w:rPr>
          <w:rFonts w:hint="eastAsia" w:asciiTheme="minorEastAsia" w:hAnsiTheme="minorEastAsia" w:eastAsiaTheme="minorEastAsia"/>
          <w:color w:val="auto"/>
          <w:szCs w:val="21"/>
          <w:highlight w:val="none"/>
        </w:rPr>
        <w:t>采购</w:t>
      </w:r>
      <w:r>
        <w:rPr>
          <w:rFonts w:asciiTheme="minorEastAsia" w:hAnsiTheme="minorEastAsia" w:eastAsiaTheme="minorEastAsia"/>
          <w:color w:val="auto"/>
          <w:szCs w:val="21"/>
          <w:highlight w:val="none"/>
        </w:rPr>
        <w:t>文件要求提交所附资格文件且声明和保证如下：</w:t>
      </w:r>
    </w:p>
    <w:p>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w:t>
      </w:r>
      <w:r>
        <w:rPr>
          <w:rFonts w:asciiTheme="minorEastAsia" w:hAnsiTheme="minorEastAsia" w:eastAsiaTheme="minorEastAsia"/>
          <w:color w:val="auto"/>
          <w:szCs w:val="21"/>
          <w:highlight w:val="none"/>
        </w:rPr>
        <w:t>我方依法注册，在法律上、财务上和运作上完全独立于</w:t>
      </w:r>
      <w:r>
        <w:rPr>
          <w:rFonts w:hint="eastAsia" w:asciiTheme="minorEastAsia" w:hAnsiTheme="minorEastAsia" w:eastAsiaTheme="minorEastAsia"/>
          <w:color w:val="auto"/>
          <w:szCs w:val="21"/>
          <w:highlight w:val="none"/>
          <w:u w:val="single"/>
        </w:rPr>
        <w:t xml:space="preserve">  xxxx   </w:t>
      </w:r>
      <w:r>
        <w:rPr>
          <w:rFonts w:hint="eastAsia" w:asciiTheme="minorEastAsia" w:hAnsiTheme="minorEastAsia" w:eastAsiaTheme="minorEastAsia"/>
          <w:color w:val="auto"/>
          <w:szCs w:val="21"/>
          <w:highlight w:val="none"/>
        </w:rPr>
        <w:t>公司</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采购人</w:t>
      </w:r>
      <w:r>
        <w:rPr>
          <w:rFonts w:asciiTheme="minorEastAsia" w:hAnsiTheme="minorEastAsia" w:eastAsiaTheme="minorEastAsia"/>
          <w:color w:val="auto"/>
          <w:szCs w:val="21"/>
          <w:highlight w:val="none"/>
        </w:rPr>
        <w:t>）及</w:t>
      </w:r>
      <w:r>
        <w:rPr>
          <w:rFonts w:hint="eastAsia" w:asciiTheme="minorEastAsia" w:hAnsiTheme="minorEastAsia" w:eastAsiaTheme="minorEastAsia"/>
          <w:color w:val="auto"/>
          <w:szCs w:val="21"/>
          <w:highlight w:val="none"/>
          <w:u w:val="single"/>
        </w:rPr>
        <w:t xml:space="preserve">    xxx   </w:t>
      </w:r>
      <w:r>
        <w:rPr>
          <w:rFonts w:hint="eastAsia" w:asciiTheme="minorEastAsia" w:hAnsiTheme="minorEastAsia" w:eastAsiaTheme="minorEastAsia"/>
          <w:color w:val="auto"/>
          <w:szCs w:val="21"/>
          <w:highlight w:val="none"/>
        </w:rPr>
        <w:t>公司</w:t>
      </w:r>
      <w:r>
        <w:rPr>
          <w:rFonts w:asciiTheme="minorEastAsia" w:hAnsiTheme="minorEastAsia" w:eastAsiaTheme="minorEastAsia"/>
          <w:color w:val="auto"/>
          <w:szCs w:val="21"/>
          <w:highlight w:val="none"/>
        </w:rPr>
        <w:t>（采购代理机构）</w:t>
      </w:r>
      <w:r>
        <w:rPr>
          <w:rFonts w:hint="eastAsia" w:asciiTheme="minorEastAsia" w:hAnsiTheme="minorEastAsia" w:eastAsiaTheme="minorEastAsia"/>
          <w:color w:val="auto"/>
          <w:szCs w:val="21"/>
          <w:highlight w:val="none"/>
        </w:rPr>
        <w:t>。</w:t>
      </w:r>
    </w:p>
    <w:p>
      <w:pPr>
        <w:pStyle w:val="44"/>
        <w:spacing w:line="500" w:lineRule="atLeast"/>
        <w:ind w:firstLine="3517" w:firstLineChars="1675"/>
        <w:rPr>
          <w:rFonts w:asciiTheme="minorEastAsia" w:hAnsiTheme="minorEastAsia" w:eastAsiaTheme="minorEastAsia"/>
          <w:color w:val="auto"/>
          <w:sz w:val="21"/>
          <w:szCs w:val="21"/>
          <w:highlight w:val="none"/>
        </w:rPr>
      </w:pPr>
    </w:p>
    <w:p>
      <w:pPr>
        <w:pStyle w:val="44"/>
        <w:spacing w:line="500" w:lineRule="atLeast"/>
        <w:ind w:firstLine="3517" w:firstLineChars="1675"/>
        <w:rPr>
          <w:rFonts w:asciiTheme="minorEastAsia" w:hAnsiTheme="minorEastAsia" w:eastAsiaTheme="minorEastAsia"/>
          <w:color w:val="auto"/>
          <w:sz w:val="21"/>
          <w:szCs w:val="21"/>
          <w:highlight w:val="none"/>
        </w:rPr>
      </w:pPr>
    </w:p>
    <w:p>
      <w:pPr>
        <w:pStyle w:val="44"/>
        <w:spacing w:line="500" w:lineRule="atLeast"/>
        <w:ind w:firstLine="433"/>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投标人名称（加盖公章）：</w:t>
      </w:r>
    </w:p>
    <w:p>
      <w:pPr>
        <w:pStyle w:val="44"/>
        <w:spacing w:line="500" w:lineRule="atLeast"/>
        <w:ind w:firstLine="433"/>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法定代表人签字（签名或盖私章）：</w:t>
      </w:r>
    </w:p>
    <w:p>
      <w:pPr>
        <w:pStyle w:val="44"/>
        <w:spacing w:line="500" w:lineRule="atLeast"/>
        <w:ind w:firstLine="433"/>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日     期：</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年</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月</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日</w:t>
      </w:r>
    </w:p>
    <w:p>
      <w:pPr>
        <w:pStyle w:val="44"/>
        <w:spacing w:line="500" w:lineRule="atLeast"/>
        <w:ind w:firstLine="433"/>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br w:type="page"/>
      </w:r>
    </w:p>
    <w:p>
      <w:pPr>
        <w:pStyle w:val="5"/>
        <w:widowControl w:val="0"/>
        <w:overflowPunct w:val="0"/>
        <w:spacing w:line="240" w:lineRule="auto"/>
        <w:rPr>
          <w:rFonts w:asciiTheme="minorEastAsia" w:hAnsiTheme="minorEastAsia" w:eastAsiaTheme="minorEastAsia"/>
          <w:color w:val="auto"/>
          <w:sz w:val="21"/>
          <w:szCs w:val="21"/>
          <w:highlight w:val="none"/>
        </w:rPr>
      </w:pPr>
      <w:bookmarkStart w:id="173" w:name="_Toc160826359"/>
      <w:r>
        <w:rPr>
          <w:rFonts w:hint="eastAsia" w:asciiTheme="minorEastAsia" w:hAnsiTheme="minorEastAsia" w:eastAsiaTheme="minorEastAsia"/>
          <w:color w:val="auto"/>
          <w:sz w:val="21"/>
          <w:szCs w:val="21"/>
          <w:highlight w:val="none"/>
        </w:rPr>
        <w:t>附件</w:t>
      </w:r>
      <w:r>
        <w:rPr>
          <w:rFonts w:hint="eastAsia" w:asciiTheme="minorEastAsia" w:hAnsiTheme="minorEastAsia" w:eastAsiaTheme="minorEastAsia"/>
          <w:color w:val="auto"/>
          <w:sz w:val="21"/>
          <w:szCs w:val="21"/>
          <w:highlight w:val="none"/>
          <w:lang w:val="en-US" w:eastAsia="zh-CN"/>
        </w:rPr>
        <w:t>7</w:t>
      </w:r>
      <w:r>
        <w:rPr>
          <w:rFonts w:hint="eastAsia" w:asciiTheme="minorEastAsia" w:hAnsiTheme="minorEastAsia" w:eastAsiaTheme="minorEastAsia"/>
          <w:color w:val="auto"/>
          <w:sz w:val="21"/>
          <w:szCs w:val="21"/>
          <w:highlight w:val="none"/>
        </w:rPr>
        <w:t>.营业执照</w:t>
      </w:r>
      <w:bookmarkEnd w:id="173"/>
    </w:p>
    <w:p>
      <w:pPr>
        <w:jc w:val="center"/>
        <w:rPr>
          <w:rFonts w:asciiTheme="minorEastAsia" w:hAnsiTheme="minorEastAsia" w:eastAsiaTheme="minorEastAsia"/>
          <w:color w:val="auto"/>
          <w:sz w:val="28"/>
          <w:szCs w:val="28"/>
          <w:highlight w:val="none"/>
        </w:rPr>
      </w:pPr>
      <w:bookmarkStart w:id="174" w:name="_Toc1511"/>
      <w:bookmarkStart w:id="175" w:name="_Toc24210"/>
      <w:bookmarkStart w:id="176" w:name="_Toc17470"/>
      <w:bookmarkStart w:id="177" w:name="_Toc5919"/>
      <w:bookmarkStart w:id="178" w:name="_Toc4926"/>
      <w:r>
        <w:rPr>
          <w:rFonts w:hint="eastAsia" w:asciiTheme="minorEastAsia" w:hAnsiTheme="minorEastAsia" w:eastAsiaTheme="minorEastAsia"/>
          <w:color w:val="auto"/>
          <w:sz w:val="28"/>
          <w:szCs w:val="28"/>
          <w:highlight w:val="none"/>
        </w:rPr>
        <w:t>营业执照</w:t>
      </w:r>
      <w:bookmarkEnd w:id="174"/>
      <w:bookmarkEnd w:id="175"/>
      <w:bookmarkEnd w:id="176"/>
      <w:bookmarkEnd w:id="177"/>
      <w:bookmarkEnd w:id="178"/>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pStyle w:val="5"/>
        <w:widowControl w:val="0"/>
        <w:overflowPunct w:val="0"/>
        <w:spacing w:line="240" w:lineRule="auto"/>
        <w:rPr>
          <w:rFonts w:asciiTheme="minorEastAsia" w:hAnsiTheme="minorEastAsia" w:eastAsiaTheme="minorEastAsia"/>
          <w:color w:val="auto"/>
          <w:sz w:val="21"/>
          <w:szCs w:val="21"/>
          <w:highlight w:val="none"/>
        </w:rPr>
      </w:pPr>
      <w:bookmarkStart w:id="179" w:name="_Toc160826360"/>
      <w:r>
        <w:rPr>
          <w:rFonts w:hint="eastAsia" w:asciiTheme="minorEastAsia" w:hAnsiTheme="minorEastAsia" w:eastAsiaTheme="minorEastAsia"/>
          <w:color w:val="auto"/>
          <w:sz w:val="21"/>
          <w:szCs w:val="21"/>
          <w:highlight w:val="none"/>
        </w:rPr>
        <w:t>附件</w:t>
      </w:r>
      <w:r>
        <w:rPr>
          <w:rFonts w:hint="eastAsia" w:asciiTheme="minorEastAsia" w:hAnsiTheme="minorEastAsia" w:eastAsiaTheme="minorEastAsia"/>
          <w:color w:val="auto"/>
          <w:sz w:val="21"/>
          <w:szCs w:val="21"/>
          <w:highlight w:val="none"/>
          <w:lang w:val="en-US" w:eastAsia="zh-CN"/>
        </w:rPr>
        <w:t>8</w:t>
      </w:r>
      <w:r>
        <w:rPr>
          <w:rFonts w:hint="eastAsia" w:asciiTheme="minorEastAsia" w:hAnsiTheme="minorEastAsia" w:eastAsiaTheme="minorEastAsia"/>
          <w:color w:val="auto"/>
          <w:sz w:val="21"/>
          <w:szCs w:val="21"/>
          <w:highlight w:val="none"/>
        </w:rPr>
        <w:t>.相关资质证明文件</w:t>
      </w:r>
      <w:bookmarkEnd w:id="179"/>
    </w:p>
    <w:p>
      <w:pPr>
        <w:rPr>
          <w:rFonts w:asciiTheme="minorEastAsia" w:hAnsiTheme="minorEastAsia" w:eastAsiaTheme="minorEastAsia"/>
          <w:color w:val="auto"/>
          <w:highlight w:val="none"/>
        </w:rPr>
      </w:pPr>
    </w:p>
    <w:p>
      <w:pPr>
        <w:jc w:val="center"/>
        <w:rPr>
          <w:rFonts w:asciiTheme="minorEastAsia" w:hAnsiTheme="minorEastAsia" w:eastAsiaTheme="minorEastAsia"/>
          <w:color w:val="auto"/>
          <w:sz w:val="28"/>
          <w:szCs w:val="28"/>
          <w:highlight w:val="none"/>
        </w:rPr>
      </w:pPr>
      <w:bookmarkStart w:id="180" w:name="_Toc30307"/>
      <w:bookmarkStart w:id="181" w:name="_Toc16698"/>
      <w:bookmarkStart w:id="182" w:name="_Toc9592"/>
      <w:bookmarkStart w:id="183" w:name="_Toc13458"/>
      <w:bookmarkStart w:id="184" w:name="_Toc16233"/>
      <w:r>
        <w:rPr>
          <w:rFonts w:hint="eastAsia" w:asciiTheme="minorEastAsia" w:hAnsiTheme="minorEastAsia" w:eastAsiaTheme="minorEastAsia"/>
          <w:color w:val="auto"/>
          <w:sz w:val="28"/>
          <w:szCs w:val="28"/>
          <w:highlight w:val="none"/>
        </w:rPr>
        <w:t>相关资质证明文件</w:t>
      </w:r>
      <w:bookmarkEnd w:id="171"/>
      <w:bookmarkEnd w:id="180"/>
      <w:bookmarkEnd w:id="181"/>
      <w:bookmarkEnd w:id="182"/>
      <w:bookmarkEnd w:id="183"/>
      <w:bookmarkEnd w:id="184"/>
    </w:p>
    <w:p>
      <w:pPr>
        <w:numPr>
          <w:ilvl w:val="0"/>
          <w:numId w:val="12"/>
        </w:numPr>
        <w:tabs>
          <w:tab w:val="left" w:pos="1680"/>
        </w:tabs>
        <w:jc w:val="both"/>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符合投标邀请书“投标人资格要求”其他要求对应的证明文件；</w:t>
      </w:r>
    </w:p>
    <w:p>
      <w:pPr>
        <w:numPr>
          <w:ilvl w:val="0"/>
          <w:numId w:val="12"/>
        </w:numPr>
        <w:tabs>
          <w:tab w:val="left" w:pos="1680"/>
        </w:tabs>
        <w:jc w:val="both"/>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投标人认为必要的文件。</w:t>
      </w:r>
    </w:p>
    <w:p>
      <w:pPr>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br w:type="page"/>
      </w:r>
    </w:p>
    <w:p>
      <w:pPr>
        <w:numPr>
          <w:ilvl w:val="0"/>
          <w:numId w:val="0"/>
        </w:numPr>
        <w:tabs>
          <w:tab w:val="left" w:pos="1680"/>
        </w:tabs>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-1 关于行政处罚</w:t>
      </w:r>
      <w:r>
        <w:rPr>
          <w:rFonts w:hint="eastAsia" w:ascii="宋体" w:hAnsi="宋体" w:cs="宋体"/>
          <w:b/>
          <w:bCs/>
          <w:color w:val="auto"/>
          <w:szCs w:val="21"/>
          <w:highlight w:val="none"/>
          <w:lang w:val="en-US" w:eastAsia="zh-CN"/>
        </w:rPr>
        <w:t>声</w:t>
      </w:r>
      <w:r>
        <w:rPr>
          <w:rFonts w:hint="eastAsia" w:ascii="宋体" w:hAnsi="宋体" w:eastAsia="宋体" w:cs="宋体"/>
          <w:b/>
          <w:bCs/>
          <w:color w:val="auto"/>
          <w:szCs w:val="21"/>
          <w:highlight w:val="none"/>
        </w:rPr>
        <w:t>明</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s="宋体" w:asciiTheme="minorEastAsia" w:hAnsiTheme="minorEastAsia" w:eastAsiaTheme="minorEastAsia"/>
          <w:color w:val="auto"/>
          <w:szCs w:val="21"/>
          <w:highlight w:val="none"/>
          <w:u w:val="none"/>
          <w:lang w:val="en-US" w:eastAsia="zh-CN"/>
        </w:rPr>
      </w:pPr>
      <w:r>
        <w:rPr>
          <w:rFonts w:hint="eastAsia" w:cs="宋体" w:asciiTheme="minorEastAsia" w:hAnsiTheme="minorEastAsia" w:eastAsiaTheme="minorEastAsia"/>
          <w:color w:val="auto"/>
          <w:szCs w:val="21"/>
          <w:highlight w:val="none"/>
          <w:u w:val="none"/>
          <w:lang w:val="en-US" w:eastAsia="zh-CN"/>
        </w:rPr>
        <w:t>我方</w:t>
      </w:r>
      <w:r>
        <w:rPr>
          <w:rFonts w:hint="eastAsia" w:cs="宋体" w:asciiTheme="minorEastAsia" w:hAnsiTheme="minorEastAsia" w:eastAsiaTheme="minorEastAsia"/>
          <w:color w:val="auto"/>
          <w:szCs w:val="21"/>
          <w:highlight w:val="none"/>
          <w:u w:val="single"/>
          <w:lang w:val="en-US" w:eastAsia="zh-CN"/>
        </w:rPr>
        <w:t xml:space="preserve">  （投标人名称）  </w:t>
      </w:r>
      <w:r>
        <w:rPr>
          <w:rFonts w:hint="eastAsia" w:cs="宋体" w:asciiTheme="minorEastAsia" w:hAnsiTheme="minorEastAsia" w:eastAsiaTheme="minorEastAsia"/>
          <w:color w:val="auto"/>
          <w:szCs w:val="21"/>
          <w:highlight w:val="none"/>
          <w:u w:val="none"/>
          <w:lang w:val="en-US" w:eastAsia="zh-CN"/>
        </w:rPr>
        <w:t>已完整阅读了东莞市海心沙资源综合利用中心环保热电厂2025年度活性炭、熟石灰采购项目（项目编号：XDY-GK-2025-001）采购文件的所有内容（包括澄清，以及所有已提供的参考资料和有关附件）。</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s="宋体" w:asciiTheme="minorEastAsia" w:hAnsiTheme="minorEastAsia" w:eastAsiaTheme="minorEastAsia"/>
          <w:color w:val="auto"/>
          <w:szCs w:val="21"/>
          <w:highlight w:val="none"/>
          <w:u w:val="none"/>
          <w:lang w:val="en-US" w:eastAsia="zh-CN"/>
        </w:rPr>
      </w:pPr>
      <w:r>
        <w:rPr>
          <w:rFonts w:hint="eastAsia" w:cs="宋体" w:asciiTheme="minorEastAsia" w:hAnsiTheme="minorEastAsia" w:eastAsiaTheme="minorEastAsia"/>
          <w:color w:val="auto"/>
          <w:szCs w:val="21"/>
          <w:highlight w:val="none"/>
          <w:u w:val="none"/>
          <w:lang w:val="en-US" w:eastAsia="zh-CN"/>
        </w:rPr>
        <w:t>我方承诺，我方（含我方依法设立的分公司）在投标前1年内（2024年1月1日以来）未受到本项目采购文件所述的生态环境主管部门给予的暂扣许可证件、降低资质等级、吊销许可证件、限制开展生产经营活动、责令停产停业、责令关闭和限制从业等行政处罚，如我方在此项内容中作出虚假声明（或未能如实声明）的，一经发现视为虚假应标，取消我方资格，采购人有权没收我方投标保证金，由我方自行承担全部后果。</w:t>
      </w:r>
    </w:p>
    <w:p>
      <w:pPr>
        <w:spacing w:line="360" w:lineRule="auto"/>
        <w:ind w:right="560"/>
        <w:rPr>
          <w:rFonts w:ascii="宋体" w:hAnsi="宋体"/>
          <w:color w:val="auto"/>
          <w:szCs w:val="21"/>
          <w:highlight w:val="none"/>
        </w:rPr>
      </w:pPr>
    </w:p>
    <w:p>
      <w:pPr>
        <w:spacing w:line="360" w:lineRule="auto"/>
        <w:ind w:right="560"/>
        <w:rPr>
          <w:rFonts w:ascii="宋体" w:hAnsi="宋体"/>
          <w:color w:val="auto"/>
          <w:szCs w:val="21"/>
          <w:highlight w:val="none"/>
        </w:rPr>
      </w:pPr>
    </w:p>
    <w:p>
      <w:pPr>
        <w:spacing w:line="360" w:lineRule="auto"/>
        <w:ind w:right="560"/>
        <w:rPr>
          <w:rFonts w:ascii="宋体" w:hAnsi="宋体"/>
          <w:color w:val="auto"/>
          <w:sz w:val="21"/>
          <w:szCs w:val="22"/>
          <w:highlight w:val="none"/>
        </w:rPr>
      </w:pPr>
    </w:p>
    <w:p>
      <w:pPr>
        <w:spacing w:line="360" w:lineRule="auto"/>
        <w:ind w:right="560"/>
        <w:rPr>
          <w:rFonts w:ascii="宋体" w:hAnsi="宋体"/>
          <w:color w:val="auto"/>
          <w:sz w:val="21"/>
          <w:szCs w:val="22"/>
          <w:highlight w:val="none"/>
        </w:rPr>
      </w:pPr>
      <w:r>
        <w:rPr>
          <w:rFonts w:hint="eastAsia" w:ascii="宋体" w:hAnsi="宋体"/>
          <w:color w:val="auto"/>
          <w:sz w:val="21"/>
          <w:szCs w:val="22"/>
          <w:highlight w:val="none"/>
        </w:rPr>
        <w:t>投标人名称（加盖公章）</w:t>
      </w:r>
    </w:p>
    <w:p>
      <w:pPr>
        <w:spacing w:line="360" w:lineRule="auto"/>
        <w:ind w:right="560"/>
        <w:rPr>
          <w:rFonts w:ascii="宋体" w:hAnsi="宋体"/>
          <w:color w:val="auto"/>
          <w:sz w:val="21"/>
          <w:szCs w:val="22"/>
          <w:highlight w:val="none"/>
        </w:rPr>
      </w:pPr>
      <w:r>
        <w:rPr>
          <w:rFonts w:hint="eastAsia" w:ascii="宋体" w:hAnsi="宋体"/>
          <w:color w:val="auto"/>
          <w:sz w:val="21"/>
          <w:szCs w:val="22"/>
          <w:highlight w:val="none"/>
        </w:rPr>
        <w:t>投标人法定代表人或受委托人（签名或盖私章）：</w:t>
      </w:r>
    </w:p>
    <w:p>
      <w:pPr>
        <w:spacing w:line="360" w:lineRule="auto"/>
        <w:ind w:right="560"/>
        <w:rPr>
          <w:rFonts w:ascii="宋体" w:hAnsi="宋体"/>
          <w:color w:val="auto"/>
          <w:sz w:val="21"/>
          <w:szCs w:val="22"/>
          <w:highlight w:val="none"/>
        </w:rPr>
      </w:pPr>
      <w:r>
        <w:rPr>
          <w:rFonts w:hint="eastAsia" w:ascii="宋体" w:hAnsi="宋体"/>
          <w:color w:val="auto"/>
          <w:sz w:val="21"/>
          <w:szCs w:val="22"/>
          <w:highlight w:val="none"/>
        </w:rPr>
        <w:t>日   期：</w:t>
      </w:r>
    </w:p>
    <w:p>
      <w:pPr>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br w:type="page"/>
      </w:r>
    </w:p>
    <w:p>
      <w:pPr>
        <w:numPr>
          <w:ilvl w:val="0"/>
          <w:numId w:val="0"/>
        </w:numPr>
        <w:tabs>
          <w:tab w:val="left" w:pos="1680"/>
        </w:tabs>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 xml:space="preserve"> </w:t>
      </w:r>
      <w:r>
        <w:rPr>
          <w:rFonts w:hint="eastAsia" w:ascii="宋体" w:hAnsi="宋体" w:cs="宋体"/>
          <w:b/>
          <w:bCs/>
          <w:color w:val="auto"/>
          <w:szCs w:val="21"/>
          <w:highlight w:val="none"/>
          <w:lang w:val="en-US" w:eastAsia="zh-CN"/>
        </w:rPr>
        <w:t>诚信声</w:t>
      </w:r>
      <w:r>
        <w:rPr>
          <w:rFonts w:hint="eastAsia" w:ascii="宋体" w:hAnsi="宋体" w:eastAsia="宋体" w:cs="宋体"/>
          <w:b/>
          <w:bCs/>
          <w:color w:val="auto"/>
          <w:szCs w:val="21"/>
          <w:highlight w:val="none"/>
        </w:rPr>
        <w:t>明</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我方</w:t>
      </w:r>
      <w:r>
        <w:rPr>
          <w:rFonts w:hint="eastAsia" w:cs="宋体" w:asciiTheme="minorEastAsia" w:hAnsiTheme="minorEastAsia" w:eastAsiaTheme="minorEastAsia"/>
          <w:color w:val="auto"/>
          <w:szCs w:val="21"/>
          <w:highlight w:val="none"/>
          <w:u w:val="single"/>
          <w:lang w:val="en-US" w:eastAsia="zh-CN"/>
        </w:rPr>
        <w:t xml:space="preserve">  </w:t>
      </w:r>
      <w:r>
        <w:rPr>
          <w:rFonts w:hint="eastAsia" w:cs="宋体" w:asciiTheme="minorEastAsia" w:hAnsiTheme="minorEastAsia" w:eastAsiaTheme="minorEastAsia"/>
          <w:color w:val="auto"/>
          <w:szCs w:val="21"/>
          <w:highlight w:val="none"/>
          <w:u w:val="single"/>
        </w:rPr>
        <w:t>（投标人名称）</w:t>
      </w:r>
      <w:r>
        <w:rPr>
          <w:rFonts w:hint="eastAsia" w:cs="宋体" w:asciiTheme="minorEastAsia" w:hAnsiTheme="minorEastAsia" w:eastAsiaTheme="minorEastAsia"/>
          <w:color w:val="auto"/>
          <w:szCs w:val="21"/>
          <w:highlight w:val="none"/>
          <w:u w:val="single"/>
          <w:lang w:val="en-US" w:eastAsia="zh-CN"/>
        </w:rPr>
        <w:t xml:space="preserve">  </w:t>
      </w:r>
      <w:r>
        <w:rPr>
          <w:rFonts w:hint="eastAsia" w:cs="宋体" w:asciiTheme="minorEastAsia" w:hAnsiTheme="minorEastAsia" w:eastAsiaTheme="minorEastAsia"/>
          <w:color w:val="auto"/>
          <w:szCs w:val="21"/>
          <w:highlight w:val="none"/>
        </w:rPr>
        <w:t>已完整阅读了</w:t>
      </w:r>
      <w:r>
        <w:rPr>
          <w:rFonts w:hint="eastAsia" w:cs="宋体" w:asciiTheme="minorEastAsia" w:hAnsiTheme="minorEastAsia" w:eastAsiaTheme="minorEastAsia"/>
          <w:color w:val="auto"/>
          <w:szCs w:val="21"/>
          <w:highlight w:val="none"/>
          <w:lang w:eastAsia="zh-CN"/>
        </w:rPr>
        <w:t>东莞市海心沙资源综合利用中心环保热电厂2025年度活性炭、熟石灰采购项目</w:t>
      </w:r>
      <w:r>
        <w:rPr>
          <w:rFonts w:hint="eastAsia" w:cs="宋体" w:asciiTheme="minorEastAsia" w:hAnsiTheme="minorEastAsia" w:eastAsiaTheme="minorEastAsia"/>
          <w:color w:val="auto"/>
          <w:szCs w:val="21"/>
          <w:highlight w:val="none"/>
        </w:rPr>
        <w:t>（项目编号：</w:t>
      </w:r>
      <w:r>
        <w:rPr>
          <w:rFonts w:hint="eastAsia" w:cs="宋体" w:asciiTheme="minorEastAsia" w:hAnsiTheme="minorEastAsia" w:eastAsiaTheme="minorEastAsia"/>
          <w:color w:val="auto"/>
          <w:szCs w:val="21"/>
          <w:highlight w:val="none"/>
          <w:lang w:eastAsia="zh-CN"/>
        </w:rPr>
        <w:t>XDY-GK-2025-001</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eastAsia="zh-CN"/>
        </w:rPr>
        <w:t>采购文件</w:t>
      </w:r>
      <w:r>
        <w:rPr>
          <w:rFonts w:hint="eastAsia" w:cs="宋体" w:asciiTheme="minorEastAsia" w:hAnsiTheme="minorEastAsia" w:eastAsiaTheme="minorEastAsia"/>
          <w:color w:val="auto"/>
          <w:szCs w:val="21"/>
          <w:highlight w:val="none"/>
        </w:rPr>
        <w:t>的所有内容（包括澄清，以及所有已提供的参考资料和有关附件）。</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我方承诺，我方（含我方依法设立的分公司）</w:t>
      </w:r>
      <w:r>
        <w:rPr>
          <w:rFonts w:hint="eastAsia" w:cs="宋体" w:asciiTheme="minorEastAsia" w:hAnsiTheme="minorEastAsia" w:eastAsiaTheme="minorEastAsia"/>
          <w:color w:val="auto"/>
          <w:szCs w:val="21"/>
          <w:highlight w:val="none"/>
          <w:lang w:val="en-US" w:eastAsia="zh-CN"/>
        </w:rPr>
        <w:t>最近3年内（2022年1月1日以来）在参与采购人任一采购项目时未出现过提供虚假资料或未通过资格后审的情形</w:t>
      </w:r>
      <w:r>
        <w:rPr>
          <w:rFonts w:hint="eastAsia" w:cs="宋体" w:asciiTheme="minorEastAsia" w:hAnsiTheme="minorEastAsia" w:eastAsiaTheme="minorEastAsia"/>
          <w:color w:val="auto"/>
          <w:szCs w:val="21"/>
          <w:highlight w:val="none"/>
        </w:rPr>
        <w:t>，如我方在此项内容中作出虚假声明（或未能如实声明）的，一经发现视为虚假应标，取消我方</w:t>
      </w:r>
      <w:r>
        <w:rPr>
          <w:rFonts w:hint="eastAsia" w:cs="宋体" w:asciiTheme="minorEastAsia" w:hAnsiTheme="minorEastAsia" w:eastAsiaTheme="minorEastAsia"/>
          <w:color w:val="auto"/>
          <w:szCs w:val="21"/>
          <w:highlight w:val="none"/>
          <w:lang w:eastAsia="zh-CN"/>
        </w:rPr>
        <w:t>投标（中标）</w:t>
      </w:r>
      <w:r>
        <w:rPr>
          <w:rFonts w:hint="eastAsia" w:cs="宋体" w:asciiTheme="minorEastAsia" w:hAnsiTheme="minorEastAsia" w:eastAsiaTheme="minorEastAsia"/>
          <w:color w:val="auto"/>
          <w:szCs w:val="21"/>
          <w:highlight w:val="none"/>
        </w:rPr>
        <w:t>资格，</w:t>
      </w:r>
      <w:r>
        <w:rPr>
          <w:rFonts w:hint="eastAsia" w:cs="宋体" w:asciiTheme="minorEastAsia" w:hAnsiTheme="minorEastAsia" w:eastAsiaTheme="minorEastAsia"/>
          <w:color w:val="auto"/>
          <w:szCs w:val="21"/>
          <w:highlight w:val="none"/>
          <w:lang w:eastAsia="zh-CN"/>
        </w:rPr>
        <w:t>采购人</w:t>
      </w:r>
      <w:r>
        <w:rPr>
          <w:rFonts w:hint="eastAsia" w:cs="宋体" w:asciiTheme="minorEastAsia" w:hAnsiTheme="minorEastAsia" w:eastAsiaTheme="minorEastAsia"/>
          <w:color w:val="auto"/>
          <w:szCs w:val="21"/>
          <w:highlight w:val="none"/>
        </w:rPr>
        <w:t>有权没收我方投标保证金，由我方自行承担全部后果。</w:t>
      </w:r>
    </w:p>
    <w:p>
      <w:pPr>
        <w:spacing w:line="360" w:lineRule="auto"/>
        <w:ind w:right="560"/>
        <w:rPr>
          <w:rFonts w:ascii="宋体" w:hAnsi="宋体"/>
          <w:color w:val="auto"/>
          <w:szCs w:val="21"/>
          <w:highlight w:val="none"/>
        </w:rPr>
      </w:pPr>
    </w:p>
    <w:p>
      <w:pPr>
        <w:spacing w:line="360" w:lineRule="auto"/>
        <w:ind w:right="560"/>
        <w:rPr>
          <w:rFonts w:ascii="宋体" w:hAnsi="宋体"/>
          <w:color w:val="auto"/>
          <w:sz w:val="21"/>
          <w:szCs w:val="22"/>
          <w:highlight w:val="none"/>
        </w:rPr>
      </w:pPr>
    </w:p>
    <w:p>
      <w:pPr>
        <w:spacing w:line="360" w:lineRule="auto"/>
        <w:ind w:right="560"/>
        <w:rPr>
          <w:rFonts w:ascii="宋体" w:hAnsi="宋体"/>
          <w:color w:val="auto"/>
          <w:sz w:val="21"/>
          <w:szCs w:val="22"/>
          <w:highlight w:val="none"/>
        </w:rPr>
      </w:pPr>
      <w:r>
        <w:rPr>
          <w:rFonts w:hint="eastAsia" w:ascii="宋体" w:hAnsi="宋体"/>
          <w:color w:val="auto"/>
          <w:sz w:val="21"/>
          <w:szCs w:val="22"/>
          <w:highlight w:val="none"/>
        </w:rPr>
        <w:t>投标人名称（加盖公章）</w:t>
      </w:r>
    </w:p>
    <w:p>
      <w:pPr>
        <w:spacing w:line="360" w:lineRule="auto"/>
        <w:ind w:right="560"/>
        <w:rPr>
          <w:rFonts w:ascii="宋体" w:hAnsi="宋体"/>
          <w:color w:val="auto"/>
          <w:sz w:val="21"/>
          <w:szCs w:val="22"/>
          <w:highlight w:val="none"/>
        </w:rPr>
      </w:pPr>
      <w:r>
        <w:rPr>
          <w:rFonts w:hint="eastAsia" w:ascii="宋体" w:hAnsi="宋体"/>
          <w:color w:val="auto"/>
          <w:sz w:val="21"/>
          <w:szCs w:val="22"/>
          <w:highlight w:val="none"/>
        </w:rPr>
        <w:t>投标人法定代表人或受委托人（签名或盖私章）：</w:t>
      </w:r>
    </w:p>
    <w:p>
      <w:pPr>
        <w:spacing w:line="360" w:lineRule="auto"/>
        <w:ind w:right="560"/>
        <w:rPr>
          <w:rFonts w:ascii="宋体" w:hAnsi="宋体"/>
          <w:color w:val="auto"/>
          <w:sz w:val="21"/>
          <w:szCs w:val="22"/>
          <w:highlight w:val="none"/>
        </w:rPr>
      </w:pPr>
      <w:r>
        <w:rPr>
          <w:rFonts w:hint="eastAsia" w:ascii="宋体" w:hAnsi="宋体"/>
          <w:color w:val="auto"/>
          <w:sz w:val="21"/>
          <w:szCs w:val="22"/>
          <w:highlight w:val="none"/>
        </w:rPr>
        <w:t>日   期：</w:t>
      </w:r>
    </w:p>
    <w:p>
      <w:pPr>
        <w:numPr>
          <w:ilvl w:val="0"/>
          <w:numId w:val="12"/>
        </w:numPr>
        <w:tabs>
          <w:tab w:val="left" w:pos="1680"/>
        </w:tabs>
        <w:jc w:val="both"/>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br w:type="page"/>
      </w:r>
    </w:p>
    <w:p>
      <w:pPr>
        <w:pStyle w:val="5"/>
        <w:widowControl w:val="0"/>
        <w:overflowPunct w:val="0"/>
        <w:spacing w:line="240" w:lineRule="auto"/>
        <w:rPr>
          <w:rFonts w:asciiTheme="minorEastAsia" w:hAnsiTheme="minorEastAsia" w:eastAsiaTheme="minorEastAsia"/>
          <w:color w:val="auto"/>
          <w:highlight w:val="none"/>
        </w:rPr>
      </w:pPr>
      <w:bookmarkStart w:id="185" w:name="_Toc160826361"/>
      <w:r>
        <w:rPr>
          <w:rFonts w:hint="eastAsia" w:asciiTheme="minorEastAsia" w:hAnsiTheme="minorEastAsia" w:eastAsiaTheme="minorEastAsia"/>
          <w:color w:val="auto"/>
          <w:sz w:val="21"/>
          <w:szCs w:val="21"/>
          <w:highlight w:val="none"/>
        </w:rPr>
        <w:t>附件</w:t>
      </w:r>
      <w:r>
        <w:rPr>
          <w:rFonts w:hint="eastAsia" w:asciiTheme="minorEastAsia" w:hAnsiTheme="minorEastAsia" w:eastAsiaTheme="minorEastAsia"/>
          <w:color w:val="auto"/>
          <w:sz w:val="21"/>
          <w:szCs w:val="21"/>
          <w:highlight w:val="none"/>
          <w:lang w:val="en-US" w:eastAsia="zh-CN"/>
        </w:rPr>
        <w:t>9</w:t>
      </w:r>
      <w:r>
        <w:rPr>
          <w:rFonts w:hint="eastAsia" w:asciiTheme="minorEastAsia" w:hAnsiTheme="minorEastAsia" w:eastAsiaTheme="minorEastAsia"/>
          <w:color w:val="auto"/>
          <w:sz w:val="21"/>
          <w:szCs w:val="21"/>
          <w:highlight w:val="none"/>
        </w:rPr>
        <w:t>.在经营活动中没有重大违法记录的书面声明格式</w:t>
      </w:r>
      <w:bookmarkEnd w:id="185"/>
    </w:p>
    <w:p>
      <w:pPr>
        <w:rPr>
          <w:rFonts w:asciiTheme="minorEastAsia" w:hAnsiTheme="minorEastAsia" w:eastAsiaTheme="minorEastAsia"/>
          <w:color w:val="auto"/>
          <w:highlight w:val="none"/>
        </w:rPr>
      </w:pPr>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投标人在经营活动中前三年内未有重大违法记录、没有不良信用记录的声明函</w:t>
      </w:r>
    </w:p>
    <w:p>
      <w:pPr>
        <w:ind w:firstLine="420" w:firstLineChars="200"/>
        <w:rPr>
          <w:rFonts w:cs="宋体" w:asciiTheme="minorEastAsia" w:hAnsiTheme="minorEastAsia" w:eastAsiaTheme="minorEastAsia"/>
          <w:color w:val="auto"/>
          <w:szCs w:val="21"/>
          <w:highlight w:val="none"/>
        </w:rPr>
      </w:pPr>
    </w:p>
    <w:p>
      <w:pPr>
        <w:spacing w:line="48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x</w:t>
      </w:r>
      <w:r>
        <w:rPr>
          <w:rFonts w:cs="宋体" w:asciiTheme="minorEastAsia" w:hAnsiTheme="minorEastAsia" w:eastAsiaTheme="minorEastAsia"/>
          <w:color w:val="auto"/>
          <w:szCs w:val="21"/>
          <w:highlight w:val="none"/>
        </w:rPr>
        <w:t>xx</w:t>
      </w:r>
      <w:r>
        <w:rPr>
          <w:rFonts w:hint="eastAsia" w:cs="宋体" w:asciiTheme="minorEastAsia" w:hAnsiTheme="minorEastAsia" w:eastAsiaTheme="minorEastAsia"/>
          <w:color w:val="auto"/>
          <w:szCs w:val="21"/>
          <w:highlight w:val="none"/>
        </w:rPr>
        <w:t>公司：</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我公司郑重承诺：在参加“</w:t>
      </w:r>
      <w:r>
        <w:rPr>
          <w:rFonts w:hint="eastAsia" w:cs="宋体" w:asciiTheme="minorEastAsia" w:hAnsiTheme="minorEastAsia" w:eastAsiaTheme="minorEastAsia"/>
          <w:color w:val="auto"/>
          <w:szCs w:val="21"/>
          <w:highlight w:val="none"/>
          <w:u w:val="single"/>
        </w:rPr>
        <w:t>东莞市海心沙资源综合利用中心环保热电厂2025年度活性炭、熟石灰采购项目</w:t>
      </w:r>
      <w:r>
        <w:rPr>
          <w:rFonts w:hint="eastAsia" w:cs="宋体" w:asciiTheme="minorEastAsia" w:hAnsiTheme="minorEastAsia" w:eastAsiaTheme="minorEastAsia"/>
          <w:color w:val="auto"/>
          <w:szCs w:val="21"/>
          <w:highlight w:val="none"/>
        </w:rPr>
        <w:t>” （项目编号</w:t>
      </w:r>
      <w:r>
        <w:rPr>
          <w:rFonts w:hint="eastAsia" w:cs="宋体" w:asciiTheme="minorEastAsia" w:hAnsiTheme="minorEastAsia" w:eastAsiaTheme="minorEastAsia"/>
          <w:color w:val="auto"/>
          <w:szCs w:val="21"/>
          <w:highlight w:val="none"/>
          <w:u w:val="none"/>
          <w:lang w:eastAsia="zh-CN"/>
        </w:rPr>
        <w:t>：</w:t>
      </w:r>
      <w:r>
        <w:rPr>
          <w:rFonts w:hint="eastAsia" w:ascii="宋体" w:hAnsi="宋体"/>
          <w:color w:val="auto"/>
          <w:sz w:val="21"/>
          <w:szCs w:val="22"/>
          <w:highlight w:val="none"/>
          <w:u w:val="single"/>
          <w:lang w:eastAsia="zh-CN"/>
        </w:rPr>
        <w:t>XDY-GK-2025-001</w:t>
      </w:r>
      <w:r>
        <w:rPr>
          <w:rFonts w:hint="eastAsia" w:cs="宋体" w:asciiTheme="minorEastAsia" w:hAnsiTheme="minorEastAsia" w:eastAsiaTheme="minorEastAsia"/>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我公司以上承诺均为真实有效，绝无任何虚假、伪造的成份，否则，愿承担相应的后果和法律责任。</w:t>
      </w:r>
    </w:p>
    <w:p>
      <w:pPr>
        <w:ind w:firstLine="420" w:firstLineChars="200"/>
        <w:rPr>
          <w:rFonts w:cs="宋体" w:asciiTheme="minorEastAsia" w:hAnsiTheme="minorEastAsia" w:eastAsiaTheme="minorEastAsia"/>
          <w:color w:val="auto"/>
          <w:szCs w:val="21"/>
          <w:highlight w:val="none"/>
        </w:rPr>
      </w:pPr>
    </w:p>
    <w:p>
      <w:pPr>
        <w:rPr>
          <w:rFonts w:cs="宋体" w:asciiTheme="minorEastAsia" w:hAnsiTheme="minorEastAsia" w:eastAsiaTheme="minorEastAsia"/>
          <w:color w:val="auto"/>
          <w:szCs w:val="21"/>
          <w:highlight w:val="none"/>
        </w:rPr>
      </w:pPr>
    </w:p>
    <w:p>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投标人名称（盖章）：</w:t>
      </w:r>
    </w:p>
    <w:p>
      <w:pPr>
        <w:rPr>
          <w:rFonts w:cs="宋体" w:asciiTheme="minorEastAsia" w:hAnsiTheme="minorEastAsia" w:eastAsiaTheme="minorEastAsia"/>
          <w:color w:val="auto"/>
          <w:szCs w:val="21"/>
          <w:highlight w:val="none"/>
        </w:rPr>
      </w:pPr>
    </w:p>
    <w:p>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日期：</w:t>
      </w:r>
    </w:p>
    <w:p>
      <w:pPr>
        <w:rPr>
          <w:rFonts w:asciiTheme="minorEastAsia" w:hAnsiTheme="minorEastAsia" w:eastAsiaTheme="minorEastAsia"/>
          <w:color w:val="auto"/>
          <w:highlight w:val="none"/>
        </w:rPr>
      </w:pPr>
    </w:p>
    <w:p>
      <w:pPr>
        <w:rPr>
          <w:rFonts w:asciiTheme="minorEastAsia" w:hAnsiTheme="minorEastAsia" w:eastAsiaTheme="minorEastAsia"/>
          <w:color w:val="auto"/>
          <w:szCs w:val="21"/>
          <w:highlight w:val="none"/>
        </w:rPr>
      </w:pPr>
    </w:p>
    <w:p>
      <w:pPr>
        <w:pStyle w:val="9"/>
        <w:rPr>
          <w:rFonts w:asciiTheme="minorEastAsia" w:hAnsiTheme="minorEastAsia" w:eastAsiaTheme="minorEastAsia"/>
          <w:color w:val="auto"/>
          <w:sz w:val="21"/>
          <w:szCs w:val="21"/>
          <w:highlight w:val="none"/>
        </w:rPr>
      </w:pPr>
    </w:p>
    <w:p>
      <w:pPr>
        <w:rPr>
          <w:rFonts w:asciiTheme="minorEastAsia" w:hAnsiTheme="minorEastAsia" w:eastAsiaTheme="minorEastAsia"/>
          <w:color w:val="auto"/>
          <w:szCs w:val="21"/>
          <w:highlight w:val="none"/>
        </w:rPr>
      </w:pPr>
    </w:p>
    <w:p>
      <w:pPr>
        <w:pStyle w:val="9"/>
        <w:rPr>
          <w:rFonts w:asciiTheme="minorEastAsia" w:hAnsiTheme="minorEastAsia" w:eastAsiaTheme="minorEastAsia"/>
          <w:color w:val="auto"/>
          <w:sz w:val="21"/>
          <w:szCs w:val="21"/>
          <w:highlight w:val="none"/>
        </w:rPr>
      </w:pPr>
    </w:p>
    <w:p>
      <w:pPr>
        <w:rPr>
          <w:rFonts w:asciiTheme="minorEastAsia" w:hAnsiTheme="minorEastAsia" w:eastAsiaTheme="minorEastAsia"/>
          <w:color w:val="auto"/>
          <w:szCs w:val="21"/>
          <w:highlight w:val="none"/>
        </w:rPr>
      </w:pPr>
    </w:p>
    <w:p>
      <w:pPr>
        <w:pStyle w:val="9"/>
        <w:rPr>
          <w:rFonts w:asciiTheme="minorEastAsia" w:hAnsiTheme="minorEastAsia" w:eastAsiaTheme="minorEastAsia"/>
          <w:color w:val="auto"/>
          <w:sz w:val="21"/>
          <w:szCs w:val="21"/>
          <w:highlight w:val="none"/>
        </w:rPr>
      </w:pPr>
    </w:p>
    <w:p>
      <w:pPr>
        <w:rPr>
          <w:rFonts w:asciiTheme="minorEastAsia" w:hAnsiTheme="minorEastAsia" w:eastAsiaTheme="minorEastAsia"/>
          <w:color w:val="auto"/>
          <w:szCs w:val="21"/>
          <w:highlight w:val="none"/>
        </w:rPr>
      </w:pPr>
    </w:p>
    <w:p>
      <w:pPr>
        <w:pStyle w:val="9"/>
        <w:rPr>
          <w:rFonts w:asciiTheme="minorEastAsia" w:hAnsiTheme="minorEastAsia" w:eastAsiaTheme="minorEastAsia"/>
          <w:color w:val="auto"/>
          <w:sz w:val="21"/>
          <w:szCs w:val="21"/>
          <w:highlight w:val="none"/>
        </w:rPr>
      </w:pPr>
    </w:p>
    <w:p>
      <w:pPr>
        <w:rPr>
          <w:rFonts w:asciiTheme="minorEastAsia" w:hAnsiTheme="minorEastAsia" w:eastAsiaTheme="minorEastAsia"/>
          <w:color w:val="auto"/>
          <w:szCs w:val="21"/>
          <w:highlight w:val="none"/>
        </w:rPr>
      </w:pPr>
    </w:p>
    <w:p>
      <w:pPr>
        <w:pStyle w:val="9"/>
        <w:rPr>
          <w:rFonts w:asciiTheme="minorEastAsia" w:hAnsiTheme="minorEastAsia" w:eastAsiaTheme="minorEastAsia"/>
          <w:color w:val="auto"/>
          <w:sz w:val="21"/>
          <w:szCs w:val="21"/>
          <w:highlight w:val="none"/>
        </w:rPr>
      </w:pPr>
    </w:p>
    <w:p>
      <w:pPr>
        <w:rPr>
          <w:rFonts w:asciiTheme="minorEastAsia" w:hAnsiTheme="minorEastAsia" w:eastAsiaTheme="minorEastAsia"/>
          <w:color w:val="auto"/>
          <w:highlight w:val="none"/>
        </w:rPr>
      </w:pPr>
    </w:p>
    <w:p>
      <w:pPr>
        <w:pStyle w:val="5"/>
        <w:widowControl w:val="0"/>
        <w:overflowPunct w:val="0"/>
        <w:spacing w:line="240" w:lineRule="auto"/>
        <w:rPr>
          <w:rFonts w:asciiTheme="majorEastAsia" w:hAnsiTheme="majorEastAsia" w:eastAsiaTheme="majorEastAsia"/>
          <w:color w:val="auto"/>
          <w:highlight w:val="none"/>
        </w:rPr>
      </w:pPr>
      <w:bookmarkStart w:id="186" w:name="_Toc160826362"/>
      <w:r>
        <w:rPr>
          <w:rFonts w:hint="eastAsia" w:asciiTheme="majorEastAsia" w:hAnsiTheme="majorEastAsia" w:eastAsiaTheme="majorEastAsia"/>
          <w:color w:val="auto"/>
          <w:sz w:val="21"/>
          <w:szCs w:val="21"/>
          <w:highlight w:val="none"/>
        </w:rPr>
        <w:t>附件</w:t>
      </w:r>
      <w:r>
        <w:rPr>
          <w:rFonts w:hint="eastAsia" w:asciiTheme="majorEastAsia" w:hAnsiTheme="majorEastAsia" w:eastAsiaTheme="majorEastAsia"/>
          <w:color w:val="auto"/>
          <w:sz w:val="21"/>
          <w:szCs w:val="21"/>
          <w:highlight w:val="none"/>
          <w:lang w:val="en-US" w:eastAsia="zh-CN"/>
        </w:rPr>
        <w:t>10</w:t>
      </w:r>
      <w:r>
        <w:rPr>
          <w:rFonts w:hint="eastAsia" w:asciiTheme="majorEastAsia" w:hAnsiTheme="majorEastAsia" w:eastAsiaTheme="majorEastAsia"/>
          <w:color w:val="auto"/>
          <w:sz w:val="21"/>
          <w:szCs w:val="21"/>
          <w:highlight w:val="none"/>
        </w:rPr>
        <w:t>.承诺书格式</w:t>
      </w:r>
      <w:bookmarkEnd w:id="186"/>
    </w:p>
    <w:p>
      <w:pPr>
        <w:jc w:val="center"/>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承诺书</w:t>
      </w:r>
    </w:p>
    <w:p>
      <w:pPr>
        <w:pStyle w:val="44"/>
        <w:spacing w:line="420" w:lineRule="atLeast"/>
        <w:ind w:firstLine="0" w:firstLineChars="0"/>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致xxx公司：</w:t>
      </w:r>
    </w:p>
    <w:p>
      <w:pPr>
        <w:jc w:val="center"/>
        <w:rPr>
          <w:rFonts w:cs="宋体" w:asciiTheme="majorEastAsia" w:hAnsiTheme="majorEastAsia" w:eastAsiaTheme="majorEastAsia"/>
          <w:color w:val="auto"/>
          <w:szCs w:val="21"/>
          <w:highlight w:val="none"/>
        </w:rPr>
      </w:pPr>
    </w:p>
    <w:p>
      <w:pPr>
        <w:pStyle w:val="44"/>
        <w:spacing w:line="420" w:lineRule="exact"/>
        <w:ind w:firstLine="433"/>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我方已完整阅读了</w:t>
      </w:r>
      <w:r>
        <w:rPr>
          <w:rFonts w:hint="eastAsia" w:cs="宋体" w:asciiTheme="majorEastAsia" w:hAnsiTheme="majorEastAsia" w:eastAsiaTheme="majorEastAsia"/>
          <w:color w:val="auto"/>
          <w:sz w:val="21"/>
          <w:szCs w:val="21"/>
          <w:highlight w:val="none"/>
          <w:u w:val="single"/>
        </w:rPr>
        <w:t>东莞市海心沙资源综合利用中心环保热电厂2025年度活性炭、熟石灰采购项目</w:t>
      </w:r>
      <w:r>
        <w:rPr>
          <w:rFonts w:hint="eastAsia" w:cs="宋体" w:asciiTheme="majorEastAsia" w:hAnsiTheme="majorEastAsia" w:eastAsiaTheme="majorEastAsia"/>
          <w:color w:val="auto"/>
          <w:sz w:val="21"/>
          <w:szCs w:val="21"/>
          <w:highlight w:val="none"/>
          <w:u w:val="none"/>
        </w:rPr>
        <w:t>（项目编号：</w:t>
      </w:r>
      <w:r>
        <w:rPr>
          <w:rFonts w:hint="eastAsia" w:cs="宋体" w:asciiTheme="majorEastAsia" w:hAnsiTheme="majorEastAsia" w:eastAsiaTheme="majorEastAsia"/>
          <w:color w:val="auto"/>
          <w:sz w:val="21"/>
          <w:szCs w:val="21"/>
          <w:highlight w:val="none"/>
          <w:u w:val="single"/>
        </w:rPr>
        <w:t>XDY-GK-2025-001</w:t>
      </w:r>
      <w:r>
        <w:rPr>
          <w:rFonts w:hint="eastAsia" w:cs="宋体" w:asciiTheme="majorEastAsia" w:hAnsiTheme="majorEastAsia" w:eastAsiaTheme="majorEastAsia"/>
          <w:color w:val="auto"/>
          <w:sz w:val="21"/>
          <w:szCs w:val="21"/>
          <w:highlight w:val="none"/>
          <w:u w:val="none"/>
        </w:rPr>
        <w:t>）</w:t>
      </w:r>
      <w:r>
        <w:rPr>
          <w:rFonts w:hint="eastAsia" w:cs="宋体" w:asciiTheme="majorEastAsia" w:hAnsiTheme="majorEastAsia" w:eastAsiaTheme="majorEastAsia"/>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cs="宋体" w:asciiTheme="majorEastAsia" w:hAnsiTheme="majorEastAsia" w:eastAsiaTheme="majorEastAsia"/>
          <w:color w:val="auto"/>
          <w:sz w:val="21"/>
          <w:szCs w:val="21"/>
          <w:highlight w:val="none"/>
        </w:rPr>
        <w:cr/>
      </w:r>
    </w:p>
    <w:p>
      <w:pPr>
        <w:pStyle w:val="44"/>
        <w:spacing w:line="420" w:lineRule="exact"/>
        <w:ind w:firstLine="433"/>
        <w:rPr>
          <w:rFonts w:cs="宋体" w:asciiTheme="majorEastAsia" w:hAnsiTheme="majorEastAsia" w:eastAsiaTheme="majorEastAsia"/>
          <w:color w:val="auto"/>
          <w:sz w:val="21"/>
          <w:szCs w:val="21"/>
          <w:highlight w:val="none"/>
        </w:rPr>
      </w:pPr>
    </w:p>
    <w:p>
      <w:pPr>
        <w:ind w:right="561" w:firstLine="420" w:firstLineChars="200"/>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投标人名称（加盖公章）：</w:t>
      </w:r>
    </w:p>
    <w:p>
      <w:pPr>
        <w:ind w:right="561" w:firstLine="420" w:firstLineChars="200"/>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法定代表人或被授权人（签名或盖私章）：</w:t>
      </w:r>
    </w:p>
    <w:p>
      <w:pPr>
        <w:ind w:right="561" w:firstLine="420" w:firstLineChars="200"/>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日      期：</w:t>
      </w:r>
    </w:p>
    <w:p>
      <w:pPr>
        <w:rPr>
          <w:rFonts w:asciiTheme="majorEastAsia" w:hAnsiTheme="majorEastAsia" w:eastAsiaTheme="majorEastAsia"/>
          <w:color w:val="auto"/>
          <w:highlight w:val="none"/>
        </w:rPr>
      </w:pPr>
    </w:p>
    <w:p>
      <w:pPr>
        <w:adjustRightInd/>
        <w:snapToGrid/>
        <w:spacing w:line="240" w:lineRule="auto"/>
        <w:rPr>
          <w:rFonts w:asciiTheme="majorEastAsia" w:hAnsiTheme="majorEastAsia" w:eastAsiaTheme="majorEastAsia" w:cstheme="majorBidi"/>
          <w:b/>
          <w:bCs/>
          <w:color w:val="auto"/>
          <w:szCs w:val="21"/>
          <w:highlight w:val="none"/>
        </w:rPr>
      </w:pPr>
      <w:bookmarkStart w:id="187" w:name="_Toc8279"/>
    </w:p>
    <w:p>
      <w:pPr>
        <w:rPr>
          <w:rFonts w:hint="eastAsia" w:asciiTheme="minorEastAsia" w:hAnsiTheme="minorEastAsia" w:eastAsiaTheme="minorEastAsia"/>
          <w:color w:val="auto"/>
          <w:sz w:val="21"/>
          <w:szCs w:val="21"/>
          <w:highlight w:val="none"/>
        </w:rPr>
      </w:pPr>
      <w:bookmarkStart w:id="188" w:name="_Toc160826363"/>
      <w:r>
        <w:rPr>
          <w:rFonts w:hint="eastAsia" w:asciiTheme="minorEastAsia" w:hAnsiTheme="minorEastAsia" w:eastAsiaTheme="minorEastAsia"/>
          <w:color w:val="auto"/>
          <w:sz w:val="21"/>
          <w:szCs w:val="21"/>
          <w:highlight w:val="none"/>
        </w:rPr>
        <w:br w:type="page"/>
      </w:r>
    </w:p>
    <w:p>
      <w:pPr>
        <w:pStyle w:val="5"/>
        <w:widowControl w:val="0"/>
        <w:overflowPunct w:val="0"/>
        <w:spacing w:line="24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附件1</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.商务需求条款偏离表格式</w:t>
      </w:r>
      <w:bookmarkEnd w:id="187"/>
      <w:bookmarkEnd w:id="188"/>
    </w:p>
    <w:p>
      <w:pPr>
        <w:jc w:val="center"/>
        <w:rPr>
          <w:rFonts w:asciiTheme="minorEastAsia" w:hAnsiTheme="minorEastAsia" w:eastAsiaTheme="minorEastAsia"/>
          <w:color w:val="auto"/>
          <w:sz w:val="28"/>
          <w:szCs w:val="28"/>
          <w:highlight w:val="none"/>
        </w:rPr>
      </w:pPr>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商务需求条款偏离表</w:t>
      </w:r>
    </w:p>
    <w:tbl>
      <w:tblPr>
        <w:tblStyle w:val="30"/>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162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服务项目名称</w:t>
            </w:r>
          </w:p>
        </w:tc>
        <w:tc>
          <w:tcPr>
            <w:tcW w:w="136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采购要求</w:t>
            </w:r>
          </w:p>
        </w:tc>
        <w:tc>
          <w:tcPr>
            <w:tcW w:w="158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投标实际响应</w:t>
            </w:r>
          </w:p>
        </w:tc>
        <w:tc>
          <w:tcPr>
            <w:tcW w:w="113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是否偏离</w:t>
            </w:r>
          </w:p>
        </w:tc>
        <w:tc>
          <w:tcPr>
            <w:tcW w:w="173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Theme="minorEastAsia" w:hAnsiTheme="minorEastAsia" w:eastAsiaTheme="minorEastAsia"/>
                <w:color w:val="auto"/>
                <w:szCs w:val="21"/>
                <w:highlight w:val="none"/>
              </w:rPr>
            </w:pPr>
          </w:p>
        </w:tc>
        <w:tc>
          <w:tcPr>
            <w:tcW w:w="1620" w:type="dxa"/>
            <w:vAlign w:val="center"/>
          </w:tcPr>
          <w:p>
            <w:pPr>
              <w:jc w:val="center"/>
              <w:rPr>
                <w:rFonts w:asciiTheme="minorEastAsia" w:hAnsiTheme="minorEastAsia" w:eastAsiaTheme="minorEastAsia"/>
                <w:color w:val="auto"/>
                <w:szCs w:val="21"/>
                <w:highlight w:val="none"/>
              </w:rPr>
            </w:pPr>
          </w:p>
        </w:tc>
        <w:tc>
          <w:tcPr>
            <w:tcW w:w="1360" w:type="dxa"/>
            <w:vAlign w:val="center"/>
          </w:tcPr>
          <w:p>
            <w:pPr>
              <w:jc w:val="center"/>
              <w:rPr>
                <w:rFonts w:asciiTheme="minorEastAsia" w:hAnsiTheme="minorEastAsia" w:eastAsiaTheme="minorEastAsia"/>
                <w:color w:val="auto"/>
                <w:szCs w:val="21"/>
                <w:highlight w:val="none"/>
              </w:rPr>
            </w:pPr>
          </w:p>
        </w:tc>
        <w:tc>
          <w:tcPr>
            <w:tcW w:w="1587" w:type="dxa"/>
            <w:vAlign w:val="center"/>
          </w:tcPr>
          <w:p>
            <w:pPr>
              <w:jc w:val="center"/>
              <w:rPr>
                <w:rFonts w:asciiTheme="minorEastAsia" w:hAnsiTheme="minorEastAsia" w:eastAsiaTheme="minorEastAsia"/>
                <w:color w:val="auto"/>
                <w:szCs w:val="21"/>
                <w:highlight w:val="none"/>
              </w:rPr>
            </w:pPr>
          </w:p>
        </w:tc>
        <w:tc>
          <w:tcPr>
            <w:tcW w:w="1133" w:type="dxa"/>
            <w:vAlign w:val="center"/>
          </w:tcPr>
          <w:p>
            <w:pPr>
              <w:jc w:val="center"/>
              <w:rPr>
                <w:rFonts w:asciiTheme="minorEastAsia" w:hAnsiTheme="minorEastAsia" w:eastAsiaTheme="minorEastAsia"/>
                <w:color w:val="auto"/>
                <w:szCs w:val="21"/>
                <w:highlight w:val="none"/>
              </w:rPr>
            </w:pPr>
          </w:p>
        </w:tc>
        <w:tc>
          <w:tcPr>
            <w:tcW w:w="1730"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Theme="minorEastAsia" w:hAnsiTheme="minorEastAsia" w:eastAsiaTheme="minorEastAsia"/>
                <w:color w:val="auto"/>
                <w:szCs w:val="21"/>
                <w:highlight w:val="none"/>
              </w:rPr>
            </w:pPr>
          </w:p>
        </w:tc>
        <w:tc>
          <w:tcPr>
            <w:tcW w:w="1620" w:type="dxa"/>
            <w:vAlign w:val="center"/>
          </w:tcPr>
          <w:p>
            <w:pPr>
              <w:jc w:val="center"/>
              <w:rPr>
                <w:rFonts w:asciiTheme="minorEastAsia" w:hAnsiTheme="minorEastAsia" w:eastAsiaTheme="minorEastAsia"/>
                <w:color w:val="auto"/>
                <w:szCs w:val="21"/>
                <w:highlight w:val="none"/>
              </w:rPr>
            </w:pPr>
          </w:p>
        </w:tc>
        <w:tc>
          <w:tcPr>
            <w:tcW w:w="1360" w:type="dxa"/>
            <w:vAlign w:val="center"/>
          </w:tcPr>
          <w:p>
            <w:pPr>
              <w:jc w:val="center"/>
              <w:rPr>
                <w:rFonts w:asciiTheme="minorEastAsia" w:hAnsiTheme="minorEastAsia" w:eastAsiaTheme="minorEastAsia"/>
                <w:color w:val="auto"/>
                <w:szCs w:val="21"/>
                <w:highlight w:val="none"/>
              </w:rPr>
            </w:pPr>
          </w:p>
        </w:tc>
        <w:tc>
          <w:tcPr>
            <w:tcW w:w="1587" w:type="dxa"/>
            <w:vAlign w:val="center"/>
          </w:tcPr>
          <w:p>
            <w:pPr>
              <w:jc w:val="center"/>
              <w:rPr>
                <w:rFonts w:asciiTheme="minorEastAsia" w:hAnsiTheme="minorEastAsia" w:eastAsiaTheme="minorEastAsia"/>
                <w:color w:val="auto"/>
                <w:szCs w:val="21"/>
                <w:highlight w:val="none"/>
              </w:rPr>
            </w:pPr>
          </w:p>
        </w:tc>
        <w:tc>
          <w:tcPr>
            <w:tcW w:w="1133" w:type="dxa"/>
            <w:vAlign w:val="center"/>
          </w:tcPr>
          <w:p>
            <w:pPr>
              <w:jc w:val="center"/>
              <w:rPr>
                <w:rFonts w:asciiTheme="minorEastAsia" w:hAnsiTheme="minorEastAsia" w:eastAsiaTheme="minorEastAsia"/>
                <w:color w:val="auto"/>
                <w:szCs w:val="21"/>
                <w:highlight w:val="none"/>
              </w:rPr>
            </w:pPr>
          </w:p>
        </w:tc>
        <w:tc>
          <w:tcPr>
            <w:tcW w:w="1730"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Theme="minorEastAsia" w:hAnsiTheme="minorEastAsia" w:eastAsiaTheme="minorEastAsia"/>
                <w:color w:val="auto"/>
                <w:szCs w:val="21"/>
                <w:highlight w:val="none"/>
              </w:rPr>
            </w:pPr>
          </w:p>
        </w:tc>
        <w:tc>
          <w:tcPr>
            <w:tcW w:w="1620" w:type="dxa"/>
            <w:vAlign w:val="center"/>
          </w:tcPr>
          <w:p>
            <w:pPr>
              <w:jc w:val="center"/>
              <w:rPr>
                <w:rFonts w:asciiTheme="minorEastAsia" w:hAnsiTheme="minorEastAsia" w:eastAsiaTheme="minorEastAsia"/>
                <w:color w:val="auto"/>
                <w:szCs w:val="21"/>
                <w:highlight w:val="none"/>
              </w:rPr>
            </w:pPr>
          </w:p>
        </w:tc>
        <w:tc>
          <w:tcPr>
            <w:tcW w:w="1360" w:type="dxa"/>
            <w:vAlign w:val="center"/>
          </w:tcPr>
          <w:p>
            <w:pPr>
              <w:jc w:val="center"/>
              <w:rPr>
                <w:rFonts w:asciiTheme="minorEastAsia" w:hAnsiTheme="minorEastAsia" w:eastAsiaTheme="minorEastAsia"/>
                <w:color w:val="auto"/>
                <w:szCs w:val="21"/>
                <w:highlight w:val="none"/>
              </w:rPr>
            </w:pPr>
          </w:p>
        </w:tc>
        <w:tc>
          <w:tcPr>
            <w:tcW w:w="1587" w:type="dxa"/>
            <w:vAlign w:val="center"/>
          </w:tcPr>
          <w:p>
            <w:pPr>
              <w:jc w:val="center"/>
              <w:rPr>
                <w:rFonts w:asciiTheme="minorEastAsia" w:hAnsiTheme="minorEastAsia" w:eastAsiaTheme="minorEastAsia"/>
                <w:color w:val="auto"/>
                <w:szCs w:val="21"/>
                <w:highlight w:val="none"/>
              </w:rPr>
            </w:pPr>
          </w:p>
        </w:tc>
        <w:tc>
          <w:tcPr>
            <w:tcW w:w="1133" w:type="dxa"/>
            <w:vAlign w:val="center"/>
          </w:tcPr>
          <w:p>
            <w:pPr>
              <w:jc w:val="center"/>
              <w:rPr>
                <w:rFonts w:asciiTheme="minorEastAsia" w:hAnsiTheme="minorEastAsia" w:eastAsiaTheme="minorEastAsia"/>
                <w:color w:val="auto"/>
                <w:szCs w:val="21"/>
                <w:highlight w:val="none"/>
              </w:rPr>
            </w:pPr>
          </w:p>
        </w:tc>
        <w:tc>
          <w:tcPr>
            <w:tcW w:w="1730"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Theme="minorEastAsia" w:hAnsiTheme="minorEastAsia" w:eastAsiaTheme="minorEastAsia"/>
                <w:color w:val="auto"/>
                <w:szCs w:val="21"/>
                <w:highlight w:val="none"/>
              </w:rPr>
            </w:pPr>
          </w:p>
        </w:tc>
        <w:tc>
          <w:tcPr>
            <w:tcW w:w="1620" w:type="dxa"/>
            <w:vAlign w:val="center"/>
          </w:tcPr>
          <w:p>
            <w:pPr>
              <w:jc w:val="center"/>
              <w:rPr>
                <w:rFonts w:asciiTheme="minorEastAsia" w:hAnsiTheme="minorEastAsia" w:eastAsiaTheme="minorEastAsia"/>
                <w:color w:val="auto"/>
                <w:szCs w:val="21"/>
                <w:highlight w:val="none"/>
              </w:rPr>
            </w:pPr>
          </w:p>
        </w:tc>
        <w:tc>
          <w:tcPr>
            <w:tcW w:w="1360" w:type="dxa"/>
            <w:vAlign w:val="center"/>
          </w:tcPr>
          <w:p>
            <w:pPr>
              <w:jc w:val="center"/>
              <w:rPr>
                <w:rFonts w:asciiTheme="minorEastAsia" w:hAnsiTheme="minorEastAsia" w:eastAsiaTheme="minorEastAsia"/>
                <w:color w:val="auto"/>
                <w:szCs w:val="21"/>
                <w:highlight w:val="none"/>
              </w:rPr>
            </w:pPr>
          </w:p>
        </w:tc>
        <w:tc>
          <w:tcPr>
            <w:tcW w:w="1587" w:type="dxa"/>
            <w:vAlign w:val="center"/>
          </w:tcPr>
          <w:p>
            <w:pPr>
              <w:jc w:val="center"/>
              <w:rPr>
                <w:rFonts w:asciiTheme="minorEastAsia" w:hAnsiTheme="minorEastAsia" w:eastAsiaTheme="minorEastAsia"/>
                <w:color w:val="auto"/>
                <w:szCs w:val="21"/>
                <w:highlight w:val="none"/>
              </w:rPr>
            </w:pPr>
          </w:p>
        </w:tc>
        <w:tc>
          <w:tcPr>
            <w:tcW w:w="1133" w:type="dxa"/>
            <w:vAlign w:val="center"/>
          </w:tcPr>
          <w:p>
            <w:pPr>
              <w:jc w:val="center"/>
              <w:rPr>
                <w:rFonts w:asciiTheme="minorEastAsia" w:hAnsiTheme="minorEastAsia" w:eastAsiaTheme="minorEastAsia"/>
                <w:color w:val="auto"/>
                <w:szCs w:val="21"/>
                <w:highlight w:val="none"/>
              </w:rPr>
            </w:pPr>
          </w:p>
        </w:tc>
        <w:tc>
          <w:tcPr>
            <w:tcW w:w="1730"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Theme="minorEastAsia" w:hAnsiTheme="minorEastAsia" w:eastAsiaTheme="minorEastAsia"/>
                <w:color w:val="auto"/>
                <w:szCs w:val="21"/>
                <w:highlight w:val="none"/>
              </w:rPr>
            </w:pPr>
          </w:p>
        </w:tc>
        <w:tc>
          <w:tcPr>
            <w:tcW w:w="1620" w:type="dxa"/>
            <w:vAlign w:val="center"/>
          </w:tcPr>
          <w:p>
            <w:pPr>
              <w:jc w:val="center"/>
              <w:rPr>
                <w:rFonts w:asciiTheme="minorEastAsia" w:hAnsiTheme="minorEastAsia" w:eastAsiaTheme="minorEastAsia"/>
                <w:color w:val="auto"/>
                <w:szCs w:val="21"/>
                <w:highlight w:val="none"/>
              </w:rPr>
            </w:pPr>
          </w:p>
        </w:tc>
        <w:tc>
          <w:tcPr>
            <w:tcW w:w="1360" w:type="dxa"/>
            <w:vAlign w:val="center"/>
          </w:tcPr>
          <w:p>
            <w:pPr>
              <w:jc w:val="center"/>
              <w:rPr>
                <w:rFonts w:asciiTheme="minorEastAsia" w:hAnsiTheme="minorEastAsia" w:eastAsiaTheme="minorEastAsia"/>
                <w:color w:val="auto"/>
                <w:szCs w:val="21"/>
                <w:highlight w:val="none"/>
              </w:rPr>
            </w:pPr>
          </w:p>
        </w:tc>
        <w:tc>
          <w:tcPr>
            <w:tcW w:w="1587" w:type="dxa"/>
            <w:vAlign w:val="center"/>
          </w:tcPr>
          <w:p>
            <w:pPr>
              <w:jc w:val="center"/>
              <w:rPr>
                <w:rFonts w:asciiTheme="minorEastAsia" w:hAnsiTheme="minorEastAsia" w:eastAsiaTheme="minorEastAsia"/>
                <w:color w:val="auto"/>
                <w:szCs w:val="21"/>
                <w:highlight w:val="none"/>
              </w:rPr>
            </w:pPr>
          </w:p>
        </w:tc>
        <w:tc>
          <w:tcPr>
            <w:tcW w:w="1133" w:type="dxa"/>
            <w:vAlign w:val="center"/>
          </w:tcPr>
          <w:p>
            <w:pPr>
              <w:jc w:val="center"/>
              <w:rPr>
                <w:rFonts w:asciiTheme="minorEastAsia" w:hAnsiTheme="minorEastAsia" w:eastAsiaTheme="minorEastAsia"/>
                <w:color w:val="auto"/>
                <w:szCs w:val="21"/>
                <w:highlight w:val="none"/>
              </w:rPr>
            </w:pPr>
          </w:p>
        </w:tc>
        <w:tc>
          <w:tcPr>
            <w:tcW w:w="1730"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Theme="minorEastAsia" w:hAnsiTheme="minorEastAsia" w:eastAsiaTheme="minorEastAsia"/>
                <w:color w:val="auto"/>
                <w:szCs w:val="21"/>
                <w:highlight w:val="none"/>
              </w:rPr>
            </w:pPr>
          </w:p>
        </w:tc>
        <w:tc>
          <w:tcPr>
            <w:tcW w:w="1620" w:type="dxa"/>
            <w:vAlign w:val="center"/>
          </w:tcPr>
          <w:p>
            <w:pPr>
              <w:jc w:val="center"/>
              <w:rPr>
                <w:rFonts w:asciiTheme="minorEastAsia" w:hAnsiTheme="minorEastAsia" w:eastAsiaTheme="minorEastAsia"/>
                <w:color w:val="auto"/>
                <w:szCs w:val="21"/>
                <w:highlight w:val="none"/>
              </w:rPr>
            </w:pPr>
          </w:p>
        </w:tc>
        <w:tc>
          <w:tcPr>
            <w:tcW w:w="1360" w:type="dxa"/>
            <w:vAlign w:val="center"/>
          </w:tcPr>
          <w:p>
            <w:pPr>
              <w:jc w:val="center"/>
              <w:rPr>
                <w:rFonts w:asciiTheme="minorEastAsia" w:hAnsiTheme="minorEastAsia" w:eastAsiaTheme="minorEastAsia"/>
                <w:color w:val="auto"/>
                <w:szCs w:val="21"/>
                <w:highlight w:val="none"/>
              </w:rPr>
            </w:pPr>
          </w:p>
        </w:tc>
        <w:tc>
          <w:tcPr>
            <w:tcW w:w="1587" w:type="dxa"/>
            <w:vAlign w:val="center"/>
          </w:tcPr>
          <w:p>
            <w:pPr>
              <w:jc w:val="center"/>
              <w:rPr>
                <w:rFonts w:asciiTheme="minorEastAsia" w:hAnsiTheme="minorEastAsia" w:eastAsiaTheme="minorEastAsia"/>
                <w:color w:val="auto"/>
                <w:szCs w:val="21"/>
                <w:highlight w:val="none"/>
              </w:rPr>
            </w:pPr>
          </w:p>
        </w:tc>
        <w:tc>
          <w:tcPr>
            <w:tcW w:w="1133" w:type="dxa"/>
            <w:vAlign w:val="center"/>
          </w:tcPr>
          <w:p>
            <w:pPr>
              <w:jc w:val="center"/>
              <w:rPr>
                <w:rFonts w:asciiTheme="minorEastAsia" w:hAnsiTheme="minorEastAsia" w:eastAsiaTheme="minorEastAsia"/>
                <w:color w:val="auto"/>
                <w:szCs w:val="21"/>
                <w:highlight w:val="none"/>
              </w:rPr>
            </w:pPr>
          </w:p>
        </w:tc>
        <w:tc>
          <w:tcPr>
            <w:tcW w:w="1730"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Theme="minorEastAsia" w:hAnsiTheme="minorEastAsia" w:eastAsiaTheme="minorEastAsia"/>
                <w:color w:val="auto"/>
                <w:szCs w:val="21"/>
                <w:highlight w:val="none"/>
              </w:rPr>
            </w:pPr>
          </w:p>
        </w:tc>
        <w:tc>
          <w:tcPr>
            <w:tcW w:w="1620" w:type="dxa"/>
            <w:vAlign w:val="center"/>
          </w:tcPr>
          <w:p>
            <w:pPr>
              <w:jc w:val="center"/>
              <w:rPr>
                <w:rFonts w:asciiTheme="minorEastAsia" w:hAnsiTheme="minorEastAsia" w:eastAsiaTheme="minorEastAsia"/>
                <w:color w:val="auto"/>
                <w:szCs w:val="21"/>
                <w:highlight w:val="none"/>
              </w:rPr>
            </w:pPr>
          </w:p>
        </w:tc>
        <w:tc>
          <w:tcPr>
            <w:tcW w:w="1360" w:type="dxa"/>
            <w:vAlign w:val="center"/>
          </w:tcPr>
          <w:p>
            <w:pPr>
              <w:jc w:val="center"/>
              <w:rPr>
                <w:rFonts w:asciiTheme="minorEastAsia" w:hAnsiTheme="minorEastAsia" w:eastAsiaTheme="minorEastAsia"/>
                <w:color w:val="auto"/>
                <w:szCs w:val="21"/>
                <w:highlight w:val="none"/>
              </w:rPr>
            </w:pPr>
          </w:p>
        </w:tc>
        <w:tc>
          <w:tcPr>
            <w:tcW w:w="1587" w:type="dxa"/>
            <w:vAlign w:val="center"/>
          </w:tcPr>
          <w:p>
            <w:pPr>
              <w:jc w:val="center"/>
              <w:rPr>
                <w:rFonts w:asciiTheme="minorEastAsia" w:hAnsiTheme="minorEastAsia" w:eastAsiaTheme="minorEastAsia"/>
                <w:color w:val="auto"/>
                <w:szCs w:val="21"/>
                <w:highlight w:val="none"/>
              </w:rPr>
            </w:pPr>
          </w:p>
        </w:tc>
        <w:tc>
          <w:tcPr>
            <w:tcW w:w="1133" w:type="dxa"/>
            <w:vAlign w:val="center"/>
          </w:tcPr>
          <w:p>
            <w:pPr>
              <w:jc w:val="center"/>
              <w:rPr>
                <w:rFonts w:asciiTheme="minorEastAsia" w:hAnsiTheme="minorEastAsia" w:eastAsiaTheme="minorEastAsia"/>
                <w:color w:val="auto"/>
                <w:szCs w:val="21"/>
                <w:highlight w:val="none"/>
              </w:rPr>
            </w:pPr>
          </w:p>
        </w:tc>
        <w:tc>
          <w:tcPr>
            <w:tcW w:w="1730"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Theme="minorEastAsia" w:hAnsiTheme="minorEastAsia" w:eastAsiaTheme="minorEastAsia"/>
                <w:color w:val="auto"/>
                <w:szCs w:val="21"/>
                <w:highlight w:val="none"/>
              </w:rPr>
            </w:pPr>
          </w:p>
        </w:tc>
        <w:tc>
          <w:tcPr>
            <w:tcW w:w="1620" w:type="dxa"/>
            <w:vAlign w:val="center"/>
          </w:tcPr>
          <w:p>
            <w:pPr>
              <w:jc w:val="center"/>
              <w:rPr>
                <w:rFonts w:asciiTheme="minorEastAsia" w:hAnsiTheme="minorEastAsia" w:eastAsiaTheme="minorEastAsia"/>
                <w:color w:val="auto"/>
                <w:szCs w:val="21"/>
                <w:highlight w:val="none"/>
              </w:rPr>
            </w:pPr>
          </w:p>
        </w:tc>
        <w:tc>
          <w:tcPr>
            <w:tcW w:w="1360" w:type="dxa"/>
            <w:vAlign w:val="center"/>
          </w:tcPr>
          <w:p>
            <w:pPr>
              <w:jc w:val="center"/>
              <w:rPr>
                <w:rFonts w:asciiTheme="minorEastAsia" w:hAnsiTheme="minorEastAsia" w:eastAsiaTheme="minorEastAsia"/>
                <w:color w:val="auto"/>
                <w:szCs w:val="21"/>
                <w:highlight w:val="none"/>
              </w:rPr>
            </w:pPr>
          </w:p>
        </w:tc>
        <w:tc>
          <w:tcPr>
            <w:tcW w:w="1587" w:type="dxa"/>
            <w:vAlign w:val="center"/>
          </w:tcPr>
          <w:p>
            <w:pPr>
              <w:jc w:val="center"/>
              <w:rPr>
                <w:rFonts w:asciiTheme="minorEastAsia" w:hAnsiTheme="minorEastAsia" w:eastAsiaTheme="minorEastAsia"/>
                <w:color w:val="auto"/>
                <w:szCs w:val="21"/>
                <w:highlight w:val="none"/>
              </w:rPr>
            </w:pPr>
          </w:p>
        </w:tc>
        <w:tc>
          <w:tcPr>
            <w:tcW w:w="1133" w:type="dxa"/>
            <w:vAlign w:val="center"/>
          </w:tcPr>
          <w:p>
            <w:pPr>
              <w:jc w:val="center"/>
              <w:rPr>
                <w:rFonts w:asciiTheme="minorEastAsia" w:hAnsiTheme="minorEastAsia" w:eastAsiaTheme="minorEastAsia"/>
                <w:color w:val="auto"/>
                <w:szCs w:val="21"/>
                <w:highlight w:val="none"/>
              </w:rPr>
            </w:pPr>
          </w:p>
        </w:tc>
        <w:tc>
          <w:tcPr>
            <w:tcW w:w="1730"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Theme="minorEastAsia" w:hAnsiTheme="minorEastAsia" w:eastAsiaTheme="minorEastAsia"/>
                <w:color w:val="auto"/>
                <w:szCs w:val="21"/>
                <w:highlight w:val="none"/>
              </w:rPr>
            </w:pPr>
          </w:p>
        </w:tc>
        <w:tc>
          <w:tcPr>
            <w:tcW w:w="1620" w:type="dxa"/>
            <w:vAlign w:val="center"/>
          </w:tcPr>
          <w:p>
            <w:pPr>
              <w:jc w:val="center"/>
              <w:rPr>
                <w:rFonts w:asciiTheme="minorEastAsia" w:hAnsiTheme="minorEastAsia" w:eastAsiaTheme="minorEastAsia"/>
                <w:color w:val="auto"/>
                <w:szCs w:val="21"/>
                <w:highlight w:val="none"/>
              </w:rPr>
            </w:pPr>
          </w:p>
        </w:tc>
        <w:tc>
          <w:tcPr>
            <w:tcW w:w="1360" w:type="dxa"/>
            <w:vAlign w:val="center"/>
          </w:tcPr>
          <w:p>
            <w:pPr>
              <w:jc w:val="center"/>
              <w:rPr>
                <w:rFonts w:asciiTheme="minorEastAsia" w:hAnsiTheme="minorEastAsia" w:eastAsiaTheme="minorEastAsia"/>
                <w:color w:val="auto"/>
                <w:szCs w:val="21"/>
                <w:highlight w:val="none"/>
              </w:rPr>
            </w:pPr>
          </w:p>
        </w:tc>
        <w:tc>
          <w:tcPr>
            <w:tcW w:w="1587" w:type="dxa"/>
            <w:vAlign w:val="center"/>
          </w:tcPr>
          <w:p>
            <w:pPr>
              <w:jc w:val="center"/>
              <w:rPr>
                <w:rFonts w:asciiTheme="minorEastAsia" w:hAnsiTheme="minorEastAsia" w:eastAsiaTheme="minorEastAsia"/>
                <w:color w:val="auto"/>
                <w:szCs w:val="21"/>
                <w:highlight w:val="none"/>
              </w:rPr>
            </w:pPr>
          </w:p>
        </w:tc>
        <w:tc>
          <w:tcPr>
            <w:tcW w:w="1133" w:type="dxa"/>
            <w:vAlign w:val="center"/>
          </w:tcPr>
          <w:p>
            <w:pPr>
              <w:jc w:val="center"/>
              <w:rPr>
                <w:rFonts w:asciiTheme="minorEastAsia" w:hAnsiTheme="minorEastAsia" w:eastAsiaTheme="minorEastAsia"/>
                <w:color w:val="auto"/>
                <w:szCs w:val="21"/>
                <w:highlight w:val="none"/>
              </w:rPr>
            </w:pPr>
          </w:p>
        </w:tc>
        <w:tc>
          <w:tcPr>
            <w:tcW w:w="1730"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Theme="minorEastAsia" w:hAnsiTheme="minorEastAsia" w:eastAsiaTheme="minorEastAsia"/>
                <w:color w:val="auto"/>
                <w:szCs w:val="21"/>
                <w:highlight w:val="none"/>
              </w:rPr>
            </w:pPr>
          </w:p>
        </w:tc>
        <w:tc>
          <w:tcPr>
            <w:tcW w:w="1620" w:type="dxa"/>
            <w:vAlign w:val="center"/>
          </w:tcPr>
          <w:p>
            <w:pPr>
              <w:jc w:val="center"/>
              <w:rPr>
                <w:rFonts w:asciiTheme="minorEastAsia" w:hAnsiTheme="minorEastAsia" w:eastAsiaTheme="minorEastAsia"/>
                <w:color w:val="auto"/>
                <w:szCs w:val="21"/>
                <w:highlight w:val="none"/>
              </w:rPr>
            </w:pPr>
          </w:p>
        </w:tc>
        <w:tc>
          <w:tcPr>
            <w:tcW w:w="1360" w:type="dxa"/>
            <w:vAlign w:val="center"/>
          </w:tcPr>
          <w:p>
            <w:pPr>
              <w:jc w:val="center"/>
              <w:rPr>
                <w:rFonts w:asciiTheme="minorEastAsia" w:hAnsiTheme="minorEastAsia" w:eastAsiaTheme="minorEastAsia"/>
                <w:color w:val="auto"/>
                <w:szCs w:val="21"/>
                <w:highlight w:val="none"/>
              </w:rPr>
            </w:pPr>
          </w:p>
        </w:tc>
        <w:tc>
          <w:tcPr>
            <w:tcW w:w="1587" w:type="dxa"/>
            <w:vAlign w:val="center"/>
          </w:tcPr>
          <w:p>
            <w:pPr>
              <w:jc w:val="center"/>
              <w:rPr>
                <w:rFonts w:asciiTheme="minorEastAsia" w:hAnsiTheme="minorEastAsia" w:eastAsiaTheme="minorEastAsia"/>
                <w:color w:val="auto"/>
                <w:szCs w:val="21"/>
                <w:highlight w:val="none"/>
              </w:rPr>
            </w:pPr>
          </w:p>
        </w:tc>
        <w:tc>
          <w:tcPr>
            <w:tcW w:w="1133" w:type="dxa"/>
            <w:vAlign w:val="center"/>
          </w:tcPr>
          <w:p>
            <w:pPr>
              <w:jc w:val="center"/>
              <w:rPr>
                <w:rFonts w:asciiTheme="minorEastAsia" w:hAnsiTheme="minorEastAsia" w:eastAsiaTheme="minorEastAsia"/>
                <w:color w:val="auto"/>
                <w:szCs w:val="21"/>
                <w:highlight w:val="none"/>
              </w:rPr>
            </w:pPr>
          </w:p>
        </w:tc>
        <w:tc>
          <w:tcPr>
            <w:tcW w:w="1730" w:type="dxa"/>
            <w:vAlign w:val="center"/>
          </w:tcPr>
          <w:p>
            <w:pPr>
              <w:jc w:val="center"/>
              <w:rPr>
                <w:rFonts w:asciiTheme="minorEastAsia" w:hAnsiTheme="minorEastAsia" w:eastAsiaTheme="minorEastAsia"/>
                <w:color w:val="auto"/>
                <w:szCs w:val="21"/>
                <w:highlight w:val="none"/>
              </w:rPr>
            </w:pPr>
          </w:p>
        </w:tc>
      </w:tr>
    </w:tbl>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投标人代表签字：</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投标人盖章：</w:t>
      </w:r>
    </w:p>
    <w:p>
      <w:pPr>
        <w:rPr>
          <w:rFonts w:asciiTheme="minorEastAsia" w:hAnsiTheme="minorEastAsia" w:eastAsiaTheme="minorEastAsia"/>
          <w:color w:val="auto"/>
          <w:szCs w:val="21"/>
          <w:highlight w:val="none"/>
        </w:rPr>
      </w:pPr>
    </w:p>
    <w:p>
      <w:pPr>
        <w:ind w:left="718" w:hanging="718" w:hangingChars="34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1、投标人应对照采购文件商务需求书中商务要求，说明已对采购文件的商务内容做出了实质性的响应。</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不论出于何种原因此表未填写</w:t>
      </w:r>
      <w:r>
        <w:rPr>
          <w:rFonts w:hint="eastAsia" w:asciiTheme="minorEastAsia" w:hAnsiTheme="minorEastAsia" w:eastAsiaTheme="minorEastAsia"/>
          <w:color w:val="auto"/>
          <w:szCs w:val="21"/>
          <w:highlight w:val="none"/>
        </w:rPr>
        <w:t>完整</w:t>
      </w:r>
      <w:r>
        <w:rPr>
          <w:rFonts w:hint="eastAsia" w:cs="宋体" w:asciiTheme="minorEastAsia" w:hAnsiTheme="minorEastAsia" w:eastAsiaTheme="minorEastAsia"/>
          <w:color w:val="auto"/>
          <w:szCs w:val="21"/>
          <w:highlight w:val="none"/>
        </w:rPr>
        <w:t>，投标人都被认为已清楚了解采购文件“</w:t>
      </w:r>
      <w:r>
        <w:rPr>
          <w:rFonts w:hint="eastAsia" w:asciiTheme="minorEastAsia" w:hAnsiTheme="minorEastAsia" w:eastAsiaTheme="minorEastAsia"/>
          <w:color w:val="auto"/>
          <w:szCs w:val="21"/>
          <w:highlight w:val="none"/>
        </w:rPr>
        <w:t>商务</w:t>
      </w:r>
      <w:r>
        <w:rPr>
          <w:rFonts w:hint="eastAsia" w:cs="宋体" w:asciiTheme="minorEastAsia" w:hAnsiTheme="minorEastAsia" w:eastAsiaTheme="minorEastAsia"/>
          <w:color w:val="auto"/>
          <w:szCs w:val="21"/>
          <w:highlight w:val="none"/>
        </w:rPr>
        <w:t>需求书”的内容并对采购人所需的服务要求作全面响应，投标人必须承担完成“</w:t>
      </w:r>
      <w:r>
        <w:rPr>
          <w:rFonts w:hint="eastAsia" w:asciiTheme="minorEastAsia" w:hAnsiTheme="minorEastAsia" w:eastAsiaTheme="minorEastAsia"/>
          <w:color w:val="auto"/>
          <w:szCs w:val="21"/>
          <w:highlight w:val="none"/>
        </w:rPr>
        <w:t>商务</w:t>
      </w:r>
      <w:r>
        <w:rPr>
          <w:rFonts w:hint="eastAsia" w:cs="宋体" w:asciiTheme="minorEastAsia" w:hAnsiTheme="minorEastAsia" w:eastAsiaTheme="minorEastAsia"/>
          <w:color w:val="auto"/>
          <w:szCs w:val="21"/>
          <w:highlight w:val="none"/>
        </w:rPr>
        <w:t>需求书”所描述内容的义务</w:t>
      </w:r>
      <w:r>
        <w:rPr>
          <w:rFonts w:hint="eastAsia" w:asciiTheme="minorEastAsia" w:hAnsiTheme="minorEastAsia" w:eastAsiaTheme="minorEastAsia"/>
          <w:color w:val="auto"/>
          <w:szCs w:val="21"/>
          <w:highlight w:val="none"/>
        </w:rPr>
        <w:t>，因此对投标人投标产生负面影响的，投标人自行承担后果。</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如有偏离，应在“偏离情况”栏内注明“正”、“负”或“无”，并在“说明”栏内予以说明。</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r>
        <w:rPr>
          <w:rFonts w:hint="eastAsia" w:cs="宋体" w:asciiTheme="minorEastAsia" w:hAnsiTheme="minorEastAsia" w:eastAsiaTheme="minorEastAsia"/>
          <w:color w:val="auto"/>
          <w:szCs w:val="21"/>
          <w:highlight w:val="none"/>
        </w:rPr>
        <w:t>如投标人差异内容较多可另附页说明。</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r>
        <w:rPr>
          <w:rFonts w:hint="eastAsia" w:cs="宋体" w:asciiTheme="minorEastAsia" w:hAnsiTheme="minorEastAsia" w:eastAsiaTheme="minorEastAsia"/>
          <w:color w:val="auto"/>
          <w:szCs w:val="21"/>
          <w:highlight w:val="none"/>
        </w:rPr>
        <w:t>如投标人对用户需求书商务要求的条款全部响应的，也可以在表格下面用文字总括性的说明。</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br w:type="page"/>
      </w:r>
    </w:p>
    <w:p>
      <w:pPr>
        <w:pStyle w:val="5"/>
        <w:widowControl w:val="0"/>
        <w:overflowPunct w:val="0"/>
        <w:spacing w:line="240" w:lineRule="auto"/>
        <w:rPr>
          <w:rFonts w:asciiTheme="minorEastAsia" w:hAnsiTheme="minorEastAsia" w:eastAsiaTheme="minorEastAsia"/>
          <w:color w:val="auto"/>
          <w:sz w:val="30"/>
          <w:szCs w:val="30"/>
          <w:highlight w:val="none"/>
        </w:rPr>
      </w:pPr>
      <w:bookmarkStart w:id="189" w:name="_Toc160826364"/>
      <w:r>
        <w:rPr>
          <w:rFonts w:hint="eastAsia" w:asciiTheme="minorEastAsia" w:hAnsiTheme="minorEastAsia" w:eastAsiaTheme="minorEastAsia"/>
          <w:color w:val="auto"/>
          <w:sz w:val="21"/>
          <w:szCs w:val="21"/>
          <w:highlight w:val="none"/>
        </w:rPr>
        <w:t>附件1</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.业绩表</w:t>
      </w:r>
      <w:bookmarkEnd w:id="189"/>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业绩表</w:t>
      </w:r>
    </w:p>
    <w:tbl>
      <w:tblPr>
        <w:tblStyle w:val="31"/>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1705" w:type="dxa"/>
            <w:vAlign w:val="center"/>
          </w:tcPr>
          <w:p>
            <w:pPr>
              <w:adjustRightInd/>
              <w:snapToGrid/>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项目名称</w:t>
            </w:r>
          </w:p>
        </w:tc>
        <w:tc>
          <w:tcPr>
            <w:tcW w:w="1706" w:type="dxa"/>
            <w:vAlign w:val="center"/>
          </w:tcPr>
          <w:p>
            <w:pPr>
              <w:adjustRightInd/>
              <w:snapToGrid/>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项目金额</w:t>
            </w:r>
          </w:p>
        </w:tc>
        <w:tc>
          <w:tcPr>
            <w:tcW w:w="1705" w:type="dxa"/>
            <w:vAlign w:val="center"/>
          </w:tcPr>
          <w:p>
            <w:pPr>
              <w:adjustRightInd/>
              <w:snapToGrid/>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项目合同签订时间</w:t>
            </w:r>
          </w:p>
        </w:tc>
        <w:tc>
          <w:tcPr>
            <w:tcW w:w="1697" w:type="dxa"/>
            <w:vAlign w:val="center"/>
          </w:tcPr>
          <w:p>
            <w:pPr>
              <w:adjustRightInd/>
              <w:snapToGrid/>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jc w:val="center"/>
              <w:rPr>
                <w:rFonts w:asciiTheme="minorEastAsia" w:hAnsiTheme="minorEastAsia" w:eastAsiaTheme="minorEastAsia"/>
                <w:color w:val="auto"/>
                <w:szCs w:val="21"/>
                <w:highlight w:val="none"/>
              </w:rPr>
            </w:pPr>
          </w:p>
        </w:tc>
        <w:tc>
          <w:tcPr>
            <w:tcW w:w="1705" w:type="dxa"/>
            <w:vAlign w:val="center"/>
          </w:tcPr>
          <w:p>
            <w:pPr>
              <w:adjustRightInd/>
              <w:snapToGrid/>
              <w:jc w:val="center"/>
              <w:rPr>
                <w:rFonts w:asciiTheme="minorEastAsia" w:hAnsiTheme="minorEastAsia" w:eastAsiaTheme="minorEastAsia"/>
                <w:color w:val="auto"/>
                <w:szCs w:val="21"/>
                <w:highlight w:val="none"/>
              </w:rPr>
            </w:pPr>
          </w:p>
        </w:tc>
        <w:tc>
          <w:tcPr>
            <w:tcW w:w="1706" w:type="dxa"/>
            <w:vAlign w:val="center"/>
          </w:tcPr>
          <w:p>
            <w:pPr>
              <w:adjustRightInd/>
              <w:snapToGrid/>
              <w:jc w:val="center"/>
              <w:rPr>
                <w:rFonts w:asciiTheme="minorEastAsia" w:hAnsiTheme="minorEastAsia" w:eastAsiaTheme="minorEastAsia"/>
                <w:color w:val="auto"/>
                <w:szCs w:val="21"/>
                <w:highlight w:val="none"/>
              </w:rPr>
            </w:pPr>
          </w:p>
        </w:tc>
        <w:tc>
          <w:tcPr>
            <w:tcW w:w="1705" w:type="dxa"/>
            <w:vAlign w:val="center"/>
          </w:tcPr>
          <w:p>
            <w:pPr>
              <w:adjustRightInd/>
              <w:snapToGrid/>
              <w:jc w:val="center"/>
              <w:rPr>
                <w:rFonts w:asciiTheme="minorEastAsia" w:hAnsiTheme="minorEastAsia" w:eastAsiaTheme="minorEastAsia"/>
                <w:color w:val="auto"/>
                <w:szCs w:val="21"/>
                <w:highlight w:val="none"/>
              </w:rPr>
            </w:pPr>
          </w:p>
        </w:tc>
        <w:tc>
          <w:tcPr>
            <w:tcW w:w="1697" w:type="dxa"/>
            <w:vAlign w:val="center"/>
          </w:tcPr>
          <w:p>
            <w:pPr>
              <w:adjustRightInd/>
              <w:snapToGrid/>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asciiTheme="minorEastAsia" w:hAnsiTheme="minorEastAsia" w:eastAsiaTheme="minorEastAsia"/>
                <w:color w:val="auto"/>
                <w:szCs w:val="21"/>
                <w:highlight w:val="none"/>
              </w:rPr>
            </w:pPr>
          </w:p>
        </w:tc>
        <w:tc>
          <w:tcPr>
            <w:tcW w:w="1705" w:type="dxa"/>
          </w:tcPr>
          <w:p>
            <w:pPr>
              <w:adjustRightInd/>
              <w:snapToGrid/>
              <w:rPr>
                <w:rFonts w:asciiTheme="minorEastAsia" w:hAnsiTheme="minorEastAsia" w:eastAsiaTheme="minorEastAsia"/>
                <w:color w:val="auto"/>
                <w:szCs w:val="21"/>
                <w:highlight w:val="none"/>
              </w:rPr>
            </w:pPr>
          </w:p>
        </w:tc>
        <w:tc>
          <w:tcPr>
            <w:tcW w:w="1706" w:type="dxa"/>
          </w:tcPr>
          <w:p>
            <w:pPr>
              <w:adjustRightInd/>
              <w:snapToGrid/>
              <w:rPr>
                <w:rFonts w:asciiTheme="minorEastAsia" w:hAnsiTheme="minorEastAsia" w:eastAsiaTheme="minorEastAsia"/>
                <w:color w:val="auto"/>
                <w:szCs w:val="21"/>
                <w:highlight w:val="none"/>
              </w:rPr>
            </w:pPr>
          </w:p>
        </w:tc>
        <w:tc>
          <w:tcPr>
            <w:tcW w:w="1705" w:type="dxa"/>
          </w:tcPr>
          <w:p>
            <w:pPr>
              <w:adjustRightInd/>
              <w:snapToGrid/>
              <w:rPr>
                <w:rFonts w:asciiTheme="minorEastAsia" w:hAnsiTheme="minorEastAsia" w:eastAsiaTheme="minorEastAsia"/>
                <w:color w:val="auto"/>
                <w:szCs w:val="21"/>
                <w:highlight w:val="none"/>
              </w:rPr>
            </w:pPr>
          </w:p>
        </w:tc>
        <w:tc>
          <w:tcPr>
            <w:tcW w:w="1697" w:type="dxa"/>
          </w:tcPr>
          <w:p>
            <w:pPr>
              <w:adjustRightInd/>
              <w:snapToGrid/>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asciiTheme="minorEastAsia" w:hAnsiTheme="minorEastAsia" w:eastAsiaTheme="minorEastAsia"/>
                <w:color w:val="auto"/>
                <w:szCs w:val="21"/>
                <w:highlight w:val="none"/>
              </w:rPr>
            </w:pPr>
          </w:p>
        </w:tc>
        <w:tc>
          <w:tcPr>
            <w:tcW w:w="1705" w:type="dxa"/>
          </w:tcPr>
          <w:p>
            <w:pPr>
              <w:adjustRightInd/>
              <w:snapToGrid/>
              <w:rPr>
                <w:rFonts w:asciiTheme="minorEastAsia" w:hAnsiTheme="minorEastAsia" w:eastAsiaTheme="minorEastAsia"/>
                <w:color w:val="auto"/>
                <w:szCs w:val="21"/>
                <w:highlight w:val="none"/>
              </w:rPr>
            </w:pPr>
          </w:p>
        </w:tc>
        <w:tc>
          <w:tcPr>
            <w:tcW w:w="1706" w:type="dxa"/>
          </w:tcPr>
          <w:p>
            <w:pPr>
              <w:adjustRightInd/>
              <w:snapToGrid/>
              <w:rPr>
                <w:rFonts w:asciiTheme="minorEastAsia" w:hAnsiTheme="minorEastAsia" w:eastAsiaTheme="minorEastAsia"/>
                <w:color w:val="auto"/>
                <w:szCs w:val="21"/>
                <w:highlight w:val="none"/>
              </w:rPr>
            </w:pPr>
          </w:p>
        </w:tc>
        <w:tc>
          <w:tcPr>
            <w:tcW w:w="1705" w:type="dxa"/>
          </w:tcPr>
          <w:p>
            <w:pPr>
              <w:adjustRightInd/>
              <w:snapToGrid/>
              <w:rPr>
                <w:rFonts w:asciiTheme="minorEastAsia" w:hAnsiTheme="minorEastAsia" w:eastAsiaTheme="minorEastAsia"/>
                <w:color w:val="auto"/>
                <w:szCs w:val="21"/>
                <w:highlight w:val="none"/>
              </w:rPr>
            </w:pPr>
          </w:p>
        </w:tc>
        <w:tc>
          <w:tcPr>
            <w:tcW w:w="1697" w:type="dxa"/>
          </w:tcPr>
          <w:p>
            <w:pPr>
              <w:adjustRightInd/>
              <w:snapToGrid/>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asciiTheme="minorEastAsia" w:hAnsiTheme="minorEastAsia" w:eastAsiaTheme="minorEastAsia"/>
                <w:color w:val="auto"/>
                <w:szCs w:val="21"/>
                <w:highlight w:val="none"/>
              </w:rPr>
            </w:pPr>
          </w:p>
        </w:tc>
        <w:tc>
          <w:tcPr>
            <w:tcW w:w="1705" w:type="dxa"/>
          </w:tcPr>
          <w:p>
            <w:pPr>
              <w:adjustRightInd/>
              <w:snapToGrid/>
              <w:rPr>
                <w:rFonts w:asciiTheme="minorEastAsia" w:hAnsiTheme="minorEastAsia" w:eastAsiaTheme="minorEastAsia"/>
                <w:color w:val="auto"/>
                <w:szCs w:val="21"/>
                <w:highlight w:val="none"/>
              </w:rPr>
            </w:pPr>
          </w:p>
        </w:tc>
        <w:tc>
          <w:tcPr>
            <w:tcW w:w="1706" w:type="dxa"/>
          </w:tcPr>
          <w:p>
            <w:pPr>
              <w:adjustRightInd/>
              <w:snapToGrid/>
              <w:rPr>
                <w:rFonts w:asciiTheme="minorEastAsia" w:hAnsiTheme="minorEastAsia" w:eastAsiaTheme="minorEastAsia"/>
                <w:color w:val="auto"/>
                <w:szCs w:val="21"/>
                <w:highlight w:val="none"/>
              </w:rPr>
            </w:pPr>
          </w:p>
        </w:tc>
        <w:tc>
          <w:tcPr>
            <w:tcW w:w="1705" w:type="dxa"/>
          </w:tcPr>
          <w:p>
            <w:pPr>
              <w:adjustRightInd/>
              <w:snapToGrid/>
              <w:rPr>
                <w:rFonts w:asciiTheme="minorEastAsia" w:hAnsiTheme="minorEastAsia" w:eastAsiaTheme="minorEastAsia"/>
                <w:color w:val="auto"/>
                <w:szCs w:val="21"/>
                <w:highlight w:val="none"/>
              </w:rPr>
            </w:pPr>
          </w:p>
        </w:tc>
        <w:tc>
          <w:tcPr>
            <w:tcW w:w="1697" w:type="dxa"/>
          </w:tcPr>
          <w:p>
            <w:pPr>
              <w:adjustRightInd/>
              <w:snapToGrid/>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asciiTheme="minorEastAsia" w:hAnsiTheme="minorEastAsia" w:eastAsiaTheme="minorEastAsia"/>
                <w:color w:val="auto"/>
                <w:szCs w:val="21"/>
                <w:highlight w:val="none"/>
              </w:rPr>
            </w:pPr>
          </w:p>
        </w:tc>
        <w:tc>
          <w:tcPr>
            <w:tcW w:w="1705" w:type="dxa"/>
          </w:tcPr>
          <w:p>
            <w:pPr>
              <w:adjustRightInd/>
              <w:snapToGrid/>
              <w:rPr>
                <w:rFonts w:asciiTheme="minorEastAsia" w:hAnsiTheme="minorEastAsia" w:eastAsiaTheme="minorEastAsia"/>
                <w:color w:val="auto"/>
                <w:szCs w:val="21"/>
                <w:highlight w:val="none"/>
              </w:rPr>
            </w:pPr>
          </w:p>
        </w:tc>
        <w:tc>
          <w:tcPr>
            <w:tcW w:w="1706" w:type="dxa"/>
          </w:tcPr>
          <w:p>
            <w:pPr>
              <w:adjustRightInd/>
              <w:snapToGrid/>
              <w:rPr>
                <w:rFonts w:asciiTheme="minorEastAsia" w:hAnsiTheme="minorEastAsia" w:eastAsiaTheme="minorEastAsia"/>
                <w:color w:val="auto"/>
                <w:szCs w:val="21"/>
                <w:highlight w:val="none"/>
              </w:rPr>
            </w:pPr>
          </w:p>
        </w:tc>
        <w:tc>
          <w:tcPr>
            <w:tcW w:w="1705" w:type="dxa"/>
          </w:tcPr>
          <w:p>
            <w:pPr>
              <w:adjustRightInd/>
              <w:snapToGrid/>
              <w:rPr>
                <w:rFonts w:asciiTheme="minorEastAsia" w:hAnsiTheme="minorEastAsia" w:eastAsiaTheme="minorEastAsia"/>
                <w:color w:val="auto"/>
                <w:szCs w:val="21"/>
                <w:highlight w:val="none"/>
              </w:rPr>
            </w:pPr>
          </w:p>
        </w:tc>
        <w:tc>
          <w:tcPr>
            <w:tcW w:w="1697" w:type="dxa"/>
          </w:tcPr>
          <w:p>
            <w:pPr>
              <w:adjustRightInd/>
              <w:snapToGrid/>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asciiTheme="minorEastAsia" w:hAnsiTheme="minorEastAsia" w:eastAsiaTheme="minorEastAsia"/>
                <w:color w:val="auto"/>
                <w:szCs w:val="21"/>
                <w:highlight w:val="none"/>
              </w:rPr>
            </w:pPr>
          </w:p>
        </w:tc>
        <w:tc>
          <w:tcPr>
            <w:tcW w:w="1705" w:type="dxa"/>
          </w:tcPr>
          <w:p>
            <w:pPr>
              <w:adjustRightInd/>
              <w:snapToGrid/>
              <w:rPr>
                <w:rFonts w:asciiTheme="minorEastAsia" w:hAnsiTheme="minorEastAsia" w:eastAsiaTheme="minorEastAsia"/>
                <w:color w:val="auto"/>
                <w:szCs w:val="21"/>
                <w:highlight w:val="none"/>
              </w:rPr>
            </w:pPr>
          </w:p>
        </w:tc>
        <w:tc>
          <w:tcPr>
            <w:tcW w:w="1706" w:type="dxa"/>
          </w:tcPr>
          <w:p>
            <w:pPr>
              <w:adjustRightInd/>
              <w:snapToGrid/>
              <w:rPr>
                <w:rFonts w:asciiTheme="minorEastAsia" w:hAnsiTheme="minorEastAsia" w:eastAsiaTheme="minorEastAsia"/>
                <w:color w:val="auto"/>
                <w:szCs w:val="21"/>
                <w:highlight w:val="none"/>
              </w:rPr>
            </w:pPr>
          </w:p>
        </w:tc>
        <w:tc>
          <w:tcPr>
            <w:tcW w:w="1705" w:type="dxa"/>
          </w:tcPr>
          <w:p>
            <w:pPr>
              <w:adjustRightInd/>
              <w:snapToGrid/>
              <w:rPr>
                <w:rFonts w:asciiTheme="minorEastAsia" w:hAnsiTheme="minorEastAsia" w:eastAsiaTheme="minorEastAsia"/>
                <w:color w:val="auto"/>
                <w:szCs w:val="21"/>
                <w:highlight w:val="none"/>
              </w:rPr>
            </w:pPr>
          </w:p>
        </w:tc>
        <w:tc>
          <w:tcPr>
            <w:tcW w:w="1697" w:type="dxa"/>
          </w:tcPr>
          <w:p>
            <w:pPr>
              <w:adjustRightInd/>
              <w:snapToGrid/>
              <w:rPr>
                <w:rFonts w:asciiTheme="minorEastAsia" w:hAnsiTheme="minorEastAsia" w:eastAsiaTheme="minorEastAsia"/>
                <w:color w:val="auto"/>
                <w:szCs w:val="21"/>
                <w:highlight w:val="none"/>
              </w:rPr>
            </w:pPr>
          </w:p>
        </w:tc>
      </w:tr>
    </w:tbl>
    <w:p>
      <w:pPr>
        <w:pStyle w:val="41"/>
        <w:rPr>
          <w:rFonts w:asciiTheme="minorEastAsia" w:hAnsiTheme="minorEastAsia" w:eastAsiaTheme="minorEastAsia"/>
          <w:color w:val="auto"/>
          <w:szCs w:val="21"/>
          <w:highlight w:val="none"/>
        </w:rPr>
      </w:pPr>
    </w:p>
    <w:p>
      <w:pPr>
        <w:pStyle w:val="4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w:t>
      </w:r>
    </w:p>
    <w:p>
      <w:pPr>
        <w:pStyle w:val="41"/>
        <w:numPr>
          <w:ilvl w:val="0"/>
          <w:numId w:val="13"/>
        </w:num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该表格为参考格式，投标人可按实际情况自行制订。</w:t>
      </w:r>
    </w:p>
    <w:p>
      <w:pPr>
        <w:pStyle w:val="41"/>
        <w:numPr>
          <w:ilvl w:val="0"/>
          <w:numId w:val="13"/>
        </w:num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业绩表所列出的材料应为真实准确的，并应提供相关证明材料复印件加盖公章。请勿提供虚假、过期材料，否则将依据相关规定严肃处理。</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br w:type="page"/>
      </w:r>
    </w:p>
    <w:p>
      <w:pPr>
        <w:rPr>
          <w:rFonts w:cs="宋体"/>
          <w:color w:val="auto"/>
          <w:highlight w:val="none"/>
          <w:lang w:val="zh-CN" w:bidi="zh-CN"/>
        </w:rPr>
      </w:pPr>
    </w:p>
    <w:p>
      <w:pPr>
        <w:pStyle w:val="9"/>
        <w:rPr>
          <w:rFonts w:asciiTheme="minorEastAsia" w:hAnsiTheme="minorEastAsia" w:eastAsiaTheme="minorEastAsia"/>
          <w:color w:val="auto"/>
          <w:highlight w:val="none"/>
        </w:rPr>
      </w:pPr>
    </w:p>
    <w:p>
      <w:pPr>
        <w:pStyle w:val="3"/>
        <w:spacing w:before="0" w:after="0" w:line="360" w:lineRule="auto"/>
        <w:jc w:val="center"/>
        <w:rPr>
          <w:rFonts w:asciiTheme="minorEastAsia" w:hAnsiTheme="minorEastAsia" w:eastAsiaTheme="minorEastAsia"/>
          <w:color w:val="auto"/>
          <w:sz w:val="72"/>
          <w:szCs w:val="72"/>
          <w:highlight w:val="none"/>
        </w:rPr>
      </w:pPr>
      <w:bookmarkStart w:id="190" w:name="_Toc160826365"/>
      <w:r>
        <w:rPr>
          <w:rFonts w:hint="eastAsia" w:asciiTheme="minorEastAsia" w:hAnsiTheme="minorEastAsia" w:eastAsiaTheme="minorEastAsia"/>
          <w:color w:val="auto"/>
          <w:sz w:val="72"/>
          <w:szCs w:val="72"/>
          <w:highlight w:val="none"/>
        </w:rPr>
        <w:t>技术文件</w:t>
      </w:r>
      <w:bookmarkEnd w:id="190"/>
    </w:p>
    <w:p>
      <w:pPr>
        <w:jc w:val="center"/>
        <w:rPr>
          <w:rFonts w:asciiTheme="minorEastAsia" w:hAnsiTheme="minorEastAsia" w:eastAsiaTheme="minorEastAsia"/>
          <w:color w:val="auto"/>
          <w:sz w:val="72"/>
          <w:szCs w:val="72"/>
          <w:highlight w:val="none"/>
        </w:rPr>
      </w:pPr>
      <w:r>
        <w:rPr>
          <w:rFonts w:hint="eastAsia" w:asciiTheme="minorEastAsia" w:hAnsiTheme="minorEastAsia" w:eastAsiaTheme="minorEastAsia"/>
          <w:color w:val="auto"/>
          <w:sz w:val="72"/>
          <w:szCs w:val="72"/>
          <w:highlight w:val="none"/>
        </w:rPr>
        <w:t>（单独装订成册）</w:t>
      </w:r>
    </w:p>
    <w:p>
      <w:pPr>
        <w:rPr>
          <w:rFonts w:asciiTheme="minorEastAsia" w:hAnsiTheme="minorEastAsia" w:eastAsiaTheme="minorEastAsia"/>
          <w:color w:val="auto"/>
          <w:highlight w:val="none"/>
        </w:rPr>
      </w:pPr>
    </w:p>
    <w:p>
      <w:pPr>
        <w:pStyle w:val="9"/>
        <w:rPr>
          <w:rFonts w:asciiTheme="minorEastAsia" w:hAnsiTheme="minorEastAsia" w:eastAsiaTheme="minorEastAsia"/>
          <w:color w:val="auto"/>
          <w:highlight w:val="none"/>
        </w:rPr>
      </w:pPr>
    </w:p>
    <w:p>
      <w:pPr>
        <w:pStyle w:val="10"/>
        <w:ind w:firstLine="240"/>
        <w:rPr>
          <w:rFonts w:asciiTheme="minorEastAsia" w:hAnsiTheme="minorEastAsia" w:eastAsiaTheme="minorEastAsia"/>
          <w:color w:val="auto"/>
          <w:highlight w:val="none"/>
        </w:rPr>
      </w:pPr>
    </w:p>
    <w:p>
      <w:pPr>
        <w:rPr>
          <w:rFonts w:cs="宋体" w:asciiTheme="minorEastAsia" w:hAnsiTheme="minorEastAsia" w:eastAsiaTheme="minorEastAsia"/>
          <w:b/>
          <w:bCs/>
          <w:color w:val="auto"/>
          <w:spacing w:val="-6"/>
          <w:sz w:val="32"/>
          <w:szCs w:val="32"/>
          <w:highlight w:val="none"/>
        </w:rPr>
      </w:pPr>
      <w:r>
        <w:rPr>
          <w:rFonts w:hint="eastAsia" w:cs="宋体" w:asciiTheme="minorEastAsia" w:hAnsiTheme="minorEastAsia" w:eastAsiaTheme="minorEastAsia"/>
          <w:b/>
          <w:bCs/>
          <w:color w:val="auto"/>
          <w:spacing w:val="106"/>
          <w:kern w:val="0"/>
          <w:sz w:val="32"/>
          <w:szCs w:val="32"/>
          <w:highlight w:val="none"/>
          <w:fitText w:val="1600" w:id="292250509"/>
        </w:rPr>
        <w:t>项目名</w:t>
      </w:r>
      <w:r>
        <w:rPr>
          <w:rFonts w:hint="eastAsia" w:cs="宋体" w:asciiTheme="minorEastAsia" w:hAnsiTheme="minorEastAsia" w:eastAsiaTheme="minorEastAsia"/>
          <w:b/>
          <w:bCs/>
          <w:color w:val="auto"/>
          <w:spacing w:val="2"/>
          <w:kern w:val="0"/>
          <w:sz w:val="32"/>
          <w:szCs w:val="32"/>
          <w:highlight w:val="none"/>
          <w:fitText w:val="1600" w:id="292250509"/>
        </w:rPr>
        <w:t>称</w:t>
      </w:r>
      <w:r>
        <w:rPr>
          <w:rFonts w:hint="eastAsia" w:cs="宋体" w:asciiTheme="minorEastAsia" w:hAnsiTheme="minorEastAsia" w:eastAsiaTheme="minorEastAsia"/>
          <w:b/>
          <w:bCs/>
          <w:color w:val="auto"/>
          <w:spacing w:val="-6"/>
          <w:sz w:val="32"/>
          <w:szCs w:val="32"/>
          <w:highlight w:val="none"/>
        </w:rPr>
        <w:t>：</w:t>
      </w:r>
    </w:p>
    <w:p>
      <w:pPr>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b/>
          <w:bCs/>
          <w:color w:val="auto"/>
          <w:spacing w:val="106"/>
          <w:kern w:val="0"/>
          <w:sz w:val="32"/>
          <w:szCs w:val="32"/>
          <w:highlight w:val="none"/>
          <w:fitText w:val="1600" w:id="1231831253"/>
        </w:rPr>
        <w:t>项目编</w:t>
      </w:r>
      <w:r>
        <w:rPr>
          <w:rFonts w:hint="eastAsia" w:cs="宋体" w:asciiTheme="minorEastAsia" w:hAnsiTheme="minorEastAsia" w:eastAsiaTheme="minorEastAsia"/>
          <w:b/>
          <w:bCs/>
          <w:color w:val="auto"/>
          <w:spacing w:val="2"/>
          <w:kern w:val="0"/>
          <w:sz w:val="32"/>
          <w:szCs w:val="32"/>
          <w:highlight w:val="none"/>
          <w:fitText w:val="1600" w:id="1231831253"/>
        </w:rPr>
        <w:t>号</w:t>
      </w:r>
      <w:r>
        <w:rPr>
          <w:rFonts w:hint="eastAsia" w:cs="宋体" w:asciiTheme="minorEastAsia" w:hAnsiTheme="minorEastAsia" w:eastAsiaTheme="minorEastAsia"/>
          <w:b/>
          <w:bCs/>
          <w:color w:val="auto"/>
          <w:sz w:val="32"/>
          <w:szCs w:val="32"/>
          <w:highlight w:val="none"/>
        </w:rPr>
        <w:t>：</w:t>
      </w:r>
    </w:p>
    <w:p>
      <w:pPr>
        <w:pStyle w:val="9"/>
        <w:ind w:left="0"/>
        <w:rPr>
          <w:rFonts w:asciiTheme="minorEastAsia" w:hAnsiTheme="minorEastAsia" w:eastAsiaTheme="minorEastAsia"/>
          <w:b/>
          <w:color w:val="auto"/>
          <w:spacing w:val="1280"/>
          <w:sz w:val="32"/>
          <w:szCs w:val="32"/>
          <w:highlight w:val="none"/>
        </w:rPr>
      </w:pPr>
      <w:r>
        <w:rPr>
          <w:rFonts w:asciiTheme="minorEastAsia" w:hAnsiTheme="minorEastAsia" w:eastAsiaTheme="minorEastAsia"/>
          <w:b/>
          <w:color w:val="auto"/>
          <w:spacing w:val="106"/>
          <w:sz w:val="32"/>
          <w:szCs w:val="32"/>
          <w:highlight w:val="none"/>
          <w:lang w:val="en-US" w:bidi="ar-SA"/>
        </w:rPr>
        <w:t>包组号（如有）：</w:t>
      </w:r>
    </w:p>
    <w:p>
      <w:pPr>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pacing w:val="0"/>
          <w:kern w:val="0"/>
          <w:sz w:val="32"/>
          <w:szCs w:val="32"/>
          <w:highlight w:val="none"/>
          <w:fitText w:val="1600" w:id="1764384445"/>
        </w:rPr>
        <w:t>投标人名称</w:t>
      </w:r>
      <w:r>
        <w:rPr>
          <w:rFonts w:hint="eastAsia" w:cs="宋体" w:asciiTheme="minorEastAsia" w:hAnsiTheme="minorEastAsia" w:eastAsiaTheme="minorEastAsia"/>
          <w:b/>
          <w:color w:val="auto"/>
          <w:sz w:val="32"/>
          <w:szCs w:val="32"/>
          <w:highlight w:val="none"/>
        </w:rPr>
        <w:t>：</w:t>
      </w:r>
    </w:p>
    <w:p>
      <w:pPr>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pacing w:val="64"/>
          <w:kern w:val="0"/>
          <w:sz w:val="32"/>
          <w:szCs w:val="32"/>
          <w:highlight w:val="none"/>
          <w:fitText w:val="1600" w:id="2061173831"/>
        </w:rPr>
        <w:t xml:space="preserve">日    </w:t>
      </w:r>
      <w:r>
        <w:rPr>
          <w:rFonts w:hint="eastAsia" w:cs="宋体" w:asciiTheme="minorEastAsia" w:hAnsiTheme="minorEastAsia" w:eastAsiaTheme="minorEastAsia"/>
          <w:b/>
          <w:color w:val="auto"/>
          <w:spacing w:val="0"/>
          <w:kern w:val="0"/>
          <w:sz w:val="32"/>
          <w:szCs w:val="32"/>
          <w:highlight w:val="none"/>
          <w:fitText w:val="1600" w:id="2061173831"/>
        </w:rPr>
        <w:t>期</w:t>
      </w:r>
      <w:r>
        <w:rPr>
          <w:rFonts w:hint="eastAsia" w:cs="宋体" w:asciiTheme="minorEastAsia" w:hAnsiTheme="minorEastAsia" w:eastAsiaTheme="minorEastAsia"/>
          <w:b/>
          <w:color w:val="auto"/>
          <w:sz w:val="32"/>
          <w:szCs w:val="32"/>
          <w:highlight w:val="none"/>
        </w:rPr>
        <w:t>：</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br w:type="page"/>
      </w:r>
    </w:p>
    <w:p>
      <w:pPr>
        <w:pStyle w:val="5"/>
        <w:widowControl w:val="0"/>
        <w:overflowPunct w:val="0"/>
        <w:spacing w:line="240" w:lineRule="auto"/>
        <w:rPr>
          <w:rFonts w:asciiTheme="minorEastAsia" w:hAnsiTheme="minorEastAsia" w:eastAsiaTheme="minorEastAsia"/>
          <w:color w:val="auto"/>
          <w:sz w:val="21"/>
          <w:szCs w:val="21"/>
          <w:highlight w:val="none"/>
        </w:rPr>
      </w:pPr>
      <w:bookmarkStart w:id="191" w:name="_Toc160826366"/>
      <w:r>
        <w:rPr>
          <w:rFonts w:hint="eastAsia" w:asciiTheme="minorEastAsia" w:hAnsiTheme="minorEastAsia" w:eastAsiaTheme="minorEastAsia"/>
          <w:color w:val="auto"/>
          <w:sz w:val="21"/>
          <w:szCs w:val="21"/>
          <w:highlight w:val="none"/>
        </w:rPr>
        <w:t>附件1</w:t>
      </w:r>
      <w:r>
        <w:rPr>
          <w:rFonts w:hint="eastAsia" w:asciiTheme="minorEastAsia" w:hAnsiTheme="minorEastAsia" w:eastAsiaTheme="minorEastAsia"/>
          <w:color w:val="auto"/>
          <w:sz w:val="21"/>
          <w:szCs w:val="21"/>
          <w:highlight w:val="none"/>
          <w:lang w:val="en-US" w:eastAsia="zh-CN"/>
        </w:rPr>
        <w:t>3</w:t>
      </w:r>
      <w:r>
        <w:rPr>
          <w:rFonts w:hint="eastAsia" w:asciiTheme="minorEastAsia" w:hAnsiTheme="minorEastAsia" w:eastAsiaTheme="minorEastAsia"/>
          <w:color w:val="auto"/>
          <w:sz w:val="21"/>
          <w:szCs w:val="21"/>
          <w:highlight w:val="none"/>
        </w:rPr>
        <w:t>. 技术规格偏离表格式</w:t>
      </w:r>
      <w:bookmarkEnd w:id="191"/>
    </w:p>
    <w:p>
      <w:pPr>
        <w:jc w:val="center"/>
        <w:rPr>
          <w:rFonts w:asciiTheme="minorEastAsia" w:hAnsiTheme="minorEastAsia" w:eastAsiaTheme="minorEastAsia"/>
          <w:color w:val="auto"/>
          <w:sz w:val="28"/>
          <w:szCs w:val="28"/>
          <w:highlight w:val="none"/>
        </w:rPr>
      </w:pPr>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技术规格偏离表</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1902"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服务项目名称</w:t>
            </w:r>
          </w:p>
        </w:tc>
        <w:tc>
          <w:tcPr>
            <w:tcW w:w="137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采购要求</w:t>
            </w:r>
          </w:p>
        </w:tc>
        <w:tc>
          <w:tcPr>
            <w:tcW w:w="162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投标实际响应</w:t>
            </w:r>
          </w:p>
        </w:tc>
        <w:tc>
          <w:tcPr>
            <w:tcW w:w="123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是否偏离</w:t>
            </w:r>
          </w:p>
        </w:tc>
        <w:tc>
          <w:tcPr>
            <w:tcW w:w="1544"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Theme="minorEastAsia" w:hAnsiTheme="minorEastAsia" w:eastAsiaTheme="minorEastAsia"/>
                <w:color w:val="auto"/>
                <w:szCs w:val="21"/>
                <w:highlight w:val="none"/>
              </w:rPr>
            </w:pPr>
          </w:p>
        </w:tc>
        <w:tc>
          <w:tcPr>
            <w:tcW w:w="1902" w:type="dxa"/>
            <w:vAlign w:val="center"/>
          </w:tcPr>
          <w:p>
            <w:pPr>
              <w:jc w:val="center"/>
              <w:rPr>
                <w:rFonts w:asciiTheme="minorEastAsia" w:hAnsiTheme="minorEastAsia" w:eastAsiaTheme="minorEastAsia"/>
                <w:color w:val="auto"/>
                <w:szCs w:val="21"/>
                <w:highlight w:val="none"/>
              </w:rPr>
            </w:pPr>
          </w:p>
        </w:tc>
        <w:tc>
          <w:tcPr>
            <w:tcW w:w="1370" w:type="dxa"/>
            <w:vAlign w:val="center"/>
          </w:tcPr>
          <w:p>
            <w:pPr>
              <w:jc w:val="center"/>
              <w:rPr>
                <w:rFonts w:asciiTheme="minorEastAsia" w:hAnsiTheme="minorEastAsia" w:eastAsiaTheme="minorEastAsia"/>
                <w:color w:val="auto"/>
                <w:szCs w:val="21"/>
                <w:highlight w:val="none"/>
              </w:rPr>
            </w:pPr>
          </w:p>
        </w:tc>
        <w:tc>
          <w:tcPr>
            <w:tcW w:w="1629" w:type="dxa"/>
            <w:vAlign w:val="center"/>
          </w:tcPr>
          <w:p>
            <w:pPr>
              <w:jc w:val="center"/>
              <w:rPr>
                <w:rFonts w:asciiTheme="minorEastAsia" w:hAnsiTheme="minorEastAsia" w:eastAsiaTheme="minorEastAsia"/>
                <w:color w:val="auto"/>
                <w:szCs w:val="21"/>
                <w:highlight w:val="none"/>
              </w:rPr>
            </w:pPr>
          </w:p>
        </w:tc>
        <w:tc>
          <w:tcPr>
            <w:tcW w:w="1239" w:type="dxa"/>
            <w:vAlign w:val="center"/>
          </w:tcPr>
          <w:p>
            <w:pPr>
              <w:jc w:val="center"/>
              <w:rPr>
                <w:rFonts w:asciiTheme="minorEastAsia" w:hAnsiTheme="minorEastAsia" w:eastAsiaTheme="minorEastAsia"/>
                <w:color w:val="auto"/>
                <w:szCs w:val="21"/>
                <w:highlight w:val="none"/>
              </w:rPr>
            </w:pPr>
          </w:p>
        </w:tc>
        <w:tc>
          <w:tcPr>
            <w:tcW w:w="1544"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Theme="minorEastAsia" w:hAnsiTheme="minorEastAsia" w:eastAsiaTheme="minorEastAsia"/>
                <w:color w:val="auto"/>
                <w:szCs w:val="21"/>
                <w:highlight w:val="none"/>
              </w:rPr>
            </w:pPr>
          </w:p>
        </w:tc>
        <w:tc>
          <w:tcPr>
            <w:tcW w:w="1902" w:type="dxa"/>
            <w:vAlign w:val="center"/>
          </w:tcPr>
          <w:p>
            <w:pPr>
              <w:jc w:val="center"/>
              <w:rPr>
                <w:rFonts w:asciiTheme="minorEastAsia" w:hAnsiTheme="minorEastAsia" w:eastAsiaTheme="minorEastAsia"/>
                <w:color w:val="auto"/>
                <w:szCs w:val="21"/>
                <w:highlight w:val="none"/>
              </w:rPr>
            </w:pPr>
          </w:p>
        </w:tc>
        <w:tc>
          <w:tcPr>
            <w:tcW w:w="1370" w:type="dxa"/>
            <w:vAlign w:val="center"/>
          </w:tcPr>
          <w:p>
            <w:pPr>
              <w:jc w:val="center"/>
              <w:rPr>
                <w:rFonts w:asciiTheme="minorEastAsia" w:hAnsiTheme="minorEastAsia" w:eastAsiaTheme="minorEastAsia"/>
                <w:color w:val="auto"/>
                <w:szCs w:val="21"/>
                <w:highlight w:val="none"/>
              </w:rPr>
            </w:pPr>
          </w:p>
        </w:tc>
        <w:tc>
          <w:tcPr>
            <w:tcW w:w="1629" w:type="dxa"/>
            <w:vAlign w:val="center"/>
          </w:tcPr>
          <w:p>
            <w:pPr>
              <w:jc w:val="center"/>
              <w:rPr>
                <w:rFonts w:asciiTheme="minorEastAsia" w:hAnsiTheme="minorEastAsia" w:eastAsiaTheme="minorEastAsia"/>
                <w:color w:val="auto"/>
                <w:szCs w:val="21"/>
                <w:highlight w:val="none"/>
              </w:rPr>
            </w:pPr>
          </w:p>
        </w:tc>
        <w:tc>
          <w:tcPr>
            <w:tcW w:w="1239" w:type="dxa"/>
            <w:vAlign w:val="center"/>
          </w:tcPr>
          <w:p>
            <w:pPr>
              <w:jc w:val="center"/>
              <w:rPr>
                <w:rFonts w:asciiTheme="minorEastAsia" w:hAnsiTheme="minorEastAsia" w:eastAsiaTheme="minorEastAsia"/>
                <w:color w:val="auto"/>
                <w:szCs w:val="21"/>
                <w:highlight w:val="none"/>
              </w:rPr>
            </w:pPr>
          </w:p>
        </w:tc>
        <w:tc>
          <w:tcPr>
            <w:tcW w:w="1544"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Theme="minorEastAsia" w:hAnsiTheme="minorEastAsia" w:eastAsiaTheme="minorEastAsia"/>
                <w:color w:val="auto"/>
                <w:szCs w:val="21"/>
                <w:highlight w:val="none"/>
              </w:rPr>
            </w:pPr>
          </w:p>
        </w:tc>
        <w:tc>
          <w:tcPr>
            <w:tcW w:w="1902" w:type="dxa"/>
            <w:vAlign w:val="center"/>
          </w:tcPr>
          <w:p>
            <w:pPr>
              <w:jc w:val="center"/>
              <w:rPr>
                <w:rFonts w:asciiTheme="minorEastAsia" w:hAnsiTheme="minorEastAsia" w:eastAsiaTheme="minorEastAsia"/>
                <w:color w:val="auto"/>
                <w:szCs w:val="21"/>
                <w:highlight w:val="none"/>
              </w:rPr>
            </w:pPr>
          </w:p>
        </w:tc>
        <w:tc>
          <w:tcPr>
            <w:tcW w:w="1370" w:type="dxa"/>
            <w:vAlign w:val="center"/>
          </w:tcPr>
          <w:p>
            <w:pPr>
              <w:jc w:val="center"/>
              <w:rPr>
                <w:rFonts w:asciiTheme="minorEastAsia" w:hAnsiTheme="minorEastAsia" w:eastAsiaTheme="minorEastAsia"/>
                <w:color w:val="auto"/>
                <w:szCs w:val="21"/>
                <w:highlight w:val="none"/>
              </w:rPr>
            </w:pPr>
          </w:p>
        </w:tc>
        <w:tc>
          <w:tcPr>
            <w:tcW w:w="1629" w:type="dxa"/>
            <w:vAlign w:val="center"/>
          </w:tcPr>
          <w:p>
            <w:pPr>
              <w:jc w:val="center"/>
              <w:rPr>
                <w:rFonts w:asciiTheme="minorEastAsia" w:hAnsiTheme="minorEastAsia" w:eastAsiaTheme="minorEastAsia"/>
                <w:color w:val="auto"/>
                <w:szCs w:val="21"/>
                <w:highlight w:val="none"/>
              </w:rPr>
            </w:pPr>
          </w:p>
        </w:tc>
        <w:tc>
          <w:tcPr>
            <w:tcW w:w="1239" w:type="dxa"/>
            <w:vAlign w:val="center"/>
          </w:tcPr>
          <w:p>
            <w:pPr>
              <w:jc w:val="center"/>
              <w:rPr>
                <w:rFonts w:asciiTheme="minorEastAsia" w:hAnsiTheme="minorEastAsia" w:eastAsiaTheme="minorEastAsia"/>
                <w:color w:val="auto"/>
                <w:szCs w:val="21"/>
                <w:highlight w:val="none"/>
              </w:rPr>
            </w:pPr>
          </w:p>
        </w:tc>
        <w:tc>
          <w:tcPr>
            <w:tcW w:w="1544"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Theme="minorEastAsia" w:hAnsiTheme="minorEastAsia" w:eastAsiaTheme="minorEastAsia"/>
                <w:color w:val="auto"/>
                <w:szCs w:val="21"/>
                <w:highlight w:val="none"/>
              </w:rPr>
            </w:pPr>
          </w:p>
        </w:tc>
        <w:tc>
          <w:tcPr>
            <w:tcW w:w="1902" w:type="dxa"/>
            <w:vAlign w:val="center"/>
          </w:tcPr>
          <w:p>
            <w:pPr>
              <w:jc w:val="center"/>
              <w:rPr>
                <w:rFonts w:asciiTheme="minorEastAsia" w:hAnsiTheme="minorEastAsia" w:eastAsiaTheme="minorEastAsia"/>
                <w:color w:val="auto"/>
                <w:szCs w:val="21"/>
                <w:highlight w:val="none"/>
              </w:rPr>
            </w:pPr>
          </w:p>
        </w:tc>
        <w:tc>
          <w:tcPr>
            <w:tcW w:w="1370" w:type="dxa"/>
            <w:vAlign w:val="center"/>
          </w:tcPr>
          <w:p>
            <w:pPr>
              <w:jc w:val="center"/>
              <w:rPr>
                <w:rFonts w:asciiTheme="minorEastAsia" w:hAnsiTheme="minorEastAsia" w:eastAsiaTheme="minorEastAsia"/>
                <w:color w:val="auto"/>
                <w:szCs w:val="21"/>
                <w:highlight w:val="none"/>
              </w:rPr>
            </w:pPr>
          </w:p>
        </w:tc>
        <w:tc>
          <w:tcPr>
            <w:tcW w:w="1629" w:type="dxa"/>
            <w:vAlign w:val="center"/>
          </w:tcPr>
          <w:p>
            <w:pPr>
              <w:jc w:val="center"/>
              <w:rPr>
                <w:rFonts w:asciiTheme="minorEastAsia" w:hAnsiTheme="minorEastAsia" w:eastAsiaTheme="minorEastAsia"/>
                <w:color w:val="auto"/>
                <w:szCs w:val="21"/>
                <w:highlight w:val="none"/>
              </w:rPr>
            </w:pPr>
          </w:p>
        </w:tc>
        <w:tc>
          <w:tcPr>
            <w:tcW w:w="1239" w:type="dxa"/>
            <w:vAlign w:val="center"/>
          </w:tcPr>
          <w:p>
            <w:pPr>
              <w:jc w:val="center"/>
              <w:rPr>
                <w:rFonts w:asciiTheme="minorEastAsia" w:hAnsiTheme="minorEastAsia" w:eastAsiaTheme="minorEastAsia"/>
                <w:color w:val="auto"/>
                <w:szCs w:val="21"/>
                <w:highlight w:val="none"/>
              </w:rPr>
            </w:pPr>
          </w:p>
        </w:tc>
        <w:tc>
          <w:tcPr>
            <w:tcW w:w="1544"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Theme="minorEastAsia" w:hAnsiTheme="minorEastAsia" w:eastAsiaTheme="minorEastAsia"/>
                <w:color w:val="auto"/>
                <w:szCs w:val="21"/>
                <w:highlight w:val="none"/>
              </w:rPr>
            </w:pPr>
          </w:p>
        </w:tc>
        <w:tc>
          <w:tcPr>
            <w:tcW w:w="1902" w:type="dxa"/>
            <w:vAlign w:val="center"/>
          </w:tcPr>
          <w:p>
            <w:pPr>
              <w:jc w:val="center"/>
              <w:rPr>
                <w:rFonts w:asciiTheme="minorEastAsia" w:hAnsiTheme="minorEastAsia" w:eastAsiaTheme="minorEastAsia"/>
                <w:color w:val="auto"/>
                <w:szCs w:val="21"/>
                <w:highlight w:val="none"/>
              </w:rPr>
            </w:pPr>
          </w:p>
        </w:tc>
        <w:tc>
          <w:tcPr>
            <w:tcW w:w="1370" w:type="dxa"/>
            <w:vAlign w:val="center"/>
          </w:tcPr>
          <w:p>
            <w:pPr>
              <w:jc w:val="center"/>
              <w:rPr>
                <w:rFonts w:asciiTheme="minorEastAsia" w:hAnsiTheme="minorEastAsia" w:eastAsiaTheme="minorEastAsia"/>
                <w:color w:val="auto"/>
                <w:szCs w:val="21"/>
                <w:highlight w:val="none"/>
              </w:rPr>
            </w:pPr>
          </w:p>
        </w:tc>
        <w:tc>
          <w:tcPr>
            <w:tcW w:w="1629" w:type="dxa"/>
            <w:vAlign w:val="center"/>
          </w:tcPr>
          <w:p>
            <w:pPr>
              <w:jc w:val="center"/>
              <w:rPr>
                <w:rFonts w:asciiTheme="minorEastAsia" w:hAnsiTheme="minorEastAsia" w:eastAsiaTheme="minorEastAsia"/>
                <w:color w:val="auto"/>
                <w:szCs w:val="21"/>
                <w:highlight w:val="none"/>
              </w:rPr>
            </w:pPr>
          </w:p>
        </w:tc>
        <w:tc>
          <w:tcPr>
            <w:tcW w:w="1239" w:type="dxa"/>
            <w:vAlign w:val="center"/>
          </w:tcPr>
          <w:p>
            <w:pPr>
              <w:jc w:val="center"/>
              <w:rPr>
                <w:rFonts w:asciiTheme="minorEastAsia" w:hAnsiTheme="minorEastAsia" w:eastAsiaTheme="minorEastAsia"/>
                <w:color w:val="auto"/>
                <w:szCs w:val="21"/>
                <w:highlight w:val="none"/>
              </w:rPr>
            </w:pPr>
          </w:p>
        </w:tc>
        <w:tc>
          <w:tcPr>
            <w:tcW w:w="1544"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Theme="minorEastAsia" w:hAnsiTheme="minorEastAsia" w:eastAsiaTheme="minorEastAsia"/>
                <w:color w:val="auto"/>
                <w:szCs w:val="21"/>
                <w:highlight w:val="none"/>
              </w:rPr>
            </w:pPr>
          </w:p>
        </w:tc>
        <w:tc>
          <w:tcPr>
            <w:tcW w:w="1902" w:type="dxa"/>
            <w:vAlign w:val="center"/>
          </w:tcPr>
          <w:p>
            <w:pPr>
              <w:jc w:val="center"/>
              <w:rPr>
                <w:rFonts w:asciiTheme="minorEastAsia" w:hAnsiTheme="minorEastAsia" w:eastAsiaTheme="minorEastAsia"/>
                <w:color w:val="auto"/>
                <w:szCs w:val="21"/>
                <w:highlight w:val="none"/>
              </w:rPr>
            </w:pPr>
          </w:p>
        </w:tc>
        <w:tc>
          <w:tcPr>
            <w:tcW w:w="1370" w:type="dxa"/>
            <w:vAlign w:val="center"/>
          </w:tcPr>
          <w:p>
            <w:pPr>
              <w:jc w:val="center"/>
              <w:rPr>
                <w:rFonts w:asciiTheme="minorEastAsia" w:hAnsiTheme="minorEastAsia" w:eastAsiaTheme="minorEastAsia"/>
                <w:color w:val="auto"/>
                <w:szCs w:val="21"/>
                <w:highlight w:val="none"/>
              </w:rPr>
            </w:pPr>
          </w:p>
        </w:tc>
        <w:tc>
          <w:tcPr>
            <w:tcW w:w="1629" w:type="dxa"/>
            <w:vAlign w:val="center"/>
          </w:tcPr>
          <w:p>
            <w:pPr>
              <w:jc w:val="center"/>
              <w:rPr>
                <w:rFonts w:asciiTheme="minorEastAsia" w:hAnsiTheme="minorEastAsia" w:eastAsiaTheme="minorEastAsia"/>
                <w:color w:val="auto"/>
                <w:szCs w:val="21"/>
                <w:highlight w:val="none"/>
              </w:rPr>
            </w:pPr>
          </w:p>
        </w:tc>
        <w:tc>
          <w:tcPr>
            <w:tcW w:w="1239" w:type="dxa"/>
            <w:vAlign w:val="center"/>
          </w:tcPr>
          <w:p>
            <w:pPr>
              <w:jc w:val="center"/>
              <w:rPr>
                <w:rFonts w:asciiTheme="minorEastAsia" w:hAnsiTheme="minorEastAsia" w:eastAsiaTheme="minorEastAsia"/>
                <w:color w:val="auto"/>
                <w:szCs w:val="21"/>
                <w:highlight w:val="none"/>
              </w:rPr>
            </w:pPr>
          </w:p>
        </w:tc>
        <w:tc>
          <w:tcPr>
            <w:tcW w:w="1544"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Theme="minorEastAsia" w:hAnsiTheme="minorEastAsia" w:eastAsiaTheme="minorEastAsia"/>
                <w:color w:val="auto"/>
                <w:szCs w:val="21"/>
                <w:highlight w:val="none"/>
              </w:rPr>
            </w:pPr>
          </w:p>
        </w:tc>
        <w:tc>
          <w:tcPr>
            <w:tcW w:w="1902" w:type="dxa"/>
            <w:vAlign w:val="center"/>
          </w:tcPr>
          <w:p>
            <w:pPr>
              <w:jc w:val="center"/>
              <w:rPr>
                <w:rFonts w:asciiTheme="minorEastAsia" w:hAnsiTheme="minorEastAsia" w:eastAsiaTheme="minorEastAsia"/>
                <w:color w:val="auto"/>
                <w:szCs w:val="21"/>
                <w:highlight w:val="none"/>
              </w:rPr>
            </w:pPr>
          </w:p>
        </w:tc>
        <w:tc>
          <w:tcPr>
            <w:tcW w:w="1370" w:type="dxa"/>
            <w:vAlign w:val="center"/>
          </w:tcPr>
          <w:p>
            <w:pPr>
              <w:jc w:val="center"/>
              <w:rPr>
                <w:rFonts w:asciiTheme="minorEastAsia" w:hAnsiTheme="minorEastAsia" w:eastAsiaTheme="minorEastAsia"/>
                <w:color w:val="auto"/>
                <w:szCs w:val="21"/>
                <w:highlight w:val="none"/>
              </w:rPr>
            </w:pPr>
          </w:p>
        </w:tc>
        <w:tc>
          <w:tcPr>
            <w:tcW w:w="1629" w:type="dxa"/>
            <w:vAlign w:val="center"/>
          </w:tcPr>
          <w:p>
            <w:pPr>
              <w:jc w:val="center"/>
              <w:rPr>
                <w:rFonts w:asciiTheme="minorEastAsia" w:hAnsiTheme="minorEastAsia" w:eastAsiaTheme="minorEastAsia"/>
                <w:color w:val="auto"/>
                <w:szCs w:val="21"/>
                <w:highlight w:val="none"/>
              </w:rPr>
            </w:pPr>
          </w:p>
        </w:tc>
        <w:tc>
          <w:tcPr>
            <w:tcW w:w="1239" w:type="dxa"/>
            <w:vAlign w:val="center"/>
          </w:tcPr>
          <w:p>
            <w:pPr>
              <w:jc w:val="center"/>
              <w:rPr>
                <w:rFonts w:asciiTheme="minorEastAsia" w:hAnsiTheme="minorEastAsia" w:eastAsiaTheme="minorEastAsia"/>
                <w:color w:val="auto"/>
                <w:szCs w:val="21"/>
                <w:highlight w:val="none"/>
              </w:rPr>
            </w:pPr>
          </w:p>
        </w:tc>
        <w:tc>
          <w:tcPr>
            <w:tcW w:w="1544"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Theme="minorEastAsia" w:hAnsiTheme="minorEastAsia" w:eastAsiaTheme="minorEastAsia"/>
                <w:color w:val="auto"/>
                <w:szCs w:val="21"/>
                <w:highlight w:val="none"/>
              </w:rPr>
            </w:pPr>
          </w:p>
        </w:tc>
        <w:tc>
          <w:tcPr>
            <w:tcW w:w="1902" w:type="dxa"/>
            <w:vAlign w:val="center"/>
          </w:tcPr>
          <w:p>
            <w:pPr>
              <w:jc w:val="center"/>
              <w:rPr>
                <w:rFonts w:asciiTheme="minorEastAsia" w:hAnsiTheme="minorEastAsia" w:eastAsiaTheme="minorEastAsia"/>
                <w:color w:val="auto"/>
                <w:szCs w:val="21"/>
                <w:highlight w:val="none"/>
              </w:rPr>
            </w:pPr>
          </w:p>
        </w:tc>
        <w:tc>
          <w:tcPr>
            <w:tcW w:w="1370" w:type="dxa"/>
            <w:vAlign w:val="center"/>
          </w:tcPr>
          <w:p>
            <w:pPr>
              <w:jc w:val="center"/>
              <w:rPr>
                <w:rFonts w:asciiTheme="minorEastAsia" w:hAnsiTheme="minorEastAsia" w:eastAsiaTheme="minorEastAsia"/>
                <w:color w:val="auto"/>
                <w:szCs w:val="21"/>
                <w:highlight w:val="none"/>
              </w:rPr>
            </w:pPr>
          </w:p>
        </w:tc>
        <w:tc>
          <w:tcPr>
            <w:tcW w:w="1629" w:type="dxa"/>
            <w:vAlign w:val="center"/>
          </w:tcPr>
          <w:p>
            <w:pPr>
              <w:jc w:val="center"/>
              <w:rPr>
                <w:rFonts w:asciiTheme="minorEastAsia" w:hAnsiTheme="minorEastAsia" w:eastAsiaTheme="minorEastAsia"/>
                <w:color w:val="auto"/>
                <w:szCs w:val="21"/>
                <w:highlight w:val="none"/>
              </w:rPr>
            </w:pPr>
          </w:p>
        </w:tc>
        <w:tc>
          <w:tcPr>
            <w:tcW w:w="1239" w:type="dxa"/>
            <w:vAlign w:val="center"/>
          </w:tcPr>
          <w:p>
            <w:pPr>
              <w:jc w:val="center"/>
              <w:rPr>
                <w:rFonts w:asciiTheme="minorEastAsia" w:hAnsiTheme="minorEastAsia" w:eastAsiaTheme="minorEastAsia"/>
                <w:color w:val="auto"/>
                <w:szCs w:val="21"/>
                <w:highlight w:val="none"/>
              </w:rPr>
            </w:pPr>
          </w:p>
        </w:tc>
        <w:tc>
          <w:tcPr>
            <w:tcW w:w="1544"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Theme="minorEastAsia" w:hAnsiTheme="minorEastAsia" w:eastAsiaTheme="minorEastAsia"/>
                <w:color w:val="auto"/>
                <w:szCs w:val="21"/>
                <w:highlight w:val="none"/>
              </w:rPr>
            </w:pPr>
          </w:p>
        </w:tc>
        <w:tc>
          <w:tcPr>
            <w:tcW w:w="1902" w:type="dxa"/>
            <w:vAlign w:val="center"/>
          </w:tcPr>
          <w:p>
            <w:pPr>
              <w:jc w:val="center"/>
              <w:rPr>
                <w:rFonts w:asciiTheme="minorEastAsia" w:hAnsiTheme="minorEastAsia" w:eastAsiaTheme="minorEastAsia"/>
                <w:color w:val="auto"/>
                <w:szCs w:val="21"/>
                <w:highlight w:val="none"/>
              </w:rPr>
            </w:pPr>
          </w:p>
        </w:tc>
        <w:tc>
          <w:tcPr>
            <w:tcW w:w="1370" w:type="dxa"/>
            <w:vAlign w:val="center"/>
          </w:tcPr>
          <w:p>
            <w:pPr>
              <w:jc w:val="center"/>
              <w:rPr>
                <w:rFonts w:asciiTheme="minorEastAsia" w:hAnsiTheme="minorEastAsia" w:eastAsiaTheme="minorEastAsia"/>
                <w:color w:val="auto"/>
                <w:szCs w:val="21"/>
                <w:highlight w:val="none"/>
              </w:rPr>
            </w:pPr>
          </w:p>
        </w:tc>
        <w:tc>
          <w:tcPr>
            <w:tcW w:w="1629" w:type="dxa"/>
            <w:vAlign w:val="center"/>
          </w:tcPr>
          <w:p>
            <w:pPr>
              <w:jc w:val="center"/>
              <w:rPr>
                <w:rFonts w:asciiTheme="minorEastAsia" w:hAnsiTheme="minorEastAsia" w:eastAsiaTheme="minorEastAsia"/>
                <w:color w:val="auto"/>
                <w:szCs w:val="21"/>
                <w:highlight w:val="none"/>
              </w:rPr>
            </w:pPr>
          </w:p>
        </w:tc>
        <w:tc>
          <w:tcPr>
            <w:tcW w:w="1239" w:type="dxa"/>
            <w:vAlign w:val="center"/>
          </w:tcPr>
          <w:p>
            <w:pPr>
              <w:jc w:val="center"/>
              <w:rPr>
                <w:rFonts w:asciiTheme="minorEastAsia" w:hAnsiTheme="minorEastAsia" w:eastAsiaTheme="minorEastAsia"/>
                <w:color w:val="auto"/>
                <w:szCs w:val="21"/>
                <w:highlight w:val="none"/>
              </w:rPr>
            </w:pPr>
          </w:p>
        </w:tc>
        <w:tc>
          <w:tcPr>
            <w:tcW w:w="1544" w:type="dxa"/>
            <w:vAlign w:val="center"/>
          </w:tcPr>
          <w:p>
            <w:pPr>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Theme="minorEastAsia" w:hAnsiTheme="minorEastAsia" w:eastAsiaTheme="minorEastAsia"/>
                <w:color w:val="auto"/>
                <w:szCs w:val="21"/>
                <w:highlight w:val="none"/>
              </w:rPr>
            </w:pPr>
          </w:p>
        </w:tc>
        <w:tc>
          <w:tcPr>
            <w:tcW w:w="1902" w:type="dxa"/>
            <w:vAlign w:val="center"/>
          </w:tcPr>
          <w:p>
            <w:pPr>
              <w:jc w:val="center"/>
              <w:rPr>
                <w:rFonts w:asciiTheme="minorEastAsia" w:hAnsiTheme="minorEastAsia" w:eastAsiaTheme="minorEastAsia"/>
                <w:color w:val="auto"/>
                <w:szCs w:val="21"/>
                <w:highlight w:val="none"/>
              </w:rPr>
            </w:pPr>
          </w:p>
        </w:tc>
        <w:tc>
          <w:tcPr>
            <w:tcW w:w="1370" w:type="dxa"/>
            <w:vAlign w:val="center"/>
          </w:tcPr>
          <w:p>
            <w:pPr>
              <w:jc w:val="center"/>
              <w:rPr>
                <w:rFonts w:asciiTheme="minorEastAsia" w:hAnsiTheme="minorEastAsia" w:eastAsiaTheme="minorEastAsia"/>
                <w:color w:val="auto"/>
                <w:szCs w:val="21"/>
                <w:highlight w:val="none"/>
              </w:rPr>
            </w:pPr>
          </w:p>
        </w:tc>
        <w:tc>
          <w:tcPr>
            <w:tcW w:w="1629" w:type="dxa"/>
            <w:vAlign w:val="center"/>
          </w:tcPr>
          <w:p>
            <w:pPr>
              <w:jc w:val="center"/>
              <w:rPr>
                <w:rFonts w:asciiTheme="minorEastAsia" w:hAnsiTheme="minorEastAsia" w:eastAsiaTheme="minorEastAsia"/>
                <w:color w:val="auto"/>
                <w:szCs w:val="21"/>
                <w:highlight w:val="none"/>
              </w:rPr>
            </w:pPr>
          </w:p>
        </w:tc>
        <w:tc>
          <w:tcPr>
            <w:tcW w:w="1239" w:type="dxa"/>
            <w:vAlign w:val="center"/>
          </w:tcPr>
          <w:p>
            <w:pPr>
              <w:jc w:val="center"/>
              <w:rPr>
                <w:rFonts w:asciiTheme="minorEastAsia" w:hAnsiTheme="minorEastAsia" w:eastAsiaTheme="minorEastAsia"/>
                <w:color w:val="auto"/>
                <w:szCs w:val="21"/>
                <w:highlight w:val="none"/>
              </w:rPr>
            </w:pPr>
          </w:p>
        </w:tc>
        <w:tc>
          <w:tcPr>
            <w:tcW w:w="1544" w:type="dxa"/>
            <w:vAlign w:val="center"/>
          </w:tcPr>
          <w:p>
            <w:pPr>
              <w:jc w:val="center"/>
              <w:rPr>
                <w:rFonts w:asciiTheme="minorEastAsia" w:hAnsiTheme="minorEastAsia" w:eastAsiaTheme="minorEastAsia"/>
                <w:color w:val="auto"/>
                <w:szCs w:val="21"/>
                <w:highlight w:val="none"/>
              </w:rPr>
            </w:pPr>
          </w:p>
        </w:tc>
      </w:tr>
    </w:tbl>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投标人代表签字：</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投标人盖章：</w:t>
      </w:r>
    </w:p>
    <w:p>
      <w:pPr>
        <w:ind w:firstLine="178" w:firstLineChars="85"/>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不论出于何种原因此表未填写</w:t>
      </w:r>
      <w:r>
        <w:rPr>
          <w:rFonts w:hint="eastAsia" w:asciiTheme="minorEastAsia" w:hAnsiTheme="minorEastAsia" w:eastAsiaTheme="minorEastAsia"/>
          <w:color w:val="auto"/>
          <w:szCs w:val="21"/>
          <w:highlight w:val="none"/>
        </w:rPr>
        <w:t>完整</w:t>
      </w:r>
      <w:r>
        <w:rPr>
          <w:rFonts w:hint="eastAsia" w:cs="宋体" w:asciiTheme="minorEastAsia" w:hAnsiTheme="minorEastAsia" w:eastAsiaTheme="minorEastAsia"/>
          <w:color w:val="auto"/>
          <w:szCs w:val="21"/>
          <w:highlight w:val="none"/>
        </w:rPr>
        <w:t>，投标人都被认为已清楚了解采购文件“技术需求书”的内容并对采购人所需的服务要求作全面响应，投标人必须承担完成“技术需求书”所描述内容的义务</w:t>
      </w:r>
      <w:r>
        <w:rPr>
          <w:rFonts w:hint="eastAsia" w:asciiTheme="minorEastAsia" w:hAnsiTheme="minorEastAsia" w:eastAsiaTheme="minorEastAsia"/>
          <w:color w:val="auto"/>
          <w:szCs w:val="21"/>
          <w:highlight w:val="none"/>
        </w:rPr>
        <w:t>，因此对投标人投标产生负面影响的，投标人自行承担后果。</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如有偏离，应在“偏离情况”栏内注明“正”、“负”或“无”，并在“说明”栏内予以说明。</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r>
        <w:rPr>
          <w:rFonts w:hint="eastAsia" w:cs="宋体" w:asciiTheme="minorEastAsia" w:hAnsiTheme="minorEastAsia" w:eastAsiaTheme="minorEastAsia"/>
          <w:color w:val="auto"/>
          <w:szCs w:val="21"/>
          <w:highlight w:val="none"/>
        </w:rPr>
        <w:t>如投标人差异内容较多可另附页说明。</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r>
        <w:rPr>
          <w:rFonts w:hint="eastAsia" w:cs="宋体" w:asciiTheme="minorEastAsia" w:hAnsiTheme="minorEastAsia" w:eastAsiaTheme="minorEastAsia"/>
          <w:color w:val="auto"/>
          <w:szCs w:val="21"/>
          <w:highlight w:val="none"/>
        </w:rPr>
        <w:t>如投标人对用户需求书</w:t>
      </w:r>
      <w:r>
        <w:rPr>
          <w:rFonts w:hint="eastAsia" w:cs="宋体" w:asciiTheme="minorEastAsia" w:hAnsiTheme="minorEastAsia" w:eastAsiaTheme="minorEastAsia"/>
          <w:color w:val="auto"/>
          <w:szCs w:val="21"/>
          <w:highlight w:val="none"/>
          <w:lang w:val="en-US" w:eastAsia="zh-CN"/>
        </w:rPr>
        <w:t>技术</w:t>
      </w:r>
      <w:r>
        <w:rPr>
          <w:rFonts w:hint="eastAsia" w:cs="宋体" w:asciiTheme="minorEastAsia" w:hAnsiTheme="minorEastAsia" w:eastAsiaTheme="minorEastAsia"/>
          <w:color w:val="auto"/>
          <w:szCs w:val="21"/>
          <w:highlight w:val="none"/>
        </w:rPr>
        <w:t>要求的条款全部响应的，也可以在表格下面用文字总括性的说明。</w:t>
      </w:r>
    </w:p>
    <w:p>
      <w:pPr>
        <w:rPr>
          <w:rFonts w:asciiTheme="minorEastAsia" w:hAnsiTheme="minorEastAsia" w:eastAsiaTheme="minorEastAsia"/>
          <w:color w:val="auto"/>
          <w:szCs w:val="21"/>
          <w:highlight w:val="none"/>
        </w:rPr>
      </w:pPr>
    </w:p>
    <w:p>
      <w:pPr>
        <w:adjustRightInd/>
        <w:snapToGrid/>
        <w:spacing w:line="276" w:lineRule="auto"/>
        <w:rPr>
          <w:rFonts w:asciiTheme="minorEastAsia" w:hAnsiTheme="minorEastAsia" w:eastAsiaTheme="minorEastAsia"/>
          <w:color w:val="auto"/>
          <w:highlight w:val="none"/>
        </w:rPr>
      </w:pPr>
    </w:p>
    <w:p>
      <w:pPr>
        <w:rPr>
          <w:rFonts w:asciiTheme="minorEastAsia" w:hAnsiTheme="minorEastAsia" w:eastAsiaTheme="minorEastAsia"/>
          <w:color w:val="auto"/>
          <w:szCs w:val="21"/>
          <w:highlight w:val="none"/>
        </w:rPr>
      </w:pPr>
      <w:bookmarkStart w:id="192" w:name="_Toc17691"/>
      <w:r>
        <w:rPr>
          <w:rFonts w:hint="eastAsia" w:asciiTheme="minorEastAsia" w:hAnsiTheme="minorEastAsia" w:eastAsiaTheme="minorEastAsia"/>
          <w:color w:val="auto"/>
          <w:szCs w:val="21"/>
          <w:highlight w:val="none"/>
        </w:rPr>
        <w:br w:type="page"/>
      </w:r>
    </w:p>
    <w:bookmarkEnd w:id="192"/>
    <w:p>
      <w:pPr>
        <w:pStyle w:val="5"/>
        <w:widowControl w:val="0"/>
        <w:overflowPunct w:val="0"/>
        <w:spacing w:line="240" w:lineRule="auto"/>
        <w:rPr>
          <w:rFonts w:asciiTheme="minorEastAsia" w:hAnsiTheme="minorEastAsia" w:eastAsiaTheme="minorEastAsia"/>
          <w:color w:val="auto"/>
          <w:sz w:val="21"/>
          <w:szCs w:val="21"/>
          <w:highlight w:val="none"/>
        </w:rPr>
      </w:pPr>
      <w:bookmarkStart w:id="193" w:name="_Toc160826367"/>
      <w:r>
        <w:rPr>
          <w:rFonts w:hint="eastAsia" w:asciiTheme="minorEastAsia" w:hAnsiTheme="minorEastAsia" w:eastAsiaTheme="minorEastAsia"/>
          <w:color w:val="auto"/>
          <w:sz w:val="21"/>
          <w:szCs w:val="21"/>
          <w:highlight w:val="none"/>
        </w:rPr>
        <w:t>附件1</w:t>
      </w:r>
      <w:r>
        <w:rPr>
          <w:rFonts w:hint="eastAsia" w:asciiTheme="minorEastAsia" w:hAnsiTheme="minorEastAsia" w:eastAsiaTheme="minorEastAsia"/>
          <w:color w:val="auto"/>
          <w:sz w:val="21"/>
          <w:szCs w:val="21"/>
          <w:highlight w:val="none"/>
          <w:lang w:val="en-US" w:eastAsia="zh-CN"/>
        </w:rPr>
        <w:t>4</w:t>
      </w:r>
      <w:r>
        <w:rPr>
          <w:rFonts w:hint="eastAsia" w:asciiTheme="minorEastAsia" w:hAnsiTheme="minorEastAsia" w:eastAsiaTheme="minorEastAsia"/>
          <w:color w:val="auto"/>
          <w:sz w:val="21"/>
          <w:szCs w:val="21"/>
          <w:highlight w:val="none"/>
        </w:rPr>
        <w:t>.项目实施方案格式</w:t>
      </w:r>
      <w:bookmarkEnd w:id="193"/>
    </w:p>
    <w:p>
      <w:pPr>
        <w:jc w:val="center"/>
        <w:rPr>
          <w:rFonts w:asciiTheme="minorEastAsia" w:hAnsiTheme="minorEastAsia" w:eastAsiaTheme="minorEastAsia"/>
          <w:color w:val="auto"/>
          <w:sz w:val="32"/>
          <w:szCs w:val="32"/>
          <w:highlight w:val="none"/>
        </w:rPr>
      </w:pPr>
    </w:p>
    <w:p>
      <w:pPr>
        <w:jc w:val="center"/>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项目实施方案</w:t>
      </w:r>
    </w:p>
    <w:p>
      <w:pPr>
        <w:jc w:val="center"/>
        <w:rPr>
          <w:rFonts w:asciiTheme="minorEastAsia" w:hAnsiTheme="minorEastAsia" w:eastAsiaTheme="minorEastAsia"/>
          <w:color w:val="auto"/>
          <w:sz w:val="32"/>
          <w:szCs w:val="32"/>
          <w:highlight w:val="none"/>
        </w:rPr>
      </w:pPr>
    </w:p>
    <w:p>
      <w:pPr>
        <w:ind w:left="718" w:leftChars="200" w:hanging="298" w:hangingChars="14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1、为完成本项目投标人临时投入的设备</w:t>
      </w:r>
    </w:p>
    <w:p>
      <w:pPr>
        <w:ind w:left="718" w:leftChars="200" w:hanging="298" w:hangingChars="14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2、为完成本项目投标人投入的人员以及具体工作安排</w:t>
      </w:r>
    </w:p>
    <w:p>
      <w:pPr>
        <w:ind w:left="718" w:leftChars="200" w:hanging="298" w:hangingChars="14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3、投标人为本项目制定的具体项目实施方案与项目实施流程</w:t>
      </w:r>
    </w:p>
    <w:p>
      <w:pPr>
        <w:ind w:left="718" w:leftChars="200" w:hanging="298" w:hangingChars="14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4、服务方案</w:t>
      </w:r>
    </w:p>
    <w:p>
      <w:pPr>
        <w:ind w:left="718" w:leftChars="200" w:hanging="298" w:hangingChars="14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p>
      <w:pPr>
        <w:ind w:left="718" w:leftChars="200" w:hanging="298" w:hangingChars="142"/>
        <w:rPr>
          <w:rFonts w:cs="Times New Roman"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自行编写。</w:t>
      </w:r>
    </w:p>
    <w:p>
      <w:pPr>
        <w:ind w:left="718" w:leftChars="200" w:hanging="298" w:hangingChars="142"/>
        <w:rPr>
          <w:rFonts w:asciiTheme="minorEastAsia" w:hAnsiTheme="minorEastAsia" w:eastAsiaTheme="minorEastAsia"/>
          <w:color w:val="auto"/>
          <w:szCs w:val="21"/>
          <w:highlight w:val="none"/>
        </w:rPr>
      </w:pPr>
    </w:p>
    <w:p>
      <w:pPr>
        <w:ind w:left="718" w:leftChars="200" w:hanging="298" w:hangingChars="142"/>
        <w:rPr>
          <w:rFonts w:asciiTheme="minorEastAsia" w:hAnsiTheme="minorEastAsia" w:eastAsiaTheme="minorEastAsia"/>
          <w:color w:val="auto"/>
          <w:szCs w:val="21"/>
          <w:highlight w:val="none"/>
        </w:rPr>
      </w:pPr>
    </w:p>
    <w:p>
      <w:pPr>
        <w:ind w:left="718" w:leftChars="200" w:hanging="298" w:hangingChars="14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br w:type="page"/>
      </w:r>
    </w:p>
    <w:p>
      <w:pPr>
        <w:pStyle w:val="5"/>
        <w:widowControl w:val="0"/>
        <w:overflowPunct w:val="0"/>
        <w:spacing w:line="240" w:lineRule="auto"/>
        <w:rPr>
          <w:rFonts w:asciiTheme="minorEastAsia" w:hAnsiTheme="minorEastAsia" w:eastAsiaTheme="minorEastAsia"/>
          <w:color w:val="auto"/>
          <w:sz w:val="21"/>
          <w:szCs w:val="21"/>
          <w:highlight w:val="none"/>
        </w:rPr>
      </w:pPr>
      <w:bookmarkStart w:id="194" w:name="_Toc160826368"/>
      <w:r>
        <w:rPr>
          <w:rFonts w:hint="eastAsia" w:asciiTheme="minorEastAsia" w:hAnsiTheme="minorEastAsia" w:eastAsiaTheme="minorEastAsia"/>
          <w:color w:val="auto"/>
          <w:sz w:val="21"/>
          <w:szCs w:val="21"/>
          <w:highlight w:val="none"/>
        </w:rPr>
        <w:t>附件</w:t>
      </w:r>
      <w:r>
        <w:rPr>
          <w:rFonts w:hint="eastAsia" w:asciiTheme="minorEastAsia" w:hAnsiTheme="minorEastAsia" w:eastAsiaTheme="minorEastAsia"/>
          <w:color w:val="auto"/>
          <w:sz w:val="21"/>
          <w:szCs w:val="21"/>
          <w:highlight w:val="none"/>
          <w:lang w:val="en-US" w:eastAsia="zh-CN"/>
        </w:rPr>
        <w:t>15</w:t>
      </w:r>
      <w:r>
        <w:rPr>
          <w:rFonts w:hint="eastAsia" w:asciiTheme="minorEastAsia" w:hAnsiTheme="minorEastAsia" w:eastAsiaTheme="minorEastAsia"/>
          <w:color w:val="auto"/>
          <w:sz w:val="21"/>
          <w:szCs w:val="21"/>
          <w:highlight w:val="none"/>
        </w:rPr>
        <w:t>.实施本项目的有关人员资料表格式</w:t>
      </w:r>
      <w:bookmarkEnd w:id="194"/>
    </w:p>
    <w:p>
      <w:pPr>
        <w:jc w:val="center"/>
        <w:rPr>
          <w:rFonts w:asciiTheme="minorEastAsia" w:hAnsiTheme="minorEastAsia" w:eastAsiaTheme="minorEastAsia"/>
          <w:color w:val="auto"/>
          <w:szCs w:val="21"/>
          <w:highlight w:val="none"/>
        </w:rPr>
      </w:pPr>
    </w:p>
    <w:p>
      <w:pPr>
        <w:jc w:val="center"/>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实施本项目的有关人员资料表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702"/>
        <w:gridCol w:w="1861"/>
        <w:gridCol w:w="702"/>
        <w:gridCol w:w="702"/>
        <w:gridCol w:w="1164"/>
        <w:gridCol w:w="818"/>
        <w:gridCol w:w="116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412" w:type="pct"/>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姓名</w:t>
            </w:r>
          </w:p>
        </w:tc>
        <w:tc>
          <w:tcPr>
            <w:tcW w:w="1092" w:type="pct"/>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本项目拟任岗位</w:t>
            </w:r>
          </w:p>
        </w:tc>
        <w:tc>
          <w:tcPr>
            <w:tcW w:w="412" w:type="pct"/>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性别</w:t>
            </w:r>
          </w:p>
        </w:tc>
        <w:tc>
          <w:tcPr>
            <w:tcW w:w="412" w:type="pct"/>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年龄</w:t>
            </w:r>
          </w:p>
        </w:tc>
        <w:tc>
          <w:tcPr>
            <w:tcW w:w="683" w:type="pct"/>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技术职称</w:t>
            </w:r>
          </w:p>
        </w:tc>
        <w:tc>
          <w:tcPr>
            <w:tcW w:w="480" w:type="pct"/>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专 业</w:t>
            </w:r>
          </w:p>
        </w:tc>
        <w:tc>
          <w:tcPr>
            <w:tcW w:w="683" w:type="pct"/>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资质证书</w:t>
            </w:r>
          </w:p>
        </w:tc>
        <w:tc>
          <w:tcPr>
            <w:tcW w:w="412" w:type="pct"/>
            <w:tcBorders>
              <w:right w:val="single" w:color="auto" w:sz="6" w:space="0"/>
            </w:tcBorders>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109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80"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12" w:type="pct"/>
            <w:tcBorders>
              <w:right w:val="single" w:color="auto" w:sz="6" w:space="0"/>
            </w:tcBorders>
            <w:vAlign w:val="center"/>
          </w:tcPr>
          <w:p>
            <w:pPr>
              <w:spacing w:line="288"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109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80"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12" w:type="pct"/>
            <w:tcBorders>
              <w:right w:val="single" w:color="auto" w:sz="6" w:space="0"/>
            </w:tcBorders>
            <w:vAlign w:val="center"/>
          </w:tcPr>
          <w:p>
            <w:pPr>
              <w:spacing w:line="288"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109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80"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12" w:type="pct"/>
            <w:tcBorders>
              <w:right w:val="single" w:color="auto" w:sz="6" w:space="0"/>
            </w:tcBorders>
            <w:vAlign w:val="center"/>
          </w:tcPr>
          <w:p>
            <w:pPr>
              <w:spacing w:line="288"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109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80"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12" w:type="pct"/>
            <w:tcBorders>
              <w:right w:val="single" w:color="auto" w:sz="6" w:space="0"/>
            </w:tcBorders>
            <w:vAlign w:val="center"/>
          </w:tcPr>
          <w:p>
            <w:pPr>
              <w:spacing w:line="288"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109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80"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12" w:type="pct"/>
            <w:tcBorders>
              <w:right w:val="single" w:color="auto" w:sz="6" w:space="0"/>
            </w:tcBorders>
            <w:vAlign w:val="center"/>
          </w:tcPr>
          <w:p>
            <w:pPr>
              <w:spacing w:line="288"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109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80"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12" w:type="pct"/>
            <w:tcBorders>
              <w:right w:val="single" w:color="auto" w:sz="6" w:space="0"/>
            </w:tcBorders>
            <w:vAlign w:val="center"/>
          </w:tcPr>
          <w:p>
            <w:pPr>
              <w:spacing w:line="288"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109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80"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12" w:type="pct"/>
            <w:tcBorders>
              <w:right w:val="single" w:color="auto" w:sz="6" w:space="0"/>
            </w:tcBorders>
            <w:vAlign w:val="center"/>
          </w:tcPr>
          <w:p>
            <w:pPr>
              <w:spacing w:line="288"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109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80"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12" w:type="pct"/>
            <w:tcBorders>
              <w:right w:val="single" w:color="auto" w:sz="6" w:space="0"/>
            </w:tcBorders>
            <w:vAlign w:val="center"/>
          </w:tcPr>
          <w:p>
            <w:pPr>
              <w:spacing w:line="288"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109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80"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12" w:type="pct"/>
            <w:tcBorders>
              <w:right w:val="single" w:color="auto" w:sz="6" w:space="0"/>
            </w:tcBorders>
            <w:vAlign w:val="center"/>
          </w:tcPr>
          <w:p>
            <w:pPr>
              <w:spacing w:line="288"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109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412"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80" w:type="pct"/>
            <w:vAlign w:val="center"/>
          </w:tcPr>
          <w:p>
            <w:pPr>
              <w:spacing w:line="288" w:lineRule="auto"/>
              <w:jc w:val="center"/>
              <w:rPr>
                <w:rFonts w:asciiTheme="minorEastAsia" w:hAnsiTheme="minorEastAsia" w:eastAsiaTheme="minorEastAsia"/>
                <w:color w:val="auto"/>
                <w:szCs w:val="21"/>
                <w:highlight w:val="none"/>
              </w:rPr>
            </w:pPr>
          </w:p>
        </w:tc>
        <w:tc>
          <w:tcPr>
            <w:tcW w:w="683" w:type="pct"/>
            <w:vAlign w:val="center"/>
          </w:tcPr>
          <w:p>
            <w:pPr>
              <w:spacing w:line="288" w:lineRule="auto"/>
              <w:jc w:val="center"/>
              <w:rPr>
                <w:rFonts w:asciiTheme="minorEastAsia" w:hAnsiTheme="minorEastAsia" w:eastAsiaTheme="minorEastAsia"/>
                <w:color w:val="auto"/>
                <w:szCs w:val="21"/>
                <w:highlight w:val="none"/>
              </w:rPr>
            </w:pPr>
          </w:p>
        </w:tc>
        <w:tc>
          <w:tcPr>
            <w:tcW w:w="412" w:type="pct"/>
            <w:tcBorders>
              <w:right w:val="single" w:color="auto" w:sz="6" w:space="0"/>
            </w:tcBorders>
            <w:vAlign w:val="center"/>
          </w:tcPr>
          <w:p>
            <w:pPr>
              <w:spacing w:line="288" w:lineRule="auto"/>
              <w:jc w:val="center"/>
              <w:rPr>
                <w:rFonts w:asciiTheme="minorEastAsia" w:hAnsiTheme="minorEastAsia" w:eastAsiaTheme="minorEastAsia"/>
                <w:color w:val="auto"/>
                <w:szCs w:val="21"/>
                <w:highlight w:val="none"/>
              </w:rPr>
            </w:pPr>
          </w:p>
        </w:tc>
      </w:tr>
    </w:tbl>
    <w:p>
      <w:pPr>
        <w:ind w:firstLine="178" w:firstLineChars="85"/>
        <w:rPr>
          <w:rFonts w:asciiTheme="minorEastAsia" w:hAnsiTheme="minorEastAsia" w:eastAsiaTheme="minorEastAsia"/>
          <w:color w:val="auto"/>
          <w:szCs w:val="21"/>
          <w:highlight w:val="none"/>
        </w:rPr>
      </w:pPr>
    </w:p>
    <w:p>
      <w:pPr>
        <w:ind w:firstLine="178" w:firstLineChars="8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附有关证明文件（复印件加盖公章）</w:t>
      </w:r>
    </w:p>
    <w:p>
      <w:pPr>
        <w:ind w:firstLine="178" w:firstLineChars="8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投标人代表签字：</w:t>
      </w:r>
    </w:p>
    <w:p>
      <w:pPr>
        <w:ind w:firstLine="178" w:firstLineChars="8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投标人盖章：</w:t>
      </w: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w:t>
      </w:r>
    </w:p>
    <w:p>
      <w:pPr>
        <w:pStyle w:val="41"/>
        <w:numPr>
          <w:ilvl w:val="0"/>
          <w:numId w:val="14"/>
        </w:numPr>
        <w:ind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投标人可按项目的实际需要提供本表格。</w:t>
      </w:r>
    </w:p>
    <w:p>
      <w:pPr>
        <w:pStyle w:val="41"/>
        <w:numPr>
          <w:ilvl w:val="0"/>
          <w:numId w:val="14"/>
        </w:numPr>
        <w:ind w:firstLineChars="0"/>
        <w:rPr>
          <w:rFonts w:cs="Times New Roman"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该表格为参考格式，投标人可按实际情况自行制订。</w:t>
      </w:r>
    </w:p>
    <w:p>
      <w:pPr>
        <w:rPr>
          <w:rFonts w:cs="Times New Roman"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3、投标人若未提供或未填写完整则视为完全响应采购文件的人员要求，因此对投标人投标产生负面影响的，投标人自行承担后果。</w:t>
      </w:r>
    </w:p>
    <w:p>
      <w:pPr>
        <w:pStyle w:val="41"/>
        <w:numPr>
          <w:ilvl w:val="0"/>
          <w:numId w:val="14"/>
        </w:numPr>
        <w:ind w:firstLineChars="0"/>
        <w:rPr>
          <w:rFonts w:cs="Times New Roman"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br w:type="page"/>
      </w:r>
    </w:p>
    <w:p>
      <w:pPr>
        <w:pStyle w:val="5"/>
        <w:widowControl w:val="0"/>
        <w:overflowPunct w:val="0"/>
        <w:spacing w:line="240" w:lineRule="auto"/>
        <w:rPr>
          <w:rFonts w:asciiTheme="minorEastAsia" w:hAnsiTheme="minorEastAsia" w:eastAsiaTheme="minorEastAsia"/>
          <w:color w:val="auto"/>
          <w:highlight w:val="none"/>
        </w:rPr>
      </w:pPr>
      <w:bookmarkStart w:id="195" w:name="_Toc160826369"/>
      <w:r>
        <w:rPr>
          <w:rFonts w:hint="eastAsia" w:asciiTheme="minorEastAsia" w:hAnsiTheme="minorEastAsia" w:eastAsiaTheme="minorEastAsia"/>
          <w:color w:val="auto"/>
          <w:sz w:val="21"/>
          <w:szCs w:val="21"/>
          <w:highlight w:val="none"/>
        </w:rPr>
        <w:t>附件1</w:t>
      </w: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rPr>
        <w:t>.投标保证金汇入情况说明格式</w:t>
      </w:r>
      <w:bookmarkEnd w:id="195"/>
    </w:p>
    <w:p>
      <w:pPr>
        <w:rPr>
          <w:rFonts w:asciiTheme="minorEastAsia" w:hAnsiTheme="minorEastAsia" w:eastAsiaTheme="minorEastAsia"/>
          <w:color w:val="auto"/>
          <w:highlight w:val="none"/>
        </w:rPr>
      </w:pPr>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投标保证金汇入情况说明</w:t>
      </w:r>
    </w:p>
    <w:p>
      <w:pPr>
        <w:spacing w:line="48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致：x</w:t>
      </w:r>
      <w:r>
        <w:rPr>
          <w:rFonts w:asciiTheme="minorEastAsia" w:hAnsiTheme="minorEastAsia" w:eastAsiaTheme="minorEastAsia"/>
          <w:color w:val="auto"/>
          <w:szCs w:val="21"/>
          <w:highlight w:val="none"/>
        </w:rPr>
        <w:t>xxxxx</w:t>
      </w:r>
      <w:r>
        <w:rPr>
          <w:rFonts w:hint="eastAsia" w:asciiTheme="minorEastAsia" w:hAnsiTheme="minorEastAsia" w:eastAsiaTheme="minorEastAsia"/>
          <w:color w:val="auto"/>
          <w:szCs w:val="21"/>
          <w:highlight w:val="none"/>
        </w:rPr>
        <w:t>公司：</w:t>
      </w:r>
    </w:p>
    <w:p>
      <w:pPr>
        <w:spacing w:line="48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本单位已按</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项目（采购项目编号：）的采购文件要求，于年月日前以</w:t>
      </w:r>
      <w:r>
        <w:rPr>
          <w:rFonts w:hint="eastAsia" w:asciiTheme="minorEastAsia" w:hAnsiTheme="minorEastAsia" w:eastAsiaTheme="minorEastAsia"/>
          <w:color w:val="auto"/>
          <w:szCs w:val="21"/>
          <w:highlight w:val="none"/>
          <w:u w:val="single"/>
        </w:rPr>
        <w:t xml:space="preserve">           （付款形式）</w:t>
      </w:r>
      <w:r>
        <w:rPr>
          <w:rFonts w:hint="eastAsia" w:asciiTheme="minorEastAsia" w:hAnsiTheme="minorEastAsia" w:eastAsiaTheme="minorEastAsia"/>
          <w:color w:val="auto"/>
          <w:szCs w:val="21"/>
          <w:highlight w:val="none"/>
        </w:rPr>
        <w:t>方式汇入指定帐户（帐户名称：</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，帐号：</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,开户银行：</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w:t>
      </w:r>
    </w:p>
    <w:p>
      <w:pPr>
        <w:spacing w:line="48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本单位投标保证金的汇款情况：（详见附件－投标保证金进帐单）</w:t>
      </w:r>
    </w:p>
    <w:p>
      <w:pPr>
        <w:spacing w:line="48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汇出时间：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pPr>
        <w:spacing w:line="48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汇款金额：（大写）人民币</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元（小写：￥</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元），</w:t>
      </w:r>
    </w:p>
    <w:p>
      <w:pPr>
        <w:spacing w:line="48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汇款帐户名称：</w:t>
      </w:r>
      <w:r>
        <w:rPr>
          <w:rFonts w:hint="eastAsia" w:asciiTheme="minorEastAsia" w:hAnsiTheme="minorEastAsia" w:eastAsiaTheme="minorEastAsia"/>
          <w:color w:val="auto"/>
          <w:szCs w:val="21"/>
          <w:highlight w:val="none"/>
          <w:u w:val="single"/>
        </w:rPr>
        <w:t xml:space="preserve">  （必须是投标时使用的帐户名）   </w:t>
      </w:r>
    </w:p>
    <w:p>
      <w:pPr>
        <w:spacing w:line="48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帐        号：</w:t>
      </w:r>
      <w:r>
        <w:rPr>
          <w:rFonts w:hint="eastAsia" w:asciiTheme="minorEastAsia" w:hAnsiTheme="minorEastAsia" w:eastAsiaTheme="minorEastAsia"/>
          <w:color w:val="auto"/>
          <w:szCs w:val="21"/>
          <w:highlight w:val="none"/>
          <w:u w:val="single"/>
        </w:rPr>
        <w:t xml:space="preserve">  （必须是投标时使用的帐号）        </w:t>
      </w:r>
    </w:p>
    <w:p>
      <w:pPr>
        <w:spacing w:line="480" w:lineRule="auto"/>
        <w:ind w:firstLine="420" w:firstLineChars="20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开 户  银 行：</w:t>
      </w:r>
      <w:r>
        <w:rPr>
          <w:rFonts w:hint="eastAsia" w:asciiTheme="minorEastAsia" w:hAnsiTheme="minorEastAsia" w:eastAsiaTheme="minorEastAsia"/>
          <w:color w:val="auto"/>
          <w:szCs w:val="21"/>
          <w:highlight w:val="none"/>
          <w:u w:val="single"/>
        </w:rPr>
        <w:t xml:space="preserve">  （  XX 银行 XX 分行 XX 支行   ）</w:t>
      </w:r>
    </w:p>
    <w:p>
      <w:pPr>
        <w:spacing w:line="48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本单位谨承诺上述资料是正确、真实的，如因上述证明与事实不符导致的一切损失，本单位保证承担赔偿等一切法律责任。</w:t>
      </w:r>
    </w:p>
    <w:p>
      <w:pPr>
        <w:spacing w:line="48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投标保证金退回时，请按上述资料退回。</w:t>
      </w:r>
    </w:p>
    <w:p>
      <w:pPr>
        <w:spacing w:line="480" w:lineRule="auto"/>
        <w:ind w:right="844" w:rightChars="402"/>
        <w:jc w:val="righ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（单位公章）</w:t>
      </w:r>
    </w:p>
    <w:p>
      <w:pPr>
        <w:spacing w:line="480" w:lineRule="auto"/>
        <w:ind w:right="628" w:rightChars="299"/>
        <w:jc w:val="righ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 月 日</w:t>
      </w:r>
    </w:p>
    <w:p>
      <w:pPr>
        <w:spacing w:line="48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单位名称：</w:t>
      </w:r>
    </w:p>
    <w:p>
      <w:pPr>
        <w:spacing w:line="48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单位地址：</w:t>
      </w:r>
    </w:p>
    <w:p>
      <w:pPr>
        <w:spacing w:line="48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联系人：</w:t>
      </w:r>
    </w:p>
    <w:p>
      <w:pPr>
        <w:spacing w:line="48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单位电话： 联系人手机：</w:t>
      </w:r>
    </w:p>
    <w:p>
      <w:pPr>
        <w:rPr>
          <w:rFonts w:asciiTheme="minorEastAsia" w:hAnsiTheme="minorEastAsia" w:eastAsiaTheme="minorEastAsia"/>
          <w:color w:val="auto"/>
          <w:szCs w:val="21"/>
          <w:highlight w:val="none"/>
        </w:rPr>
      </w:pPr>
    </w:p>
    <w:p>
      <w:pPr>
        <w:spacing w:line="38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br w:type="page"/>
      </w:r>
    </w:p>
    <w:p>
      <w:pPr>
        <w:spacing w:line="38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附：我方投标保证金汇款凭证</w:t>
      </w:r>
    </w:p>
    <w:tbl>
      <w:tblPr>
        <w:tblStyle w:val="30"/>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pPr>
              <w:tabs>
                <w:tab w:val="left" w:pos="3885"/>
              </w:tabs>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（粘贴汇款单或转账</w:t>
            </w:r>
            <w:r>
              <w:rPr>
                <w:rFonts w:asciiTheme="minorEastAsia" w:hAnsiTheme="minorEastAsia" w:eastAsiaTheme="minorEastAsia"/>
                <w:color w:val="auto"/>
                <w:szCs w:val="21"/>
                <w:highlight w:val="none"/>
              </w:rPr>
              <w:t>凭证</w:t>
            </w:r>
            <w:r>
              <w:rPr>
                <w:rFonts w:hint="eastAsia" w:asciiTheme="minorEastAsia" w:hAnsiTheme="minorEastAsia" w:eastAsiaTheme="minorEastAsia"/>
                <w:color w:val="auto"/>
                <w:szCs w:val="21"/>
                <w:highlight w:val="none"/>
              </w:rPr>
              <w:t>复印件，并在骑缝上加盖投标人公章，或是直接把转账</w:t>
            </w:r>
            <w:r>
              <w:rPr>
                <w:rFonts w:asciiTheme="minorEastAsia" w:hAnsiTheme="minorEastAsia" w:eastAsiaTheme="minorEastAsia"/>
                <w:color w:val="auto"/>
                <w:szCs w:val="21"/>
                <w:highlight w:val="none"/>
              </w:rPr>
              <w:t>凭证</w:t>
            </w:r>
            <w:r>
              <w:rPr>
                <w:rFonts w:hint="eastAsia" w:asciiTheme="minorEastAsia" w:hAnsiTheme="minorEastAsia" w:eastAsiaTheme="minorEastAsia"/>
                <w:color w:val="auto"/>
                <w:szCs w:val="21"/>
                <w:highlight w:val="none"/>
              </w:rPr>
              <w:t>复印到此张纸上）</w:t>
            </w:r>
          </w:p>
        </w:tc>
      </w:tr>
    </w:tbl>
    <w:p>
      <w:pPr>
        <w:spacing w:line="48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注：此表既要装订在投标文件中，又要按投标人须知的规定与开标一览表、投标保证金汇款底单复印件及授权委托书一同密封装入唱标信封，唱标信封单独提交。</w:t>
      </w: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pStyle w:val="5"/>
        <w:numPr>
          <w:ilvl w:val="255"/>
          <w:numId w:val="0"/>
        </w:numPr>
        <w:tabs>
          <w:tab w:val="left" w:pos="720"/>
          <w:tab w:val="left" w:pos="3840"/>
        </w:tabs>
        <w:ind w:left="283"/>
        <w:jc w:val="both"/>
        <w:rPr>
          <w:rFonts w:asciiTheme="minorEastAsia" w:hAnsiTheme="minorEastAsia" w:eastAsiaTheme="minorEastAsia"/>
          <w:color w:val="auto"/>
          <w:sz w:val="21"/>
          <w:szCs w:val="21"/>
          <w:highlight w:val="none"/>
        </w:rPr>
      </w:pPr>
      <w:bookmarkStart w:id="196" w:name="_Toc28623"/>
      <w:bookmarkStart w:id="197" w:name="_Toc18296"/>
      <w:bookmarkStart w:id="198" w:name="_Toc4866"/>
      <w:bookmarkStart w:id="199" w:name="_Toc25861"/>
      <w:bookmarkStart w:id="200" w:name="_Toc1562"/>
      <w:bookmarkStart w:id="201" w:name="_Toc17028"/>
      <w:bookmarkStart w:id="202" w:name="_Toc29855"/>
      <w:bookmarkStart w:id="203" w:name="_Toc19947"/>
      <w:bookmarkStart w:id="204" w:name="_Toc160826370"/>
      <w:bookmarkStart w:id="205" w:name="_Toc2144"/>
      <w:bookmarkStart w:id="206" w:name="_Toc14605"/>
      <w:r>
        <w:rPr>
          <w:rFonts w:hint="eastAsia" w:asciiTheme="minorEastAsia" w:hAnsiTheme="minorEastAsia" w:eastAsiaTheme="minorEastAsia"/>
          <w:color w:val="auto"/>
          <w:sz w:val="21"/>
          <w:szCs w:val="21"/>
          <w:highlight w:val="none"/>
        </w:rPr>
        <w:t>附件1</w:t>
      </w:r>
      <w:r>
        <w:rPr>
          <w:rFonts w:hint="eastAsia" w:asciiTheme="minorEastAsia" w:hAnsiTheme="minorEastAsia" w:eastAsiaTheme="minorEastAsia"/>
          <w:color w:val="auto"/>
          <w:sz w:val="21"/>
          <w:szCs w:val="21"/>
          <w:highlight w:val="none"/>
          <w:lang w:val="en-US" w:eastAsia="zh-CN"/>
        </w:rPr>
        <w:t>7</w:t>
      </w:r>
      <w:r>
        <w:rPr>
          <w:rFonts w:hint="eastAsia" w:asciiTheme="minorEastAsia" w:hAnsiTheme="minorEastAsia" w:eastAsiaTheme="minorEastAsia"/>
          <w:color w:val="auto"/>
          <w:sz w:val="21"/>
          <w:szCs w:val="21"/>
          <w:highlight w:val="none"/>
        </w:rPr>
        <w:t>.不可撤销履约保函</w:t>
      </w:r>
      <w:bookmarkEnd w:id="196"/>
      <w:bookmarkEnd w:id="197"/>
      <w:bookmarkEnd w:id="198"/>
      <w:bookmarkEnd w:id="199"/>
      <w:bookmarkEnd w:id="200"/>
      <w:bookmarkEnd w:id="201"/>
      <w:bookmarkEnd w:id="202"/>
      <w:bookmarkEnd w:id="203"/>
      <w:bookmarkEnd w:id="204"/>
      <w:bookmarkEnd w:id="205"/>
      <w:bookmarkEnd w:id="206"/>
    </w:p>
    <w:p>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银行编号：</w:t>
      </w:r>
    </w:p>
    <w:p>
      <w:pPr>
        <w:rPr>
          <w:rFonts w:asciiTheme="minorEastAsia" w:hAnsiTheme="minorEastAsia" w:eastAsiaTheme="minorEastAsia"/>
          <w:color w:val="auto"/>
          <w:highlight w:val="none"/>
        </w:rPr>
      </w:pPr>
      <w:r>
        <w:rPr>
          <w:rFonts w:asciiTheme="minorEastAsia" w:hAnsiTheme="minorEastAsia" w:eastAsiaTheme="minorEastAsia"/>
          <w:color w:val="auto"/>
          <w:highlight w:val="none"/>
        </w:rPr>
        <w:t>致：</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（甲方）</w:t>
      </w:r>
    </w:p>
    <w:p>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鉴于</w:t>
      </w:r>
      <w:r>
        <w:rPr>
          <w:rFonts w:hint="eastAsia" w:asciiTheme="minorEastAsia" w:hAnsiTheme="minorEastAsia" w:eastAsiaTheme="minorEastAsia"/>
          <w:color w:val="auto"/>
          <w:highlight w:val="none"/>
          <w:u w:val="single"/>
        </w:rPr>
        <w:t xml:space="preserve">         （地址：          ，下称 “乙方” ）</w:t>
      </w:r>
      <w:r>
        <w:rPr>
          <w:rFonts w:hint="eastAsia" w:asciiTheme="minorEastAsia" w:hAnsiTheme="minorEastAsia" w:eastAsiaTheme="minorEastAsia"/>
          <w:color w:val="auto"/>
          <w:highlight w:val="none"/>
        </w:rPr>
        <w:t>已保证按</w:t>
      </w:r>
      <w:r>
        <w:rPr>
          <w:rFonts w:hint="eastAsia" w:asciiTheme="minorEastAsia" w:hAnsiTheme="minorEastAsia" w:eastAsiaTheme="minorEastAsia"/>
          <w:color w:val="auto"/>
          <w:highlight w:val="none"/>
          <w:u w:val="single"/>
        </w:rPr>
        <w:t xml:space="preserve">        承包合同书（合同编号：    ）</w:t>
      </w:r>
      <w:r>
        <w:rPr>
          <w:rFonts w:hint="eastAsia" w:asciiTheme="minorEastAsia" w:hAnsiTheme="minorEastAsia" w:eastAsiaTheme="minorEastAsia"/>
          <w:color w:val="auto"/>
          <w:highlight w:val="none"/>
        </w:rPr>
        <w:t>中规定的义务履行合同。</w:t>
      </w:r>
    </w:p>
    <w:p>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根据上述合同约定，乙方应向甲方提供一份金额为合同总价的10%即</w:t>
      </w:r>
      <w:r>
        <w:rPr>
          <w:rFonts w:hint="eastAsia" w:asciiTheme="minorEastAsia" w:hAnsiTheme="minorEastAsia" w:eastAsiaTheme="minorEastAsia"/>
          <w:color w:val="auto"/>
          <w:highlight w:val="none"/>
          <w:u w:val="single"/>
        </w:rPr>
        <w:t>人民币      （RMB    元）</w:t>
      </w:r>
      <w:r>
        <w:rPr>
          <w:rFonts w:hint="eastAsia" w:asciiTheme="minorEastAsia" w:hAnsiTheme="minorEastAsia" w:eastAsiaTheme="minorEastAsia"/>
          <w:color w:val="auto"/>
          <w:highlight w:val="none"/>
        </w:rPr>
        <w:t>的</w:t>
      </w:r>
      <w:r>
        <w:rPr>
          <w:rFonts w:hint="eastAsia" w:asciiTheme="minorEastAsia" w:hAnsiTheme="minorEastAsia" w:eastAsiaTheme="minorEastAsia"/>
          <w:bCs/>
          <w:color w:val="auto"/>
          <w:highlight w:val="none"/>
        </w:rPr>
        <w:t>不可撤销</w:t>
      </w:r>
      <w:r>
        <w:rPr>
          <w:rFonts w:hint="eastAsia" w:asciiTheme="minorEastAsia" w:hAnsiTheme="minorEastAsia" w:eastAsiaTheme="minorEastAsia"/>
          <w:color w:val="auto"/>
          <w:highlight w:val="none"/>
        </w:rPr>
        <w:t>银行履约保函，作为乙方履行上述合同的担保。</w:t>
      </w:r>
    </w:p>
    <w:p>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w:t>
      </w:r>
      <w:r>
        <w:rPr>
          <w:rFonts w:hint="eastAsia" w:asciiTheme="minorEastAsia" w:hAnsiTheme="minorEastAsia" w:eastAsiaTheme="minorEastAsia"/>
          <w:color w:val="auto"/>
          <w:highlight w:val="none"/>
          <w:u w:val="single"/>
        </w:rPr>
        <w:t xml:space="preserve">            （银行名称）</w:t>
      </w:r>
      <w:r>
        <w:rPr>
          <w:rFonts w:hint="eastAsia" w:asciiTheme="minorEastAsia" w:hAnsiTheme="minorEastAsia" w:eastAsiaTheme="minorEastAsia"/>
          <w:color w:val="auto"/>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Theme="minorEastAsia" w:hAnsiTheme="minorEastAsia" w:eastAsiaTheme="minorEastAsia"/>
          <w:color w:val="auto"/>
          <w:highlight w:val="none"/>
          <w:u w:val="single"/>
        </w:rPr>
        <w:t>人民币          （RMB       元）</w:t>
      </w:r>
      <w:r>
        <w:rPr>
          <w:rFonts w:hint="eastAsia" w:asciiTheme="minorEastAsia" w:hAnsiTheme="minorEastAsia" w:eastAsiaTheme="minorEastAsia"/>
          <w:color w:val="auto"/>
          <w:highlight w:val="none"/>
        </w:rPr>
        <w:t>的保证金。</w:t>
      </w:r>
    </w:p>
    <w:p>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我方还同意，任何甲方与乙方之间可能对合同条款的修改、规范或其他合同文件的变动补充，都不能免除我方按本保函所承担的责任。因此，有关上述变动、补充和修改无须通知我方。</w:t>
      </w:r>
    </w:p>
    <w:p>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本保函从上述合同签订之日</w:t>
      </w:r>
      <w:r>
        <w:rPr>
          <w:rFonts w:hint="eastAsia" w:asciiTheme="minorEastAsia" w:hAnsiTheme="minorEastAsia" w:eastAsiaTheme="minorEastAsia"/>
          <w:color w:val="auto"/>
          <w:szCs w:val="21"/>
          <w:highlight w:val="none"/>
        </w:rPr>
        <w:t>起</w:t>
      </w:r>
      <w:r>
        <w:rPr>
          <w:rFonts w:hint="eastAsia" w:cs="宋体" w:asciiTheme="minorEastAsia" w:hAnsiTheme="minorEastAsia" w:eastAsiaTheme="minorEastAsia"/>
          <w:color w:val="auto"/>
          <w:szCs w:val="21"/>
          <w:highlight w:val="none"/>
        </w:rPr>
        <w:t>至标包内所需设备全部验收合格</w:t>
      </w:r>
      <w:r>
        <w:rPr>
          <w:rFonts w:hint="eastAsia" w:ascii="宋体" w:hAnsi="宋体"/>
          <w:color w:val="auto"/>
          <w:szCs w:val="21"/>
          <w:highlight w:val="none"/>
        </w:rPr>
        <w:t>且双方完成结算</w:t>
      </w:r>
      <w:r>
        <w:rPr>
          <w:rFonts w:hint="eastAsia" w:cs="宋体" w:asciiTheme="minorEastAsia" w:hAnsiTheme="minorEastAsia" w:eastAsiaTheme="minorEastAsia"/>
          <w:color w:val="auto"/>
          <w:szCs w:val="21"/>
          <w:highlight w:val="none"/>
        </w:rPr>
        <w:t>，经双方签字7天内保持有效。</w:t>
      </w:r>
      <w:r>
        <w:rPr>
          <w:rFonts w:hint="eastAsia" w:asciiTheme="minorEastAsia" w:hAnsiTheme="minorEastAsia" w:eastAsiaTheme="minorEastAsia"/>
          <w:color w:val="auto"/>
          <w:highlight w:val="none"/>
        </w:rPr>
        <w:t>保函担保期内若项目需延长合同期，保函必须延期，办理延期手续时在银行方面所产生费用由保证人负责。</w:t>
      </w:r>
    </w:p>
    <w:p>
      <w:pPr>
        <w:ind w:firstLine="2824" w:firstLineChars="1345"/>
        <w:rPr>
          <w:rFonts w:asciiTheme="minorEastAsia" w:hAnsiTheme="minorEastAsia" w:eastAsiaTheme="minorEastAsia"/>
          <w:color w:val="auto"/>
          <w:highlight w:val="none"/>
        </w:rPr>
      </w:pPr>
    </w:p>
    <w:p>
      <w:pPr>
        <w:ind w:firstLine="5040" w:firstLineChars="2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保证人：（盖章）</w:t>
      </w:r>
      <w:r>
        <w:rPr>
          <w:rFonts w:hint="eastAsia" w:asciiTheme="minorEastAsia" w:hAnsiTheme="minorEastAsia" w:eastAsiaTheme="minorEastAsia"/>
          <w:color w:val="auto"/>
          <w:highlight w:val="none"/>
          <w:u w:val="single"/>
        </w:rPr>
        <w:t xml:space="preserve">                        </w:t>
      </w:r>
    </w:p>
    <w:p>
      <w:pPr>
        <w:ind w:firstLine="5040" w:firstLineChars="2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负责人：（签字）</w:t>
      </w:r>
      <w:r>
        <w:rPr>
          <w:rFonts w:hint="eastAsia" w:asciiTheme="minorEastAsia" w:hAnsiTheme="minorEastAsia" w:eastAsiaTheme="minorEastAsia"/>
          <w:color w:val="auto"/>
          <w:highlight w:val="none"/>
          <w:u w:val="single"/>
        </w:rPr>
        <w:t xml:space="preserve">                        </w:t>
      </w:r>
    </w:p>
    <w:p>
      <w:pPr>
        <w:ind w:firstLine="5040" w:firstLineChars="2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联系人：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w:t>
      </w:r>
    </w:p>
    <w:p>
      <w:pPr>
        <w:ind w:firstLine="5040" w:firstLineChars="2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联系电话：</w:t>
      </w:r>
      <w:r>
        <w:rPr>
          <w:rFonts w:hint="eastAsia" w:asciiTheme="minorEastAsia" w:hAnsiTheme="minorEastAsia" w:eastAsiaTheme="minorEastAsia"/>
          <w:color w:val="auto"/>
          <w:highlight w:val="none"/>
          <w:u w:val="single"/>
        </w:rPr>
        <w:t xml:space="preserve">                             </w:t>
      </w:r>
    </w:p>
    <w:p>
      <w:pPr>
        <w:ind w:firstLine="5040" w:firstLineChars="2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日期：</w:t>
      </w:r>
      <w:r>
        <w:rPr>
          <w:rFonts w:hint="eastAsia" w:asciiTheme="minorEastAsia" w:hAnsiTheme="minorEastAsia" w:eastAsiaTheme="minorEastAsia"/>
          <w:color w:val="auto"/>
          <w:highlight w:val="none"/>
          <w:u w:val="single"/>
        </w:rPr>
        <w:t xml:space="preserve">                               </w:t>
      </w:r>
    </w:p>
    <w:p>
      <w:pPr>
        <w:pStyle w:val="12"/>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说明：投标人在投标时不需提交正式保函，在投标文件中盖投标人公章确认保函格式即可，乙方</w:t>
      </w:r>
      <w:r>
        <w:rPr>
          <w:rFonts w:hint="eastAsia" w:asciiTheme="minorEastAsia" w:hAnsiTheme="minorEastAsia" w:eastAsiaTheme="minorEastAsia"/>
          <w:color w:val="auto"/>
          <w:highlight w:val="none"/>
        </w:rPr>
        <w:t>在签订合同时</w:t>
      </w:r>
      <w:r>
        <w:rPr>
          <w:rFonts w:hint="eastAsia" w:asciiTheme="minorEastAsia" w:hAnsiTheme="minorEastAsia" w:eastAsiaTheme="minorEastAsia"/>
          <w:color w:val="auto"/>
          <w:szCs w:val="24"/>
          <w:highlight w:val="none"/>
        </w:rPr>
        <w:t>提交正式保函。</w:t>
      </w:r>
    </w:p>
    <w:p>
      <w:pPr>
        <w:rPr>
          <w:rFonts w:asciiTheme="minorEastAsia" w:hAnsiTheme="minorEastAsia" w:eastAsiaTheme="minorEastAsia"/>
          <w:color w:val="auto"/>
          <w:szCs w:val="21"/>
          <w:highlight w:val="none"/>
        </w:rPr>
      </w:pPr>
    </w:p>
    <w:p>
      <w:pPr>
        <w:adjustRightInd/>
        <w:snapToGrid/>
        <w:spacing w:line="24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br w:type="page"/>
      </w:r>
    </w:p>
    <w:p>
      <w:pPr>
        <w:pStyle w:val="5"/>
        <w:numPr>
          <w:ilvl w:val="255"/>
          <w:numId w:val="0"/>
        </w:numPr>
        <w:tabs>
          <w:tab w:val="left" w:pos="720"/>
          <w:tab w:val="left" w:pos="3840"/>
        </w:tabs>
        <w:ind w:left="283"/>
        <w:jc w:val="both"/>
        <w:rPr>
          <w:rFonts w:asciiTheme="minorEastAsia" w:hAnsiTheme="minorEastAsia" w:eastAsiaTheme="minorEastAsia"/>
          <w:color w:val="auto"/>
          <w:sz w:val="21"/>
          <w:szCs w:val="21"/>
          <w:highlight w:val="none"/>
        </w:rPr>
      </w:pPr>
      <w:bookmarkStart w:id="207" w:name="_Toc1313"/>
      <w:bookmarkStart w:id="208" w:name="_Toc160826371"/>
      <w:r>
        <w:rPr>
          <w:rFonts w:hint="eastAsia" w:asciiTheme="minorEastAsia" w:hAnsiTheme="minorEastAsia" w:eastAsiaTheme="minorEastAsia"/>
          <w:color w:val="auto"/>
          <w:sz w:val="21"/>
          <w:szCs w:val="21"/>
          <w:highlight w:val="none"/>
        </w:rPr>
        <w:t>附件</w:t>
      </w:r>
      <w:r>
        <w:rPr>
          <w:rFonts w:hint="eastAsia" w:asciiTheme="minorEastAsia" w:hAnsiTheme="minorEastAsia" w:eastAsiaTheme="minorEastAsia"/>
          <w:color w:val="auto"/>
          <w:sz w:val="21"/>
          <w:szCs w:val="21"/>
          <w:highlight w:val="none"/>
          <w:lang w:val="en-US" w:eastAsia="zh-CN"/>
        </w:rPr>
        <w:t>18</w:t>
      </w:r>
      <w:r>
        <w:rPr>
          <w:rFonts w:hint="eastAsia" w:asciiTheme="minorEastAsia" w:hAnsiTheme="minorEastAsia" w:eastAsiaTheme="minorEastAsia"/>
          <w:color w:val="auto"/>
          <w:sz w:val="21"/>
          <w:szCs w:val="21"/>
          <w:highlight w:val="none"/>
        </w:rPr>
        <w:t>.预付款保函</w:t>
      </w:r>
      <w:bookmarkEnd w:id="207"/>
      <w:r>
        <w:rPr>
          <w:rFonts w:hint="eastAsia" w:asciiTheme="minorEastAsia" w:hAnsiTheme="minorEastAsia" w:eastAsiaTheme="minorEastAsia"/>
          <w:color w:val="auto"/>
          <w:sz w:val="21"/>
          <w:szCs w:val="21"/>
          <w:highlight w:val="none"/>
        </w:rPr>
        <w:t>（适用于预付款支付）</w:t>
      </w:r>
      <w:bookmarkEnd w:id="208"/>
    </w:p>
    <w:p>
      <w:pPr>
        <w:pStyle w:val="12"/>
        <w:rPr>
          <w:rFonts w:asciiTheme="minorEastAsia" w:hAnsiTheme="minorEastAsia" w:eastAsiaTheme="minorEastAsia"/>
          <w:color w:val="auto"/>
          <w:szCs w:val="24"/>
          <w:highlight w:val="none"/>
        </w:rPr>
      </w:pPr>
    </w:p>
    <w:p>
      <w:pPr>
        <w:jc w:val="center"/>
        <w:rPr>
          <w:rFonts w:asciiTheme="minorEastAsia" w:hAnsiTheme="minorEastAsia" w:eastAsiaTheme="minorEastAsia"/>
          <w:color w:val="auto"/>
          <w:sz w:val="28"/>
          <w:szCs w:val="28"/>
          <w:highlight w:val="none"/>
        </w:rPr>
      </w:pPr>
      <w:bookmarkStart w:id="209" w:name="_Toc3295"/>
      <w:bookmarkStart w:id="210" w:name="_Toc20669"/>
      <w:bookmarkStart w:id="211" w:name="_Toc10315"/>
      <w:bookmarkStart w:id="212" w:name="_Toc6877"/>
      <w:bookmarkStart w:id="213" w:name="_Toc25494"/>
      <w:bookmarkStart w:id="214" w:name="_Toc1039"/>
      <w:bookmarkStart w:id="215" w:name="_Toc27545"/>
      <w:bookmarkStart w:id="216" w:name="_Toc31418"/>
      <w:bookmarkStart w:id="217" w:name="_Toc29728"/>
      <w:bookmarkStart w:id="218" w:name="_Toc29054"/>
      <w:bookmarkStart w:id="219" w:name="_Toc7374"/>
      <w:bookmarkStart w:id="220" w:name="_Toc10719"/>
      <w:r>
        <w:rPr>
          <w:rFonts w:hint="eastAsia" w:asciiTheme="minorEastAsia" w:hAnsiTheme="minorEastAsia" w:eastAsiaTheme="minorEastAsia"/>
          <w:color w:val="auto"/>
          <w:sz w:val="28"/>
          <w:szCs w:val="28"/>
          <w:highlight w:val="none"/>
        </w:rPr>
        <w:t>不可撤销预付款保函</w:t>
      </w:r>
      <w:bookmarkEnd w:id="209"/>
      <w:bookmarkEnd w:id="210"/>
      <w:bookmarkEnd w:id="211"/>
      <w:bookmarkEnd w:id="212"/>
      <w:bookmarkEnd w:id="213"/>
      <w:bookmarkEnd w:id="214"/>
      <w:bookmarkEnd w:id="215"/>
      <w:bookmarkEnd w:id="216"/>
      <w:bookmarkEnd w:id="217"/>
      <w:bookmarkEnd w:id="218"/>
      <w:bookmarkEnd w:id="219"/>
      <w:bookmarkEnd w:id="220"/>
    </w:p>
    <w:p>
      <w:pPr>
        <w:ind w:firstLine="630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银行编号：</w:t>
      </w:r>
      <w:r>
        <w:rPr>
          <w:rFonts w:hint="eastAsia" w:asciiTheme="minorEastAsia" w:hAnsiTheme="minorEastAsia" w:eastAsiaTheme="minorEastAsia"/>
          <w:color w:val="auto"/>
          <w:szCs w:val="21"/>
          <w:highlight w:val="none"/>
          <w:u w:val="single"/>
        </w:rPr>
        <w:t xml:space="preserve">             </w:t>
      </w:r>
    </w:p>
    <w:p>
      <w:pPr>
        <w:ind w:firstLine="6300"/>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（下称“采购人”）</w:t>
      </w:r>
    </w:p>
    <w:p>
      <w:pPr>
        <w:ind w:firstLine="43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鉴于</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4"/>
          <w:highlight w:val="none"/>
          <w:u w:val="single"/>
        </w:rPr>
        <w:t>（地址：          ，下称 “中标人” ）</w:t>
      </w:r>
      <w:r>
        <w:rPr>
          <w:rFonts w:hint="eastAsia" w:asciiTheme="minorEastAsia" w:hAnsiTheme="minorEastAsia" w:eastAsiaTheme="minorEastAsia"/>
          <w:color w:val="auto"/>
          <w:szCs w:val="21"/>
          <w:highlight w:val="none"/>
        </w:rPr>
        <w:t>，已保证按</w:t>
      </w:r>
      <w:r>
        <w:rPr>
          <w:rFonts w:hint="eastAsia" w:asciiTheme="minorEastAsia" w:hAnsiTheme="minorEastAsia" w:eastAsiaTheme="minorEastAsia"/>
          <w:color w:val="auto"/>
          <w:szCs w:val="21"/>
          <w:highlight w:val="none"/>
          <w:u w:val="single"/>
        </w:rPr>
        <w:t xml:space="preserve">          承包合同书（合同编号：    ）</w:t>
      </w:r>
      <w:r>
        <w:rPr>
          <w:rFonts w:hint="eastAsia" w:asciiTheme="minorEastAsia" w:hAnsiTheme="minorEastAsia" w:eastAsiaTheme="minorEastAsia"/>
          <w:color w:val="auto"/>
          <w:szCs w:val="21"/>
          <w:highlight w:val="none"/>
        </w:rPr>
        <w:t>中规定的义务履行合同。</w:t>
      </w:r>
    </w:p>
    <w:p>
      <w:pPr>
        <w:ind w:firstLine="43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4"/>
          <w:highlight w:val="none"/>
        </w:rPr>
        <w:t>根据上述合同（招标文件）规定，中标人应向采购人提供一份金额为合同总价的</w:t>
      </w:r>
      <w:r>
        <w:rPr>
          <w:rFonts w:hint="eastAsia" w:asciiTheme="minorEastAsia" w:hAnsiTheme="minorEastAsia" w:eastAsiaTheme="minorEastAsia"/>
          <w:color w:val="auto"/>
          <w:szCs w:val="24"/>
          <w:highlight w:val="none"/>
          <w:u w:val="single"/>
        </w:rPr>
        <w:t xml:space="preserve">   </w:t>
      </w:r>
      <w:r>
        <w:rPr>
          <w:rFonts w:hint="eastAsia" w:asciiTheme="minorEastAsia" w:hAnsiTheme="minorEastAsia" w:eastAsiaTheme="minorEastAsia"/>
          <w:color w:val="auto"/>
          <w:szCs w:val="24"/>
          <w:highlight w:val="none"/>
        </w:rPr>
        <w:t>% 即人民币</w:t>
      </w:r>
      <w:r>
        <w:rPr>
          <w:rFonts w:hint="eastAsia" w:asciiTheme="minorEastAsia" w:hAnsiTheme="minorEastAsia" w:eastAsiaTheme="minorEastAsia"/>
          <w:color w:val="auto"/>
          <w:szCs w:val="21"/>
          <w:highlight w:val="none"/>
          <w:u w:val="single"/>
        </w:rPr>
        <w:t xml:space="preserve">      （RMB      元）</w:t>
      </w:r>
      <w:r>
        <w:rPr>
          <w:rFonts w:hint="eastAsia" w:asciiTheme="minorEastAsia" w:hAnsiTheme="minorEastAsia" w:eastAsiaTheme="minorEastAsia"/>
          <w:color w:val="auto"/>
          <w:szCs w:val="21"/>
          <w:highlight w:val="none"/>
        </w:rPr>
        <w:t>的不可撤销银行预付款保函，以保证中标人履行合同的相关条款。</w:t>
      </w:r>
    </w:p>
    <w:p>
      <w:pPr>
        <w:ind w:firstLine="43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我方</w:t>
      </w:r>
      <w:r>
        <w:rPr>
          <w:rFonts w:hint="eastAsia" w:asciiTheme="minorEastAsia" w:hAnsiTheme="minorEastAsia" w:eastAsiaTheme="minorEastAsia"/>
          <w:color w:val="auto"/>
          <w:szCs w:val="21"/>
          <w:highlight w:val="none"/>
          <w:u w:val="single"/>
        </w:rPr>
        <w:t xml:space="preserve">  （银行名称）  </w:t>
      </w:r>
      <w:r>
        <w:rPr>
          <w:rFonts w:hint="eastAsia" w:asciiTheme="minorEastAsia" w:hAnsiTheme="minorEastAsia" w:eastAsiaTheme="minorEastAsia"/>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pPr>
        <w:ind w:firstLine="43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pPr>
        <w:ind w:firstLine="43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本保函有效期从保函开立之日起至采购人向中标人抵扣完所有预付款之日止。</w:t>
      </w:r>
      <w:r>
        <w:rPr>
          <w:rFonts w:hint="eastAsia" w:asciiTheme="minorEastAsia" w:hAnsiTheme="minorEastAsia" w:eastAsiaTheme="minorEastAsia"/>
          <w:color w:val="auto"/>
          <w:highlight w:val="none"/>
        </w:rPr>
        <w:t>保函担保期内若项目需延长合同期，保函必须延期，办理延期手续时在银行方面所产生费用由保证人负责。</w:t>
      </w:r>
    </w:p>
    <w:p>
      <w:pPr>
        <w:rPr>
          <w:rFonts w:asciiTheme="minorEastAsia" w:hAnsiTheme="minorEastAsia" w:eastAsiaTheme="minorEastAsia"/>
          <w:color w:val="auto"/>
          <w:szCs w:val="21"/>
          <w:highlight w:val="none"/>
        </w:rPr>
      </w:pPr>
    </w:p>
    <w:p>
      <w:pPr>
        <w:ind w:firstLine="437"/>
        <w:rPr>
          <w:rFonts w:asciiTheme="minorEastAsia" w:hAnsiTheme="minorEastAsia" w:eastAsiaTheme="minorEastAsia"/>
          <w:color w:val="auto"/>
          <w:szCs w:val="21"/>
          <w:highlight w:val="none"/>
        </w:rPr>
      </w:pPr>
    </w:p>
    <w:p>
      <w:pPr>
        <w:ind w:firstLine="486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保证人：（公章）</w:t>
      </w:r>
      <w:r>
        <w:rPr>
          <w:rFonts w:hint="eastAsia" w:asciiTheme="minorEastAsia" w:hAnsiTheme="minorEastAsia" w:eastAsiaTheme="minorEastAsia"/>
          <w:color w:val="auto"/>
          <w:szCs w:val="21"/>
          <w:highlight w:val="none"/>
          <w:u w:val="single"/>
        </w:rPr>
        <w:t xml:space="preserve">                     </w:t>
      </w:r>
    </w:p>
    <w:p>
      <w:pPr>
        <w:ind w:firstLine="486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负责人：（签字）</w:t>
      </w:r>
      <w:r>
        <w:rPr>
          <w:rFonts w:hint="eastAsia" w:asciiTheme="minorEastAsia" w:hAnsiTheme="minorEastAsia" w:eastAsiaTheme="minorEastAsia"/>
          <w:color w:val="auto"/>
          <w:szCs w:val="21"/>
          <w:highlight w:val="none"/>
          <w:u w:val="single"/>
        </w:rPr>
        <w:t xml:space="preserve">                     </w:t>
      </w:r>
    </w:p>
    <w:p>
      <w:pPr>
        <w:ind w:firstLine="486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联系电话：</w:t>
      </w:r>
      <w:r>
        <w:rPr>
          <w:rFonts w:hint="eastAsia" w:asciiTheme="minorEastAsia" w:hAnsiTheme="minorEastAsia" w:eastAsiaTheme="minorEastAsia"/>
          <w:color w:val="auto"/>
          <w:szCs w:val="21"/>
          <w:highlight w:val="none"/>
          <w:u w:val="single"/>
        </w:rPr>
        <w:t xml:space="preserve">                          </w:t>
      </w:r>
    </w:p>
    <w:p>
      <w:pPr>
        <w:ind w:firstLine="486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地址：</w:t>
      </w:r>
      <w:r>
        <w:rPr>
          <w:rFonts w:hint="eastAsia" w:asciiTheme="minorEastAsia" w:hAnsiTheme="minorEastAsia" w:eastAsiaTheme="minorEastAsia"/>
          <w:color w:val="auto"/>
          <w:szCs w:val="21"/>
          <w:highlight w:val="none"/>
          <w:u w:val="single"/>
        </w:rPr>
        <w:t xml:space="preserve">                              </w:t>
      </w:r>
    </w:p>
    <w:p>
      <w:pPr>
        <w:ind w:firstLine="486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p>
    <w:p>
      <w:pPr>
        <w:pStyle w:val="12"/>
        <w:rPr>
          <w:rFonts w:asciiTheme="minorEastAsia" w:hAnsiTheme="minorEastAsia" w:eastAsiaTheme="minorEastAsia"/>
          <w:color w:val="auto"/>
          <w:szCs w:val="21"/>
          <w:highlight w:val="none"/>
        </w:rPr>
      </w:pPr>
    </w:p>
    <w:p>
      <w:pPr>
        <w:pStyle w:val="12"/>
        <w:rPr>
          <w:rFonts w:asciiTheme="minorEastAsia" w:hAnsiTheme="minorEastAsia" w:eastAsiaTheme="minorEastAsia"/>
          <w:color w:val="auto"/>
          <w:szCs w:val="21"/>
          <w:highlight w:val="none"/>
        </w:rPr>
      </w:pPr>
    </w:p>
    <w:p>
      <w:pPr>
        <w:ind w:firstLine="413" w:firstLineChars="196"/>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说明：投标人在投标文件中盖投标人公章确认保函内容即可，如中标再由银行出具保函。</w:t>
      </w:r>
    </w:p>
    <w:p>
      <w:pPr>
        <w:adjustRightInd/>
        <w:snapToGrid/>
        <w:spacing w:line="240" w:lineRule="auto"/>
        <w:rPr>
          <w:rFonts w:asciiTheme="minorEastAsia" w:hAnsiTheme="minorEastAsia" w:eastAsiaTheme="minorEastAsia"/>
          <w:color w:val="auto"/>
          <w:sz w:val="72"/>
          <w:szCs w:val="72"/>
          <w:highlight w:val="none"/>
        </w:rPr>
      </w:pPr>
    </w:p>
    <w:p>
      <w:pPr>
        <w:jc w:val="center"/>
        <w:outlineLvl w:val="1"/>
        <w:rPr>
          <w:rFonts w:asciiTheme="minorEastAsia" w:hAnsiTheme="minorEastAsia" w:eastAsiaTheme="minorEastAsia"/>
          <w:color w:val="auto"/>
          <w:sz w:val="72"/>
          <w:szCs w:val="72"/>
          <w:highlight w:val="none"/>
        </w:rPr>
      </w:pPr>
      <w:bookmarkStart w:id="221" w:name="_Toc160826372"/>
      <w:r>
        <w:rPr>
          <w:rFonts w:hint="eastAsia" w:asciiTheme="minorEastAsia" w:hAnsiTheme="minorEastAsia" w:eastAsiaTheme="minorEastAsia"/>
          <w:color w:val="auto"/>
          <w:sz w:val="72"/>
          <w:szCs w:val="72"/>
          <w:highlight w:val="none"/>
        </w:rPr>
        <w:t>唱标信封</w:t>
      </w:r>
      <w:bookmarkEnd w:id="221"/>
    </w:p>
    <w:p>
      <w:pPr>
        <w:jc w:val="center"/>
        <w:rPr>
          <w:rFonts w:asciiTheme="minorEastAsia" w:hAnsiTheme="minorEastAsia" w:eastAsiaTheme="minorEastAsia"/>
          <w:color w:val="auto"/>
          <w:sz w:val="52"/>
          <w:szCs w:val="52"/>
          <w:highlight w:val="none"/>
        </w:rPr>
      </w:pPr>
      <w:r>
        <w:rPr>
          <w:rFonts w:hint="eastAsia" w:asciiTheme="minorEastAsia" w:hAnsiTheme="minorEastAsia" w:eastAsiaTheme="minorEastAsia"/>
          <w:color w:val="auto"/>
          <w:sz w:val="52"/>
          <w:szCs w:val="52"/>
          <w:highlight w:val="none"/>
        </w:rPr>
        <w:t>（单独装订成册，单独封装）</w:t>
      </w:r>
    </w:p>
    <w:p>
      <w:pPr>
        <w:rPr>
          <w:rFonts w:asciiTheme="minorEastAsia" w:hAnsiTheme="minorEastAsia" w:eastAsiaTheme="minorEastAsia"/>
          <w:color w:val="auto"/>
          <w:highlight w:val="none"/>
        </w:rPr>
      </w:pPr>
    </w:p>
    <w:p>
      <w:pPr>
        <w:pStyle w:val="9"/>
        <w:rPr>
          <w:rFonts w:asciiTheme="minorEastAsia" w:hAnsiTheme="minorEastAsia" w:eastAsiaTheme="minorEastAsia"/>
          <w:color w:val="auto"/>
          <w:highlight w:val="none"/>
        </w:rPr>
      </w:pPr>
    </w:p>
    <w:p>
      <w:pPr>
        <w:pStyle w:val="10"/>
        <w:ind w:firstLine="240"/>
        <w:rPr>
          <w:rFonts w:asciiTheme="minorEastAsia" w:hAnsiTheme="minorEastAsia" w:eastAsiaTheme="minorEastAsia"/>
          <w:color w:val="auto"/>
          <w:highlight w:val="none"/>
        </w:rPr>
      </w:pPr>
    </w:p>
    <w:p>
      <w:pPr>
        <w:pStyle w:val="10"/>
        <w:ind w:firstLine="240"/>
        <w:rPr>
          <w:rFonts w:asciiTheme="minorEastAsia" w:hAnsiTheme="minorEastAsia" w:eastAsiaTheme="minorEastAsia"/>
          <w:color w:val="auto"/>
          <w:highlight w:val="none"/>
        </w:rPr>
      </w:pPr>
    </w:p>
    <w:p>
      <w:pPr>
        <w:rPr>
          <w:rFonts w:cs="宋体" w:asciiTheme="minorEastAsia" w:hAnsiTheme="minorEastAsia" w:eastAsiaTheme="minorEastAsia"/>
          <w:b/>
          <w:color w:val="auto"/>
          <w:spacing w:val="-6"/>
          <w:sz w:val="32"/>
          <w:szCs w:val="32"/>
          <w:highlight w:val="none"/>
        </w:rPr>
      </w:pPr>
      <w:r>
        <w:rPr>
          <w:rFonts w:hint="eastAsia" w:cs="宋体" w:asciiTheme="minorEastAsia" w:hAnsiTheme="minorEastAsia" w:eastAsiaTheme="minorEastAsia"/>
          <w:b/>
          <w:color w:val="auto"/>
          <w:spacing w:val="106"/>
          <w:sz w:val="32"/>
          <w:szCs w:val="32"/>
          <w:highlight w:val="none"/>
        </w:rPr>
        <w:t>项目名</w:t>
      </w:r>
      <w:r>
        <w:rPr>
          <w:rFonts w:hint="eastAsia" w:cs="宋体" w:asciiTheme="minorEastAsia" w:hAnsiTheme="minorEastAsia" w:eastAsiaTheme="minorEastAsia"/>
          <w:b/>
          <w:color w:val="auto"/>
          <w:spacing w:val="2"/>
          <w:sz w:val="32"/>
          <w:szCs w:val="32"/>
          <w:highlight w:val="none"/>
        </w:rPr>
        <w:t>称</w:t>
      </w:r>
      <w:r>
        <w:rPr>
          <w:rFonts w:hint="eastAsia" w:cs="宋体" w:asciiTheme="minorEastAsia" w:hAnsiTheme="minorEastAsia" w:eastAsiaTheme="minorEastAsia"/>
          <w:b/>
          <w:color w:val="auto"/>
          <w:spacing w:val="-6"/>
          <w:sz w:val="32"/>
          <w:szCs w:val="32"/>
          <w:highlight w:val="none"/>
        </w:rPr>
        <w:t>：</w:t>
      </w:r>
    </w:p>
    <w:p>
      <w:pPr>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pacing w:val="106"/>
          <w:sz w:val="32"/>
          <w:szCs w:val="32"/>
          <w:highlight w:val="none"/>
        </w:rPr>
        <w:t>项目编</w:t>
      </w:r>
      <w:r>
        <w:rPr>
          <w:rFonts w:hint="eastAsia" w:cs="宋体" w:asciiTheme="minorEastAsia" w:hAnsiTheme="minorEastAsia" w:eastAsiaTheme="minorEastAsia"/>
          <w:b/>
          <w:color w:val="auto"/>
          <w:spacing w:val="2"/>
          <w:sz w:val="32"/>
          <w:szCs w:val="32"/>
          <w:highlight w:val="none"/>
        </w:rPr>
        <w:t>号</w:t>
      </w:r>
      <w:r>
        <w:rPr>
          <w:rFonts w:hint="eastAsia" w:cs="宋体" w:asciiTheme="minorEastAsia" w:hAnsiTheme="minorEastAsia" w:eastAsiaTheme="minorEastAsia"/>
          <w:b/>
          <w:color w:val="auto"/>
          <w:sz w:val="32"/>
          <w:szCs w:val="32"/>
          <w:highlight w:val="none"/>
        </w:rPr>
        <w:t>：</w:t>
      </w:r>
    </w:p>
    <w:p>
      <w:pPr>
        <w:pStyle w:val="9"/>
        <w:ind w:left="0"/>
        <w:rPr>
          <w:rFonts w:asciiTheme="minorEastAsia" w:hAnsiTheme="minorEastAsia" w:eastAsiaTheme="minorEastAsia"/>
          <w:b/>
          <w:color w:val="auto"/>
          <w:spacing w:val="106"/>
          <w:sz w:val="32"/>
          <w:szCs w:val="32"/>
          <w:highlight w:val="none"/>
          <w:lang w:val="en-US" w:bidi="ar-SA"/>
        </w:rPr>
      </w:pPr>
      <w:r>
        <w:rPr>
          <w:rFonts w:hint="eastAsia" w:asciiTheme="minorEastAsia" w:hAnsiTheme="minorEastAsia" w:eastAsiaTheme="minorEastAsia"/>
          <w:b/>
          <w:color w:val="auto"/>
          <w:spacing w:val="106"/>
          <w:sz w:val="32"/>
          <w:szCs w:val="32"/>
          <w:highlight w:val="none"/>
          <w:lang w:val="en-US" w:bidi="ar-SA"/>
        </w:rPr>
        <w:t>包组号（如有）：</w:t>
      </w:r>
    </w:p>
    <w:p>
      <w:pPr>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z w:val="32"/>
          <w:szCs w:val="32"/>
          <w:highlight w:val="none"/>
        </w:rPr>
        <w:t>投标人名称：</w:t>
      </w:r>
    </w:p>
    <w:p>
      <w:pPr>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pacing w:val="64"/>
          <w:sz w:val="32"/>
          <w:szCs w:val="32"/>
          <w:highlight w:val="none"/>
        </w:rPr>
        <w:t xml:space="preserve">日    </w:t>
      </w:r>
      <w:r>
        <w:rPr>
          <w:rFonts w:hint="eastAsia" w:cs="宋体" w:asciiTheme="minorEastAsia" w:hAnsiTheme="minorEastAsia" w:eastAsiaTheme="minorEastAsia"/>
          <w:b/>
          <w:color w:val="auto"/>
          <w:sz w:val="32"/>
          <w:szCs w:val="32"/>
          <w:highlight w:val="none"/>
        </w:rPr>
        <w:t>期：</w:t>
      </w:r>
    </w:p>
    <w:p>
      <w:pPr>
        <w:rPr>
          <w:rFonts w:asciiTheme="minorEastAsia" w:hAnsiTheme="minorEastAsia" w:eastAsiaTheme="minorEastAsia"/>
          <w:color w:val="auto"/>
          <w:szCs w:val="21"/>
          <w:highlight w:val="none"/>
        </w:rPr>
      </w:pPr>
    </w:p>
    <w:p>
      <w:pPr>
        <w:adjustRightInd/>
        <w:snapToGrid/>
        <w:spacing w:line="240" w:lineRule="auto"/>
        <w:rPr>
          <w:rFonts w:asciiTheme="minorEastAsia" w:hAnsiTheme="minorEastAsia" w:eastAsiaTheme="minorEastAsia" w:cstheme="majorBidi"/>
          <w:b/>
          <w:bCs/>
          <w:color w:val="auto"/>
          <w:szCs w:val="21"/>
          <w:highlight w:val="none"/>
        </w:rPr>
      </w:pPr>
      <w:r>
        <w:rPr>
          <w:rFonts w:asciiTheme="minorEastAsia" w:hAnsiTheme="minorEastAsia" w:eastAsiaTheme="minorEastAsia"/>
          <w:color w:val="auto"/>
          <w:szCs w:val="21"/>
          <w:highlight w:val="none"/>
        </w:rPr>
        <w:br w:type="page"/>
      </w:r>
    </w:p>
    <w:p>
      <w:pPr>
        <w:pStyle w:val="5"/>
        <w:numPr>
          <w:ilvl w:val="255"/>
          <w:numId w:val="0"/>
        </w:numPr>
        <w:tabs>
          <w:tab w:val="left" w:pos="720"/>
          <w:tab w:val="left" w:pos="3840"/>
        </w:tabs>
        <w:ind w:left="283"/>
        <w:jc w:val="both"/>
        <w:rPr>
          <w:rFonts w:asciiTheme="minorEastAsia" w:hAnsiTheme="minorEastAsia" w:eastAsiaTheme="minorEastAsia"/>
          <w:color w:val="auto"/>
          <w:sz w:val="21"/>
          <w:szCs w:val="21"/>
          <w:highlight w:val="none"/>
        </w:rPr>
      </w:pPr>
      <w:bookmarkStart w:id="222" w:name="_Toc160826373"/>
      <w:r>
        <w:rPr>
          <w:rFonts w:hint="eastAsia" w:asciiTheme="minorEastAsia" w:hAnsiTheme="minorEastAsia" w:eastAsiaTheme="minorEastAsia"/>
          <w:color w:val="auto"/>
          <w:sz w:val="21"/>
          <w:szCs w:val="21"/>
          <w:highlight w:val="none"/>
        </w:rPr>
        <w:t>附件</w:t>
      </w:r>
      <w:r>
        <w:rPr>
          <w:rFonts w:hint="eastAsia" w:asciiTheme="minorEastAsia" w:hAnsiTheme="minorEastAsia" w:eastAsiaTheme="minorEastAsia"/>
          <w:color w:val="auto"/>
          <w:sz w:val="21"/>
          <w:szCs w:val="21"/>
          <w:highlight w:val="none"/>
          <w:lang w:val="en-US" w:eastAsia="zh-CN"/>
        </w:rPr>
        <w:t>19</w:t>
      </w:r>
      <w:r>
        <w:rPr>
          <w:rFonts w:hint="eastAsia" w:asciiTheme="minorEastAsia" w:hAnsiTheme="minorEastAsia" w:eastAsiaTheme="minorEastAsia"/>
          <w:color w:val="auto"/>
          <w:sz w:val="21"/>
          <w:szCs w:val="21"/>
          <w:highlight w:val="none"/>
        </w:rPr>
        <w:t>.唱标信封内装（内容务必与投标文件正本一致）</w:t>
      </w:r>
      <w:bookmarkEnd w:id="222"/>
    </w:p>
    <w:p>
      <w:pPr>
        <w:numPr>
          <w:ilvl w:val="0"/>
          <w:numId w:val="15"/>
        </w:numPr>
        <w:ind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开标一览表加盖公章；</w:t>
      </w:r>
    </w:p>
    <w:p>
      <w:pPr>
        <w:numPr>
          <w:ilvl w:val="0"/>
          <w:numId w:val="15"/>
        </w:numPr>
        <w:ind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法定代表人证明书加盖公章；</w:t>
      </w:r>
    </w:p>
    <w:p>
      <w:pPr>
        <w:numPr>
          <w:ilvl w:val="0"/>
          <w:numId w:val="15"/>
        </w:numPr>
        <w:ind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法定代表人授权委托书加盖公章（法定代表人投标的除外）；</w:t>
      </w:r>
    </w:p>
    <w:p>
      <w:pPr>
        <w:numPr>
          <w:ilvl w:val="0"/>
          <w:numId w:val="15"/>
        </w:numPr>
        <w:ind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投标保证金汇入情况说明（含银行汇款凭证）或投标保函加盖公章；</w:t>
      </w:r>
    </w:p>
    <w:p>
      <w:pPr>
        <w:numPr>
          <w:ilvl w:val="0"/>
          <w:numId w:val="15"/>
        </w:numPr>
        <w:ind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投标文件电子文件（U盘，须含盖章版PDF投标文件和WORD版投标文件各一版，文字采用WORD文档，计算表格采用 EXCEL文档。）</w:t>
      </w:r>
    </w:p>
    <w:p>
      <w:pPr>
        <w:rPr>
          <w:rFonts w:cs="宋体" w:asciiTheme="minorEastAsia" w:hAnsiTheme="minorEastAsia" w:eastAsiaTheme="minorEastAsia"/>
          <w:color w:val="auto"/>
          <w:szCs w:val="21"/>
          <w:highlight w:val="none"/>
        </w:rPr>
      </w:pPr>
    </w:p>
    <w:sectPr>
      <w:footerReference r:id="rId6" w:type="first"/>
      <w:footerReference r:id="rId5" w:type="default"/>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Microsoft YaHei UI"/>
    <w:panose1 w:val="00000000000000000000"/>
    <w:charset w:val="86"/>
    <w:family w:val="auto"/>
    <w:pitch w:val="default"/>
    <w:sig w:usb0="00000000" w:usb1="00000000" w:usb2="00000012" w:usb3="00000000" w:csb0="00040001"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5"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a:effectLst/>
                    </wps:spPr>
                    <wps:txbx>
                      <w:txbxContent>
                        <w:p>
                          <w:pPr>
                            <w:pStyle w:val="18"/>
                            <w:jc w:val="center"/>
                            <w:rPr>
                              <w:rFonts w:asciiTheme="minorEastAsia" w:hAnsiTheme="minorEastAsia" w:eastAsiaTheme="minorEastAsia"/>
                            </w:rPr>
                          </w:pPr>
                          <w:r>
                            <w:rPr>
                              <w:rFonts w:hint="eastAsia" w:asciiTheme="minorEastAsia" w:hAnsiTheme="minorEastAsia" w:eastAsiaTheme="minorEastAsia"/>
                            </w:rPr>
                            <w:t xml:space="preserve">第 </w:t>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PAGE  \* MERGEFORMAT </w:instrText>
                          </w:r>
                          <w:r>
                            <w:rPr>
                              <w:rFonts w:hint="eastAsia" w:asciiTheme="minorEastAsia" w:hAnsiTheme="minorEastAsia" w:eastAsiaTheme="minorEastAsia"/>
                            </w:rPr>
                            <w:fldChar w:fldCharType="separate"/>
                          </w:r>
                          <w:r>
                            <w:rPr>
                              <w:rFonts w:asciiTheme="minorEastAsia" w:hAnsiTheme="minorEastAsia" w:eastAsiaTheme="minorEastAsia"/>
                            </w:rPr>
                            <w:t>96</w:t>
                          </w:r>
                          <w:r>
                            <w:rPr>
                              <w:rFonts w:hint="eastAsia" w:asciiTheme="minorEastAsia" w:hAnsiTheme="minorEastAsia" w:eastAsiaTheme="minorEastAsia"/>
                            </w:rPr>
                            <w:fldChar w:fldCharType="end"/>
                          </w:r>
                          <w:r>
                            <w:rPr>
                              <w:rFonts w:hint="eastAsia" w:asciiTheme="minorEastAsia" w:hAnsiTheme="minorEastAsia" w:eastAsiaTheme="minorEastAsia"/>
                            </w:rPr>
                            <w:t xml:space="preserve"> 页 共 </w:t>
                          </w:r>
                          <w:r>
                            <w:rPr>
                              <w:rFonts w:asciiTheme="minorEastAsia" w:hAnsiTheme="minorEastAsia" w:eastAsiaTheme="minorEastAsia"/>
                            </w:rPr>
                            <w:fldChar w:fldCharType="begin"/>
                          </w:r>
                          <w:r>
                            <w:rPr>
                              <w:rFonts w:asciiTheme="minorEastAsia" w:hAnsiTheme="minorEastAsia" w:eastAsiaTheme="minorEastAsia"/>
                            </w:rPr>
                            <w:instrText xml:space="preserve"> NUMPAGES  \* MERGEFORMAT </w:instrText>
                          </w:r>
                          <w:r>
                            <w:rPr>
                              <w:rFonts w:asciiTheme="minorEastAsia" w:hAnsiTheme="minorEastAsia" w:eastAsiaTheme="minorEastAsia"/>
                            </w:rPr>
                            <w:fldChar w:fldCharType="separate"/>
                          </w:r>
                          <w:r>
                            <w:rPr>
                              <w:rFonts w:asciiTheme="minorEastAsia" w:hAnsiTheme="minorEastAsia" w:eastAsiaTheme="minorEastAsia"/>
                            </w:rPr>
                            <w:t>96</w:t>
                          </w:r>
                          <w:r>
                            <w:rPr>
                              <w:rFonts w:asciiTheme="minorEastAsia" w:hAnsiTheme="minorEastAsia" w:eastAsiaTheme="minorEastAsia"/>
                            </w:rPr>
                            <w:fldChar w:fldCharType="end"/>
                          </w:r>
                          <w:r>
                            <w:rPr>
                              <w:rFonts w:hint="eastAsia" w:asciiTheme="minorEastAsia" w:hAnsiTheme="minorEastAsia" w:eastAsiaTheme="minor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xsfqk0wAAAAUBAAAPAAAAAAAAAAEAIAAAACIAAABkcnMv&#10;ZG93bnJldi54bWxQSwECFAAUAAAACACHTuJAUieP1M8BAACeAwAADgAAAAAAAAABACAAAAAiAQAA&#10;ZHJzL2Uyb0RvYy54bWxQSwUGAAAAAAYABgBZAQAAYwUAAAAA&#10;">
              <v:fill on="f" focussize="0,0"/>
              <v:stroke on="f"/>
              <v:imagedata o:title=""/>
              <o:lock v:ext="edit" aspectratio="f"/>
              <v:textbox inset="0mm,0mm,0mm,0mm" style="mso-fit-shape-to-text:t;">
                <w:txbxContent>
                  <w:p>
                    <w:pPr>
                      <w:pStyle w:val="18"/>
                      <w:jc w:val="center"/>
                      <w:rPr>
                        <w:rFonts w:asciiTheme="minorEastAsia" w:hAnsiTheme="minorEastAsia" w:eastAsiaTheme="minorEastAsia"/>
                      </w:rPr>
                    </w:pPr>
                    <w:r>
                      <w:rPr>
                        <w:rFonts w:hint="eastAsia" w:asciiTheme="minorEastAsia" w:hAnsiTheme="minorEastAsia" w:eastAsiaTheme="minorEastAsia"/>
                      </w:rPr>
                      <w:t xml:space="preserve">第 </w:t>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PAGE  \* MERGEFORMAT </w:instrText>
                    </w:r>
                    <w:r>
                      <w:rPr>
                        <w:rFonts w:hint="eastAsia" w:asciiTheme="minorEastAsia" w:hAnsiTheme="minorEastAsia" w:eastAsiaTheme="minorEastAsia"/>
                      </w:rPr>
                      <w:fldChar w:fldCharType="separate"/>
                    </w:r>
                    <w:r>
                      <w:rPr>
                        <w:rFonts w:asciiTheme="minorEastAsia" w:hAnsiTheme="minorEastAsia" w:eastAsiaTheme="minorEastAsia"/>
                      </w:rPr>
                      <w:t>96</w:t>
                    </w:r>
                    <w:r>
                      <w:rPr>
                        <w:rFonts w:hint="eastAsia" w:asciiTheme="minorEastAsia" w:hAnsiTheme="minorEastAsia" w:eastAsiaTheme="minorEastAsia"/>
                      </w:rPr>
                      <w:fldChar w:fldCharType="end"/>
                    </w:r>
                    <w:r>
                      <w:rPr>
                        <w:rFonts w:hint="eastAsia" w:asciiTheme="minorEastAsia" w:hAnsiTheme="minorEastAsia" w:eastAsiaTheme="minorEastAsia"/>
                      </w:rPr>
                      <w:t xml:space="preserve"> 页 共 </w:t>
                    </w:r>
                    <w:r>
                      <w:rPr>
                        <w:rFonts w:asciiTheme="minorEastAsia" w:hAnsiTheme="minorEastAsia" w:eastAsiaTheme="minorEastAsia"/>
                      </w:rPr>
                      <w:fldChar w:fldCharType="begin"/>
                    </w:r>
                    <w:r>
                      <w:rPr>
                        <w:rFonts w:asciiTheme="minorEastAsia" w:hAnsiTheme="minorEastAsia" w:eastAsiaTheme="minorEastAsia"/>
                      </w:rPr>
                      <w:instrText xml:space="preserve"> NUMPAGES  \* MERGEFORMAT </w:instrText>
                    </w:r>
                    <w:r>
                      <w:rPr>
                        <w:rFonts w:asciiTheme="minorEastAsia" w:hAnsiTheme="minorEastAsia" w:eastAsiaTheme="minorEastAsia"/>
                      </w:rPr>
                      <w:fldChar w:fldCharType="separate"/>
                    </w:r>
                    <w:r>
                      <w:rPr>
                        <w:rFonts w:asciiTheme="minorEastAsia" w:hAnsiTheme="minorEastAsia" w:eastAsiaTheme="minorEastAsia"/>
                      </w:rPr>
                      <w:t>96</w:t>
                    </w:r>
                    <w:r>
                      <w:rPr>
                        <w:rFonts w:asciiTheme="minorEastAsia" w:hAnsiTheme="minorEastAsia" w:eastAsiaTheme="minorEastAsia"/>
                      </w:rPr>
                      <w:fldChar w:fldCharType="end"/>
                    </w:r>
                    <w:r>
                      <w:rPr>
                        <w:rFonts w:hint="eastAsia" w:asciiTheme="minorEastAsia" w:hAnsiTheme="minorEastAsia" w:eastAsiaTheme="minor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a:effectLst/>
                    </wps:spPr>
                    <wps:txbx>
                      <w:txbxContent>
                        <w:p>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ggSLNIAAAAFAQAADwAAAAAAAAABACAAAAAiAAAAZHJzL2Rv&#10;d25yZXYueG1sUEsBAhQAFAAAAAgAh07iQGoaZCLOAQAAngMAAA4AAAAAAAAAAQAgAAAAIQEAAGRy&#10;cy9lMm9Eb2MueG1sUEsFBgAAAAAGAAYAWQEAAGEFAAAAAA==&#10;">
              <v:fill on="f" focussize="0,0"/>
              <v:stroke on="f"/>
              <v:imagedata o:title=""/>
              <o:lock v:ext="edit" aspectratio="f"/>
              <v:textbox inset="0mm,0mm,0mm,0mm" style="mso-fit-shape-to-text:t;">
                <w:txbxContent>
                  <w:p>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7BA58"/>
    <w:multiLevelType w:val="singleLevel"/>
    <w:tmpl w:val="83B7BA58"/>
    <w:lvl w:ilvl="0" w:tentative="0">
      <w:start w:val="1"/>
      <w:numFmt w:val="decimal"/>
      <w:suff w:val="nothing"/>
      <w:lvlText w:val="%1、"/>
      <w:lvlJc w:val="left"/>
    </w:lvl>
  </w:abstractNum>
  <w:abstractNum w:abstractNumId="1">
    <w:nsid w:val="C9555E15"/>
    <w:multiLevelType w:val="singleLevel"/>
    <w:tmpl w:val="C9555E15"/>
    <w:lvl w:ilvl="0" w:tentative="0">
      <w:start w:val="1"/>
      <w:numFmt w:val="decimal"/>
      <w:lvlText w:val="(%1)"/>
      <w:lvlJc w:val="left"/>
      <w:pPr>
        <w:ind w:left="425" w:hanging="425"/>
      </w:pPr>
      <w:rPr>
        <w:rFonts w:hint="default"/>
      </w:rPr>
    </w:lvl>
  </w:abstractNum>
  <w:abstractNum w:abstractNumId="2">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CFF174A5"/>
    <w:multiLevelType w:val="singleLevel"/>
    <w:tmpl w:val="CFF174A5"/>
    <w:lvl w:ilvl="0" w:tentative="0">
      <w:start w:val="1"/>
      <w:numFmt w:val="decimal"/>
      <w:suff w:val="nothing"/>
      <w:lvlText w:val="%1、"/>
      <w:lvlJc w:val="left"/>
    </w:lvl>
  </w:abstractNum>
  <w:abstractNum w:abstractNumId="4">
    <w:nsid w:val="D0047B7E"/>
    <w:multiLevelType w:val="singleLevel"/>
    <w:tmpl w:val="D0047B7E"/>
    <w:lvl w:ilvl="0" w:tentative="0">
      <w:start w:val="1"/>
      <w:numFmt w:val="decimal"/>
      <w:suff w:val="nothing"/>
      <w:lvlText w:val="%1、"/>
      <w:lvlJc w:val="left"/>
    </w:lvl>
  </w:abstractNum>
  <w:abstractNum w:abstractNumId="5">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64B791F"/>
    <w:multiLevelType w:val="singleLevel"/>
    <w:tmpl w:val="164B791F"/>
    <w:lvl w:ilvl="0" w:tentative="0">
      <w:start w:val="1"/>
      <w:numFmt w:val="decimal"/>
      <w:suff w:val="nothing"/>
      <w:lvlText w:val="(%1)"/>
      <w:lvlJc w:val="left"/>
      <w:pPr>
        <w:ind w:left="420" w:firstLine="397"/>
      </w:pPr>
      <w:rPr>
        <w:rFonts w:hint="default"/>
      </w:rPr>
    </w:lvl>
  </w:abstractNum>
  <w:abstractNum w:abstractNumId="7">
    <w:nsid w:val="20D2348B"/>
    <w:multiLevelType w:val="singleLevel"/>
    <w:tmpl w:val="20D2348B"/>
    <w:lvl w:ilvl="0" w:tentative="0">
      <w:start w:val="1"/>
      <w:numFmt w:val="chineseCounting"/>
      <w:suff w:val="nothing"/>
      <w:lvlText w:val="（%1）"/>
      <w:lvlJc w:val="left"/>
      <w:rPr>
        <w:rFonts w:hint="eastAsia"/>
      </w:rPr>
    </w:lvl>
  </w:abstractNum>
  <w:abstractNum w:abstractNumId="8">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3F88662E"/>
    <w:multiLevelType w:val="singleLevel"/>
    <w:tmpl w:val="3F88662E"/>
    <w:lvl w:ilvl="0" w:tentative="0">
      <w:start w:val="1"/>
      <w:numFmt w:val="decimal"/>
      <w:suff w:val="space"/>
      <w:lvlText w:val="%1)"/>
      <w:lvlJc w:val="left"/>
    </w:lvl>
  </w:abstractNum>
  <w:abstractNum w:abstractNumId="10">
    <w:nsid w:val="434D312A"/>
    <w:multiLevelType w:val="multilevel"/>
    <w:tmpl w:val="434D312A"/>
    <w:lvl w:ilvl="0" w:tentative="0">
      <w:start w:val="1"/>
      <w:numFmt w:val="chineseCountingThousand"/>
      <w:pStyle w:val="91"/>
      <w:lvlText w:val="%1"/>
      <w:lvlJc w:val="left"/>
      <w:pPr>
        <w:tabs>
          <w:tab w:val="left" w:pos="3572"/>
        </w:tabs>
        <w:ind w:left="1134" w:hanging="624"/>
      </w:pPr>
      <w:rPr>
        <w:rFonts w:hint="eastAsia"/>
        <w:sz w:val="30"/>
        <w:szCs w:val="30"/>
      </w:rPr>
    </w:lvl>
    <w:lvl w:ilvl="1" w:tentative="0">
      <w:start w:val="1"/>
      <w:numFmt w:val="decimal"/>
      <w:lvlText w:val="%2、"/>
      <w:lvlJc w:val="left"/>
      <w:pPr>
        <w:tabs>
          <w:tab w:val="left" w:pos="1305"/>
        </w:tabs>
        <w:ind w:left="1305" w:hanging="360"/>
      </w:pPr>
      <w:rPr>
        <w:rFonts w:hint="eastAsia"/>
      </w:rPr>
    </w:lvl>
    <w:lvl w:ilvl="2" w:tentative="0">
      <w:start w:val="1"/>
      <w:numFmt w:val="lowerRoman"/>
      <w:lvlText w:val="%3."/>
      <w:lvlJc w:val="right"/>
      <w:pPr>
        <w:tabs>
          <w:tab w:val="left" w:pos="1785"/>
        </w:tabs>
        <w:ind w:left="1785" w:hanging="420"/>
      </w:pPr>
      <w:rPr>
        <w:rFonts w:hint="eastAsia"/>
      </w:rPr>
    </w:lvl>
    <w:lvl w:ilvl="3" w:tentative="0">
      <w:start w:val="1"/>
      <w:numFmt w:val="decimal"/>
      <w:lvlText w:val="%4."/>
      <w:lvlJc w:val="left"/>
      <w:pPr>
        <w:tabs>
          <w:tab w:val="left" w:pos="2205"/>
        </w:tabs>
        <w:ind w:left="2205" w:hanging="420"/>
      </w:pPr>
      <w:rPr>
        <w:rFonts w:hint="eastAsia"/>
      </w:rPr>
    </w:lvl>
    <w:lvl w:ilvl="4" w:tentative="0">
      <w:start w:val="1"/>
      <w:numFmt w:val="lowerLetter"/>
      <w:lvlText w:val="%5)"/>
      <w:lvlJc w:val="left"/>
      <w:pPr>
        <w:tabs>
          <w:tab w:val="left" w:pos="2625"/>
        </w:tabs>
        <w:ind w:left="2625" w:hanging="420"/>
      </w:pPr>
      <w:rPr>
        <w:rFonts w:hint="eastAsia"/>
      </w:rPr>
    </w:lvl>
    <w:lvl w:ilvl="5" w:tentative="0">
      <w:start w:val="1"/>
      <w:numFmt w:val="lowerRoman"/>
      <w:lvlText w:val="%6."/>
      <w:lvlJc w:val="right"/>
      <w:pPr>
        <w:tabs>
          <w:tab w:val="left" w:pos="3045"/>
        </w:tabs>
        <w:ind w:left="3045" w:hanging="420"/>
      </w:pPr>
      <w:rPr>
        <w:rFonts w:hint="eastAsia"/>
      </w:rPr>
    </w:lvl>
    <w:lvl w:ilvl="6" w:tentative="0">
      <w:start w:val="1"/>
      <w:numFmt w:val="decimal"/>
      <w:lvlText w:val="%7."/>
      <w:lvlJc w:val="left"/>
      <w:pPr>
        <w:tabs>
          <w:tab w:val="left" w:pos="3465"/>
        </w:tabs>
        <w:ind w:left="3465" w:hanging="420"/>
      </w:pPr>
      <w:rPr>
        <w:rFonts w:hint="eastAsia"/>
      </w:rPr>
    </w:lvl>
    <w:lvl w:ilvl="7" w:tentative="0">
      <w:start w:val="1"/>
      <w:numFmt w:val="lowerLetter"/>
      <w:lvlText w:val="%8)"/>
      <w:lvlJc w:val="left"/>
      <w:pPr>
        <w:tabs>
          <w:tab w:val="left" w:pos="3885"/>
        </w:tabs>
        <w:ind w:left="3885" w:hanging="420"/>
      </w:pPr>
      <w:rPr>
        <w:rFonts w:hint="eastAsia"/>
      </w:rPr>
    </w:lvl>
    <w:lvl w:ilvl="8" w:tentative="0">
      <w:start w:val="1"/>
      <w:numFmt w:val="lowerRoman"/>
      <w:lvlText w:val="%9."/>
      <w:lvlJc w:val="right"/>
      <w:pPr>
        <w:tabs>
          <w:tab w:val="left" w:pos="4305"/>
        </w:tabs>
        <w:ind w:left="4305" w:hanging="420"/>
      </w:pPr>
      <w:rPr>
        <w:rFonts w:hint="eastAsia"/>
      </w:rPr>
    </w:lvl>
  </w:abstractNum>
  <w:abstractNum w:abstractNumId="11">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3">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0"/>
  </w:num>
  <w:num w:numId="2">
    <w:abstractNumId w:val="0"/>
  </w:num>
  <w:num w:numId="3">
    <w:abstractNumId w:val="11"/>
  </w:num>
  <w:num w:numId="4">
    <w:abstractNumId w:val="8"/>
  </w:num>
  <w:num w:numId="5">
    <w:abstractNumId w:val="2"/>
  </w:num>
  <w:num w:numId="6">
    <w:abstractNumId w:val="14"/>
  </w:num>
  <w:num w:numId="7">
    <w:abstractNumId w:val="9"/>
  </w:num>
  <w:num w:numId="8">
    <w:abstractNumId w:val="1"/>
  </w:num>
  <w:num w:numId="9">
    <w:abstractNumId w:val="6"/>
  </w:num>
  <w:num w:numId="10">
    <w:abstractNumId w:val="3"/>
  </w:num>
  <w:num w:numId="11">
    <w:abstractNumId w:val="5"/>
  </w:num>
  <w:num w:numId="12">
    <w:abstractNumId w:val="7"/>
  </w:num>
  <w:num w:numId="13">
    <w:abstractNumId w:val="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50"/>
  <w:drawingGridHorizontalSpacing w:val="11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DFiYWJlOTYyYjBkNzE3NzhjZWZjNmJhMzliMDMifQ=="/>
  </w:docVars>
  <w:rsids>
    <w:rsidRoot w:val="00172A27"/>
    <w:rsid w:val="00005A66"/>
    <w:rsid w:val="00006462"/>
    <w:rsid w:val="000065A7"/>
    <w:rsid w:val="00013A25"/>
    <w:rsid w:val="00022D00"/>
    <w:rsid w:val="000239C1"/>
    <w:rsid w:val="000300E4"/>
    <w:rsid w:val="00030AB5"/>
    <w:rsid w:val="00031FBD"/>
    <w:rsid w:val="0003307E"/>
    <w:rsid w:val="000336BA"/>
    <w:rsid w:val="000359A1"/>
    <w:rsid w:val="000434FA"/>
    <w:rsid w:val="000468D6"/>
    <w:rsid w:val="0005185D"/>
    <w:rsid w:val="000519E0"/>
    <w:rsid w:val="00062E8B"/>
    <w:rsid w:val="00067748"/>
    <w:rsid w:val="000677AE"/>
    <w:rsid w:val="0007500F"/>
    <w:rsid w:val="0008282E"/>
    <w:rsid w:val="00084F6D"/>
    <w:rsid w:val="00093A13"/>
    <w:rsid w:val="000A0704"/>
    <w:rsid w:val="000A2E0A"/>
    <w:rsid w:val="000A363F"/>
    <w:rsid w:val="000A42A8"/>
    <w:rsid w:val="000A5063"/>
    <w:rsid w:val="000A5DBD"/>
    <w:rsid w:val="000A7428"/>
    <w:rsid w:val="000A79ED"/>
    <w:rsid w:val="000B16E3"/>
    <w:rsid w:val="000C4524"/>
    <w:rsid w:val="000D1D23"/>
    <w:rsid w:val="000D44A6"/>
    <w:rsid w:val="000E2CB7"/>
    <w:rsid w:val="000E5826"/>
    <w:rsid w:val="000F0E98"/>
    <w:rsid w:val="001049A5"/>
    <w:rsid w:val="00106398"/>
    <w:rsid w:val="0010718B"/>
    <w:rsid w:val="001120E0"/>
    <w:rsid w:val="00120698"/>
    <w:rsid w:val="00121ADA"/>
    <w:rsid w:val="001242F3"/>
    <w:rsid w:val="00126A75"/>
    <w:rsid w:val="001332BB"/>
    <w:rsid w:val="00134CAD"/>
    <w:rsid w:val="001368B7"/>
    <w:rsid w:val="0013730B"/>
    <w:rsid w:val="00137853"/>
    <w:rsid w:val="00137E1C"/>
    <w:rsid w:val="001403D3"/>
    <w:rsid w:val="00140AE8"/>
    <w:rsid w:val="00142F7B"/>
    <w:rsid w:val="00147012"/>
    <w:rsid w:val="0015515E"/>
    <w:rsid w:val="00157268"/>
    <w:rsid w:val="001575B1"/>
    <w:rsid w:val="001579D6"/>
    <w:rsid w:val="00170E43"/>
    <w:rsid w:val="00172A27"/>
    <w:rsid w:val="00173126"/>
    <w:rsid w:val="00173905"/>
    <w:rsid w:val="00173E04"/>
    <w:rsid w:val="00175D29"/>
    <w:rsid w:val="001833A1"/>
    <w:rsid w:val="001844F4"/>
    <w:rsid w:val="00185039"/>
    <w:rsid w:val="001852D7"/>
    <w:rsid w:val="00187EEA"/>
    <w:rsid w:val="001934B1"/>
    <w:rsid w:val="00193CF2"/>
    <w:rsid w:val="00193E0C"/>
    <w:rsid w:val="001A06D8"/>
    <w:rsid w:val="001A2D42"/>
    <w:rsid w:val="001A2EF7"/>
    <w:rsid w:val="001A4BDD"/>
    <w:rsid w:val="001B1456"/>
    <w:rsid w:val="001B1F14"/>
    <w:rsid w:val="001B2206"/>
    <w:rsid w:val="001B40A9"/>
    <w:rsid w:val="001B41CF"/>
    <w:rsid w:val="001B5860"/>
    <w:rsid w:val="001B6266"/>
    <w:rsid w:val="001C1135"/>
    <w:rsid w:val="001C15AE"/>
    <w:rsid w:val="001C4281"/>
    <w:rsid w:val="001C43C8"/>
    <w:rsid w:val="001C4661"/>
    <w:rsid w:val="001C5689"/>
    <w:rsid w:val="001C64AE"/>
    <w:rsid w:val="001C6E4B"/>
    <w:rsid w:val="001D7CE1"/>
    <w:rsid w:val="001E2F2A"/>
    <w:rsid w:val="001E7C2A"/>
    <w:rsid w:val="001F0070"/>
    <w:rsid w:val="001F00C5"/>
    <w:rsid w:val="001F1A99"/>
    <w:rsid w:val="001F4021"/>
    <w:rsid w:val="001F4B02"/>
    <w:rsid w:val="001F6BC7"/>
    <w:rsid w:val="002065A7"/>
    <w:rsid w:val="0021149E"/>
    <w:rsid w:val="00213021"/>
    <w:rsid w:val="00213619"/>
    <w:rsid w:val="00215B08"/>
    <w:rsid w:val="00216BE9"/>
    <w:rsid w:val="00222C68"/>
    <w:rsid w:val="0022503E"/>
    <w:rsid w:val="00225BB4"/>
    <w:rsid w:val="00226313"/>
    <w:rsid w:val="00234673"/>
    <w:rsid w:val="002358D2"/>
    <w:rsid w:val="00237CBA"/>
    <w:rsid w:val="00240F5F"/>
    <w:rsid w:val="00247224"/>
    <w:rsid w:val="00247AE0"/>
    <w:rsid w:val="00250A38"/>
    <w:rsid w:val="00257569"/>
    <w:rsid w:val="00260AC1"/>
    <w:rsid w:val="0026312D"/>
    <w:rsid w:val="0027078E"/>
    <w:rsid w:val="0027570F"/>
    <w:rsid w:val="00280D70"/>
    <w:rsid w:val="0028395F"/>
    <w:rsid w:val="00284156"/>
    <w:rsid w:val="00285643"/>
    <w:rsid w:val="002867A1"/>
    <w:rsid w:val="002901F8"/>
    <w:rsid w:val="00291DB4"/>
    <w:rsid w:val="002920A4"/>
    <w:rsid w:val="002A0E5E"/>
    <w:rsid w:val="002B1CD8"/>
    <w:rsid w:val="002B4087"/>
    <w:rsid w:val="002B5F6C"/>
    <w:rsid w:val="002C0538"/>
    <w:rsid w:val="002C623B"/>
    <w:rsid w:val="002C6C78"/>
    <w:rsid w:val="002D1594"/>
    <w:rsid w:val="002D219B"/>
    <w:rsid w:val="002D3F9C"/>
    <w:rsid w:val="002D4057"/>
    <w:rsid w:val="002D503C"/>
    <w:rsid w:val="002D7E27"/>
    <w:rsid w:val="002E17E5"/>
    <w:rsid w:val="002E246E"/>
    <w:rsid w:val="002E6B7E"/>
    <w:rsid w:val="002F0AB1"/>
    <w:rsid w:val="002F0FC9"/>
    <w:rsid w:val="00301678"/>
    <w:rsid w:val="00304EDE"/>
    <w:rsid w:val="0030669E"/>
    <w:rsid w:val="003070A8"/>
    <w:rsid w:val="003101A3"/>
    <w:rsid w:val="00320CEA"/>
    <w:rsid w:val="00323B43"/>
    <w:rsid w:val="00326831"/>
    <w:rsid w:val="003268C0"/>
    <w:rsid w:val="003274CE"/>
    <w:rsid w:val="0033373D"/>
    <w:rsid w:val="0033546E"/>
    <w:rsid w:val="003361E9"/>
    <w:rsid w:val="003430F6"/>
    <w:rsid w:val="00353842"/>
    <w:rsid w:val="00353DFB"/>
    <w:rsid w:val="0035595E"/>
    <w:rsid w:val="00355DCB"/>
    <w:rsid w:val="00360C24"/>
    <w:rsid w:val="003717F5"/>
    <w:rsid w:val="00372FB1"/>
    <w:rsid w:val="0038542E"/>
    <w:rsid w:val="0038564C"/>
    <w:rsid w:val="00387CE4"/>
    <w:rsid w:val="00393B1D"/>
    <w:rsid w:val="003A1D97"/>
    <w:rsid w:val="003A47EF"/>
    <w:rsid w:val="003A577A"/>
    <w:rsid w:val="003A6A97"/>
    <w:rsid w:val="003A7D02"/>
    <w:rsid w:val="003C06D9"/>
    <w:rsid w:val="003C18EB"/>
    <w:rsid w:val="003C1E4E"/>
    <w:rsid w:val="003C2EAA"/>
    <w:rsid w:val="003C32D3"/>
    <w:rsid w:val="003C3B19"/>
    <w:rsid w:val="003C412B"/>
    <w:rsid w:val="003C415C"/>
    <w:rsid w:val="003D36FB"/>
    <w:rsid w:val="003D37D8"/>
    <w:rsid w:val="003E03FA"/>
    <w:rsid w:val="003E0802"/>
    <w:rsid w:val="003E18E7"/>
    <w:rsid w:val="003E2B8C"/>
    <w:rsid w:val="003E6E68"/>
    <w:rsid w:val="003F46B4"/>
    <w:rsid w:val="003F4822"/>
    <w:rsid w:val="00401C64"/>
    <w:rsid w:val="00401CC0"/>
    <w:rsid w:val="00410AB5"/>
    <w:rsid w:val="00410F11"/>
    <w:rsid w:val="00411067"/>
    <w:rsid w:val="004203B9"/>
    <w:rsid w:val="004322A2"/>
    <w:rsid w:val="004358AB"/>
    <w:rsid w:val="00435F14"/>
    <w:rsid w:val="00442984"/>
    <w:rsid w:val="00444872"/>
    <w:rsid w:val="00445F0B"/>
    <w:rsid w:val="00451EB4"/>
    <w:rsid w:val="0045475B"/>
    <w:rsid w:val="00455A36"/>
    <w:rsid w:val="00460B31"/>
    <w:rsid w:val="004617C3"/>
    <w:rsid w:val="00462105"/>
    <w:rsid w:val="00463ACB"/>
    <w:rsid w:val="00475A80"/>
    <w:rsid w:val="00490B9E"/>
    <w:rsid w:val="00497577"/>
    <w:rsid w:val="004A05D7"/>
    <w:rsid w:val="004A154E"/>
    <w:rsid w:val="004A2B28"/>
    <w:rsid w:val="004A63BA"/>
    <w:rsid w:val="004A68C4"/>
    <w:rsid w:val="004A69F1"/>
    <w:rsid w:val="004B3550"/>
    <w:rsid w:val="004B3F06"/>
    <w:rsid w:val="004C1FA9"/>
    <w:rsid w:val="004C7FD6"/>
    <w:rsid w:val="004D08C0"/>
    <w:rsid w:val="004D1669"/>
    <w:rsid w:val="004D22B3"/>
    <w:rsid w:val="004D51A2"/>
    <w:rsid w:val="004D5AFB"/>
    <w:rsid w:val="004D70F0"/>
    <w:rsid w:val="004E04FD"/>
    <w:rsid w:val="004E3E1F"/>
    <w:rsid w:val="004F1BB7"/>
    <w:rsid w:val="00500D81"/>
    <w:rsid w:val="0050759C"/>
    <w:rsid w:val="00510827"/>
    <w:rsid w:val="00511DEA"/>
    <w:rsid w:val="005149BE"/>
    <w:rsid w:val="00520FE0"/>
    <w:rsid w:val="00524E13"/>
    <w:rsid w:val="005258AA"/>
    <w:rsid w:val="005267F1"/>
    <w:rsid w:val="005269A9"/>
    <w:rsid w:val="00532034"/>
    <w:rsid w:val="0054113C"/>
    <w:rsid w:val="0054147F"/>
    <w:rsid w:val="00545D82"/>
    <w:rsid w:val="00545D9A"/>
    <w:rsid w:val="00546A42"/>
    <w:rsid w:val="0055141B"/>
    <w:rsid w:val="00552029"/>
    <w:rsid w:val="0055408D"/>
    <w:rsid w:val="00555BCD"/>
    <w:rsid w:val="00563C20"/>
    <w:rsid w:val="00564592"/>
    <w:rsid w:val="00565EF3"/>
    <w:rsid w:val="00566FC0"/>
    <w:rsid w:val="00573DA8"/>
    <w:rsid w:val="0057492D"/>
    <w:rsid w:val="00581C77"/>
    <w:rsid w:val="00581D62"/>
    <w:rsid w:val="0058523E"/>
    <w:rsid w:val="00590819"/>
    <w:rsid w:val="00593AEE"/>
    <w:rsid w:val="00593D68"/>
    <w:rsid w:val="005A208B"/>
    <w:rsid w:val="005A555E"/>
    <w:rsid w:val="005A6167"/>
    <w:rsid w:val="005A7612"/>
    <w:rsid w:val="005B0EA3"/>
    <w:rsid w:val="005B13EA"/>
    <w:rsid w:val="005B58A6"/>
    <w:rsid w:val="005C57E1"/>
    <w:rsid w:val="005C702E"/>
    <w:rsid w:val="005D01B8"/>
    <w:rsid w:val="005D066B"/>
    <w:rsid w:val="005D1D00"/>
    <w:rsid w:val="005D2D85"/>
    <w:rsid w:val="005D3E21"/>
    <w:rsid w:val="005D61B7"/>
    <w:rsid w:val="005F05F3"/>
    <w:rsid w:val="005F20A4"/>
    <w:rsid w:val="005F4EAE"/>
    <w:rsid w:val="005F54DF"/>
    <w:rsid w:val="005F573A"/>
    <w:rsid w:val="005F61A0"/>
    <w:rsid w:val="005F660B"/>
    <w:rsid w:val="005F7EB1"/>
    <w:rsid w:val="005F7EFD"/>
    <w:rsid w:val="00601961"/>
    <w:rsid w:val="00604337"/>
    <w:rsid w:val="00604B81"/>
    <w:rsid w:val="00604C36"/>
    <w:rsid w:val="0061246F"/>
    <w:rsid w:val="0061259B"/>
    <w:rsid w:val="00613151"/>
    <w:rsid w:val="00613417"/>
    <w:rsid w:val="00613B25"/>
    <w:rsid w:val="0061486D"/>
    <w:rsid w:val="0061545F"/>
    <w:rsid w:val="006175DE"/>
    <w:rsid w:val="006215AC"/>
    <w:rsid w:val="00621821"/>
    <w:rsid w:val="00622362"/>
    <w:rsid w:val="00622497"/>
    <w:rsid w:val="006276AD"/>
    <w:rsid w:val="00630D79"/>
    <w:rsid w:val="00631F1F"/>
    <w:rsid w:val="00634729"/>
    <w:rsid w:val="00637790"/>
    <w:rsid w:val="006378D4"/>
    <w:rsid w:val="00641E8C"/>
    <w:rsid w:val="0064416A"/>
    <w:rsid w:val="006476E3"/>
    <w:rsid w:val="00650DDC"/>
    <w:rsid w:val="0065120D"/>
    <w:rsid w:val="00652983"/>
    <w:rsid w:val="0065365D"/>
    <w:rsid w:val="006546D0"/>
    <w:rsid w:val="00654765"/>
    <w:rsid w:val="006576FD"/>
    <w:rsid w:val="00664F6B"/>
    <w:rsid w:val="006731D2"/>
    <w:rsid w:val="006755F7"/>
    <w:rsid w:val="00680EB0"/>
    <w:rsid w:val="006811A3"/>
    <w:rsid w:val="006816EF"/>
    <w:rsid w:val="00682986"/>
    <w:rsid w:val="0068501E"/>
    <w:rsid w:val="00691701"/>
    <w:rsid w:val="00691AE0"/>
    <w:rsid w:val="0069491E"/>
    <w:rsid w:val="006A0C9D"/>
    <w:rsid w:val="006A2DF3"/>
    <w:rsid w:val="006A5604"/>
    <w:rsid w:val="006A75B0"/>
    <w:rsid w:val="006B004E"/>
    <w:rsid w:val="006B3E6C"/>
    <w:rsid w:val="006B4832"/>
    <w:rsid w:val="006B7878"/>
    <w:rsid w:val="006C0D29"/>
    <w:rsid w:val="006C14BD"/>
    <w:rsid w:val="006C28E5"/>
    <w:rsid w:val="006C67A9"/>
    <w:rsid w:val="006D393E"/>
    <w:rsid w:val="006D40EA"/>
    <w:rsid w:val="006D43C5"/>
    <w:rsid w:val="006D4AD8"/>
    <w:rsid w:val="006E0B58"/>
    <w:rsid w:val="006E0C4B"/>
    <w:rsid w:val="007029D5"/>
    <w:rsid w:val="00704F7B"/>
    <w:rsid w:val="00705263"/>
    <w:rsid w:val="00705F52"/>
    <w:rsid w:val="007110BA"/>
    <w:rsid w:val="00711465"/>
    <w:rsid w:val="00716E96"/>
    <w:rsid w:val="0072127E"/>
    <w:rsid w:val="00723B11"/>
    <w:rsid w:val="00724ECD"/>
    <w:rsid w:val="007343A7"/>
    <w:rsid w:val="00734BB2"/>
    <w:rsid w:val="00744848"/>
    <w:rsid w:val="00745EE2"/>
    <w:rsid w:val="007465DA"/>
    <w:rsid w:val="00746999"/>
    <w:rsid w:val="0075028E"/>
    <w:rsid w:val="007528A6"/>
    <w:rsid w:val="00757434"/>
    <w:rsid w:val="007608B9"/>
    <w:rsid w:val="007724B4"/>
    <w:rsid w:val="0077462B"/>
    <w:rsid w:val="00785BFD"/>
    <w:rsid w:val="007901F1"/>
    <w:rsid w:val="007902ED"/>
    <w:rsid w:val="007916E7"/>
    <w:rsid w:val="00797C5D"/>
    <w:rsid w:val="00797D2F"/>
    <w:rsid w:val="007A34B9"/>
    <w:rsid w:val="007A3EF1"/>
    <w:rsid w:val="007A4DB3"/>
    <w:rsid w:val="007A6F47"/>
    <w:rsid w:val="007A7779"/>
    <w:rsid w:val="007C142D"/>
    <w:rsid w:val="007C4F46"/>
    <w:rsid w:val="007C71D1"/>
    <w:rsid w:val="007C7297"/>
    <w:rsid w:val="007D1B4F"/>
    <w:rsid w:val="007D2F9E"/>
    <w:rsid w:val="007D3175"/>
    <w:rsid w:val="007D48BF"/>
    <w:rsid w:val="007D5C45"/>
    <w:rsid w:val="007D6F32"/>
    <w:rsid w:val="007E00CD"/>
    <w:rsid w:val="007E2543"/>
    <w:rsid w:val="007E44DC"/>
    <w:rsid w:val="007E4782"/>
    <w:rsid w:val="007E4A26"/>
    <w:rsid w:val="007E7A17"/>
    <w:rsid w:val="007F01B0"/>
    <w:rsid w:val="007F2CD8"/>
    <w:rsid w:val="007F4DC5"/>
    <w:rsid w:val="007F7711"/>
    <w:rsid w:val="00800601"/>
    <w:rsid w:val="00801DE2"/>
    <w:rsid w:val="00806380"/>
    <w:rsid w:val="0081104F"/>
    <w:rsid w:val="0081319A"/>
    <w:rsid w:val="0081690B"/>
    <w:rsid w:val="00821515"/>
    <w:rsid w:val="00822299"/>
    <w:rsid w:val="0083486A"/>
    <w:rsid w:val="00837E35"/>
    <w:rsid w:val="00841378"/>
    <w:rsid w:val="00842B87"/>
    <w:rsid w:val="00843C2A"/>
    <w:rsid w:val="00845BEB"/>
    <w:rsid w:val="008472E6"/>
    <w:rsid w:val="008518B4"/>
    <w:rsid w:val="00853463"/>
    <w:rsid w:val="008548BD"/>
    <w:rsid w:val="00857709"/>
    <w:rsid w:val="0086026F"/>
    <w:rsid w:val="00860313"/>
    <w:rsid w:val="00860E54"/>
    <w:rsid w:val="00861077"/>
    <w:rsid w:val="008640F5"/>
    <w:rsid w:val="0087704E"/>
    <w:rsid w:val="008907DA"/>
    <w:rsid w:val="00891F45"/>
    <w:rsid w:val="008A0587"/>
    <w:rsid w:val="008A7273"/>
    <w:rsid w:val="008B07BF"/>
    <w:rsid w:val="008B55B9"/>
    <w:rsid w:val="008B7726"/>
    <w:rsid w:val="008C05BA"/>
    <w:rsid w:val="008C431D"/>
    <w:rsid w:val="008C49FD"/>
    <w:rsid w:val="008D429E"/>
    <w:rsid w:val="008D4516"/>
    <w:rsid w:val="008D5A10"/>
    <w:rsid w:val="008E319F"/>
    <w:rsid w:val="008E619C"/>
    <w:rsid w:val="008F6E0E"/>
    <w:rsid w:val="00906F49"/>
    <w:rsid w:val="00907417"/>
    <w:rsid w:val="00914604"/>
    <w:rsid w:val="00916167"/>
    <w:rsid w:val="00916A34"/>
    <w:rsid w:val="00917B42"/>
    <w:rsid w:val="0092092D"/>
    <w:rsid w:val="00923533"/>
    <w:rsid w:val="00924F81"/>
    <w:rsid w:val="00926001"/>
    <w:rsid w:val="00930A38"/>
    <w:rsid w:val="00934170"/>
    <w:rsid w:val="00942948"/>
    <w:rsid w:val="009474B5"/>
    <w:rsid w:val="009503CF"/>
    <w:rsid w:val="009519E0"/>
    <w:rsid w:val="00953E98"/>
    <w:rsid w:val="00960F22"/>
    <w:rsid w:val="00963493"/>
    <w:rsid w:val="0097103E"/>
    <w:rsid w:val="00972D86"/>
    <w:rsid w:val="009736BF"/>
    <w:rsid w:val="0097392B"/>
    <w:rsid w:val="00976066"/>
    <w:rsid w:val="00980A66"/>
    <w:rsid w:val="00982D21"/>
    <w:rsid w:val="009904F7"/>
    <w:rsid w:val="009910F6"/>
    <w:rsid w:val="00991548"/>
    <w:rsid w:val="009A07B1"/>
    <w:rsid w:val="009A26D5"/>
    <w:rsid w:val="009A2769"/>
    <w:rsid w:val="009A6B4A"/>
    <w:rsid w:val="009A7058"/>
    <w:rsid w:val="009C19DE"/>
    <w:rsid w:val="009C23A6"/>
    <w:rsid w:val="009C5206"/>
    <w:rsid w:val="009C6AD9"/>
    <w:rsid w:val="009D22F2"/>
    <w:rsid w:val="009D4769"/>
    <w:rsid w:val="009E1CE9"/>
    <w:rsid w:val="009E398C"/>
    <w:rsid w:val="009E6F05"/>
    <w:rsid w:val="009F32F7"/>
    <w:rsid w:val="009F4B53"/>
    <w:rsid w:val="009F644E"/>
    <w:rsid w:val="009F6A05"/>
    <w:rsid w:val="009F6E88"/>
    <w:rsid w:val="00A01BE2"/>
    <w:rsid w:val="00A025F1"/>
    <w:rsid w:val="00A038E4"/>
    <w:rsid w:val="00A076E7"/>
    <w:rsid w:val="00A10906"/>
    <w:rsid w:val="00A1218B"/>
    <w:rsid w:val="00A12E66"/>
    <w:rsid w:val="00A13E78"/>
    <w:rsid w:val="00A14EEF"/>
    <w:rsid w:val="00A23304"/>
    <w:rsid w:val="00A25809"/>
    <w:rsid w:val="00A275C2"/>
    <w:rsid w:val="00A3295D"/>
    <w:rsid w:val="00A33106"/>
    <w:rsid w:val="00A353F9"/>
    <w:rsid w:val="00A4012F"/>
    <w:rsid w:val="00A407FC"/>
    <w:rsid w:val="00A4190E"/>
    <w:rsid w:val="00A42E91"/>
    <w:rsid w:val="00A43818"/>
    <w:rsid w:val="00A4551F"/>
    <w:rsid w:val="00A50383"/>
    <w:rsid w:val="00A54448"/>
    <w:rsid w:val="00A61230"/>
    <w:rsid w:val="00A668C8"/>
    <w:rsid w:val="00A6738A"/>
    <w:rsid w:val="00A74ED3"/>
    <w:rsid w:val="00A75C51"/>
    <w:rsid w:val="00A761E6"/>
    <w:rsid w:val="00A813C5"/>
    <w:rsid w:val="00A824E6"/>
    <w:rsid w:val="00A82606"/>
    <w:rsid w:val="00A858DC"/>
    <w:rsid w:val="00A86038"/>
    <w:rsid w:val="00A86E10"/>
    <w:rsid w:val="00A87729"/>
    <w:rsid w:val="00A94D14"/>
    <w:rsid w:val="00A96ED2"/>
    <w:rsid w:val="00AA0EAD"/>
    <w:rsid w:val="00AA4B9F"/>
    <w:rsid w:val="00AA6E7A"/>
    <w:rsid w:val="00AB19CE"/>
    <w:rsid w:val="00AB3969"/>
    <w:rsid w:val="00AC0E7A"/>
    <w:rsid w:val="00AC187B"/>
    <w:rsid w:val="00AC55B8"/>
    <w:rsid w:val="00AD2A1F"/>
    <w:rsid w:val="00AE310E"/>
    <w:rsid w:val="00AE3927"/>
    <w:rsid w:val="00AE4FC5"/>
    <w:rsid w:val="00AF1B1B"/>
    <w:rsid w:val="00AF2A81"/>
    <w:rsid w:val="00AF5F1F"/>
    <w:rsid w:val="00B027A4"/>
    <w:rsid w:val="00B04202"/>
    <w:rsid w:val="00B236B3"/>
    <w:rsid w:val="00B259C7"/>
    <w:rsid w:val="00B26806"/>
    <w:rsid w:val="00B31B24"/>
    <w:rsid w:val="00B31EDD"/>
    <w:rsid w:val="00B328DF"/>
    <w:rsid w:val="00B34B88"/>
    <w:rsid w:val="00B4287F"/>
    <w:rsid w:val="00B4315F"/>
    <w:rsid w:val="00B43306"/>
    <w:rsid w:val="00B464FD"/>
    <w:rsid w:val="00B512E0"/>
    <w:rsid w:val="00B561F1"/>
    <w:rsid w:val="00B57E0F"/>
    <w:rsid w:val="00B60DAB"/>
    <w:rsid w:val="00B60FC2"/>
    <w:rsid w:val="00B61CB1"/>
    <w:rsid w:val="00B63189"/>
    <w:rsid w:val="00B6373F"/>
    <w:rsid w:val="00B67B5C"/>
    <w:rsid w:val="00B7194E"/>
    <w:rsid w:val="00B73575"/>
    <w:rsid w:val="00B7380A"/>
    <w:rsid w:val="00B763B0"/>
    <w:rsid w:val="00B85BCE"/>
    <w:rsid w:val="00B86651"/>
    <w:rsid w:val="00B90C76"/>
    <w:rsid w:val="00B91005"/>
    <w:rsid w:val="00B92951"/>
    <w:rsid w:val="00B93045"/>
    <w:rsid w:val="00B93169"/>
    <w:rsid w:val="00B950B6"/>
    <w:rsid w:val="00B95403"/>
    <w:rsid w:val="00BA4130"/>
    <w:rsid w:val="00BB28A1"/>
    <w:rsid w:val="00BB2CAF"/>
    <w:rsid w:val="00BB79B5"/>
    <w:rsid w:val="00BC0E6D"/>
    <w:rsid w:val="00BC3E74"/>
    <w:rsid w:val="00BD630F"/>
    <w:rsid w:val="00BD7C1B"/>
    <w:rsid w:val="00BE0825"/>
    <w:rsid w:val="00BE2EE6"/>
    <w:rsid w:val="00BE38D9"/>
    <w:rsid w:val="00BE3B53"/>
    <w:rsid w:val="00BE5226"/>
    <w:rsid w:val="00BF1399"/>
    <w:rsid w:val="00BF17FD"/>
    <w:rsid w:val="00BF2820"/>
    <w:rsid w:val="00BF2933"/>
    <w:rsid w:val="00BF41D4"/>
    <w:rsid w:val="00BF5AFB"/>
    <w:rsid w:val="00C04596"/>
    <w:rsid w:val="00C05666"/>
    <w:rsid w:val="00C16734"/>
    <w:rsid w:val="00C17B47"/>
    <w:rsid w:val="00C20092"/>
    <w:rsid w:val="00C2046D"/>
    <w:rsid w:val="00C2262A"/>
    <w:rsid w:val="00C237E2"/>
    <w:rsid w:val="00C25C77"/>
    <w:rsid w:val="00C303E7"/>
    <w:rsid w:val="00C319C2"/>
    <w:rsid w:val="00C36A62"/>
    <w:rsid w:val="00C42D15"/>
    <w:rsid w:val="00C53CE5"/>
    <w:rsid w:val="00C5728B"/>
    <w:rsid w:val="00C575F1"/>
    <w:rsid w:val="00C612F8"/>
    <w:rsid w:val="00C62E44"/>
    <w:rsid w:val="00C63BD8"/>
    <w:rsid w:val="00C65954"/>
    <w:rsid w:val="00C7126B"/>
    <w:rsid w:val="00C72C24"/>
    <w:rsid w:val="00C73468"/>
    <w:rsid w:val="00C74986"/>
    <w:rsid w:val="00C779B1"/>
    <w:rsid w:val="00C77D9E"/>
    <w:rsid w:val="00C80EC4"/>
    <w:rsid w:val="00C8568E"/>
    <w:rsid w:val="00C86F01"/>
    <w:rsid w:val="00C94D7A"/>
    <w:rsid w:val="00CA2D67"/>
    <w:rsid w:val="00CA32B5"/>
    <w:rsid w:val="00CB57AD"/>
    <w:rsid w:val="00CB74A0"/>
    <w:rsid w:val="00CC009D"/>
    <w:rsid w:val="00CC2803"/>
    <w:rsid w:val="00CC482B"/>
    <w:rsid w:val="00CC584A"/>
    <w:rsid w:val="00CC5E4E"/>
    <w:rsid w:val="00CD0EAB"/>
    <w:rsid w:val="00CD7C7D"/>
    <w:rsid w:val="00CD7E8F"/>
    <w:rsid w:val="00CE2AF3"/>
    <w:rsid w:val="00CE621D"/>
    <w:rsid w:val="00CE66E8"/>
    <w:rsid w:val="00CF320C"/>
    <w:rsid w:val="00D02256"/>
    <w:rsid w:val="00D05388"/>
    <w:rsid w:val="00D05734"/>
    <w:rsid w:val="00D114CD"/>
    <w:rsid w:val="00D14476"/>
    <w:rsid w:val="00D225D6"/>
    <w:rsid w:val="00D232FF"/>
    <w:rsid w:val="00D23AD9"/>
    <w:rsid w:val="00D23EE1"/>
    <w:rsid w:val="00D24178"/>
    <w:rsid w:val="00D242E9"/>
    <w:rsid w:val="00D279AA"/>
    <w:rsid w:val="00D308F2"/>
    <w:rsid w:val="00D31215"/>
    <w:rsid w:val="00D31B33"/>
    <w:rsid w:val="00D33DC9"/>
    <w:rsid w:val="00D34544"/>
    <w:rsid w:val="00D34841"/>
    <w:rsid w:val="00D4444E"/>
    <w:rsid w:val="00D44739"/>
    <w:rsid w:val="00D44A97"/>
    <w:rsid w:val="00D45C0C"/>
    <w:rsid w:val="00D508A5"/>
    <w:rsid w:val="00D5104B"/>
    <w:rsid w:val="00D555D8"/>
    <w:rsid w:val="00D60778"/>
    <w:rsid w:val="00D63EB2"/>
    <w:rsid w:val="00D64D28"/>
    <w:rsid w:val="00D6604D"/>
    <w:rsid w:val="00D677F1"/>
    <w:rsid w:val="00D74494"/>
    <w:rsid w:val="00D74601"/>
    <w:rsid w:val="00D83E46"/>
    <w:rsid w:val="00D847B6"/>
    <w:rsid w:val="00D93958"/>
    <w:rsid w:val="00D951D3"/>
    <w:rsid w:val="00DA1DB9"/>
    <w:rsid w:val="00DA2BB8"/>
    <w:rsid w:val="00DA3B5E"/>
    <w:rsid w:val="00DA4043"/>
    <w:rsid w:val="00DA49A8"/>
    <w:rsid w:val="00DA567F"/>
    <w:rsid w:val="00DA6169"/>
    <w:rsid w:val="00DA7B28"/>
    <w:rsid w:val="00DB2DB5"/>
    <w:rsid w:val="00DB5480"/>
    <w:rsid w:val="00DB6317"/>
    <w:rsid w:val="00DC2FC5"/>
    <w:rsid w:val="00DC5AD9"/>
    <w:rsid w:val="00DC691F"/>
    <w:rsid w:val="00DD02DE"/>
    <w:rsid w:val="00DD07B7"/>
    <w:rsid w:val="00DD113C"/>
    <w:rsid w:val="00DD1302"/>
    <w:rsid w:val="00DD324C"/>
    <w:rsid w:val="00DD3BBD"/>
    <w:rsid w:val="00DD6204"/>
    <w:rsid w:val="00DD6FCD"/>
    <w:rsid w:val="00DE0BEB"/>
    <w:rsid w:val="00DE1061"/>
    <w:rsid w:val="00DE4856"/>
    <w:rsid w:val="00DE7459"/>
    <w:rsid w:val="00DF4296"/>
    <w:rsid w:val="00DF485B"/>
    <w:rsid w:val="00DF6877"/>
    <w:rsid w:val="00E0295D"/>
    <w:rsid w:val="00E042BC"/>
    <w:rsid w:val="00E06649"/>
    <w:rsid w:val="00E11A95"/>
    <w:rsid w:val="00E132FE"/>
    <w:rsid w:val="00E17FA3"/>
    <w:rsid w:val="00E21B77"/>
    <w:rsid w:val="00E23352"/>
    <w:rsid w:val="00E40CAD"/>
    <w:rsid w:val="00E40DC7"/>
    <w:rsid w:val="00E4215F"/>
    <w:rsid w:val="00E43683"/>
    <w:rsid w:val="00E45C8B"/>
    <w:rsid w:val="00E46B3D"/>
    <w:rsid w:val="00E51384"/>
    <w:rsid w:val="00E53F98"/>
    <w:rsid w:val="00E54C0B"/>
    <w:rsid w:val="00E61D2E"/>
    <w:rsid w:val="00E61D5A"/>
    <w:rsid w:val="00E62B7F"/>
    <w:rsid w:val="00E63418"/>
    <w:rsid w:val="00E65E01"/>
    <w:rsid w:val="00E670C4"/>
    <w:rsid w:val="00E7066D"/>
    <w:rsid w:val="00E726BC"/>
    <w:rsid w:val="00E72821"/>
    <w:rsid w:val="00E75C82"/>
    <w:rsid w:val="00E80390"/>
    <w:rsid w:val="00E81DDC"/>
    <w:rsid w:val="00E81F67"/>
    <w:rsid w:val="00E83400"/>
    <w:rsid w:val="00E83650"/>
    <w:rsid w:val="00E83A31"/>
    <w:rsid w:val="00E83A4B"/>
    <w:rsid w:val="00E86F4C"/>
    <w:rsid w:val="00E876EE"/>
    <w:rsid w:val="00E93BF5"/>
    <w:rsid w:val="00E97CC0"/>
    <w:rsid w:val="00EA0038"/>
    <w:rsid w:val="00EA22B8"/>
    <w:rsid w:val="00EA2524"/>
    <w:rsid w:val="00EA33E7"/>
    <w:rsid w:val="00EA401C"/>
    <w:rsid w:val="00EB0ECB"/>
    <w:rsid w:val="00EC092D"/>
    <w:rsid w:val="00EC0DF8"/>
    <w:rsid w:val="00EC5563"/>
    <w:rsid w:val="00EC7EFF"/>
    <w:rsid w:val="00ED378B"/>
    <w:rsid w:val="00ED6D58"/>
    <w:rsid w:val="00EE08F9"/>
    <w:rsid w:val="00EE70B3"/>
    <w:rsid w:val="00EF114C"/>
    <w:rsid w:val="00EF24AA"/>
    <w:rsid w:val="00EF728A"/>
    <w:rsid w:val="00EF7D0D"/>
    <w:rsid w:val="00F00FF7"/>
    <w:rsid w:val="00F02093"/>
    <w:rsid w:val="00F068E3"/>
    <w:rsid w:val="00F10B5F"/>
    <w:rsid w:val="00F218C1"/>
    <w:rsid w:val="00F26809"/>
    <w:rsid w:val="00F321EB"/>
    <w:rsid w:val="00F32B00"/>
    <w:rsid w:val="00F346CF"/>
    <w:rsid w:val="00F34DDB"/>
    <w:rsid w:val="00F3610C"/>
    <w:rsid w:val="00F36839"/>
    <w:rsid w:val="00F405EA"/>
    <w:rsid w:val="00F43D4A"/>
    <w:rsid w:val="00F43E0E"/>
    <w:rsid w:val="00F455BF"/>
    <w:rsid w:val="00F47819"/>
    <w:rsid w:val="00F52A5F"/>
    <w:rsid w:val="00F55954"/>
    <w:rsid w:val="00F57308"/>
    <w:rsid w:val="00F5761A"/>
    <w:rsid w:val="00F61422"/>
    <w:rsid w:val="00F61962"/>
    <w:rsid w:val="00F61A61"/>
    <w:rsid w:val="00F62865"/>
    <w:rsid w:val="00F63B4E"/>
    <w:rsid w:val="00F64022"/>
    <w:rsid w:val="00F64660"/>
    <w:rsid w:val="00F65773"/>
    <w:rsid w:val="00F74FF3"/>
    <w:rsid w:val="00F81847"/>
    <w:rsid w:val="00F904FF"/>
    <w:rsid w:val="00F936F2"/>
    <w:rsid w:val="00F93BEE"/>
    <w:rsid w:val="00F97062"/>
    <w:rsid w:val="00F9745D"/>
    <w:rsid w:val="00FA07A9"/>
    <w:rsid w:val="00FA54B2"/>
    <w:rsid w:val="00FB28AE"/>
    <w:rsid w:val="00FC1C43"/>
    <w:rsid w:val="00FC529F"/>
    <w:rsid w:val="00FC7B53"/>
    <w:rsid w:val="00FD48CC"/>
    <w:rsid w:val="00FD6EF0"/>
    <w:rsid w:val="00FE0677"/>
    <w:rsid w:val="00FE0C02"/>
    <w:rsid w:val="00FE5224"/>
    <w:rsid w:val="00FE62D1"/>
    <w:rsid w:val="00FE7B94"/>
    <w:rsid w:val="00FF0736"/>
    <w:rsid w:val="00FF2515"/>
    <w:rsid w:val="00FF26BF"/>
    <w:rsid w:val="00FF4469"/>
    <w:rsid w:val="00FF4D7B"/>
    <w:rsid w:val="00FF56BA"/>
    <w:rsid w:val="00FF6FEA"/>
    <w:rsid w:val="010908A7"/>
    <w:rsid w:val="013C51B0"/>
    <w:rsid w:val="01525581"/>
    <w:rsid w:val="016412A2"/>
    <w:rsid w:val="01651C23"/>
    <w:rsid w:val="016D6AC7"/>
    <w:rsid w:val="01730582"/>
    <w:rsid w:val="018023CE"/>
    <w:rsid w:val="01881AD6"/>
    <w:rsid w:val="018B6657"/>
    <w:rsid w:val="019127B6"/>
    <w:rsid w:val="01B71A01"/>
    <w:rsid w:val="01D803E5"/>
    <w:rsid w:val="01DC03CE"/>
    <w:rsid w:val="01E36F4E"/>
    <w:rsid w:val="020C3478"/>
    <w:rsid w:val="02353A89"/>
    <w:rsid w:val="023C5F15"/>
    <w:rsid w:val="023F3FA2"/>
    <w:rsid w:val="026E0D49"/>
    <w:rsid w:val="028B6D36"/>
    <w:rsid w:val="02985CD5"/>
    <w:rsid w:val="02A741FD"/>
    <w:rsid w:val="02C16E5D"/>
    <w:rsid w:val="02CB7F49"/>
    <w:rsid w:val="02D964CF"/>
    <w:rsid w:val="02DE5ECF"/>
    <w:rsid w:val="02E74073"/>
    <w:rsid w:val="02F713C2"/>
    <w:rsid w:val="0367744E"/>
    <w:rsid w:val="03707410"/>
    <w:rsid w:val="037C1244"/>
    <w:rsid w:val="039240A3"/>
    <w:rsid w:val="03A0770F"/>
    <w:rsid w:val="03A448B8"/>
    <w:rsid w:val="03C01631"/>
    <w:rsid w:val="03C43AF3"/>
    <w:rsid w:val="03C656A9"/>
    <w:rsid w:val="03F33148"/>
    <w:rsid w:val="042F3419"/>
    <w:rsid w:val="044566F3"/>
    <w:rsid w:val="044841D6"/>
    <w:rsid w:val="044A4ED1"/>
    <w:rsid w:val="045D72C7"/>
    <w:rsid w:val="047B4012"/>
    <w:rsid w:val="047F2DDF"/>
    <w:rsid w:val="04815FBF"/>
    <w:rsid w:val="04822497"/>
    <w:rsid w:val="04974587"/>
    <w:rsid w:val="04D57FCB"/>
    <w:rsid w:val="04DF1036"/>
    <w:rsid w:val="0599183C"/>
    <w:rsid w:val="05A97DEC"/>
    <w:rsid w:val="05B23978"/>
    <w:rsid w:val="05C81981"/>
    <w:rsid w:val="05DB66F5"/>
    <w:rsid w:val="060C3203"/>
    <w:rsid w:val="065A6D82"/>
    <w:rsid w:val="069B4E4A"/>
    <w:rsid w:val="06BC41F2"/>
    <w:rsid w:val="06BD229F"/>
    <w:rsid w:val="06C117FE"/>
    <w:rsid w:val="06F415CC"/>
    <w:rsid w:val="070E26CD"/>
    <w:rsid w:val="07197D08"/>
    <w:rsid w:val="071E5C55"/>
    <w:rsid w:val="074A1D85"/>
    <w:rsid w:val="07560679"/>
    <w:rsid w:val="075C1FE5"/>
    <w:rsid w:val="076B4CB0"/>
    <w:rsid w:val="077005AB"/>
    <w:rsid w:val="078B414B"/>
    <w:rsid w:val="078F4581"/>
    <w:rsid w:val="07A62D33"/>
    <w:rsid w:val="07BF027F"/>
    <w:rsid w:val="08031A31"/>
    <w:rsid w:val="081935AB"/>
    <w:rsid w:val="08420CAE"/>
    <w:rsid w:val="084A6CBA"/>
    <w:rsid w:val="08574B3D"/>
    <w:rsid w:val="08575FBE"/>
    <w:rsid w:val="08E0126D"/>
    <w:rsid w:val="08E352B9"/>
    <w:rsid w:val="09061A75"/>
    <w:rsid w:val="09182241"/>
    <w:rsid w:val="09382F69"/>
    <w:rsid w:val="095F1030"/>
    <w:rsid w:val="09855177"/>
    <w:rsid w:val="09EE5125"/>
    <w:rsid w:val="0A2522FD"/>
    <w:rsid w:val="0A327478"/>
    <w:rsid w:val="0A462748"/>
    <w:rsid w:val="0A4D0C81"/>
    <w:rsid w:val="0A723E95"/>
    <w:rsid w:val="0A733243"/>
    <w:rsid w:val="0A846743"/>
    <w:rsid w:val="0A873F23"/>
    <w:rsid w:val="0AA534D5"/>
    <w:rsid w:val="0AA650EB"/>
    <w:rsid w:val="0AA7129C"/>
    <w:rsid w:val="0AE26205"/>
    <w:rsid w:val="0AF47339"/>
    <w:rsid w:val="0B22594B"/>
    <w:rsid w:val="0B27418B"/>
    <w:rsid w:val="0B27506F"/>
    <w:rsid w:val="0B9610F4"/>
    <w:rsid w:val="0BA92DF2"/>
    <w:rsid w:val="0BBF77A4"/>
    <w:rsid w:val="0BD16C8D"/>
    <w:rsid w:val="0BDF26F7"/>
    <w:rsid w:val="0C027DB2"/>
    <w:rsid w:val="0C2B4952"/>
    <w:rsid w:val="0C322F8A"/>
    <w:rsid w:val="0C4607E5"/>
    <w:rsid w:val="0C516C55"/>
    <w:rsid w:val="0C7B2220"/>
    <w:rsid w:val="0CB67D83"/>
    <w:rsid w:val="0CD20599"/>
    <w:rsid w:val="0CE53018"/>
    <w:rsid w:val="0D0B5B12"/>
    <w:rsid w:val="0D133046"/>
    <w:rsid w:val="0D153F28"/>
    <w:rsid w:val="0D3A0F98"/>
    <w:rsid w:val="0D6A4502"/>
    <w:rsid w:val="0D7415CA"/>
    <w:rsid w:val="0D890E47"/>
    <w:rsid w:val="0DC64A00"/>
    <w:rsid w:val="0DEB5FFA"/>
    <w:rsid w:val="0DF75C46"/>
    <w:rsid w:val="0DFC60BA"/>
    <w:rsid w:val="0E1C06B2"/>
    <w:rsid w:val="0E243F4A"/>
    <w:rsid w:val="0E69691B"/>
    <w:rsid w:val="0EBB5484"/>
    <w:rsid w:val="0EBD5AA3"/>
    <w:rsid w:val="0EDB32C2"/>
    <w:rsid w:val="0F386966"/>
    <w:rsid w:val="0F407E8F"/>
    <w:rsid w:val="0F4A505A"/>
    <w:rsid w:val="0F5723EF"/>
    <w:rsid w:val="0F5F5360"/>
    <w:rsid w:val="0F7C5FF6"/>
    <w:rsid w:val="0FC63FBD"/>
    <w:rsid w:val="0FDD003F"/>
    <w:rsid w:val="0FE845BC"/>
    <w:rsid w:val="0FF87EA4"/>
    <w:rsid w:val="0FFF1232"/>
    <w:rsid w:val="0FFF7484"/>
    <w:rsid w:val="10066939"/>
    <w:rsid w:val="10087D6B"/>
    <w:rsid w:val="100B77ED"/>
    <w:rsid w:val="101D47AD"/>
    <w:rsid w:val="102B64CB"/>
    <w:rsid w:val="10305890"/>
    <w:rsid w:val="103D5A1A"/>
    <w:rsid w:val="105847E5"/>
    <w:rsid w:val="106A6FF4"/>
    <w:rsid w:val="106C564D"/>
    <w:rsid w:val="106E0AED"/>
    <w:rsid w:val="107B7B8F"/>
    <w:rsid w:val="107C67CE"/>
    <w:rsid w:val="10912D03"/>
    <w:rsid w:val="109D68CB"/>
    <w:rsid w:val="10A949B8"/>
    <w:rsid w:val="10AB5D61"/>
    <w:rsid w:val="10E45812"/>
    <w:rsid w:val="11045C91"/>
    <w:rsid w:val="11144AFE"/>
    <w:rsid w:val="11200D07"/>
    <w:rsid w:val="115E03E3"/>
    <w:rsid w:val="11786AB5"/>
    <w:rsid w:val="118049D4"/>
    <w:rsid w:val="118561F8"/>
    <w:rsid w:val="11942D84"/>
    <w:rsid w:val="11B21219"/>
    <w:rsid w:val="11DA73AF"/>
    <w:rsid w:val="11FC1ECD"/>
    <w:rsid w:val="120E39AF"/>
    <w:rsid w:val="124D097B"/>
    <w:rsid w:val="12511265"/>
    <w:rsid w:val="126006AE"/>
    <w:rsid w:val="126D4818"/>
    <w:rsid w:val="126F5598"/>
    <w:rsid w:val="1283614B"/>
    <w:rsid w:val="12856FF3"/>
    <w:rsid w:val="129671FB"/>
    <w:rsid w:val="12A576FF"/>
    <w:rsid w:val="12C60D80"/>
    <w:rsid w:val="130523B3"/>
    <w:rsid w:val="131F7A3A"/>
    <w:rsid w:val="132645D0"/>
    <w:rsid w:val="133D4061"/>
    <w:rsid w:val="13455ABC"/>
    <w:rsid w:val="13472FAF"/>
    <w:rsid w:val="134F66BB"/>
    <w:rsid w:val="13622204"/>
    <w:rsid w:val="1370322B"/>
    <w:rsid w:val="139B5EAF"/>
    <w:rsid w:val="13BA0460"/>
    <w:rsid w:val="13BB41AE"/>
    <w:rsid w:val="13BF31B2"/>
    <w:rsid w:val="13C24F9B"/>
    <w:rsid w:val="13C45A18"/>
    <w:rsid w:val="13C6005D"/>
    <w:rsid w:val="13C9247B"/>
    <w:rsid w:val="13D6515C"/>
    <w:rsid w:val="14294AD0"/>
    <w:rsid w:val="143B2E0B"/>
    <w:rsid w:val="146F0161"/>
    <w:rsid w:val="147C1943"/>
    <w:rsid w:val="148054E9"/>
    <w:rsid w:val="14892735"/>
    <w:rsid w:val="14CC769D"/>
    <w:rsid w:val="14D764D5"/>
    <w:rsid w:val="14EF61BF"/>
    <w:rsid w:val="14F43330"/>
    <w:rsid w:val="1505553D"/>
    <w:rsid w:val="150F7FEC"/>
    <w:rsid w:val="152900D3"/>
    <w:rsid w:val="153E0A4F"/>
    <w:rsid w:val="15436F05"/>
    <w:rsid w:val="15691FE3"/>
    <w:rsid w:val="158B5DDD"/>
    <w:rsid w:val="15B11221"/>
    <w:rsid w:val="15C16EB3"/>
    <w:rsid w:val="15CB76C9"/>
    <w:rsid w:val="15D359D7"/>
    <w:rsid w:val="160E7A2C"/>
    <w:rsid w:val="161F262E"/>
    <w:rsid w:val="16317A1A"/>
    <w:rsid w:val="163C77BE"/>
    <w:rsid w:val="164A3F23"/>
    <w:rsid w:val="164D0F49"/>
    <w:rsid w:val="16573587"/>
    <w:rsid w:val="165C5C7C"/>
    <w:rsid w:val="1679588C"/>
    <w:rsid w:val="16837A88"/>
    <w:rsid w:val="168C2855"/>
    <w:rsid w:val="16994962"/>
    <w:rsid w:val="16A233CF"/>
    <w:rsid w:val="16A71041"/>
    <w:rsid w:val="16AA24BF"/>
    <w:rsid w:val="16F871DC"/>
    <w:rsid w:val="171D3FE1"/>
    <w:rsid w:val="17346951"/>
    <w:rsid w:val="17413B4D"/>
    <w:rsid w:val="17680CAB"/>
    <w:rsid w:val="176E4128"/>
    <w:rsid w:val="17725CE9"/>
    <w:rsid w:val="1783371F"/>
    <w:rsid w:val="178E48DA"/>
    <w:rsid w:val="179418FD"/>
    <w:rsid w:val="17A10E21"/>
    <w:rsid w:val="17AA23CB"/>
    <w:rsid w:val="17C93012"/>
    <w:rsid w:val="17E62B67"/>
    <w:rsid w:val="17E72CD8"/>
    <w:rsid w:val="180F4499"/>
    <w:rsid w:val="182201B4"/>
    <w:rsid w:val="18221ECE"/>
    <w:rsid w:val="183C3D90"/>
    <w:rsid w:val="1859036F"/>
    <w:rsid w:val="18614684"/>
    <w:rsid w:val="18681814"/>
    <w:rsid w:val="18B0649B"/>
    <w:rsid w:val="18C272A1"/>
    <w:rsid w:val="18CF3672"/>
    <w:rsid w:val="18D418FC"/>
    <w:rsid w:val="18E5143F"/>
    <w:rsid w:val="18E83469"/>
    <w:rsid w:val="18EE62E8"/>
    <w:rsid w:val="18FC7745"/>
    <w:rsid w:val="19117D89"/>
    <w:rsid w:val="19166FF3"/>
    <w:rsid w:val="192F3B7C"/>
    <w:rsid w:val="19353F17"/>
    <w:rsid w:val="194128BC"/>
    <w:rsid w:val="19426539"/>
    <w:rsid w:val="196D36B1"/>
    <w:rsid w:val="19864975"/>
    <w:rsid w:val="19864EEB"/>
    <w:rsid w:val="19D1065C"/>
    <w:rsid w:val="19DD405E"/>
    <w:rsid w:val="1A460CF5"/>
    <w:rsid w:val="1A7F297D"/>
    <w:rsid w:val="1A9D6244"/>
    <w:rsid w:val="1AB16AC1"/>
    <w:rsid w:val="1ABF1CEA"/>
    <w:rsid w:val="1AC27A2C"/>
    <w:rsid w:val="1B014DDE"/>
    <w:rsid w:val="1B0320FB"/>
    <w:rsid w:val="1B034A52"/>
    <w:rsid w:val="1B2640F6"/>
    <w:rsid w:val="1B446693"/>
    <w:rsid w:val="1B45344E"/>
    <w:rsid w:val="1B5D76FB"/>
    <w:rsid w:val="1B683578"/>
    <w:rsid w:val="1B8C0040"/>
    <w:rsid w:val="1BDE2F66"/>
    <w:rsid w:val="1C40720A"/>
    <w:rsid w:val="1C5B5A42"/>
    <w:rsid w:val="1C750ECE"/>
    <w:rsid w:val="1CA56AF4"/>
    <w:rsid w:val="1CB106DB"/>
    <w:rsid w:val="1CD06430"/>
    <w:rsid w:val="1CD203FA"/>
    <w:rsid w:val="1CD667CB"/>
    <w:rsid w:val="1D196139"/>
    <w:rsid w:val="1D372585"/>
    <w:rsid w:val="1D4D5CD3"/>
    <w:rsid w:val="1D5E02D1"/>
    <w:rsid w:val="1D7F0ED0"/>
    <w:rsid w:val="1D8965DF"/>
    <w:rsid w:val="1D921938"/>
    <w:rsid w:val="1D990F18"/>
    <w:rsid w:val="1DAA7B30"/>
    <w:rsid w:val="1DBB6100"/>
    <w:rsid w:val="1DBE6816"/>
    <w:rsid w:val="1DCB4FF1"/>
    <w:rsid w:val="1DDF4451"/>
    <w:rsid w:val="1DE30AC2"/>
    <w:rsid w:val="1DF20D7E"/>
    <w:rsid w:val="1E010AF7"/>
    <w:rsid w:val="1E1C405A"/>
    <w:rsid w:val="1E2E29E0"/>
    <w:rsid w:val="1E301173"/>
    <w:rsid w:val="1E884D18"/>
    <w:rsid w:val="1E8C282B"/>
    <w:rsid w:val="1ED8781E"/>
    <w:rsid w:val="1EDD3235"/>
    <w:rsid w:val="1F1102B0"/>
    <w:rsid w:val="1F2F1047"/>
    <w:rsid w:val="1F2F2B69"/>
    <w:rsid w:val="1F372797"/>
    <w:rsid w:val="1F43381C"/>
    <w:rsid w:val="1F781224"/>
    <w:rsid w:val="1FA4148D"/>
    <w:rsid w:val="1FBB4C72"/>
    <w:rsid w:val="1FC10FAB"/>
    <w:rsid w:val="1FC65577"/>
    <w:rsid w:val="1FD82385"/>
    <w:rsid w:val="1FF274ED"/>
    <w:rsid w:val="20121621"/>
    <w:rsid w:val="20144FAF"/>
    <w:rsid w:val="20147D79"/>
    <w:rsid w:val="201636E2"/>
    <w:rsid w:val="201F1B43"/>
    <w:rsid w:val="202E3F6D"/>
    <w:rsid w:val="20325F7E"/>
    <w:rsid w:val="204E554F"/>
    <w:rsid w:val="20590035"/>
    <w:rsid w:val="2073173B"/>
    <w:rsid w:val="209033C5"/>
    <w:rsid w:val="20E5011E"/>
    <w:rsid w:val="20F3093F"/>
    <w:rsid w:val="20F74CE4"/>
    <w:rsid w:val="20FC799E"/>
    <w:rsid w:val="210C4C83"/>
    <w:rsid w:val="21101BAA"/>
    <w:rsid w:val="21286DA7"/>
    <w:rsid w:val="2134683B"/>
    <w:rsid w:val="219068BB"/>
    <w:rsid w:val="21C82E72"/>
    <w:rsid w:val="21DE0801"/>
    <w:rsid w:val="21DE339D"/>
    <w:rsid w:val="22154DDD"/>
    <w:rsid w:val="222B4109"/>
    <w:rsid w:val="22336873"/>
    <w:rsid w:val="22396826"/>
    <w:rsid w:val="22412CD8"/>
    <w:rsid w:val="224C6559"/>
    <w:rsid w:val="225278E7"/>
    <w:rsid w:val="225471A3"/>
    <w:rsid w:val="225E34DC"/>
    <w:rsid w:val="226E5197"/>
    <w:rsid w:val="227D1295"/>
    <w:rsid w:val="227E692E"/>
    <w:rsid w:val="22AB3B7D"/>
    <w:rsid w:val="22AF3A08"/>
    <w:rsid w:val="22E42C35"/>
    <w:rsid w:val="22F92F75"/>
    <w:rsid w:val="23040BE2"/>
    <w:rsid w:val="232E5C5F"/>
    <w:rsid w:val="23333683"/>
    <w:rsid w:val="2393640A"/>
    <w:rsid w:val="23BB4E7D"/>
    <w:rsid w:val="23C172D6"/>
    <w:rsid w:val="23D77537"/>
    <w:rsid w:val="23D902C0"/>
    <w:rsid w:val="23D9206E"/>
    <w:rsid w:val="23E6195D"/>
    <w:rsid w:val="23E80503"/>
    <w:rsid w:val="23F04F64"/>
    <w:rsid w:val="24814CBE"/>
    <w:rsid w:val="24AC168B"/>
    <w:rsid w:val="24BB6664"/>
    <w:rsid w:val="24BD406A"/>
    <w:rsid w:val="24D23A61"/>
    <w:rsid w:val="24D26ABE"/>
    <w:rsid w:val="250E1318"/>
    <w:rsid w:val="25467247"/>
    <w:rsid w:val="254D0389"/>
    <w:rsid w:val="25804E27"/>
    <w:rsid w:val="25884C5D"/>
    <w:rsid w:val="258C3BEC"/>
    <w:rsid w:val="25A03144"/>
    <w:rsid w:val="25B2479F"/>
    <w:rsid w:val="25C15C5D"/>
    <w:rsid w:val="25D329B9"/>
    <w:rsid w:val="25E5427A"/>
    <w:rsid w:val="26276A31"/>
    <w:rsid w:val="263631A5"/>
    <w:rsid w:val="26366F9D"/>
    <w:rsid w:val="263B1230"/>
    <w:rsid w:val="2642752B"/>
    <w:rsid w:val="2644571B"/>
    <w:rsid w:val="26485508"/>
    <w:rsid w:val="26554808"/>
    <w:rsid w:val="265E4AAD"/>
    <w:rsid w:val="26607D95"/>
    <w:rsid w:val="26700955"/>
    <w:rsid w:val="26A16AE9"/>
    <w:rsid w:val="26A605D9"/>
    <w:rsid w:val="26AD0500"/>
    <w:rsid w:val="26AF0B9B"/>
    <w:rsid w:val="26B121A3"/>
    <w:rsid w:val="26B7796A"/>
    <w:rsid w:val="26BF0015"/>
    <w:rsid w:val="27075144"/>
    <w:rsid w:val="271C5F64"/>
    <w:rsid w:val="272E3097"/>
    <w:rsid w:val="272E6F74"/>
    <w:rsid w:val="277E6655"/>
    <w:rsid w:val="27933DEA"/>
    <w:rsid w:val="27AB3D22"/>
    <w:rsid w:val="27AF30E6"/>
    <w:rsid w:val="27B36A67"/>
    <w:rsid w:val="27BE6794"/>
    <w:rsid w:val="27D50D9F"/>
    <w:rsid w:val="27E965F8"/>
    <w:rsid w:val="280E42B1"/>
    <w:rsid w:val="281573ED"/>
    <w:rsid w:val="281E404F"/>
    <w:rsid w:val="28302479"/>
    <w:rsid w:val="2846581F"/>
    <w:rsid w:val="284A5CA4"/>
    <w:rsid w:val="286602C8"/>
    <w:rsid w:val="28665C95"/>
    <w:rsid w:val="28716D1C"/>
    <w:rsid w:val="28736F5F"/>
    <w:rsid w:val="28833BE9"/>
    <w:rsid w:val="28851EB4"/>
    <w:rsid w:val="28B01D1E"/>
    <w:rsid w:val="28C2628C"/>
    <w:rsid w:val="28CC3373"/>
    <w:rsid w:val="28DE457E"/>
    <w:rsid w:val="28F579BA"/>
    <w:rsid w:val="290B3EB9"/>
    <w:rsid w:val="292728C1"/>
    <w:rsid w:val="292C7FA1"/>
    <w:rsid w:val="2940493E"/>
    <w:rsid w:val="2950768C"/>
    <w:rsid w:val="297A5FC4"/>
    <w:rsid w:val="29B41DA5"/>
    <w:rsid w:val="29E14657"/>
    <w:rsid w:val="29E474B8"/>
    <w:rsid w:val="29E61D5B"/>
    <w:rsid w:val="29ED574B"/>
    <w:rsid w:val="29EE7EF6"/>
    <w:rsid w:val="29FA2D3E"/>
    <w:rsid w:val="29FE5CE6"/>
    <w:rsid w:val="2A600C13"/>
    <w:rsid w:val="2A633B90"/>
    <w:rsid w:val="2A68500A"/>
    <w:rsid w:val="2A743AE8"/>
    <w:rsid w:val="2A810D6A"/>
    <w:rsid w:val="2A8645D2"/>
    <w:rsid w:val="2A8D4F8F"/>
    <w:rsid w:val="2A901BEE"/>
    <w:rsid w:val="2A917B34"/>
    <w:rsid w:val="2A9308A8"/>
    <w:rsid w:val="2A9475FF"/>
    <w:rsid w:val="2A9F5AB8"/>
    <w:rsid w:val="2AAA0AA2"/>
    <w:rsid w:val="2AD74E8C"/>
    <w:rsid w:val="2AE3766F"/>
    <w:rsid w:val="2AEC612E"/>
    <w:rsid w:val="2AFE45AB"/>
    <w:rsid w:val="2B073965"/>
    <w:rsid w:val="2B0E56AB"/>
    <w:rsid w:val="2B276305"/>
    <w:rsid w:val="2B4A426C"/>
    <w:rsid w:val="2B54704F"/>
    <w:rsid w:val="2B590601"/>
    <w:rsid w:val="2B7803BF"/>
    <w:rsid w:val="2B7D07AF"/>
    <w:rsid w:val="2B7E4054"/>
    <w:rsid w:val="2BA45A85"/>
    <w:rsid w:val="2BB12905"/>
    <w:rsid w:val="2BBA6A76"/>
    <w:rsid w:val="2BCC03D1"/>
    <w:rsid w:val="2BDB0134"/>
    <w:rsid w:val="2C0C6D59"/>
    <w:rsid w:val="2C4B779E"/>
    <w:rsid w:val="2C787BAC"/>
    <w:rsid w:val="2C8903AA"/>
    <w:rsid w:val="2C8E776E"/>
    <w:rsid w:val="2C8E7BB8"/>
    <w:rsid w:val="2C987C56"/>
    <w:rsid w:val="2C9C00DD"/>
    <w:rsid w:val="2CA156F3"/>
    <w:rsid w:val="2CC11460"/>
    <w:rsid w:val="2CC15BAA"/>
    <w:rsid w:val="2CDC3153"/>
    <w:rsid w:val="2CDF621C"/>
    <w:rsid w:val="2CE136D7"/>
    <w:rsid w:val="2CFD65CF"/>
    <w:rsid w:val="2CFE7A11"/>
    <w:rsid w:val="2CFF149A"/>
    <w:rsid w:val="2D201865"/>
    <w:rsid w:val="2D210006"/>
    <w:rsid w:val="2D2F67DA"/>
    <w:rsid w:val="2D4B5CEA"/>
    <w:rsid w:val="2D4C5B4C"/>
    <w:rsid w:val="2D4C6B07"/>
    <w:rsid w:val="2D514661"/>
    <w:rsid w:val="2D652658"/>
    <w:rsid w:val="2D964A56"/>
    <w:rsid w:val="2D9708A4"/>
    <w:rsid w:val="2D99286E"/>
    <w:rsid w:val="2DC16E0A"/>
    <w:rsid w:val="2DC526CA"/>
    <w:rsid w:val="2DC80C49"/>
    <w:rsid w:val="2DCA6355"/>
    <w:rsid w:val="2DD85F0E"/>
    <w:rsid w:val="2E026666"/>
    <w:rsid w:val="2E166748"/>
    <w:rsid w:val="2E1D524D"/>
    <w:rsid w:val="2E2054A0"/>
    <w:rsid w:val="2E2C36E3"/>
    <w:rsid w:val="2E482374"/>
    <w:rsid w:val="2E556F01"/>
    <w:rsid w:val="2E7B4C91"/>
    <w:rsid w:val="2E8345A7"/>
    <w:rsid w:val="2E8937EC"/>
    <w:rsid w:val="2E8E20B4"/>
    <w:rsid w:val="2EAA7BAE"/>
    <w:rsid w:val="2EC0235F"/>
    <w:rsid w:val="2EC1207D"/>
    <w:rsid w:val="2ED06066"/>
    <w:rsid w:val="2ED1223D"/>
    <w:rsid w:val="2F000139"/>
    <w:rsid w:val="2F1B303D"/>
    <w:rsid w:val="2F3925CB"/>
    <w:rsid w:val="2F65799D"/>
    <w:rsid w:val="2F994DA8"/>
    <w:rsid w:val="2F9F42DC"/>
    <w:rsid w:val="2FAC3772"/>
    <w:rsid w:val="2FBC2844"/>
    <w:rsid w:val="2FC32F68"/>
    <w:rsid w:val="2FF37AB3"/>
    <w:rsid w:val="301646C9"/>
    <w:rsid w:val="30210B8A"/>
    <w:rsid w:val="30224DC7"/>
    <w:rsid w:val="303265F2"/>
    <w:rsid w:val="303B49E3"/>
    <w:rsid w:val="303B4C3F"/>
    <w:rsid w:val="30476D7A"/>
    <w:rsid w:val="3073310C"/>
    <w:rsid w:val="307B284C"/>
    <w:rsid w:val="309D6BE6"/>
    <w:rsid w:val="30AA1790"/>
    <w:rsid w:val="30EE385E"/>
    <w:rsid w:val="30F63079"/>
    <w:rsid w:val="30F85AFE"/>
    <w:rsid w:val="31170995"/>
    <w:rsid w:val="31264A30"/>
    <w:rsid w:val="312651F8"/>
    <w:rsid w:val="31884E67"/>
    <w:rsid w:val="31A0275E"/>
    <w:rsid w:val="31A67308"/>
    <w:rsid w:val="31B91526"/>
    <w:rsid w:val="31CD20C4"/>
    <w:rsid w:val="31EF0041"/>
    <w:rsid w:val="31EF5153"/>
    <w:rsid w:val="320107F5"/>
    <w:rsid w:val="323F724B"/>
    <w:rsid w:val="326A0524"/>
    <w:rsid w:val="32986C45"/>
    <w:rsid w:val="32AB70C5"/>
    <w:rsid w:val="32F56799"/>
    <w:rsid w:val="33247607"/>
    <w:rsid w:val="33487C23"/>
    <w:rsid w:val="335D0AF5"/>
    <w:rsid w:val="3370088C"/>
    <w:rsid w:val="33735C77"/>
    <w:rsid w:val="339A687B"/>
    <w:rsid w:val="33C14594"/>
    <w:rsid w:val="33DC2F78"/>
    <w:rsid w:val="34063BAE"/>
    <w:rsid w:val="3428227C"/>
    <w:rsid w:val="343230D5"/>
    <w:rsid w:val="3439428E"/>
    <w:rsid w:val="347918A5"/>
    <w:rsid w:val="348778C5"/>
    <w:rsid w:val="349D37D5"/>
    <w:rsid w:val="34A61BDE"/>
    <w:rsid w:val="34CB5A03"/>
    <w:rsid w:val="3522586C"/>
    <w:rsid w:val="352B64A2"/>
    <w:rsid w:val="35572473"/>
    <w:rsid w:val="35602226"/>
    <w:rsid w:val="356B72E7"/>
    <w:rsid w:val="356D2AC8"/>
    <w:rsid w:val="3572424F"/>
    <w:rsid w:val="357A2DF7"/>
    <w:rsid w:val="35866014"/>
    <w:rsid w:val="359E5CE0"/>
    <w:rsid w:val="36003D50"/>
    <w:rsid w:val="3614591E"/>
    <w:rsid w:val="362B215D"/>
    <w:rsid w:val="363E0D05"/>
    <w:rsid w:val="367801A9"/>
    <w:rsid w:val="3695267E"/>
    <w:rsid w:val="36AD519D"/>
    <w:rsid w:val="36B57705"/>
    <w:rsid w:val="36CB08C5"/>
    <w:rsid w:val="36DC1DD3"/>
    <w:rsid w:val="37090CD6"/>
    <w:rsid w:val="37122320"/>
    <w:rsid w:val="372F6E95"/>
    <w:rsid w:val="373E6129"/>
    <w:rsid w:val="37515F68"/>
    <w:rsid w:val="3754697A"/>
    <w:rsid w:val="37636A21"/>
    <w:rsid w:val="37883E50"/>
    <w:rsid w:val="37A103ED"/>
    <w:rsid w:val="37A367C3"/>
    <w:rsid w:val="37BD33EE"/>
    <w:rsid w:val="37C24FF3"/>
    <w:rsid w:val="37E02B23"/>
    <w:rsid w:val="37E345A6"/>
    <w:rsid w:val="37EA5E6E"/>
    <w:rsid w:val="37FF016F"/>
    <w:rsid w:val="380A4A95"/>
    <w:rsid w:val="381B0A50"/>
    <w:rsid w:val="382A6E2D"/>
    <w:rsid w:val="38534B1D"/>
    <w:rsid w:val="386E4145"/>
    <w:rsid w:val="387C5ABE"/>
    <w:rsid w:val="38AA5930"/>
    <w:rsid w:val="38AC6EE6"/>
    <w:rsid w:val="38B66D0C"/>
    <w:rsid w:val="38DC1FD8"/>
    <w:rsid w:val="38EB6119"/>
    <w:rsid w:val="38ED3021"/>
    <w:rsid w:val="39094D4C"/>
    <w:rsid w:val="392D500E"/>
    <w:rsid w:val="396678D9"/>
    <w:rsid w:val="39736669"/>
    <w:rsid w:val="397A0ADB"/>
    <w:rsid w:val="398B750F"/>
    <w:rsid w:val="39954B2B"/>
    <w:rsid w:val="39DA2245"/>
    <w:rsid w:val="39E66E3B"/>
    <w:rsid w:val="39FD4CC2"/>
    <w:rsid w:val="3A51228C"/>
    <w:rsid w:val="3A545E48"/>
    <w:rsid w:val="3A552E60"/>
    <w:rsid w:val="3A5D642F"/>
    <w:rsid w:val="3A744447"/>
    <w:rsid w:val="3A78219D"/>
    <w:rsid w:val="3A995C5C"/>
    <w:rsid w:val="3AB210FC"/>
    <w:rsid w:val="3AC92E7F"/>
    <w:rsid w:val="3B043A1D"/>
    <w:rsid w:val="3B107EE9"/>
    <w:rsid w:val="3B212C76"/>
    <w:rsid w:val="3B587A4D"/>
    <w:rsid w:val="3B793A48"/>
    <w:rsid w:val="3B82462F"/>
    <w:rsid w:val="3B842171"/>
    <w:rsid w:val="3B85393E"/>
    <w:rsid w:val="3B9528C7"/>
    <w:rsid w:val="3BCA4B8A"/>
    <w:rsid w:val="3BCD72F7"/>
    <w:rsid w:val="3BF4153E"/>
    <w:rsid w:val="3C0D6901"/>
    <w:rsid w:val="3C37146A"/>
    <w:rsid w:val="3C3D3625"/>
    <w:rsid w:val="3C414142"/>
    <w:rsid w:val="3C5B725E"/>
    <w:rsid w:val="3C776471"/>
    <w:rsid w:val="3C88055A"/>
    <w:rsid w:val="3CAF79B9"/>
    <w:rsid w:val="3CB35097"/>
    <w:rsid w:val="3CF737A2"/>
    <w:rsid w:val="3D10295A"/>
    <w:rsid w:val="3D184041"/>
    <w:rsid w:val="3D370C2A"/>
    <w:rsid w:val="3D414FC0"/>
    <w:rsid w:val="3D516CC2"/>
    <w:rsid w:val="3D7C7220"/>
    <w:rsid w:val="3D7D049C"/>
    <w:rsid w:val="3DC4250E"/>
    <w:rsid w:val="3DE20EAE"/>
    <w:rsid w:val="3DEF3701"/>
    <w:rsid w:val="3E0572FD"/>
    <w:rsid w:val="3E0720FE"/>
    <w:rsid w:val="3E1D0952"/>
    <w:rsid w:val="3E2819F6"/>
    <w:rsid w:val="3E287A22"/>
    <w:rsid w:val="3E5A7FE7"/>
    <w:rsid w:val="3E955A6A"/>
    <w:rsid w:val="3E964D81"/>
    <w:rsid w:val="3EB10324"/>
    <w:rsid w:val="3EB72B91"/>
    <w:rsid w:val="3EEF6FFF"/>
    <w:rsid w:val="3EF66B2E"/>
    <w:rsid w:val="3F1538BA"/>
    <w:rsid w:val="3F217914"/>
    <w:rsid w:val="3F5D44A8"/>
    <w:rsid w:val="3FD70BB0"/>
    <w:rsid w:val="3FEB51AC"/>
    <w:rsid w:val="3FF1740C"/>
    <w:rsid w:val="3FF542A0"/>
    <w:rsid w:val="3FFB55AC"/>
    <w:rsid w:val="40017152"/>
    <w:rsid w:val="400A057C"/>
    <w:rsid w:val="401C5F9D"/>
    <w:rsid w:val="401C690C"/>
    <w:rsid w:val="401D7195"/>
    <w:rsid w:val="402D6138"/>
    <w:rsid w:val="40363F4D"/>
    <w:rsid w:val="405C1C05"/>
    <w:rsid w:val="407A652F"/>
    <w:rsid w:val="40825D97"/>
    <w:rsid w:val="4094495E"/>
    <w:rsid w:val="409928E7"/>
    <w:rsid w:val="40997CFE"/>
    <w:rsid w:val="409C35A8"/>
    <w:rsid w:val="40A06CB8"/>
    <w:rsid w:val="40C45B55"/>
    <w:rsid w:val="40CE3DC0"/>
    <w:rsid w:val="40D7455A"/>
    <w:rsid w:val="40E64A36"/>
    <w:rsid w:val="40E743E5"/>
    <w:rsid w:val="40EB4012"/>
    <w:rsid w:val="410A1661"/>
    <w:rsid w:val="41246142"/>
    <w:rsid w:val="412D5EA0"/>
    <w:rsid w:val="416D78C7"/>
    <w:rsid w:val="41734CBA"/>
    <w:rsid w:val="417F4E1A"/>
    <w:rsid w:val="41A82190"/>
    <w:rsid w:val="41AC13D0"/>
    <w:rsid w:val="41DE5999"/>
    <w:rsid w:val="41E1181A"/>
    <w:rsid w:val="41E32A20"/>
    <w:rsid w:val="41EF5E7D"/>
    <w:rsid w:val="41F7354F"/>
    <w:rsid w:val="41FA3241"/>
    <w:rsid w:val="41FC5DD6"/>
    <w:rsid w:val="420F7A65"/>
    <w:rsid w:val="4216611A"/>
    <w:rsid w:val="423E300F"/>
    <w:rsid w:val="425656C8"/>
    <w:rsid w:val="4257273C"/>
    <w:rsid w:val="425B7C9B"/>
    <w:rsid w:val="42687ACE"/>
    <w:rsid w:val="4285733F"/>
    <w:rsid w:val="429513FF"/>
    <w:rsid w:val="429E6041"/>
    <w:rsid w:val="42BF4B02"/>
    <w:rsid w:val="42C469F9"/>
    <w:rsid w:val="42C84B75"/>
    <w:rsid w:val="42FD694D"/>
    <w:rsid w:val="4335673E"/>
    <w:rsid w:val="43525542"/>
    <w:rsid w:val="437D6687"/>
    <w:rsid w:val="438351F5"/>
    <w:rsid w:val="438D35EA"/>
    <w:rsid w:val="439416B6"/>
    <w:rsid w:val="439E0787"/>
    <w:rsid w:val="43A7763B"/>
    <w:rsid w:val="43BC1E57"/>
    <w:rsid w:val="43D23F8D"/>
    <w:rsid w:val="43D43F1D"/>
    <w:rsid w:val="43EA577A"/>
    <w:rsid w:val="43FA5777"/>
    <w:rsid w:val="44023422"/>
    <w:rsid w:val="44184A2D"/>
    <w:rsid w:val="441C1611"/>
    <w:rsid w:val="44324BC4"/>
    <w:rsid w:val="443C440B"/>
    <w:rsid w:val="44506DE3"/>
    <w:rsid w:val="44514F52"/>
    <w:rsid w:val="445C051C"/>
    <w:rsid w:val="44761C8F"/>
    <w:rsid w:val="44795746"/>
    <w:rsid w:val="449722E3"/>
    <w:rsid w:val="449D7B09"/>
    <w:rsid w:val="44AE3FD4"/>
    <w:rsid w:val="44BD22C3"/>
    <w:rsid w:val="44C71A3B"/>
    <w:rsid w:val="44D0586F"/>
    <w:rsid w:val="44FA2D53"/>
    <w:rsid w:val="4504751B"/>
    <w:rsid w:val="453C4912"/>
    <w:rsid w:val="45627191"/>
    <w:rsid w:val="45687813"/>
    <w:rsid w:val="456E7B7D"/>
    <w:rsid w:val="4571374F"/>
    <w:rsid w:val="458B1BB0"/>
    <w:rsid w:val="45AD31D6"/>
    <w:rsid w:val="45B93426"/>
    <w:rsid w:val="45EC59E5"/>
    <w:rsid w:val="464C6420"/>
    <w:rsid w:val="46552F9B"/>
    <w:rsid w:val="467A0297"/>
    <w:rsid w:val="468B7125"/>
    <w:rsid w:val="46B506EF"/>
    <w:rsid w:val="46BC1F6E"/>
    <w:rsid w:val="46C4691F"/>
    <w:rsid w:val="46CB53EF"/>
    <w:rsid w:val="46CE645F"/>
    <w:rsid w:val="46D85D5E"/>
    <w:rsid w:val="470F5A71"/>
    <w:rsid w:val="47150D60"/>
    <w:rsid w:val="474F2C43"/>
    <w:rsid w:val="47685427"/>
    <w:rsid w:val="4779499C"/>
    <w:rsid w:val="479B57CB"/>
    <w:rsid w:val="479C6284"/>
    <w:rsid w:val="479D1D34"/>
    <w:rsid w:val="47B609C0"/>
    <w:rsid w:val="47EC3B04"/>
    <w:rsid w:val="47EC6277"/>
    <w:rsid w:val="481A219B"/>
    <w:rsid w:val="48272DFC"/>
    <w:rsid w:val="482D31EA"/>
    <w:rsid w:val="483927E1"/>
    <w:rsid w:val="484511D1"/>
    <w:rsid w:val="48594C7C"/>
    <w:rsid w:val="485970A0"/>
    <w:rsid w:val="48623B31"/>
    <w:rsid w:val="48667F79"/>
    <w:rsid w:val="486A6E89"/>
    <w:rsid w:val="48702E73"/>
    <w:rsid w:val="48823516"/>
    <w:rsid w:val="48877686"/>
    <w:rsid w:val="48B176C2"/>
    <w:rsid w:val="48B65C71"/>
    <w:rsid w:val="48FB1909"/>
    <w:rsid w:val="48FD77A4"/>
    <w:rsid w:val="49110150"/>
    <w:rsid w:val="491574F4"/>
    <w:rsid w:val="491F266E"/>
    <w:rsid w:val="492E6A57"/>
    <w:rsid w:val="495839AA"/>
    <w:rsid w:val="49771AFE"/>
    <w:rsid w:val="49802948"/>
    <w:rsid w:val="4986089F"/>
    <w:rsid w:val="498B5309"/>
    <w:rsid w:val="499E6DEB"/>
    <w:rsid w:val="499F0AAB"/>
    <w:rsid w:val="49C33FF5"/>
    <w:rsid w:val="49C63D13"/>
    <w:rsid w:val="49DB11EC"/>
    <w:rsid w:val="49E22068"/>
    <w:rsid w:val="49E31DD1"/>
    <w:rsid w:val="49E64E2B"/>
    <w:rsid w:val="49E82ED4"/>
    <w:rsid w:val="4A0030EE"/>
    <w:rsid w:val="4A0568D6"/>
    <w:rsid w:val="4A0C4F3C"/>
    <w:rsid w:val="4A39042C"/>
    <w:rsid w:val="4A484D41"/>
    <w:rsid w:val="4A513E5D"/>
    <w:rsid w:val="4A6D15F8"/>
    <w:rsid w:val="4A8C4FB8"/>
    <w:rsid w:val="4A9A25BD"/>
    <w:rsid w:val="4A9E0551"/>
    <w:rsid w:val="4AA03D78"/>
    <w:rsid w:val="4AAB17DF"/>
    <w:rsid w:val="4AB542AE"/>
    <w:rsid w:val="4ABA7AB3"/>
    <w:rsid w:val="4AF72FEA"/>
    <w:rsid w:val="4B0B6702"/>
    <w:rsid w:val="4B243D9D"/>
    <w:rsid w:val="4B3846FB"/>
    <w:rsid w:val="4B5B54F0"/>
    <w:rsid w:val="4B645524"/>
    <w:rsid w:val="4B8C2DEB"/>
    <w:rsid w:val="4BB5041C"/>
    <w:rsid w:val="4BC423D3"/>
    <w:rsid w:val="4BED22AB"/>
    <w:rsid w:val="4BF21670"/>
    <w:rsid w:val="4BFA3C9F"/>
    <w:rsid w:val="4C042674"/>
    <w:rsid w:val="4C107F48"/>
    <w:rsid w:val="4C3277BC"/>
    <w:rsid w:val="4C5C442D"/>
    <w:rsid w:val="4C653BF0"/>
    <w:rsid w:val="4C6D42A9"/>
    <w:rsid w:val="4C716A38"/>
    <w:rsid w:val="4CC0351C"/>
    <w:rsid w:val="4CC353EB"/>
    <w:rsid w:val="4CE0596C"/>
    <w:rsid w:val="4CE64E14"/>
    <w:rsid w:val="4CEC60BF"/>
    <w:rsid w:val="4CF36F3C"/>
    <w:rsid w:val="4D00189F"/>
    <w:rsid w:val="4D007BC8"/>
    <w:rsid w:val="4D1470BD"/>
    <w:rsid w:val="4D154882"/>
    <w:rsid w:val="4D1C3C50"/>
    <w:rsid w:val="4D2E6CE7"/>
    <w:rsid w:val="4D3F67BD"/>
    <w:rsid w:val="4D44414D"/>
    <w:rsid w:val="4D603399"/>
    <w:rsid w:val="4D6A7284"/>
    <w:rsid w:val="4D7A191D"/>
    <w:rsid w:val="4D867EE1"/>
    <w:rsid w:val="4DB07591"/>
    <w:rsid w:val="4DBC4C65"/>
    <w:rsid w:val="4DE2009B"/>
    <w:rsid w:val="4E0F235E"/>
    <w:rsid w:val="4E157689"/>
    <w:rsid w:val="4E3D1EA8"/>
    <w:rsid w:val="4E533FA5"/>
    <w:rsid w:val="4E550010"/>
    <w:rsid w:val="4E5964E9"/>
    <w:rsid w:val="4E5F14CB"/>
    <w:rsid w:val="4E6808B0"/>
    <w:rsid w:val="4E850579"/>
    <w:rsid w:val="4E9E788D"/>
    <w:rsid w:val="4EB62A56"/>
    <w:rsid w:val="4EC00DDD"/>
    <w:rsid w:val="4EE334F2"/>
    <w:rsid w:val="4EF265BE"/>
    <w:rsid w:val="4EFB1C45"/>
    <w:rsid w:val="4F0C2A48"/>
    <w:rsid w:val="4F26273B"/>
    <w:rsid w:val="4F2D3A8A"/>
    <w:rsid w:val="4F32478A"/>
    <w:rsid w:val="4F3705F8"/>
    <w:rsid w:val="4F646163"/>
    <w:rsid w:val="4F785B69"/>
    <w:rsid w:val="4F9667B6"/>
    <w:rsid w:val="4F9714A0"/>
    <w:rsid w:val="4FAC3540"/>
    <w:rsid w:val="4FC56ABD"/>
    <w:rsid w:val="4FC97CE0"/>
    <w:rsid w:val="4FCF1583"/>
    <w:rsid w:val="4FD23E66"/>
    <w:rsid w:val="4FD44D1B"/>
    <w:rsid w:val="4FDC066D"/>
    <w:rsid w:val="4FE03C70"/>
    <w:rsid w:val="4FFA7625"/>
    <w:rsid w:val="503A35E5"/>
    <w:rsid w:val="50453E7E"/>
    <w:rsid w:val="50485BA4"/>
    <w:rsid w:val="507D2599"/>
    <w:rsid w:val="508F08E7"/>
    <w:rsid w:val="5096229D"/>
    <w:rsid w:val="509E157D"/>
    <w:rsid w:val="50D15CF8"/>
    <w:rsid w:val="50DA3350"/>
    <w:rsid w:val="50DC4184"/>
    <w:rsid w:val="50FB6146"/>
    <w:rsid w:val="512F4CA0"/>
    <w:rsid w:val="51323DB9"/>
    <w:rsid w:val="51361FFF"/>
    <w:rsid w:val="513723D1"/>
    <w:rsid w:val="514C3EA7"/>
    <w:rsid w:val="51551AFE"/>
    <w:rsid w:val="518B3ACD"/>
    <w:rsid w:val="518F34CB"/>
    <w:rsid w:val="51FF3C99"/>
    <w:rsid w:val="52363D4D"/>
    <w:rsid w:val="52521A20"/>
    <w:rsid w:val="52831274"/>
    <w:rsid w:val="52AC4ABC"/>
    <w:rsid w:val="52C201B9"/>
    <w:rsid w:val="52D4387D"/>
    <w:rsid w:val="52E57A12"/>
    <w:rsid w:val="52E642F4"/>
    <w:rsid w:val="52F20B62"/>
    <w:rsid w:val="52F8611C"/>
    <w:rsid w:val="53200FE5"/>
    <w:rsid w:val="538152F3"/>
    <w:rsid w:val="53827E49"/>
    <w:rsid w:val="538A6BB9"/>
    <w:rsid w:val="53957370"/>
    <w:rsid w:val="539964FD"/>
    <w:rsid w:val="539C1B81"/>
    <w:rsid w:val="53A447B1"/>
    <w:rsid w:val="53AE750F"/>
    <w:rsid w:val="53B611D5"/>
    <w:rsid w:val="53D00C67"/>
    <w:rsid w:val="53D224B3"/>
    <w:rsid w:val="53D66925"/>
    <w:rsid w:val="53DF06D8"/>
    <w:rsid w:val="53F81D96"/>
    <w:rsid w:val="544B5214"/>
    <w:rsid w:val="546B0405"/>
    <w:rsid w:val="54774E08"/>
    <w:rsid w:val="549A6BFA"/>
    <w:rsid w:val="54B36A7C"/>
    <w:rsid w:val="54D933CD"/>
    <w:rsid w:val="54DF2B67"/>
    <w:rsid w:val="54FA2158"/>
    <w:rsid w:val="55244D7F"/>
    <w:rsid w:val="55362287"/>
    <w:rsid w:val="5540344C"/>
    <w:rsid w:val="55432F3C"/>
    <w:rsid w:val="55491271"/>
    <w:rsid w:val="555016D2"/>
    <w:rsid w:val="555C5C8D"/>
    <w:rsid w:val="556D2820"/>
    <w:rsid w:val="55C3227E"/>
    <w:rsid w:val="55FA2961"/>
    <w:rsid w:val="5602250F"/>
    <w:rsid w:val="564220BA"/>
    <w:rsid w:val="565E7F4F"/>
    <w:rsid w:val="565F3DA6"/>
    <w:rsid w:val="56914056"/>
    <w:rsid w:val="56955A19"/>
    <w:rsid w:val="56C36589"/>
    <w:rsid w:val="570D55B0"/>
    <w:rsid w:val="57234DD3"/>
    <w:rsid w:val="57293C95"/>
    <w:rsid w:val="572A6381"/>
    <w:rsid w:val="572B41B4"/>
    <w:rsid w:val="572E079D"/>
    <w:rsid w:val="57365868"/>
    <w:rsid w:val="573C1959"/>
    <w:rsid w:val="57A4014C"/>
    <w:rsid w:val="57F12ED6"/>
    <w:rsid w:val="57F65317"/>
    <w:rsid w:val="57FC2169"/>
    <w:rsid w:val="58024015"/>
    <w:rsid w:val="58096275"/>
    <w:rsid w:val="580A363D"/>
    <w:rsid w:val="5819544F"/>
    <w:rsid w:val="582E6EF7"/>
    <w:rsid w:val="584E30E6"/>
    <w:rsid w:val="58546EFD"/>
    <w:rsid w:val="58D5034F"/>
    <w:rsid w:val="58E26731"/>
    <w:rsid w:val="590E4A97"/>
    <w:rsid w:val="591250FF"/>
    <w:rsid w:val="591546D0"/>
    <w:rsid w:val="5920012C"/>
    <w:rsid w:val="592B1244"/>
    <w:rsid w:val="594714AD"/>
    <w:rsid w:val="595578DE"/>
    <w:rsid w:val="597B384D"/>
    <w:rsid w:val="59883613"/>
    <w:rsid w:val="598D540B"/>
    <w:rsid w:val="59996DA8"/>
    <w:rsid w:val="599C05DE"/>
    <w:rsid w:val="59C30F1B"/>
    <w:rsid w:val="59D56376"/>
    <w:rsid w:val="5A581238"/>
    <w:rsid w:val="5A7124E5"/>
    <w:rsid w:val="5A8C20D0"/>
    <w:rsid w:val="5AC7121C"/>
    <w:rsid w:val="5AD22D98"/>
    <w:rsid w:val="5AD90B8D"/>
    <w:rsid w:val="5AE12927"/>
    <w:rsid w:val="5AE35472"/>
    <w:rsid w:val="5AF41CF3"/>
    <w:rsid w:val="5AF87CC9"/>
    <w:rsid w:val="5B19477F"/>
    <w:rsid w:val="5B4E1A44"/>
    <w:rsid w:val="5B694C13"/>
    <w:rsid w:val="5B774ED6"/>
    <w:rsid w:val="5B873201"/>
    <w:rsid w:val="5B967767"/>
    <w:rsid w:val="5B9D1624"/>
    <w:rsid w:val="5BCA7990"/>
    <w:rsid w:val="5C0731FC"/>
    <w:rsid w:val="5C0C2FF6"/>
    <w:rsid w:val="5C1241CC"/>
    <w:rsid w:val="5C286807"/>
    <w:rsid w:val="5C3617BD"/>
    <w:rsid w:val="5C370E72"/>
    <w:rsid w:val="5C446BC8"/>
    <w:rsid w:val="5C4529E1"/>
    <w:rsid w:val="5C4B56E1"/>
    <w:rsid w:val="5C6F6D2F"/>
    <w:rsid w:val="5C7146B1"/>
    <w:rsid w:val="5C7C2768"/>
    <w:rsid w:val="5CB23AE6"/>
    <w:rsid w:val="5CDC0A42"/>
    <w:rsid w:val="5CED5863"/>
    <w:rsid w:val="5D0D6DF5"/>
    <w:rsid w:val="5D580A8A"/>
    <w:rsid w:val="5D893B14"/>
    <w:rsid w:val="5DB42C29"/>
    <w:rsid w:val="5E145476"/>
    <w:rsid w:val="5E291636"/>
    <w:rsid w:val="5E36363E"/>
    <w:rsid w:val="5E3A1BDC"/>
    <w:rsid w:val="5E561CF2"/>
    <w:rsid w:val="5E604B5F"/>
    <w:rsid w:val="5E6F64A1"/>
    <w:rsid w:val="5E7E7421"/>
    <w:rsid w:val="5E8B0770"/>
    <w:rsid w:val="5E9F4BD3"/>
    <w:rsid w:val="5E9F5687"/>
    <w:rsid w:val="5EA06921"/>
    <w:rsid w:val="5EA902B4"/>
    <w:rsid w:val="5EBA259F"/>
    <w:rsid w:val="5EE97BB4"/>
    <w:rsid w:val="5F085DDA"/>
    <w:rsid w:val="5F2E2D52"/>
    <w:rsid w:val="5F54198B"/>
    <w:rsid w:val="5F546D2C"/>
    <w:rsid w:val="5F73441E"/>
    <w:rsid w:val="5F9D1350"/>
    <w:rsid w:val="5FA50830"/>
    <w:rsid w:val="5FBE370A"/>
    <w:rsid w:val="5FC83407"/>
    <w:rsid w:val="5FD56E87"/>
    <w:rsid w:val="5FF0558C"/>
    <w:rsid w:val="60017C7C"/>
    <w:rsid w:val="601A27F4"/>
    <w:rsid w:val="60292845"/>
    <w:rsid w:val="605238CF"/>
    <w:rsid w:val="6053694F"/>
    <w:rsid w:val="607921FE"/>
    <w:rsid w:val="608F62AE"/>
    <w:rsid w:val="60B9251B"/>
    <w:rsid w:val="60CF4E76"/>
    <w:rsid w:val="60E236C1"/>
    <w:rsid w:val="611911B1"/>
    <w:rsid w:val="611F362C"/>
    <w:rsid w:val="61260B6B"/>
    <w:rsid w:val="612B3ABB"/>
    <w:rsid w:val="612E1A5D"/>
    <w:rsid w:val="614E5D7E"/>
    <w:rsid w:val="61560892"/>
    <w:rsid w:val="61770BF8"/>
    <w:rsid w:val="61816046"/>
    <w:rsid w:val="61C81AB1"/>
    <w:rsid w:val="61D417B9"/>
    <w:rsid w:val="620B0059"/>
    <w:rsid w:val="62391564"/>
    <w:rsid w:val="623F0B7F"/>
    <w:rsid w:val="624A22BE"/>
    <w:rsid w:val="626E235A"/>
    <w:rsid w:val="626F60D5"/>
    <w:rsid w:val="6278369F"/>
    <w:rsid w:val="627C1F75"/>
    <w:rsid w:val="62816669"/>
    <w:rsid w:val="6282086D"/>
    <w:rsid w:val="62B36CD7"/>
    <w:rsid w:val="62BA0953"/>
    <w:rsid w:val="62C67E7B"/>
    <w:rsid w:val="62D03A7C"/>
    <w:rsid w:val="62D14C36"/>
    <w:rsid w:val="62F42FAE"/>
    <w:rsid w:val="62F648FE"/>
    <w:rsid w:val="63167A4F"/>
    <w:rsid w:val="631D2BD6"/>
    <w:rsid w:val="635356F3"/>
    <w:rsid w:val="635D6064"/>
    <w:rsid w:val="63690012"/>
    <w:rsid w:val="636E387A"/>
    <w:rsid w:val="637D5B70"/>
    <w:rsid w:val="63825E77"/>
    <w:rsid w:val="63A10995"/>
    <w:rsid w:val="63C23EFA"/>
    <w:rsid w:val="63D255DA"/>
    <w:rsid w:val="64076B79"/>
    <w:rsid w:val="640B7654"/>
    <w:rsid w:val="6424218B"/>
    <w:rsid w:val="643A070A"/>
    <w:rsid w:val="64402337"/>
    <w:rsid w:val="64410A96"/>
    <w:rsid w:val="644C573D"/>
    <w:rsid w:val="64507EFB"/>
    <w:rsid w:val="64B97A50"/>
    <w:rsid w:val="65032F85"/>
    <w:rsid w:val="651304A7"/>
    <w:rsid w:val="65136B50"/>
    <w:rsid w:val="657E2A35"/>
    <w:rsid w:val="65A94E9D"/>
    <w:rsid w:val="65B96B3F"/>
    <w:rsid w:val="65BE1071"/>
    <w:rsid w:val="65C60A92"/>
    <w:rsid w:val="65D35142"/>
    <w:rsid w:val="65D61CD4"/>
    <w:rsid w:val="660451CE"/>
    <w:rsid w:val="660B02F6"/>
    <w:rsid w:val="661F0E5C"/>
    <w:rsid w:val="665346B7"/>
    <w:rsid w:val="66705A4E"/>
    <w:rsid w:val="667C7CCE"/>
    <w:rsid w:val="66974FC0"/>
    <w:rsid w:val="669C56BF"/>
    <w:rsid w:val="66A12460"/>
    <w:rsid w:val="66A20C1E"/>
    <w:rsid w:val="66BE2423"/>
    <w:rsid w:val="66DD6702"/>
    <w:rsid w:val="671B1623"/>
    <w:rsid w:val="671E6EBA"/>
    <w:rsid w:val="672C0ACD"/>
    <w:rsid w:val="675352AA"/>
    <w:rsid w:val="6759400B"/>
    <w:rsid w:val="675E528D"/>
    <w:rsid w:val="676C598C"/>
    <w:rsid w:val="67966EFB"/>
    <w:rsid w:val="679E7FA1"/>
    <w:rsid w:val="67A32389"/>
    <w:rsid w:val="67B768D0"/>
    <w:rsid w:val="67C779FD"/>
    <w:rsid w:val="680B1697"/>
    <w:rsid w:val="680D18B3"/>
    <w:rsid w:val="682A2352"/>
    <w:rsid w:val="682E7AFD"/>
    <w:rsid w:val="685A43CD"/>
    <w:rsid w:val="68707071"/>
    <w:rsid w:val="68774F7F"/>
    <w:rsid w:val="687A4379"/>
    <w:rsid w:val="687B015C"/>
    <w:rsid w:val="687E3889"/>
    <w:rsid w:val="6884222C"/>
    <w:rsid w:val="68872760"/>
    <w:rsid w:val="68AD17BB"/>
    <w:rsid w:val="68AF64C7"/>
    <w:rsid w:val="68D94D22"/>
    <w:rsid w:val="68DA3004"/>
    <w:rsid w:val="68FE0698"/>
    <w:rsid w:val="692B2E4A"/>
    <w:rsid w:val="696A0B34"/>
    <w:rsid w:val="69731BEA"/>
    <w:rsid w:val="69821807"/>
    <w:rsid w:val="698431D7"/>
    <w:rsid w:val="698D6A17"/>
    <w:rsid w:val="69D37590"/>
    <w:rsid w:val="69F954C1"/>
    <w:rsid w:val="69FA2750"/>
    <w:rsid w:val="6A1E1E73"/>
    <w:rsid w:val="6A2031B6"/>
    <w:rsid w:val="6A26299B"/>
    <w:rsid w:val="6A276275"/>
    <w:rsid w:val="6A2F57D7"/>
    <w:rsid w:val="6A3C1D40"/>
    <w:rsid w:val="6A5A4B58"/>
    <w:rsid w:val="6A6432E1"/>
    <w:rsid w:val="6A6A5005"/>
    <w:rsid w:val="6A7C4ACE"/>
    <w:rsid w:val="6A843983"/>
    <w:rsid w:val="6A8D5833"/>
    <w:rsid w:val="6AA23DFF"/>
    <w:rsid w:val="6AC61F6F"/>
    <w:rsid w:val="6AC76B59"/>
    <w:rsid w:val="6AD34E53"/>
    <w:rsid w:val="6AD83EA1"/>
    <w:rsid w:val="6AD939CA"/>
    <w:rsid w:val="6ADE74F0"/>
    <w:rsid w:val="6B1D62E8"/>
    <w:rsid w:val="6B3377B3"/>
    <w:rsid w:val="6B723594"/>
    <w:rsid w:val="6B805156"/>
    <w:rsid w:val="6B945E48"/>
    <w:rsid w:val="6BD50977"/>
    <w:rsid w:val="6BE450D3"/>
    <w:rsid w:val="6BE60C84"/>
    <w:rsid w:val="6BFE6B26"/>
    <w:rsid w:val="6C1D7BEB"/>
    <w:rsid w:val="6C587C0E"/>
    <w:rsid w:val="6C5C5DC2"/>
    <w:rsid w:val="6C6C32E1"/>
    <w:rsid w:val="6C6E3E15"/>
    <w:rsid w:val="6C8B1F5D"/>
    <w:rsid w:val="6CA309D0"/>
    <w:rsid w:val="6CAA3931"/>
    <w:rsid w:val="6CCF3BFB"/>
    <w:rsid w:val="6CDE2BF7"/>
    <w:rsid w:val="6D325918"/>
    <w:rsid w:val="6D370B82"/>
    <w:rsid w:val="6D3933CA"/>
    <w:rsid w:val="6D6261FE"/>
    <w:rsid w:val="6D6B7CD5"/>
    <w:rsid w:val="6D7B61EC"/>
    <w:rsid w:val="6D815E27"/>
    <w:rsid w:val="6D8E03AA"/>
    <w:rsid w:val="6DBB089F"/>
    <w:rsid w:val="6DC63038"/>
    <w:rsid w:val="6DE30DE0"/>
    <w:rsid w:val="6DE6130A"/>
    <w:rsid w:val="6DE839B9"/>
    <w:rsid w:val="6E09491E"/>
    <w:rsid w:val="6E0D3655"/>
    <w:rsid w:val="6E1A437E"/>
    <w:rsid w:val="6E3A144E"/>
    <w:rsid w:val="6E5F4465"/>
    <w:rsid w:val="6E8B1663"/>
    <w:rsid w:val="6E8C54DA"/>
    <w:rsid w:val="6E9E4505"/>
    <w:rsid w:val="6EF11E03"/>
    <w:rsid w:val="6EF1241D"/>
    <w:rsid w:val="6EF82916"/>
    <w:rsid w:val="6F0B2DE7"/>
    <w:rsid w:val="6F111C62"/>
    <w:rsid w:val="6F2176E5"/>
    <w:rsid w:val="6F2D79CC"/>
    <w:rsid w:val="6F3A2A5F"/>
    <w:rsid w:val="6F4F7F03"/>
    <w:rsid w:val="6F592303"/>
    <w:rsid w:val="6F593630"/>
    <w:rsid w:val="6F5F5B74"/>
    <w:rsid w:val="6F814935"/>
    <w:rsid w:val="6F826837"/>
    <w:rsid w:val="6F98032D"/>
    <w:rsid w:val="6F9B1C65"/>
    <w:rsid w:val="6FA44937"/>
    <w:rsid w:val="6FDF033E"/>
    <w:rsid w:val="6FE82C9C"/>
    <w:rsid w:val="6FFB146E"/>
    <w:rsid w:val="6FFC3AA6"/>
    <w:rsid w:val="700A66D9"/>
    <w:rsid w:val="70160742"/>
    <w:rsid w:val="7030610F"/>
    <w:rsid w:val="70612DB4"/>
    <w:rsid w:val="706516C3"/>
    <w:rsid w:val="70896E68"/>
    <w:rsid w:val="708A4844"/>
    <w:rsid w:val="70D171F6"/>
    <w:rsid w:val="70E05E9D"/>
    <w:rsid w:val="71073061"/>
    <w:rsid w:val="711A201F"/>
    <w:rsid w:val="711F7F62"/>
    <w:rsid w:val="71396ACC"/>
    <w:rsid w:val="715B60E9"/>
    <w:rsid w:val="716F0EE9"/>
    <w:rsid w:val="718747F5"/>
    <w:rsid w:val="7196674D"/>
    <w:rsid w:val="719941AC"/>
    <w:rsid w:val="71B40FF2"/>
    <w:rsid w:val="71C70D25"/>
    <w:rsid w:val="71CD6D08"/>
    <w:rsid w:val="71EA1FED"/>
    <w:rsid w:val="72165C6B"/>
    <w:rsid w:val="722021E3"/>
    <w:rsid w:val="722C6DDA"/>
    <w:rsid w:val="72345748"/>
    <w:rsid w:val="723922F8"/>
    <w:rsid w:val="725D3B31"/>
    <w:rsid w:val="729478A3"/>
    <w:rsid w:val="72E661B1"/>
    <w:rsid w:val="72F90C18"/>
    <w:rsid w:val="730313F6"/>
    <w:rsid w:val="73045661"/>
    <w:rsid w:val="730E4732"/>
    <w:rsid w:val="732A6AD8"/>
    <w:rsid w:val="732D40C0"/>
    <w:rsid w:val="73370D24"/>
    <w:rsid w:val="73472C84"/>
    <w:rsid w:val="73497518"/>
    <w:rsid w:val="7359268C"/>
    <w:rsid w:val="7366631C"/>
    <w:rsid w:val="736C263C"/>
    <w:rsid w:val="73723640"/>
    <w:rsid w:val="737311F5"/>
    <w:rsid w:val="73761585"/>
    <w:rsid w:val="739503EB"/>
    <w:rsid w:val="73A05B28"/>
    <w:rsid w:val="73C07D69"/>
    <w:rsid w:val="73DC335B"/>
    <w:rsid w:val="740B60EC"/>
    <w:rsid w:val="7419338E"/>
    <w:rsid w:val="741E09A4"/>
    <w:rsid w:val="74717AE5"/>
    <w:rsid w:val="749E16A8"/>
    <w:rsid w:val="74B42AE4"/>
    <w:rsid w:val="74C54993"/>
    <w:rsid w:val="74F65277"/>
    <w:rsid w:val="750A429D"/>
    <w:rsid w:val="75134281"/>
    <w:rsid w:val="75474B47"/>
    <w:rsid w:val="7548217D"/>
    <w:rsid w:val="75614792"/>
    <w:rsid w:val="75615B7C"/>
    <w:rsid w:val="75761866"/>
    <w:rsid w:val="757765BE"/>
    <w:rsid w:val="75784473"/>
    <w:rsid w:val="757F0DC6"/>
    <w:rsid w:val="7582466D"/>
    <w:rsid w:val="75AA6994"/>
    <w:rsid w:val="75B161B3"/>
    <w:rsid w:val="75C055BD"/>
    <w:rsid w:val="75C46B63"/>
    <w:rsid w:val="75DC6C44"/>
    <w:rsid w:val="75F205B1"/>
    <w:rsid w:val="761D4F1E"/>
    <w:rsid w:val="762322A2"/>
    <w:rsid w:val="762770AC"/>
    <w:rsid w:val="762F0C47"/>
    <w:rsid w:val="762F6A19"/>
    <w:rsid w:val="76341B33"/>
    <w:rsid w:val="76736B32"/>
    <w:rsid w:val="768811B6"/>
    <w:rsid w:val="76AF35EE"/>
    <w:rsid w:val="76C27A74"/>
    <w:rsid w:val="76CC0B8C"/>
    <w:rsid w:val="76E3765E"/>
    <w:rsid w:val="76FC2AFA"/>
    <w:rsid w:val="77527424"/>
    <w:rsid w:val="77653671"/>
    <w:rsid w:val="778546CC"/>
    <w:rsid w:val="778B6B46"/>
    <w:rsid w:val="778E7BEF"/>
    <w:rsid w:val="77A96931"/>
    <w:rsid w:val="77B105D5"/>
    <w:rsid w:val="77B551B3"/>
    <w:rsid w:val="77B56730"/>
    <w:rsid w:val="77B92EBE"/>
    <w:rsid w:val="77BF1E80"/>
    <w:rsid w:val="77C04A8B"/>
    <w:rsid w:val="77D85DB3"/>
    <w:rsid w:val="77EB1B74"/>
    <w:rsid w:val="77ED2B68"/>
    <w:rsid w:val="782A3EA3"/>
    <w:rsid w:val="78656BA2"/>
    <w:rsid w:val="78827754"/>
    <w:rsid w:val="78A50513"/>
    <w:rsid w:val="78D37FAF"/>
    <w:rsid w:val="78E55F35"/>
    <w:rsid w:val="78EF7AB5"/>
    <w:rsid w:val="790A4A06"/>
    <w:rsid w:val="790D6849"/>
    <w:rsid w:val="79252148"/>
    <w:rsid w:val="79402452"/>
    <w:rsid w:val="795767E3"/>
    <w:rsid w:val="79586707"/>
    <w:rsid w:val="796518DD"/>
    <w:rsid w:val="796F19E6"/>
    <w:rsid w:val="79724BEF"/>
    <w:rsid w:val="797264AC"/>
    <w:rsid w:val="79892D64"/>
    <w:rsid w:val="799008E5"/>
    <w:rsid w:val="79AA0532"/>
    <w:rsid w:val="79AB2CDA"/>
    <w:rsid w:val="79C370A4"/>
    <w:rsid w:val="79FE1DDD"/>
    <w:rsid w:val="7A075767"/>
    <w:rsid w:val="7A0C15B3"/>
    <w:rsid w:val="7A212062"/>
    <w:rsid w:val="7A2522C9"/>
    <w:rsid w:val="7A282A11"/>
    <w:rsid w:val="7A3A59B8"/>
    <w:rsid w:val="7A560E98"/>
    <w:rsid w:val="7A5D0F75"/>
    <w:rsid w:val="7A715CD2"/>
    <w:rsid w:val="7A921E9A"/>
    <w:rsid w:val="7ABF2475"/>
    <w:rsid w:val="7AC21562"/>
    <w:rsid w:val="7AC83418"/>
    <w:rsid w:val="7AD474A4"/>
    <w:rsid w:val="7AE77D42"/>
    <w:rsid w:val="7AF16E13"/>
    <w:rsid w:val="7AF55544"/>
    <w:rsid w:val="7AFC38DE"/>
    <w:rsid w:val="7B165244"/>
    <w:rsid w:val="7B217A1E"/>
    <w:rsid w:val="7B2965AD"/>
    <w:rsid w:val="7B303E8C"/>
    <w:rsid w:val="7B39121D"/>
    <w:rsid w:val="7B3A089F"/>
    <w:rsid w:val="7B841A35"/>
    <w:rsid w:val="7B865D50"/>
    <w:rsid w:val="7B87547C"/>
    <w:rsid w:val="7B8D34C3"/>
    <w:rsid w:val="7B971D84"/>
    <w:rsid w:val="7BAB0CB7"/>
    <w:rsid w:val="7BB4028F"/>
    <w:rsid w:val="7BB75966"/>
    <w:rsid w:val="7BC2430B"/>
    <w:rsid w:val="7BD8621F"/>
    <w:rsid w:val="7BE85BAB"/>
    <w:rsid w:val="7BF32F03"/>
    <w:rsid w:val="7BF50D2C"/>
    <w:rsid w:val="7C066F4E"/>
    <w:rsid w:val="7C1724A5"/>
    <w:rsid w:val="7CA54112"/>
    <w:rsid w:val="7CA553D9"/>
    <w:rsid w:val="7CA67789"/>
    <w:rsid w:val="7CAB27F5"/>
    <w:rsid w:val="7CAF438A"/>
    <w:rsid w:val="7CCE726D"/>
    <w:rsid w:val="7CD71EA3"/>
    <w:rsid w:val="7CE50CE4"/>
    <w:rsid w:val="7CF877E9"/>
    <w:rsid w:val="7D134762"/>
    <w:rsid w:val="7D2E5ABF"/>
    <w:rsid w:val="7D3F662B"/>
    <w:rsid w:val="7D4A45B8"/>
    <w:rsid w:val="7D724EA4"/>
    <w:rsid w:val="7DCA095D"/>
    <w:rsid w:val="7E007625"/>
    <w:rsid w:val="7E0737C8"/>
    <w:rsid w:val="7E131C51"/>
    <w:rsid w:val="7E176B90"/>
    <w:rsid w:val="7E1D6134"/>
    <w:rsid w:val="7E2142A2"/>
    <w:rsid w:val="7E240411"/>
    <w:rsid w:val="7E6A046F"/>
    <w:rsid w:val="7E797DE5"/>
    <w:rsid w:val="7E7B0BF2"/>
    <w:rsid w:val="7E8D75B6"/>
    <w:rsid w:val="7E8E672B"/>
    <w:rsid w:val="7EB4618D"/>
    <w:rsid w:val="7EF23159"/>
    <w:rsid w:val="7EF760EE"/>
    <w:rsid w:val="7F0114D1"/>
    <w:rsid w:val="7F193E37"/>
    <w:rsid w:val="7F2536B5"/>
    <w:rsid w:val="7F485E64"/>
    <w:rsid w:val="7F5A01CA"/>
    <w:rsid w:val="7FA01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link w:val="73"/>
    <w:qFormat/>
    <w:uiPriority w:val="9"/>
    <w:pPr>
      <w:keepNext/>
      <w:keepLines/>
      <w:spacing w:before="340" w:after="330" w:line="576" w:lineRule="auto"/>
      <w:outlineLvl w:val="0"/>
    </w:pPr>
    <w:rPr>
      <w:b/>
      <w:kern w:val="44"/>
      <w:sz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unhideWhenUsed/>
    <w:qFormat/>
    <w:uiPriority w:val="9"/>
    <w:pPr>
      <w:keepNext/>
      <w:keepLines/>
      <w:ind w:left="50" w:leftChars="100" w:right="100" w:rightChars="100"/>
      <w:jc w:val="center"/>
      <w:outlineLvl w:val="2"/>
    </w:pPr>
    <w:rPr>
      <w:b/>
      <w:bCs/>
      <w:sz w:val="32"/>
      <w:szCs w:val="32"/>
    </w:rPr>
  </w:style>
  <w:style w:type="paragraph" w:styleId="5">
    <w:name w:val="heading 4"/>
    <w:basedOn w:val="1"/>
    <w:next w:val="1"/>
    <w:link w:val="42"/>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2"/>
    <w:semiHidden/>
    <w:unhideWhenUsed/>
    <w:qFormat/>
    <w:uiPriority w:val="9"/>
    <w:pPr>
      <w:keepNext/>
      <w:keepLines/>
      <w:spacing w:before="280" w:after="290" w:line="372" w:lineRule="auto"/>
      <w:outlineLvl w:val="4"/>
    </w:pPr>
    <w:rPr>
      <w:b/>
      <w:sz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8">
    <w:name w:val="annotation text"/>
    <w:basedOn w:val="1"/>
    <w:link w:val="61"/>
    <w:unhideWhenUsed/>
    <w:qFormat/>
    <w:uiPriority w:val="99"/>
  </w:style>
  <w:style w:type="paragraph" w:styleId="9">
    <w:name w:val="Body Text"/>
    <w:basedOn w:val="1"/>
    <w:next w:val="10"/>
    <w:link w:val="64"/>
    <w:qFormat/>
    <w:uiPriority w:val="99"/>
    <w:pPr>
      <w:spacing w:before="161"/>
      <w:ind w:left="120"/>
    </w:pPr>
    <w:rPr>
      <w:rFonts w:ascii="宋体" w:hAnsi="宋体" w:cs="宋体"/>
      <w:sz w:val="24"/>
      <w:lang w:val="zh-CN" w:bidi="zh-CN"/>
    </w:rPr>
  </w:style>
  <w:style w:type="paragraph" w:styleId="10">
    <w:name w:val="Body Text First Indent"/>
    <w:basedOn w:val="9"/>
    <w:next w:val="11"/>
    <w:qFormat/>
    <w:uiPriority w:val="0"/>
    <w:pPr>
      <w:spacing w:after="120"/>
      <w:ind w:firstLine="420" w:firstLineChars="100"/>
    </w:pPr>
    <w:rPr>
      <w:bCs/>
      <w:szCs w:val="21"/>
    </w:rPr>
  </w:style>
  <w:style w:type="paragraph" w:customStyle="1" w:styleId="11">
    <w:name w:val="样式 正文首行缩进 + 首行缩进:  1 字符"/>
    <w:basedOn w:val="1"/>
    <w:next w:val="1"/>
    <w:qFormat/>
    <w:uiPriority w:val="0"/>
    <w:pPr>
      <w:ind w:firstLine="200" w:firstLineChars="200"/>
    </w:pPr>
    <w:rPr>
      <w:rFonts w:cs="宋体"/>
      <w:szCs w:val="20"/>
    </w:rPr>
  </w:style>
  <w:style w:type="paragraph" w:styleId="12">
    <w:name w:val="Body Text Indent"/>
    <w:basedOn w:val="1"/>
    <w:qFormat/>
    <w:uiPriority w:val="0"/>
    <w:pPr>
      <w:ind w:left="359" w:leftChars="171" w:firstLine="179" w:firstLineChars="85"/>
    </w:pPr>
    <w:rPr>
      <w:rFonts w:ascii="宋体" w:hAnsi="宋体"/>
      <w:b/>
      <w:bCs/>
      <w:szCs w:val="26"/>
    </w:rPr>
  </w:style>
  <w:style w:type="paragraph" w:styleId="13">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4">
    <w:name w:val="toc 3"/>
    <w:basedOn w:val="1"/>
    <w:next w:val="1"/>
    <w:unhideWhenUsed/>
    <w:qFormat/>
    <w:uiPriority w:val="39"/>
    <w:pPr>
      <w:tabs>
        <w:tab w:val="right" w:leader="dot" w:pos="8296"/>
      </w:tabs>
      <w:ind w:left="838" w:leftChars="381"/>
    </w:pPr>
    <w:rPr>
      <w:szCs w:val="21"/>
    </w:rPr>
  </w:style>
  <w:style w:type="paragraph" w:styleId="15">
    <w:name w:val="Plain Text"/>
    <w:basedOn w:val="1"/>
    <w:link w:val="53"/>
    <w:qFormat/>
    <w:uiPriority w:val="0"/>
    <w:pPr>
      <w:widowControl w:val="0"/>
      <w:adjustRightInd/>
      <w:snapToGrid/>
      <w:jc w:val="both"/>
    </w:pPr>
    <w:rPr>
      <w:rFonts w:ascii="宋体" w:hAnsi="Courier New" w:cs="Times New Roman"/>
      <w:b/>
      <w:kern w:val="2"/>
      <w:szCs w:val="20"/>
    </w:rPr>
  </w:style>
  <w:style w:type="paragraph" w:styleId="16">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7">
    <w:name w:val="Balloon Text"/>
    <w:basedOn w:val="1"/>
    <w:link w:val="56"/>
    <w:semiHidden/>
    <w:unhideWhenUsed/>
    <w:qFormat/>
    <w:uiPriority w:val="99"/>
    <w:rPr>
      <w:sz w:val="18"/>
      <w:szCs w:val="18"/>
    </w:rPr>
  </w:style>
  <w:style w:type="paragraph" w:styleId="18">
    <w:name w:val="footer"/>
    <w:basedOn w:val="1"/>
    <w:link w:val="55"/>
    <w:unhideWhenUsed/>
    <w:qFormat/>
    <w:uiPriority w:val="99"/>
    <w:pPr>
      <w:tabs>
        <w:tab w:val="center" w:pos="4153"/>
        <w:tab w:val="right" w:pos="8306"/>
      </w:tabs>
    </w:pPr>
    <w:rPr>
      <w:sz w:val="18"/>
      <w:szCs w:val="18"/>
    </w:rPr>
  </w:style>
  <w:style w:type="paragraph" w:styleId="19">
    <w:name w:val="envelope return"/>
    <w:basedOn w:val="1"/>
    <w:qFormat/>
    <w:uiPriority w:val="0"/>
  </w:style>
  <w:style w:type="paragraph" w:styleId="20">
    <w:name w:val="header"/>
    <w:basedOn w:val="1"/>
    <w:link w:val="54"/>
    <w:unhideWhenUsed/>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tabs>
        <w:tab w:val="right" w:leader="dot" w:pos="8296"/>
      </w:tabs>
      <w:spacing w:after="120"/>
      <w:ind w:left="1320" w:leftChars="600"/>
    </w:pPr>
  </w:style>
  <w:style w:type="paragraph" w:styleId="23">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24">
    <w:name w:val="footnote text"/>
    <w:basedOn w:val="1"/>
    <w:semiHidden/>
    <w:unhideWhenUsed/>
    <w:qFormat/>
    <w:uiPriority w:val="99"/>
    <w:rPr>
      <w:sz w:val="18"/>
    </w:rPr>
  </w:style>
  <w:style w:type="paragraph" w:styleId="25">
    <w:name w:val="toc 6"/>
    <w:basedOn w:val="1"/>
    <w:next w:val="1"/>
    <w:qFormat/>
    <w:uiPriority w:val="39"/>
    <w:pPr>
      <w:ind w:left="1200"/>
    </w:pPr>
    <w:rPr>
      <w:rFonts w:ascii="Calibri" w:cs="Calibri"/>
      <w:sz w:val="18"/>
      <w:szCs w:val="18"/>
    </w:rPr>
  </w:style>
  <w:style w:type="paragraph" w:styleId="26">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7">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8">
    <w:name w:val="Normal (Web)"/>
    <w:basedOn w:val="1"/>
    <w:link w:val="58"/>
    <w:qFormat/>
    <w:uiPriority w:val="0"/>
    <w:pPr>
      <w:widowControl w:val="0"/>
      <w:adjustRightInd/>
      <w:snapToGrid/>
      <w:jc w:val="both"/>
    </w:pPr>
    <w:rPr>
      <w:rFonts w:asciiTheme="minorHAnsi" w:hAnsiTheme="minorHAnsi"/>
      <w:kern w:val="2"/>
      <w:sz w:val="24"/>
      <w:szCs w:val="24"/>
    </w:rPr>
  </w:style>
  <w:style w:type="paragraph" w:styleId="29">
    <w:name w:val="annotation subject"/>
    <w:basedOn w:val="8"/>
    <w:next w:val="8"/>
    <w:link w:val="62"/>
    <w:semiHidden/>
    <w:unhideWhenUsed/>
    <w:qFormat/>
    <w:uiPriority w:val="99"/>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basedOn w:val="32"/>
    <w:qFormat/>
    <w:uiPriority w:val="0"/>
  </w:style>
  <w:style w:type="character" w:styleId="34">
    <w:name w:val="Emphasis"/>
    <w:basedOn w:val="32"/>
    <w:qFormat/>
    <w:uiPriority w:val="20"/>
    <w:rPr>
      <w:i/>
      <w:iCs/>
    </w:rPr>
  </w:style>
  <w:style w:type="character" w:styleId="35">
    <w:name w:val="Hyperlink"/>
    <w:qFormat/>
    <w:uiPriority w:val="99"/>
    <w:rPr>
      <w:rFonts w:hint="eastAsia" w:ascii="宋体" w:hAnsi="宋体" w:eastAsia="宋体" w:cs="宋体"/>
      <w:b/>
      <w:color w:val="0031C1"/>
      <w:kern w:val="0"/>
      <w:sz w:val="18"/>
      <w:szCs w:val="18"/>
      <w:u w:val="none"/>
      <w:lang w:eastAsia="en-US"/>
    </w:rPr>
  </w:style>
  <w:style w:type="character" w:styleId="36">
    <w:name w:val="annotation reference"/>
    <w:basedOn w:val="32"/>
    <w:semiHidden/>
    <w:unhideWhenUsed/>
    <w:qFormat/>
    <w:uiPriority w:val="99"/>
    <w:rPr>
      <w:sz w:val="21"/>
      <w:szCs w:val="21"/>
    </w:rPr>
  </w:style>
  <w:style w:type="character" w:styleId="37">
    <w:name w:val="footnote reference"/>
    <w:basedOn w:val="32"/>
    <w:semiHidden/>
    <w:unhideWhenUsed/>
    <w:qFormat/>
    <w:uiPriority w:val="99"/>
    <w:rPr>
      <w:vertAlign w:val="superscript"/>
    </w:rPr>
  </w:style>
  <w:style w:type="paragraph" w:customStyle="1" w:styleId="38">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39">
    <w:name w:val="标题 2 Char"/>
    <w:basedOn w:val="32"/>
    <w:link w:val="3"/>
    <w:qFormat/>
    <w:uiPriority w:val="9"/>
    <w:rPr>
      <w:rFonts w:asciiTheme="majorHAnsi" w:hAnsiTheme="majorHAnsi" w:eastAsiaTheme="majorEastAsia" w:cstheme="majorBidi"/>
      <w:b/>
      <w:bCs/>
      <w:sz w:val="32"/>
      <w:szCs w:val="32"/>
    </w:rPr>
  </w:style>
  <w:style w:type="character" w:customStyle="1" w:styleId="40">
    <w:name w:val="标题 3 Char"/>
    <w:basedOn w:val="32"/>
    <w:link w:val="4"/>
    <w:qFormat/>
    <w:uiPriority w:val="9"/>
    <w:rPr>
      <w:rFonts w:ascii="Tahoma" w:hAnsi="Tahoma" w:cstheme="minorBidi"/>
      <w:b/>
      <w:bCs/>
      <w:sz w:val="32"/>
      <w:szCs w:val="32"/>
    </w:rPr>
  </w:style>
  <w:style w:type="paragraph" w:styleId="41">
    <w:name w:val="List Paragraph"/>
    <w:basedOn w:val="1"/>
    <w:link w:val="63"/>
    <w:qFormat/>
    <w:uiPriority w:val="0"/>
    <w:pPr>
      <w:ind w:firstLine="420" w:firstLineChars="200"/>
    </w:pPr>
  </w:style>
  <w:style w:type="character" w:customStyle="1" w:styleId="42">
    <w:name w:val="标题 4 Char"/>
    <w:basedOn w:val="32"/>
    <w:link w:val="5"/>
    <w:qFormat/>
    <w:uiPriority w:val="9"/>
    <w:rPr>
      <w:rFonts w:eastAsia="宋体" w:asciiTheme="majorHAnsi" w:hAnsiTheme="majorHAnsi" w:cstheme="majorBidi"/>
      <w:b/>
      <w:bCs/>
      <w:sz w:val="24"/>
      <w:szCs w:val="28"/>
    </w:rPr>
  </w:style>
  <w:style w:type="character" w:customStyle="1" w:styleId="43">
    <w:name w:val="正文缩进2格 Char"/>
    <w:link w:val="44"/>
    <w:qFormat/>
    <w:uiPriority w:val="0"/>
    <w:rPr>
      <w:rFonts w:ascii="仿宋_GB2312" w:hAnsi="宋体" w:eastAsia="仿宋_GB2312"/>
      <w:kern w:val="2"/>
      <w:sz w:val="31"/>
    </w:rPr>
  </w:style>
  <w:style w:type="paragraph" w:customStyle="1" w:styleId="44">
    <w:name w:val="正文缩进2格"/>
    <w:basedOn w:val="1"/>
    <w:next w:val="1"/>
    <w:link w:val="43"/>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5">
    <w:name w:val="正文缩进4格"/>
    <w:basedOn w:val="44"/>
    <w:qFormat/>
    <w:uiPriority w:val="0"/>
    <w:pPr>
      <w:ind w:left="2" w:firstLine="538" w:firstLineChars="192"/>
    </w:pPr>
    <w:rPr>
      <w:color w:val="0000FF"/>
      <w:sz w:val="28"/>
    </w:rPr>
  </w:style>
  <w:style w:type="character" w:customStyle="1" w:styleId="46">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7">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8">
    <w:name w:val="标题1"/>
    <w:qFormat/>
    <w:uiPriority w:val="0"/>
    <w:rPr>
      <w:rFonts w:ascii="Times New Roman" w:hAnsi="Times New Roman" w:eastAsia="宋体" w:cs="Times New Roman"/>
      <w:b/>
      <w:kern w:val="0"/>
      <w:sz w:val="24"/>
      <w:szCs w:val="20"/>
      <w:lang w:eastAsia="en-US"/>
    </w:rPr>
  </w:style>
  <w:style w:type="character" w:customStyle="1" w:styleId="49">
    <w:name w:val="标题 3.1 Char"/>
    <w:link w:val="50"/>
    <w:qFormat/>
    <w:uiPriority w:val="0"/>
    <w:rPr>
      <w:rFonts w:ascii="宋体" w:hAnsi="宋体" w:eastAsia="宋体"/>
      <w:b/>
      <w:color w:val="FF0000"/>
      <w:kern w:val="2"/>
      <w:sz w:val="32"/>
    </w:rPr>
  </w:style>
  <w:style w:type="paragraph" w:customStyle="1" w:styleId="50">
    <w:name w:val="标题 3.1"/>
    <w:basedOn w:val="4"/>
    <w:link w:val="49"/>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1">
    <w:name w:val="样式 楷体_GB2312 小四"/>
    <w:qFormat/>
    <w:uiPriority w:val="0"/>
    <w:rPr>
      <w:rFonts w:ascii="楷体_GB2312" w:hAnsi="楷体_GB2312" w:eastAsia="仿宋_GB2312"/>
      <w:sz w:val="24"/>
    </w:rPr>
  </w:style>
  <w:style w:type="character" w:customStyle="1" w:styleId="52">
    <w:name w:val="纯文本 Char"/>
    <w:qFormat/>
    <w:uiPriority w:val="0"/>
    <w:rPr>
      <w:rFonts w:ascii="宋体" w:hAnsi="Courier New" w:eastAsia="宋体" w:cs="Times New Roman"/>
      <w:b/>
      <w:kern w:val="2"/>
      <w:sz w:val="21"/>
      <w:szCs w:val="20"/>
    </w:rPr>
  </w:style>
  <w:style w:type="character" w:customStyle="1" w:styleId="53">
    <w:name w:val="纯文本 Char1"/>
    <w:basedOn w:val="32"/>
    <w:link w:val="15"/>
    <w:semiHidden/>
    <w:qFormat/>
    <w:uiPriority w:val="99"/>
    <w:rPr>
      <w:rFonts w:ascii="宋体" w:hAnsi="Courier New" w:eastAsia="宋体" w:cs="Courier New"/>
      <w:sz w:val="21"/>
      <w:szCs w:val="21"/>
    </w:rPr>
  </w:style>
  <w:style w:type="character" w:customStyle="1" w:styleId="54">
    <w:name w:val="页眉 Char"/>
    <w:basedOn w:val="32"/>
    <w:link w:val="20"/>
    <w:qFormat/>
    <w:uiPriority w:val="99"/>
    <w:rPr>
      <w:rFonts w:ascii="Tahoma" w:hAnsi="Tahoma"/>
      <w:sz w:val="18"/>
      <w:szCs w:val="18"/>
    </w:rPr>
  </w:style>
  <w:style w:type="character" w:customStyle="1" w:styleId="55">
    <w:name w:val="页脚 Char"/>
    <w:basedOn w:val="32"/>
    <w:link w:val="18"/>
    <w:qFormat/>
    <w:uiPriority w:val="99"/>
    <w:rPr>
      <w:rFonts w:ascii="Tahoma" w:hAnsi="Tahoma"/>
      <w:sz w:val="18"/>
      <w:szCs w:val="18"/>
    </w:rPr>
  </w:style>
  <w:style w:type="character" w:customStyle="1" w:styleId="56">
    <w:name w:val="批注框文本 Char"/>
    <w:basedOn w:val="32"/>
    <w:link w:val="17"/>
    <w:semiHidden/>
    <w:qFormat/>
    <w:uiPriority w:val="99"/>
    <w:rPr>
      <w:rFonts w:ascii="Tahoma" w:hAnsi="Tahoma"/>
      <w:sz w:val="18"/>
      <w:szCs w:val="18"/>
    </w:rPr>
  </w:style>
  <w:style w:type="paragraph" w:customStyle="1" w:styleId="57">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8">
    <w:name w:val="普通(网站) Char"/>
    <w:link w:val="28"/>
    <w:qFormat/>
    <w:uiPriority w:val="0"/>
    <w:rPr>
      <w:rFonts w:eastAsia="宋体"/>
      <w:kern w:val="2"/>
      <w:sz w:val="24"/>
      <w:szCs w:val="24"/>
    </w:rPr>
  </w:style>
  <w:style w:type="paragraph" w:customStyle="1" w:styleId="59">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0">
    <w:name w:val="p141"/>
    <w:qFormat/>
    <w:uiPriority w:val="0"/>
    <w:rPr>
      <w:sz w:val="21"/>
      <w:szCs w:val="21"/>
    </w:rPr>
  </w:style>
  <w:style w:type="character" w:customStyle="1" w:styleId="61">
    <w:name w:val="批注文字 Char"/>
    <w:basedOn w:val="32"/>
    <w:link w:val="8"/>
    <w:qFormat/>
    <w:uiPriority w:val="99"/>
    <w:rPr>
      <w:rFonts w:ascii="Tahoma" w:hAnsi="Tahoma" w:eastAsia="微软雅黑" w:cstheme="minorBidi"/>
      <w:sz w:val="22"/>
      <w:szCs w:val="22"/>
    </w:rPr>
  </w:style>
  <w:style w:type="character" w:customStyle="1" w:styleId="62">
    <w:name w:val="批注主题 Char"/>
    <w:basedOn w:val="61"/>
    <w:link w:val="29"/>
    <w:semiHidden/>
    <w:qFormat/>
    <w:uiPriority w:val="99"/>
    <w:rPr>
      <w:rFonts w:ascii="Tahoma" w:hAnsi="Tahoma" w:eastAsia="微软雅黑" w:cstheme="minorBidi"/>
      <w:b/>
      <w:bCs/>
      <w:sz w:val="22"/>
      <w:szCs w:val="22"/>
    </w:rPr>
  </w:style>
  <w:style w:type="character" w:customStyle="1" w:styleId="63">
    <w:name w:val="列出段落 Char"/>
    <w:link w:val="41"/>
    <w:qFormat/>
    <w:uiPriority w:val="0"/>
    <w:rPr>
      <w:rFonts w:ascii="Tahoma" w:hAnsi="Tahoma" w:eastAsia="微软雅黑" w:cstheme="minorBidi"/>
      <w:sz w:val="22"/>
      <w:szCs w:val="22"/>
    </w:rPr>
  </w:style>
  <w:style w:type="character" w:customStyle="1" w:styleId="64">
    <w:name w:val="正文文本 Char"/>
    <w:basedOn w:val="32"/>
    <w:link w:val="9"/>
    <w:qFormat/>
    <w:uiPriority w:val="99"/>
    <w:rPr>
      <w:rFonts w:ascii="宋体" w:hAnsi="宋体" w:cs="宋体"/>
      <w:sz w:val="24"/>
      <w:szCs w:val="22"/>
      <w:lang w:val="zh-CN" w:bidi="zh-CN"/>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_Style 1"/>
    <w:basedOn w:val="1"/>
    <w:qFormat/>
    <w:uiPriority w:val="0"/>
    <w:pPr>
      <w:ind w:firstLine="420" w:firstLineChars="200"/>
    </w:pPr>
  </w:style>
  <w:style w:type="paragraph" w:customStyle="1" w:styleId="67">
    <w:name w:val="列出段落2"/>
    <w:basedOn w:val="1"/>
    <w:qFormat/>
    <w:uiPriority w:val="0"/>
    <w:pPr>
      <w:ind w:firstLine="420" w:firstLineChars="200"/>
    </w:pPr>
  </w:style>
  <w:style w:type="paragraph" w:customStyle="1" w:styleId="68">
    <w:name w:val="p0"/>
    <w:basedOn w:val="1"/>
    <w:qFormat/>
    <w:uiPriority w:val="0"/>
    <w:rPr>
      <w:szCs w:val="21"/>
    </w:rPr>
  </w:style>
  <w:style w:type="paragraph" w:customStyle="1" w:styleId="69">
    <w:name w:val="正文文本缩进 21"/>
    <w:basedOn w:val="1"/>
    <w:qFormat/>
    <w:uiPriority w:val="0"/>
    <w:pPr>
      <w:spacing w:line="480" w:lineRule="auto"/>
      <w:ind w:firstLine="540"/>
    </w:pPr>
    <w:rPr>
      <w:rFonts w:ascii="Calibri" w:hAnsi="Calibri"/>
      <w:sz w:val="20"/>
      <w:szCs w:val="20"/>
    </w:rPr>
  </w:style>
  <w:style w:type="paragraph" w:customStyle="1" w:styleId="70">
    <w:name w:val="_Style 2"/>
    <w:basedOn w:val="1"/>
    <w:qFormat/>
    <w:uiPriority w:val="0"/>
    <w:pPr>
      <w:ind w:firstLine="420" w:firstLineChars="200"/>
    </w:pPr>
  </w:style>
  <w:style w:type="paragraph" w:customStyle="1" w:styleId="71">
    <w:name w:val="msolistparagraph"/>
    <w:basedOn w:val="1"/>
    <w:qFormat/>
    <w:uiPriority w:val="0"/>
    <w:pPr>
      <w:ind w:firstLine="420" w:firstLineChars="200"/>
    </w:pPr>
    <w:rPr>
      <w:rFonts w:hint="eastAsia" w:hAnsi="宋体"/>
    </w:rPr>
  </w:style>
  <w:style w:type="character" w:customStyle="1" w:styleId="72">
    <w:name w:val="标题 5 Char"/>
    <w:link w:val="6"/>
    <w:qFormat/>
    <w:uiPriority w:val="0"/>
    <w:rPr>
      <w:b/>
      <w:sz w:val="28"/>
    </w:rPr>
  </w:style>
  <w:style w:type="character" w:customStyle="1" w:styleId="73">
    <w:name w:val="标题 1 Char"/>
    <w:link w:val="2"/>
    <w:qFormat/>
    <w:uiPriority w:val="9"/>
    <w:rPr>
      <w:b/>
      <w:kern w:val="44"/>
      <w:sz w:val="44"/>
    </w:rPr>
  </w:style>
  <w:style w:type="paragraph" w:customStyle="1" w:styleId="74">
    <w:name w:val="修订1"/>
    <w:hidden/>
    <w:semiHidden/>
    <w:qFormat/>
    <w:uiPriority w:val="99"/>
    <w:rPr>
      <w:rFonts w:ascii="Tahoma" w:hAnsi="Tahoma" w:eastAsia="宋体" w:cstheme="minorBidi"/>
      <w:sz w:val="21"/>
      <w:szCs w:val="22"/>
      <w:lang w:val="en-US" w:eastAsia="zh-CN" w:bidi="ar-SA"/>
    </w:rPr>
  </w:style>
  <w:style w:type="paragraph" w:customStyle="1" w:styleId="75">
    <w:name w:val="表格文字"/>
    <w:basedOn w:val="1"/>
    <w:qFormat/>
    <w:uiPriority w:val="0"/>
    <w:pPr>
      <w:adjustRightInd/>
      <w:spacing w:before="25" w:after="25"/>
    </w:pPr>
    <w:rPr>
      <w:rFonts w:ascii="Times New Roman"/>
      <w:bCs/>
      <w:spacing w:val="10"/>
      <w:szCs w:val="20"/>
    </w:rPr>
  </w:style>
  <w:style w:type="paragraph" w:customStyle="1" w:styleId="76">
    <w:name w:val="纯文本1"/>
    <w:basedOn w:val="77"/>
    <w:qFormat/>
    <w:uiPriority w:val="0"/>
    <w:rPr>
      <w:rFonts w:ascii="宋体" w:hAnsi="Courier New"/>
      <w:szCs w:val="20"/>
    </w:rPr>
  </w:style>
  <w:style w:type="paragraph" w:customStyle="1" w:styleId="77">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8">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79">
    <w:name w:val="Table Normal"/>
    <w:semiHidden/>
    <w:unhideWhenUsed/>
    <w:qFormat/>
    <w:uiPriority w:val="2"/>
    <w:tblPr>
      <w:tblCellMar>
        <w:top w:w="0" w:type="dxa"/>
        <w:left w:w="0" w:type="dxa"/>
        <w:bottom w:w="0" w:type="dxa"/>
        <w:right w:w="0" w:type="dxa"/>
      </w:tblCellMar>
    </w:tblPr>
  </w:style>
  <w:style w:type="paragraph" w:customStyle="1" w:styleId="80">
    <w:name w:val="Table Paragraph"/>
    <w:basedOn w:val="1"/>
    <w:qFormat/>
    <w:uiPriority w:val="1"/>
  </w:style>
  <w:style w:type="paragraph" w:customStyle="1" w:styleId="81">
    <w:name w:val="正文文本缩进1"/>
    <w:basedOn w:val="77"/>
    <w:qFormat/>
    <w:uiPriority w:val="0"/>
    <w:pPr>
      <w:spacing w:after="120"/>
      <w:ind w:left="420" w:leftChars="200"/>
    </w:pPr>
  </w:style>
  <w:style w:type="paragraph" w:customStyle="1" w:styleId="82">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3">
    <w:name w:val="纯文本2"/>
    <w:basedOn w:val="77"/>
    <w:qFormat/>
    <w:uiPriority w:val="0"/>
    <w:rPr>
      <w:rFonts w:ascii="宋体" w:hAnsi="Courier New"/>
      <w:szCs w:val="20"/>
    </w:rPr>
  </w:style>
  <w:style w:type="character" w:customStyle="1" w:styleId="84">
    <w:name w:val="font141"/>
    <w:qFormat/>
    <w:uiPriority w:val="0"/>
    <w:rPr>
      <w:rFonts w:hint="default" w:ascii="Times New Roman" w:hAnsi="Times New Roman" w:cs="Times New Roman"/>
      <w:color w:val="000000"/>
      <w:sz w:val="18"/>
      <w:szCs w:val="18"/>
      <w:u w:val="none"/>
    </w:rPr>
  </w:style>
  <w:style w:type="character" w:customStyle="1" w:styleId="85">
    <w:name w:val="font71"/>
    <w:qFormat/>
    <w:uiPriority w:val="0"/>
    <w:rPr>
      <w:rFonts w:hint="eastAsia" w:ascii="宋体" w:hAnsi="宋体" w:eastAsia="宋体" w:cs="宋体"/>
      <w:color w:val="000000"/>
      <w:sz w:val="18"/>
      <w:szCs w:val="18"/>
      <w:u w:val="none"/>
    </w:rPr>
  </w:style>
  <w:style w:type="paragraph" w:customStyle="1" w:styleId="86">
    <w:name w:val="修订2"/>
    <w:hidden/>
    <w:semiHidden/>
    <w:qFormat/>
    <w:uiPriority w:val="99"/>
    <w:rPr>
      <w:rFonts w:ascii="Tahoma" w:hAnsi="Tahoma" w:eastAsia="宋体" w:cstheme="minorBidi"/>
      <w:sz w:val="21"/>
      <w:szCs w:val="22"/>
      <w:lang w:val="en-US" w:eastAsia="zh-CN" w:bidi="ar-SA"/>
    </w:rPr>
  </w:style>
  <w:style w:type="paragraph" w:customStyle="1" w:styleId="87">
    <w:name w:val="修订3"/>
    <w:hidden/>
    <w:semiHidden/>
    <w:qFormat/>
    <w:uiPriority w:val="99"/>
    <w:rPr>
      <w:rFonts w:ascii="Tahoma" w:hAnsi="Tahoma" w:eastAsia="宋体" w:cstheme="minorBidi"/>
      <w:sz w:val="21"/>
      <w:szCs w:val="22"/>
      <w:lang w:val="en-US" w:eastAsia="zh-CN" w:bidi="ar-SA"/>
    </w:rPr>
  </w:style>
  <w:style w:type="paragraph" w:customStyle="1" w:styleId="88">
    <w:name w:val="修订4"/>
    <w:hidden/>
    <w:semiHidden/>
    <w:qFormat/>
    <w:uiPriority w:val="99"/>
    <w:rPr>
      <w:rFonts w:ascii="Tahoma" w:hAnsi="Tahoma" w:eastAsia="宋体" w:cstheme="minorBidi"/>
      <w:sz w:val="21"/>
      <w:szCs w:val="22"/>
      <w:lang w:val="en-US" w:eastAsia="zh-CN" w:bidi="ar-SA"/>
    </w:rPr>
  </w:style>
  <w:style w:type="paragraph" w:customStyle="1" w:styleId="89">
    <w:name w:val="Revision"/>
    <w:hidden/>
    <w:semiHidden/>
    <w:qFormat/>
    <w:uiPriority w:val="99"/>
    <w:rPr>
      <w:rFonts w:ascii="Tahoma" w:hAnsi="Tahoma" w:eastAsia="宋体" w:cstheme="minorBidi"/>
      <w:sz w:val="21"/>
      <w:szCs w:val="22"/>
      <w:lang w:val="en-US" w:eastAsia="zh-CN" w:bidi="ar-SA"/>
    </w:rPr>
  </w:style>
  <w:style w:type="paragraph" w:customStyle="1" w:styleId="90">
    <w:name w:val="Char Char Char"/>
    <w:basedOn w:val="1"/>
    <w:qFormat/>
    <w:uiPriority w:val="0"/>
    <w:rPr>
      <w:rFonts w:ascii="Tahoma" w:hAnsi="Tahoma"/>
      <w:sz w:val="24"/>
    </w:rPr>
  </w:style>
  <w:style w:type="paragraph" w:customStyle="1" w:styleId="91">
    <w:name w:val="小点"/>
    <w:basedOn w:val="1"/>
    <w:qFormat/>
    <w:uiPriority w:val="0"/>
    <w:pPr>
      <w:numPr>
        <w:ilvl w:val="0"/>
        <w:numId w:val="1"/>
      </w:numPr>
      <w:tabs>
        <w:tab w:val="left" w:pos="542"/>
        <w:tab w:val="left" w:pos="600"/>
      </w:tabs>
      <w:topLinePunct/>
      <w:autoSpaceDE w:val="0"/>
      <w:autoSpaceDN w:val="0"/>
      <w:adjustRightInd w:val="0"/>
      <w:snapToGrid w:val="0"/>
      <w:spacing w:line="300" w:lineRule="auto"/>
      <w:jc w:val="left"/>
      <w:textAlignment w:val="baseline"/>
    </w:pPr>
    <w:rPr>
      <w:rFonts w:ascii="Arial" w:hAnsi="Arial"/>
      <w:color w:val="000000"/>
      <w:kern w:val="2"/>
      <w:sz w:val="24"/>
      <w:szCs w:val="24"/>
    </w:rPr>
  </w:style>
  <w:style w:type="paragraph" w:customStyle="1" w:styleId="92">
    <w:name w:val="标书正文文本"/>
    <w:qFormat/>
    <w:uiPriority w:val="0"/>
    <w:pPr>
      <w:spacing w:line="360" w:lineRule="auto"/>
      <w:ind w:firstLine="200" w:firstLineChars="200"/>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C4891-AF81-4AB1-BB85-18B664F88E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94</Pages>
  <Words>53626</Words>
  <Characters>55504</Characters>
  <Lines>403</Lines>
  <Paragraphs>113</Paragraphs>
  <TotalTime>28</TotalTime>
  <ScaleCrop>false</ScaleCrop>
  <LinksUpToDate>false</LinksUpToDate>
  <CharactersWithSpaces>57244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2023-05-26T06:22:00Z</dcterms:created>
  <dc:creator>MyPC</dc:creator>
  <cp:lastModifiedBy>三方诚信-陈工</cp:lastModifiedBy>
  <cp:lastPrinted>2024-03-14T14:17:00Z</cp:lastPrinted>
  <dcterms:modified xsi:type="dcterms:W3CDTF">2025-08-18T03:40:07Z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2F18F1357893421A921791409C6E4BA3_13</vt:lpwstr>
  </property>
  <property fmtid="{D5CDD505-2E9C-101B-9397-08002B2CF9AE}" pid="4" name="KSOTemplateDocerSaveRecord">
    <vt:lpwstr>eyJoZGlkIjoiNDUwMTFkMDI3ZjBmZjczM2Q3M2EwOGI5M2VjYzUzMDkiLCJ1c2VySWQiOiIxNTk4MjA3NTk5In0=</vt:lpwstr>
  </property>
</Properties>
</file>