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B7FE">
      <w:pPr>
        <w:keepNext w:val="0"/>
        <w:keepLines w:val="0"/>
        <w:pageBreakBefore w:val="0"/>
        <w:overflowPunct/>
        <w:topLinePunct w:val="0"/>
        <w:bidi w:val="0"/>
        <w:snapToGrid w:val="0"/>
        <w:spacing w:line="360" w:lineRule="auto"/>
        <w:ind w:left="0" w:leftChars="0" w:firstLine="0" w:firstLineChars="0"/>
        <w:jc w:val="center"/>
        <w:rPr>
          <w:rFonts w:hint="eastAsia" w:ascii="Times New Roman" w:hAnsi="Times New Roman" w:eastAsia="宋体" w:cs="Times New Roman"/>
          <w:b/>
          <w:bCs/>
          <w:color w:val="auto"/>
          <w:sz w:val="36"/>
          <w:szCs w:val="36"/>
          <w:highlight w:val="none"/>
          <w:lang w:val="en-US" w:eastAsia="zh-CN"/>
        </w:rPr>
      </w:pPr>
      <w:r>
        <w:rPr>
          <w:rFonts w:hint="default" w:ascii="Times New Roman" w:hAnsi="Times New Roman" w:eastAsia="宋体" w:cs="Times New Roman"/>
          <w:b/>
          <w:bCs/>
          <w:color w:val="auto"/>
          <w:sz w:val="36"/>
          <w:szCs w:val="36"/>
          <w:highlight w:val="none"/>
        </w:rPr>
        <w:t>长安镇厦岗生活垃圾填埋场存量垃圾综合整治项目-安防监控系统工程采购</w:t>
      </w:r>
      <w:r>
        <w:rPr>
          <w:rFonts w:hint="eastAsia" w:eastAsia="宋体" w:cs="Times New Roman"/>
          <w:b/>
          <w:bCs/>
          <w:color w:val="auto"/>
          <w:sz w:val="36"/>
          <w:szCs w:val="36"/>
          <w:highlight w:val="none"/>
          <w:lang w:val="en-US" w:eastAsia="zh-CN"/>
        </w:rPr>
        <w:t>文件</w:t>
      </w:r>
      <w:bookmarkStart w:id="6" w:name="_GoBack"/>
      <w:bookmarkEnd w:id="6"/>
    </w:p>
    <w:p w14:paraId="1568F5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val="0"/>
          <w:bCs w:val="0"/>
          <w:color w:val="auto"/>
          <w:sz w:val="28"/>
          <w:szCs w:val="28"/>
          <w:highlight w:val="none"/>
        </w:rPr>
      </w:pPr>
    </w:p>
    <w:p w14:paraId="29ED8B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我司（</w:t>
      </w:r>
      <w:r>
        <w:rPr>
          <w:rFonts w:hint="default" w:ascii="Times New Roman" w:hAnsi="Times New Roman" w:eastAsia="宋体" w:cs="Times New Roman"/>
          <w:b w:val="0"/>
          <w:bCs w:val="0"/>
          <w:color w:val="auto"/>
          <w:sz w:val="28"/>
          <w:szCs w:val="28"/>
          <w:highlight w:val="none"/>
          <w:lang w:val="en-US" w:eastAsia="zh-CN"/>
        </w:rPr>
        <w:t>东莞市新东湾环保投资有限公司</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承接的</w:t>
      </w:r>
      <w:r>
        <w:rPr>
          <w:rFonts w:hint="default" w:ascii="Times New Roman" w:hAnsi="Times New Roman" w:eastAsia="宋体" w:cs="Times New Roman"/>
          <w:b w:val="0"/>
          <w:bCs w:val="0"/>
          <w:color w:val="auto"/>
          <w:sz w:val="28"/>
          <w:szCs w:val="28"/>
          <w:highlight w:val="none"/>
          <w:lang w:eastAsia="zh-CN"/>
        </w:rPr>
        <w:t>长安镇厦岗生活垃圾填埋场存量垃圾综合整治项目</w:t>
      </w:r>
      <w:r>
        <w:rPr>
          <w:rFonts w:hint="default" w:ascii="Times New Roman" w:hAnsi="Times New Roman" w:eastAsia="宋体" w:cs="Times New Roman"/>
          <w:b w:val="0"/>
          <w:bCs w:val="0"/>
          <w:color w:val="auto"/>
          <w:sz w:val="28"/>
          <w:szCs w:val="28"/>
          <w:highlight w:val="none"/>
          <w:lang w:val="en-US" w:eastAsia="zh-CN"/>
        </w:rPr>
        <w:t>，拟采购</w:t>
      </w:r>
      <w:r>
        <w:rPr>
          <w:rFonts w:hint="default" w:ascii="Times New Roman" w:hAnsi="Times New Roman" w:eastAsia="宋体" w:cs="Times New Roman"/>
          <w:b w:val="0"/>
          <w:bCs w:val="0"/>
          <w:color w:val="auto"/>
          <w:sz w:val="28"/>
          <w:szCs w:val="28"/>
          <w:highlight w:val="none"/>
          <w:lang w:eastAsia="zh-CN"/>
        </w:rPr>
        <w:t>安防监控系统</w:t>
      </w:r>
      <w:r>
        <w:rPr>
          <w:rFonts w:hint="default" w:ascii="Times New Roman" w:hAnsi="Times New Roman" w:eastAsia="宋体" w:cs="Times New Roman"/>
          <w:b w:val="0"/>
          <w:bCs w:val="0"/>
          <w:color w:val="auto"/>
          <w:sz w:val="28"/>
          <w:szCs w:val="28"/>
          <w:highlight w:val="none"/>
          <w:lang w:val="en-US" w:eastAsia="zh-CN"/>
        </w:rPr>
        <w:t>工程。</w:t>
      </w:r>
      <w:r>
        <w:rPr>
          <w:rFonts w:hint="default" w:ascii="Times New Roman" w:hAnsi="Times New Roman" w:eastAsia="宋体" w:cs="Times New Roman"/>
          <w:b w:val="0"/>
          <w:bCs w:val="0"/>
          <w:color w:val="auto"/>
          <w:sz w:val="28"/>
          <w:szCs w:val="28"/>
          <w:highlight w:val="none"/>
        </w:rPr>
        <w:t>现将相关情况介绍如下：</w:t>
      </w:r>
    </w:p>
    <w:p w14:paraId="704F0F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一、项目名称及内容</w:t>
      </w:r>
      <w:bookmarkStart w:id="0" w:name="_Hlk101709777"/>
    </w:p>
    <w:bookmarkEnd w:id="0"/>
    <w:p w14:paraId="383295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rPr>
        <w:t>项目名称：</w:t>
      </w:r>
      <w:r>
        <w:rPr>
          <w:rFonts w:hint="default" w:ascii="Times New Roman" w:hAnsi="Times New Roman" w:eastAsia="宋体" w:cs="Times New Roman"/>
          <w:b w:val="0"/>
          <w:bCs w:val="0"/>
          <w:color w:val="auto"/>
          <w:sz w:val="28"/>
          <w:szCs w:val="28"/>
          <w:highlight w:val="none"/>
          <w:lang w:eastAsia="zh-CN"/>
        </w:rPr>
        <w:t>长安镇厦岗生活垃圾填埋场存量垃圾综合整治项目-安防监控系统工程。</w:t>
      </w:r>
    </w:p>
    <w:p w14:paraId="5E4FD9D7">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建设地点：</w:t>
      </w:r>
      <w:r>
        <w:rPr>
          <w:rFonts w:hint="default" w:ascii="Times New Roman" w:hAnsi="Times New Roman" w:eastAsia="宋体" w:cs="Times New Roman"/>
          <w:b w:val="0"/>
          <w:bCs w:val="0"/>
          <w:color w:val="auto"/>
          <w:sz w:val="28"/>
          <w:szCs w:val="28"/>
          <w:highlight w:val="none"/>
          <w:lang w:eastAsia="zh-CN"/>
        </w:rPr>
        <w:t>长安镇厦岗生活垃圾填埋场</w:t>
      </w:r>
      <w:r>
        <w:rPr>
          <w:rFonts w:hint="default" w:ascii="Times New Roman" w:hAnsi="Times New Roman" w:eastAsia="宋体" w:cs="Times New Roman"/>
          <w:b w:val="0"/>
          <w:bCs w:val="0"/>
          <w:color w:val="auto"/>
          <w:sz w:val="28"/>
          <w:szCs w:val="28"/>
          <w:highlight w:val="none"/>
        </w:rPr>
        <w:t>。</w:t>
      </w:r>
    </w:p>
    <w:p w14:paraId="5FEB85F2">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二、项目发布</w:t>
      </w:r>
    </w:p>
    <w:p w14:paraId="43E2E26B">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本项目采购信息在东莞实业投资控股集团有限公司网站发布（http://www.dgsy.com.cn/）、广东东实环境股份有限公司网站（http://www.dshuanbao.com.cn/）发布。</w:t>
      </w:r>
    </w:p>
    <w:p w14:paraId="4EC4166C">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★三、</w:t>
      </w:r>
      <w:r>
        <w:rPr>
          <w:rFonts w:hint="default" w:ascii="Times New Roman" w:hAnsi="Times New Roman" w:eastAsia="宋体" w:cs="Times New Roman"/>
          <w:b/>
          <w:bCs/>
          <w:color w:val="auto"/>
          <w:sz w:val="28"/>
          <w:szCs w:val="28"/>
          <w:highlight w:val="none"/>
          <w:lang w:eastAsia="zh-CN"/>
        </w:rPr>
        <w:t>报价人</w:t>
      </w:r>
      <w:r>
        <w:rPr>
          <w:rFonts w:hint="default" w:ascii="Times New Roman" w:hAnsi="Times New Roman" w:eastAsia="宋体" w:cs="Times New Roman"/>
          <w:b/>
          <w:bCs/>
          <w:color w:val="auto"/>
          <w:sz w:val="28"/>
          <w:szCs w:val="28"/>
          <w:highlight w:val="none"/>
        </w:rPr>
        <w:t>资格要求</w:t>
      </w:r>
    </w:p>
    <w:p w14:paraId="695490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kern w:val="2"/>
          <w:sz w:val="28"/>
          <w:szCs w:val="28"/>
          <w:lang w:val="en-US" w:eastAsia="zh-CN" w:bidi="ar-SA"/>
        </w:rPr>
        <w:t>1、</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rPr>
        <w:t>须为在中华人民共和国境内登记注册的具有独立承担民事责任能力的法人或其他组织。</w:t>
      </w:r>
    </w:p>
    <w:p w14:paraId="7C00CC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2、</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lang w:val="en-US" w:eastAsia="zh-CN"/>
        </w:rPr>
        <w:t>须</w:t>
      </w:r>
      <w:r>
        <w:rPr>
          <w:rFonts w:hint="default" w:ascii="Times New Roman" w:hAnsi="Times New Roman" w:eastAsia="宋体" w:cs="Times New Roman"/>
          <w:b w:val="0"/>
          <w:bCs w:val="0"/>
          <w:color w:val="auto"/>
          <w:sz w:val="28"/>
          <w:szCs w:val="28"/>
          <w:highlight w:val="none"/>
          <w:u w:val="none"/>
        </w:rPr>
        <w:t>具有有效期内的《</w:t>
      </w:r>
      <w:r>
        <w:rPr>
          <w:rFonts w:hint="default" w:ascii="Times New Roman" w:hAnsi="Times New Roman" w:eastAsia="宋体" w:cs="Times New Roman"/>
          <w:b w:val="0"/>
          <w:bCs w:val="0"/>
          <w:color w:val="auto"/>
          <w:sz w:val="28"/>
          <w:szCs w:val="28"/>
          <w:highlight w:val="none"/>
          <w:u w:val="none"/>
          <w:lang w:val="en-US" w:eastAsia="zh-CN"/>
        </w:rPr>
        <w:t>安全生产许可证</w:t>
      </w:r>
      <w:r>
        <w:rPr>
          <w:rFonts w:hint="default" w:ascii="Times New Roman" w:hAnsi="Times New Roman" w:eastAsia="宋体" w:cs="Times New Roman"/>
          <w:b w:val="0"/>
          <w:bCs w:val="0"/>
          <w:color w:val="auto"/>
          <w:sz w:val="28"/>
          <w:szCs w:val="28"/>
          <w:highlight w:val="none"/>
          <w:u w:val="none"/>
        </w:rPr>
        <w:t>》。</w:t>
      </w:r>
    </w:p>
    <w:p w14:paraId="4E940CAA">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rPr>
        <w:t>须</w:t>
      </w:r>
      <w:r>
        <w:rPr>
          <w:rFonts w:hint="default" w:ascii="Times New Roman" w:hAnsi="Times New Roman" w:eastAsia="宋体" w:cs="Times New Roman"/>
          <w:b w:val="0"/>
          <w:bCs w:val="0"/>
          <w:color w:val="auto"/>
          <w:sz w:val="28"/>
          <w:szCs w:val="28"/>
          <w:highlight w:val="none"/>
          <w:u w:val="none"/>
          <w:lang w:val="en-US" w:eastAsia="zh-CN"/>
        </w:rPr>
        <w:t>提供投标截止日前6个月内任意1个月的依法缴纳税收证明材料。</w:t>
      </w:r>
    </w:p>
    <w:p w14:paraId="37656296">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4、</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rPr>
        <w:t>须</w:t>
      </w:r>
      <w:r>
        <w:rPr>
          <w:rFonts w:hint="default" w:ascii="Times New Roman" w:hAnsi="Times New Roman" w:eastAsia="宋体" w:cs="Times New Roman"/>
          <w:b w:val="0"/>
          <w:bCs w:val="0"/>
          <w:color w:val="auto"/>
          <w:sz w:val="28"/>
          <w:szCs w:val="28"/>
          <w:highlight w:val="none"/>
          <w:u w:val="none"/>
          <w:lang w:val="en-US" w:eastAsia="zh-CN"/>
        </w:rPr>
        <w:t>提供公司无欠税证明材料。</w:t>
      </w:r>
    </w:p>
    <w:p w14:paraId="5C277E17">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5、报价人须具有类似项目业绩经验2个。</w:t>
      </w:r>
    </w:p>
    <w:p w14:paraId="51003637">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6、未被列入采购人及上级企业相关领域黑名单。</w:t>
      </w:r>
    </w:p>
    <w:p w14:paraId="5ABC9872">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7、本项目不接受联合体报价。</w:t>
      </w:r>
    </w:p>
    <w:p w14:paraId="7260115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四、项目需求</w:t>
      </w:r>
    </w:p>
    <w:p w14:paraId="7AF3691B">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1、项目总体需求</w:t>
      </w:r>
    </w:p>
    <w:p w14:paraId="20BB3CA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监控采购及利旧数量：为加强长安镇厦岗生活垃圾填埋场存量垃圾综合整治项目的日常管理，特在项目外围、办公区、出入口、厂房内外、生产线等设置共95个高清监控系统（其中新增49台800万高清，利旧46台400万高清摄像机，其中包括项目新购置及可利旧设备，报价人需要提供可利旧设备的安装、调试服务，并确保利旧设备与系统兼容并正常运行）</w:t>
      </w:r>
    </w:p>
    <w:p w14:paraId="787B71C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（2）录像时长要求：监控中心设置在办公区中控室，保安岗亭和临时办公会议室设第二、第三监控室，要求录像保存有效时长不少于60天。</w:t>
      </w:r>
    </w:p>
    <w:p w14:paraId="36E90C7F">
      <w:pPr>
        <w:pStyle w:val="95"/>
        <w:ind w:firstLine="576"/>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其他要求：厂房外围采用24芯光纤和三芯2.5平方电缆线敷设，厂房内、办公区、保安岗亭等采用4芯光纤和三芯2.5平方电缆线敷设，附近监控点拉6类网线至光纤点，保证网线不超过100米。由于项目周边没有高建筑物，对场地监控需做好防雷措施。中控室需加装监控摄像机和网络音响。</w:t>
      </w:r>
      <w:r>
        <w:rPr>
          <w:rFonts w:hint="eastAsia" w:ascii="Times New Roman" w:hAnsi="Times New Roman" w:eastAsia="宋体" w:cs="Times New Roman"/>
          <w:b w:val="0"/>
          <w:bCs w:val="0"/>
          <w:color w:val="auto"/>
          <w:sz w:val="28"/>
          <w:szCs w:val="28"/>
          <w:highlight w:val="none"/>
          <w:u w:val="none"/>
          <w:lang w:val="en-US" w:eastAsia="zh-CN"/>
        </w:rPr>
        <w:t>新增49台800万高清须支持同时20路取流。</w:t>
      </w:r>
    </w:p>
    <w:p w14:paraId="042EEB8C">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本次采购具体技术要求以采购公告附件《项目需求书》为准，该文件为本项目采购文件的法定组成部分。成交人实际履约内容须与需求书要求一致。如验收时发现任何负偏离，采购人有权宣布成交无效并追究违约责任。</w:t>
      </w:r>
    </w:p>
    <w:p w14:paraId="09995FE1">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3、本项目</w:t>
      </w:r>
      <w:r>
        <w:rPr>
          <w:rFonts w:hint="default" w:ascii="Times New Roman" w:hAnsi="Times New Roman" w:eastAsia="宋体" w:cs="Times New Roman"/>
          <w:b/>
          <w:bCs/>
          <w:color w:val="auto"/>
          <w:sz w:val="28"/>
          <w:szCs w:val="28"/>
          <w:highlight w:val="none"/>
          <w:u w:val="none"/>
          <w:lang w:val="en-US" w:eastAsia="zh-CN"/>
        </w:rPr>
        <w:t>要求现场踏勘</w:t>
      </w:r>
      <w:r>
        <w:rPr>
          <w:rFonts w:hint="default" w:ascii="Times New Roman" w:hAnsi="Times New Roman" w:eastAsia="宋体" w:cs="Times New Roman"/>
          <w:b w:val="0"/>
          <w:bCs w:val="0"/>
          <w:color w:val="auto"/>
          <w:sz w:val="28"/>
          <w:szCs w:val="28"/>
          <w:highlight w:val="none"/>
          <w:u w:val="none"/>
          <w:lang w:val="en-US" w:eastAsia="zh-CN"/>
        </w:rPr>
        <w:t>，请联系现场负责人：张工，电话号码：15920654800。</w:t>
      </w:r>
    </w:p>
    <w:p w14:paraId="4BBBE3CE">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kern w:val="2"/>
          <w:sz w:val="28"/>
          <w:szCs w:val="28"/>
          <w:highlight w:val="none"/>
          <w:lang w:val="en-US" w:eastAsia="zh-CN" w:bidi="ar-SA"/>
        </w:rPr>
        <w:t>五、</w:t>
      </w:r>
      <w:bookmarkStart w:id="1" w:name="_Hlk63759280"/>
      <w:bookmarkStart w:id="2" w:name="OLE_LINK3"/>
      <w:r>
        <w:rPr>
          <w:rFonts w:hint="default" w:ascii="Times New Roman" w:hAnsi="Times New Roman" w:eastAsia="宋体" w:cs="Times New Roman"/>
          <w:b/>
          <w:bCs/>
          <w:color w:val="auto"/>
          <w:sz w:val="28"/>
          <w:szCs w:val="28"/>
          <w:highlight w:val="none"/>
          <w:lang w:val="en-US" w:eastAsia="zh-CN"/>
        </w:rPr>
        <w:t>服务期</w:t>
      </w:r>
    </w:p>
    <w:p w14:paraId="7C8AF50D">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自采购人发出《进场通知书》之日起，共计45个日历天内交付并完成验收。</w:t>
      </w:r>
    </w:p>
    <w:p w14:paraId="0FA8024A">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六、支付方式</w:t>
      </w:r>
    </w:p>
    <w:bookmarkEnd w:id="1"/>
    <w:bookmarkEnd w:id="2"/>
    <w:p w14:paraId="4CE0826F">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1、工程全部安装完成，经采购人验收合格后，成交人提交等额增值税专用发票及请款资料，采购人在收到有效资料的三十个日历日内支付至合同价款的60%；</w:t>
      </w:r>
    </w:p>
    <w:p w14:paraId="5CBAD68A">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2、成交人提交结算书并经采购人审核完成后，成交人提交等额增值税专用发票及请款资料，采购人收到请款资料的三十个日历日内支付至结算价款的97%</w:t>
      </w:r>
    </w:p>
    <w:p w14:paraId="30923999">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3、剩余结算价款的3%为质保金，质保期满后，成交人没有任何违约情况，由成交人提交等额增值税专用发票及请款资料，采购人在三十个日历日内一次性无息支付。</w:t>
      </w:r>
    </w:p>
    <w:p w14:paraId="11C73947">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备注：成交人收款前需向采购人提供请款材料和开具合法有效等额的增值税专用发票，否则采购人有权拒绝付款。采购人在收到等额发票及相关资料审核无误后，在30个日历日内支付对应款项。</w:t>
      </w:r>
    </w:p>
    <w:p w14:paraId="1C000951">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七、报价</w:t>
      </w:r>
    </w:p>
    <w:p w14:paraId="5C229A69">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1、项目采购限价：¥</w:t>
      </w:r>
      <w:r>
        <w:rPr>
          <w:rFonts w:hint="eastAsia" w:eastAsia="宋体" w:cs="Times New Roman"/>
          <w:b w:val="0"/>
          <w:bCs w:val="0"/>
          <w:color w:val="auto"/>
          <w:sz w:val="28"/>
          <w:szCs w:val="28"/>
          <w:highlight w:val="none"/>
          <w:u w:val="none"/>
          <w:lang w:val="en-US" w:eastAsia="zh-CN"/>
        </w:rPr>
        <w:t>507,854.69</w:t>
      </w:r>
      <w:r>
        <w:rPr>
          <w:rFonts w:hint="default" w:ascii="Times New Roman" w:hAnsi="Times New Roman" w:eastAsia="宋体" w:cs="Times New Roman"/>
          <w:b w:val="0"/>
          <w:bCs w:val="0"/>
          <w:color w:val="auto"/>
          <w:sz w:val="28"/>
          <w:szCs w:val="28"/>
          <w:highlight w:val="none"/>
          <w:u w:val="none"/>
          <w:lang w:val="en-US" w:eastAsia="zh-CN"/>
        </w:rPr>
        <w:t>（含税9%）。</w:t>
      </w:r>
    </w:p>
    <w:p w14:paraId="563E2C92">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2、本项目的报价方式：</w:t>
      </w:r>
      <w:r>
        <w:rPr>
          <w:rFonts w:hint="default" w:ascii="Times New Roman" w:hAnsi="Times New Roman" w:eastAsia="宋体" w:cs="Times New Roman"/>
          <w:b w:val="0"/>
          <w:bCs w:val="0"/>
          <w:color w:val="auto"/>
          <w:sz w:val="28"/>
          <w:szCs w:val="28"/>
          <w:highlight w:val="none"/>
          <w:u w:val="single"/>
          <w:lang w:val="en-US" w:eastAsia="zh-CN"/>
        </w:rPr>
        <w:t>投下浮率</w:t>
      </w:r>
      <w:r>
        <w:rPr>
          <w:rFonts w:hint="default" w:ascii="Times New Roman" w:hAnsi="Times New Roman" w:eastAsia="宋体" w:cs="Times New Roman"/>
          <w:b w:val="0"/>
          <w:bCs w:val="0"/>
          <w:color w:val="auto"/>
          <w:sz w:val="28"/>
          <w:szCs w:val="28"/>
          <w:highlight w:val="none"/>
          <w:u w:val="none"/>
          <w:lang w:val="en-US" w:eastAsia="zh-CN"/>
        </w:rPr>
        <w:t>。下浮率报价不得超过100%，且不能为0%或负数，</w:t>
      </w:r>
      <w:r>
        <w:rPr>
          <w:rFonts w:hint="default" w:ascii="Times New Roman" w:hAnsi="Times New Roman" w:eastAsia="宋体" w:cs="Times New Roman"/>
          <w:b w:val="0"/>
          <w:bCs w:val="0"/>
          <w:color w:val="auto"/>
          <w:sz w:val="28"/>
          <w:szCs w:val="28"/>
          <w:highlight w:val="none"/>
          <w:u w:val="none"/>
        </w:rPr>
        <w:t>报价人报价方式非统一下浮率报价形式或统一下浮率报价超出报价范围的将被视为非实质性响应而予以投标无效处理</w:t>
      </w:r>
      <w:r>
        <w:rPr>
          <w:rFonts w:hint="default" w:ascii="Times New Roman" w:hAnsi="Times New Roman" w:eastAsia="宋体" w:cs="Times New Roman"/>
          <w:b w:val="0"/>
          <w:bCs w:val="0"/>
          <w:color w:val="auto"/>
          <w:sz w:val="28"/>
          <w:szCs w:val="28"/>
          <w:highlight w:val="none"/>
          <w:u w:val="none"/>
          <w:lang w:eastAsia="zh-CN"/>
        </w:rPr>
        <w:t>。</w:t>
      </w:r>
    </w:p>
    <w:p w14:paraId="073016BE">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3、投标报价已包含完成本项目服务所产生全部费用，包括但不限于设备费、安装调试费、材料辅材费、运输、税费、保险费、质保维护费等，项目实际结算时不做调整。</w:t>
      </w:r>
    </w:p>
    <w:p w14:paraId="40321DB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八、定标</w:t>
      </w:r>
    </w:p>
    <w:p w14:paraId="79109375">
      <w:pPr>
        <w:keepNext w:val="0"/>
        <w:keepLines w:val="0"/>
        <w:pageBreakBefore w:val="0"/>
        <w:kinsoku/>
        <w:wordWrap/>
        <w:overflowPunct/>
        <w:topLinePunct w:val="0"/>
        <w:autoSpaceDE/>
        <w:autoSpaceDN/>
        <w:bidi w:val="0"/>
        <w:adjustRightInd/>
        <w:snapToGrid w:val="0"/>
        <w:spacing w:line="360" w:lineRule="auto"/>
        <w:ind w:left="0" w:leftChars="0" w:firstLine="560" w:firstLineChars="20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rPr>
        <w:t>本次项目采用询价方式进行采购，询价小组对各</w:t>
      </w:r>
      <w:r>
        <w:rPr>
          <w:rFonts w:hint="default" w:ascii="Times New Roman" w:hAnsi="Times New Roman" w:eastAsia="宋体" w:cs="Times New Roman"/>
          <w:b w:val="0"/>
          <w:bCs w:val="0"/>
          <w:color w:val="auto"/>
          <w:sz w:val="28"/>
          <w:szCs w:val="28"/>
          <w:highlight w:val="none"/>
          <w:lang w:val="en-US" w:eastAsia="zh-CN"/>
        </w:rPr>
        <w:t>报价人的</w:t>
      </w:r>
      <w:r>
        <w:rPr>
          <w:rFonts w:hint="default" w:ascii="Times New Roman" w:hAnsi="Times New Roman" w:eastAsia="宋体" w:cs="Times New Roman"/>
          <w:b w:val="0"/>
          <w:bCs w:val="0"/>
          <w:color w:val="auto"/>
          <w:sz w:val="28"/>
          <w:szCs w:val="28"/>
          <w:highlight w:val="none"/>
        </w:rPr>
        <w:t>报价文件进行审核，并根据质量和服务均能满足采购文件实质性响应要求且</w:t>
      </w:r>
      <w:r>
        <w:rPr>
          <w:rFonts w:hint="default" w:ascii="Times New Roman" w:hAnsi="Times New Roman" w:eastAsia="宋体" w:cs="Times New Roman"/>
          <w:b/>
          <w:bCs/>
          <w:color w:val="auto"/>
          <w:sz w:val="28"/>
          <w:szCs w:val="28"/>
          <w:highlight w:val="none"/>
          <w:u w:val="single"/>
          <w:lang w:val="en-US" w:eastAsia="zh-CN"/>
        </w:rPr>
        <w:t>不含税下浮率最高</w:t>
      </w:r>
      <w:r>
        <w:rPr>
          <w:rFonts w:hint="default" w:ascii="Times New Roman" w:hAnsi="Times New Roman" w:eastAsia="宋体" w:cs="Times New Roman"/>
          <w:b w:val="0"/>
          <w:bCs w:val="0"/>
          <w:color w:val="auto"/>
          <w:sz w:val="28"/>
          <w:szCs w:val="28"/>
          <w:highlight w:val="none"/>
        </w:rPr>
        <w:t>的原则，推荐成交候选</w:t>
      </w:r>
      <w:r>
        <w:rPr>
          <w:rFonts w:hint="default" w:ascii="Times New Roman" w:hAnsi="Times New Roman" w:eastAsia="宋体" w:cs="Times New Roman"/>
          <w:b w:val="0"/>
          <w:bCs w:val="0"/>
          <w:color w:val="auto"/>
          <w:sz w:val="28"/>
          <w:szCs w:val="28"/>
          <w:highlight w:val="none"/>
          <w:lang w:val="en-US" w:eastAsia="zh-CN"/>
        </w:rPr>
        <w:t>人</w:t>
      </w:r>
      <w:r>
        <w:rPr>
          <w:rFonts w:hint="default" w:ascii="Times New Roman" w:hAnsi="Times New Roman" w:eastAsia="宋体" w:cs="Times New Roman"/>
          <w:b w:val="0"/>
          <w:bCs w:val="0"/>
          <w:color w:val="auto"/>
          <w:sz w:val="28"/>
          <w:szCs w:val="28"/>
          <w:highlight w:val="none"/>
        </w:rPr>
        <w:t>。</w:t>
      </w:r>
    </w:p>
    <w:p w14:paraId="1DA7A089">
      <w:pPr>
        <w:keepNext w:val="0"/>
        <w:keepLines w:val="0"/>
        <w:pageBreakBefore w:val="0"/>
        <w:kinsoku/>
        <w:wordWrap/>
        <w:overflowPunct/>
        <w:topLinePunct w:val="0"/>
        <w:autoSpaceDE/>
        <w:autoSpaceDN/>
        <w:bidi w:val="0"/>
        <w:adjustRightInd/>
        <w:snapToGrid w:val="0"/>
        <w:spacing w:line="360" w:lineRule="auto"/>
        <w:ind w:left="0" w:leftChars="0" w:firstLine="560" w:firstLineChars="20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投标报价（即投标下浮率）由高到低排序。当投标报价相同而不能确认排序时，现场摇珠确定。</w:t>
      </w:r>
    </w:p>
    <w:p w14:paraId="00421C2A">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3、</w:t>
      </w:r>
      <w:r>
        <w:rPr>
          <w:rFonts w:hint="default" w:ascii="Times New Roman" w:hAnsi="Times New Roman" w:eastAsia="宋体" w:cs="Times New Roman"/>
          <w:b w:val="0"/>
          <w:bCs w:val="0"/>
          <w:color w:val="auto"/>
          <w:sz w:val="28"/>
          <w:szCs w:val="28"/>
          <w:highlight w:val="none"/>
        </w:rPr>
        <w:t>询价结束后，招标采购工作小组将相关询价情况按程序审批并确定</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若</w:t>
      </w:r>
      <w:r>
        <w:rPr>
          <w:rFonts w:hint="default" w:ascii="Times New Roman" w:hAnsi="Times New Roman" w:eastAsia="宋体" w:cs="Times New Roman"/>
          <w:b w:val="0"/>
          <w:bCs w:val="0"/>
          <w:color w:val="auto"/>
          <w:sz w:val="28"/>
          <w:szCs w:val="28"/>
          <w:highlight w:val="none"/>
        </w:rPr>
        <w:t>排名第一的中标候选人放弃中标、因不可抗力不能履行合同、不按照采购文件要求提交</w:t>
      </w:r>
      <w:r>
        <w:rPr>
          <w:rFonts w:hint="default" w:ascii="Times New Roman" w:hAnsi="Times New Roman" w:eastAsia="宋体" w:cs="Times New Roman"/>
          <w:b w:val="0"/>
          <w:bCs w:val="0"/>
          <w:color w:val="auto"/>
          <w:sz w:val="28"/>
          <w:szCs w:val="28"/>
          <w:highlight w:val="none"/>
          <w:lang w:val="en-US" w:eastAsia="zh-CN"/>
        </w:rPr>
        <w:t>履约保证金（或</w:t>
      </w:r>
      <w:r>
        <w:rPr>
          <w:rFonts w:hint="default" w:ascii="Times New Roman" w:hAnsi="Times New Roman" w:eastAsia="宋体" w:cs="Times New Roman"/>
          <w:b w:val="0"/>
          <w:bCs w:val="0"/>
          <w:color w:val="auto"/>
          <w:sz w:val="28"/>
          <w:szCs w:val="28"/>
          <w:highlight w:val="none"/>
        </w:rPr>
        <w:t>履约担保</w:t>
      </w:r>
      <w:r>
        <w:rPr>
          <w:rFonts w:hint="default"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highlight w:val="none"/>
        </w:rPr>
        <w:t>，或者被查实存在影响中标结果的违法行为等情形，不符合中标条件的，采购人可以按照中标候选人名单排序依次确定其他中标候选人为中标人，也可以重新采购。</w:t>
      </w:r>
    </w:p>
    <w:p w14:paraId="2D71386F">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九、采取的合同文本</w:t>
      </w:r>
    </w:p>
    <w:p w14:paraId="696E1A20">
      <w:pPr>
        <w:keepNext w:val="0"/>
        <w:keepLines w:val="0"/>
        <w:pageBreakBefore w:val="0"/>
        <w:kinsoku/>
        <w:wordWrap/>
        <w:overflowPunct/>
        <w:topLinePunct w:val="0"/>
        <w:autoSpaceDE/>
        <w:autoSpaceDN/>
        <w:bidi w:val="0"/>
        <w:adjustRightInd/>
        <w:snapToGrid w:val="0"/>
        <w:spacing w:line="360" w:lineRule="auto"/>
        <w:ind w:left="0" w:leftChars="0" w:firstLine="560" w:firstLineChars="20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rPr>
        <w:t>合同签订的依据为询价文件、报价文件</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用户需求书</w:t>
      </w:r>
      <w:r>
        <w:rPr>
          <w:rFonts w:hint="default" w:ascii="Times New Roman" w:hAnsi="Times New Roman" w:eastAsia="宋体" w:cs="Times New Roman"/>
          <w:b w:val="0"/>
          <w:bCs w:val="0"/>
          <w:color w:val="auto"/>
          <w:sz w:val="28"/>
          <w:szCs w:val="28"/>
          <w:highlight w:val="none"/>
        </w:rPr>
        <w:t>及补充说明等。确定成交人后，成交人在</w:t>
      </w:r>
      <w:r>
        <w:rPr>
          <w:rFonts w:hint="default" w:ascii="Times New Roman" w:hAnsi="Times New Roman" w:eastAsia="宋体" w:cs="Times New Roman"/>
          <w:b w:val="0"/>
          <w:bCs w:val="0"/>
          <w:color w:val="auto"/>
          <w:sz w:val="28"/>
          <w:szCs w:val="28"/>
          <w:highlight w:val="none"/>
          <w:lang w:val="en-US" w:eastAsia="zh-CN"/>
        </w:rPr>
        <w:t>30</w:t>
      </w:r>
      <w:r>
        <w:rPr>
          <w:rFonts w:hint="default" w:ascii="Times New Roman" w:hAnsi="Times New Roman" w:eastAsia="宋体" w:cs="Times New Roman"/>
          <w:b w:val="0"/>
          <w:bCs w:val="0"/>
          <w:color w:val="auto"/>
          <w:sz w:val="28"/>
          <w:szCs w:val="28"/>
          <w:highlight w:val="none"/>
        </w:rPr>
        <w:t>个工作日内与采购人签订合同（</w:t>
      </w:r>
      <w:r>
        <w:rPr>
          <w:rFonts w:hint="default" w:ascii="Times New Roman" w:hAnsi="Times New Roman" w:eastAsia="宋体" w:cs="Times New Roman"/>
          <w:b w:val="0"/>
          <w:bCs w:val="0"/>
          <w:color w:val="auto"/>
          <w:sz w:val="28"/>
          <w:szCs w:val="28"/>
          <w:highlight w:val="none"/>
          <w:lang w:val="en-US" w:eastAsia="zh-CN"/>
        </w:rPr>
        <w:t>成交后按采购人提供的模板执行</w:t>
      </w:r>
      <w:r>
        <w:rPr>
          <w:rFonts w:hint="default" w:ascii="Times New Roman" w:hAnsi="Times New Roman" w:eastAsia="宋体" w:cs="Times New Roman"/>
          <w:b w:val="0"/>
          <w:bCs w:val="0"/>
          <w:color w:val="auto"/>
          <w:sz w:val="28"/>
          <w:szCs w:val="28"/>
          <w:highlight w:val="none"/>
        </w:rPr>
        <w:t>）。</w:t>
      </w:r>
    </w:p>
    <w:p w14:paraId="316766FA">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收款前需向采购人提供请款材料和开具合法有效等额的增值税专用发票，否则采购人有权拒绝付款。</w:t>
      </w:r>
    </w:p>
    <w:p w14:paraId="51773811">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sym w:font="Wingdings" w:char="00AB"/>
      </w:r>
      <w:r>
        <w:rPr>
          <w:rFonts w:hint="default" w:ascii="Times New Roman" w:hAnsi="Times New Roman" w:eastAsia="宋体" w:cs="Times New Roman"/>
          <w:b/>
          <w:bCs/>
          <w:color w:val="auto"/>
          <w:sz w:val="28"/>
          <w:szCs w:val="28"/>
          <w:highlight w:val="none"/>
        </w:rPr>
        <w:t>十、报价文件的组成部分</w:t>
      </w:r>
    </w:p>
    <w:p w14:paraId="6440FE7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1、报价</w:t>
      </w:r>
      <w:r>
        <w:rPr>
          <w:rFonts w:hint="default" w:ascii="Times New Roman" w:hAnsi="Times New Roman" w:eastAsia="宋体" w:cs="Times New Roman"/>
          <w:b w:val="0"/>
          <w:bCs w:val="0"/>
          <w:color w:val="auto"/>
          <w:sz w:val="28"/>
          <w:szCs w:val="28"/>
          <w:highlight w:val="none"/>
          <w:lang w:val="en-US" w:eastAsia="zh-CN"/>
        </w:rPr>
        <w:t>函</w:t>
      </w:r>
      <w:r>
        <w:rPr>
          <w:rFonts w:hint="default" w:ascii="Times New Roman" w:hAnsi="Times New Roman" w:eastAsia="宋体" w:cs="Times New Roman"/>
          <w:b w:val="0"/>
          <w:bCs w:val="0"/>
          <w:color w:val="auto"/>
          <w:sz w:val="28"/>
          <w:szCs w:val="28"/>
          <w:highlight w:val="none"/>
        </w:rPr>
        <w:t>（加盖公章</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rPr>
        <w:t>）；</w:t>
      </w:r>
    </w:p>
    <w:p w14:paraId="168EE191">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2、法定代表人身份证明（模板，详见附件）以及法定代表人身份证复印件（加盖公章</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rPr>
        <w:t>）；</w:t>
      </w:r>
    </w:p>
    <w:p w14:paraId="263579EC">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3、法人授权书（模板，详见附件）及被委托人身份证复印件（加盖公章）</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法定代表人</w:t>
      </w:r>
      <w:r>
        <w:rPr>
          <w:rFonts w:hint="default" w:ascii="Times New Roman" w:hAnsi="Times New Roman" w:eastAsia="宋体" w:cs="Times New Roman"/>
          <w:b/>
          <w:bCs/>
          <w:color w:val="auto"/>
          <w:sz w:val="28"/>
          <w:szCs w:val="28"/>
          <w:highlight w:val="none"/>
        </w:rPr>
        <w:t>参加报价</w:t>
      </w:r>
      <w:r>
        <w:rPr>
          <w:rFonts w:hint="default" w:ascii="Times New Roman" w:hAnsi="Times New Roman" w:eastAsia="宋体" w:cs="Times New Roman"/>
          <w:b/>
          <w:bCs/>
          <w:color w:val="auto"/>
          <w:sz w:val="28"/>
          <w:szCs w:val="28"/>
          <w:highlight w:val="none"/>
          <w:lang w:val="en-US" w:eastAsia="zh-CN"/>
        </w:rPr>
        <w:t>的</w:t>
      </w:r>
      <w:r>
        <w:rPr>
          <w:rFonts w:hint="default" w:ascii="Times New Roman" w:hAnsi="Times New Roman" w:eastAsia="宋体" w:cs="Times New Roman"/>
          <w:b/>
          <w:bCs/>
          <w:color w:val="auto"/>
          <w:sz w:val="28"/>
          <w:szCs w:val="28"/>
          <w:highlight w:val="none"/>
        </w:rPr>
        <w:t>不需提供）</w:t>
      </w:r>
      <w:r>
        <w:rPr>
          <w:rFonts w:hint="default" w:ascii="Times New Roman" w:hAnsi="Times New Roman" w:eastAsia="宋体" w:cs="Times New Roman"/>
          <w:b w:val="0"/>
          <w:bCs w:val="0"/>
          <w:color w:val="auto"/>
          <w:sz w:val="28"/>
          <w:szCs w:val="28"/>
          <w:highlight w:val="none"/>
        </w:rPr>
        <w:t>；</w:t>
      </w:r>
    </w:p>
    <w:p w14:paraId="41EE0972">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4</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采购文件“</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三、报价人资格要求”要求证明材料</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详见采购公告要求，</w:t>
      </w:r>
      <w:r>
        <w:rPr>
          <w:rFonts w:hint="default" w:ascii="Times New Roman" w:hAnsi="Times New Roman" w:eastAsia="宋体" w:cs="Times New Roman"/>
          <w:b w:val="0"/>
          <w:bCs w:val="0"/>
          <w:color w:val="auto"/>
          <w:sz w:val="28"/>
          <w:szCs w:val="28"/>
          <w:highlight w:val="none"/>
        </w:rPr>
        <w:t>加盖公章</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rPr>
        <w:t>）；</w:t>
      </w:r>
    </w:p>
    <w:p w14:paraId="31836CB6">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现场踏勘承诺函（详见附件，加盖公章，</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lang w:val="en-US" w:eastAsia="zh-CN"/>
        </w:rPr>
        <w:t>）；</w:t>
      </w:r>
    </w:p>
    <w:p w14:paraId="064C8402">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6、投标保证金汇入情况说明（详见附件，加盖公章，</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lang w:val="en-US" w:eastAsia="zh-CN"/>
        </w:rPr>
        <w:t>）；</w:t>
      </w:r>
    </w:p>
    <w:p w14:paraId="3ADB54D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7、</w:t>
      </w:r>
      <w:r>
        <w:rPr>
          <w:rFonts w:hint="default" w:ascii="Times New Roman" w:hAnsi="Times New Roman" w:eastAsia="宋体" w:cs="Times New Roman"/>
          <w:b w:val="0"/>
          <w:bCs w:val="0"/>
          <w:color w:val="auto"/>
          <w:sz w:val="28"/>
          <w:szCs w:val="28"/>
          <w:highlight w:val="none"/>
        </w:rPr>
        <w:t>本项目采购文件要求或</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认为应补充的其他资料（如有</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自拟提供</w:t>
      </w:r>
      <w:r>
        <w:rPr>
          <w:rFonts w:hint="default" w:ascii="Times New Roman" w:hAnsi="Times New Roman" w:eastAsia="宋体" w:cs="Times New Roman"/>
          <w:b w:val="0"/>
          <w:bCs w:val="0"/>
          <w:color w:val="auto"/>
          <w:sz w:val="28"/>
          <w:szCs w:val="28"/>
          <w:highlight w:val="none"/>
        </w:rPr>
        <w:t>）。</w:t>
      </w:r>
    </w:p>
    <w:p w14:paraId="5C5501C6">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十</w:t>
      </w: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eastAsia="zh-CN"/>
        </w:rPr>
        <w:t>报价文件</w:t>
      </w:r>
      <w:r>
        <w:rPr>
          <w:rFonts w:hint="default" w:ascii="Times New Roman" w:hAnsi="Times New Roman" w:eastAsia="宋体" w:cs="Times New Roman"/>
          <w:b/>
          <w:bCs/>
          <w:color w:val="auto"/>
          <w:sz w:val="28"/>
          <w:szCs w:val="28"/>
          <w:highlight w:val="none"/>
        </w:rPr>
        <w:t>份数及要求</w:t>
      </w:r>
    </w:p>
    <w:p w14:paraId="53E5147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1、正本一份、副本一份、正本盖章版扫描件一份（u盘）。</w:t>
      </w:r>
    </w:p>
    <w:p w14:paraId="187A3AD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2、报价人须严格按照采购人提供的表单格式及要求报价，报价文件必须装订或胶装成册，正本必须每页加盖公章。副本可使用正本复印件，并于封面及骑缝处加盖公章。</w:t>
      </w:r>
    </w:p>
    <w:p w14:paraId="05CD07D5">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3、报价文件必须密封完好，装有报价文件的文件袋须贴有密封条，于骑缝处加盖报价人公章，因密封不当导致文件破损、缺失，视为无效报价。</w:t>
      </w:r>
    </w:p>
    <w:p w14:paraId="448186B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4、报价人所递交的报价文件必须为盖章原件，公章、私章或签字，不得为彩色/黑白的打印件/复印件。</w:t>
      </w:r>
    </w:p>
    <w:p w14:paraId="2E9FD12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5、报价人需将本项目密封文件袋封面（</w:t>
      </w:r>
      <w:r>
        <w:rPr>
          <w:rFonts w:hint="default" w:ascii="Times New Roman" w:hAnsi="Times New Roman" w:eastAsia="宋体" w:cs="Times New Roman"/>
          <w:b w:val="0"/>
          <w:bCs w:val="0"/>
          <w:color w:val="auto"/>
          <w:sz w:val="28"/>
          <w:szCs w:val="28"/>
          <w:highlight w:val="none"/>
          <w:lang w:val="en-US" w:eastAsia="zh-CN"/>
        </w:rPr>
        <w:t>可参考</w:t>
      </w:r>
      <w:r>
        <w:rPr>
          <w:rFonts w:hint="default" w:ascii="Times New Roman" w:hAnsi="Times New Roman" w:eastAsia="宋体" w:cs="Times New Roman"/>
          <w:b w:val="0"/>
          <w:bCs w:val="0"/>
          <w:color w:val="auto"/>
          <w:sz w:val="28"/>
          <w:szCs w:val="28"/>
          <w:highlight w:val="none"/>
        </w:rPr>
        <w:t>附件</w:t>
      </w:r>
      <w:r>
        <w:rPr>
          <w:rFonts w:hint="default" w:ascii="Times New Roman" w:hAnsi="Times New Roman" w:eastAsia="宋体" w:cs="Times New Roman"/>
          <w:b w:val="0"/>
          <w:bCs w:val="0"/>
          <w:color w:val="auto"/>
          <w:sz w:val="28"/>
          <w:szCs w:val="28"/>
          <w:highlight w:val="none"/>
          <w:lang w:val="en-US" w:eastAsia="zh-CN"/>
        </w:rPr>
        <w:t>格式</w:t>
      </w:r>
      <w:r>
        <w:rPr>
          <w:rFonts w:hint="default" w:ascii="Times New Roman" w:hAnsi="Times New Roman" w:eastAsia="宋体" w:cs="Times New Roman"/>
          <w:b w:val="0"/>
          <w:bCs w:val="0"/>
          <w:color w:val="auto"/>
          <w:sz w:val="28"/>
          <w:szCs w:val="28"/>
          <w:highlight w:val="none"/>
        </w:rPr>
        <w:t>）粘贴于报价文件密封袋上。</w:t>
      </w:r>
    </w:p>
    <w:p w14:paraId="62FF75B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6、不符合本项要求的报价文件为无效报价。</w:t>
      </w:r>
    </w:p>
    <w:p w14:paraId="1291D6F4">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十二、保证金</w:t>
      </w:r>
    </w:p>
    <w:p w14:paraId="005EA835">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w:t>
      </w:r>
      <w:r>
        <w:rPr>
          <w:rFonts w:hint="default" w:ascii="Times New Roman" w:hAnsi="Times New Roman" w:eastAsia="宋体" w:cs="Times New Roman"/>
          <w:b w:val="0"/>
          <w:bCs w:val="0"/>
          <w:color w:val="auto"/>
          <w:sz w:val="28"/>
          <w:szCs w:val="28"/>
          <w:highlight w:val="none"/>
          <w:u w:val="none"/>
        </w:rPr>
        <w:t>报价保证金</w:t>
      </w:r>
    </w:p>
    <w:p w14:paraId="19CC79C5">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报价人应按采购文件规定的金额和期限交纳报价保证金，报价保证金作为报价文件的组成部分。报价人与交款人名称必须一致，非报价人缴纳的报价保证金无效。</w:t>
      </w:r>
    </w:p>
    <w:p w14:paraId="19217D44">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single"/>
          <w:lang w:val="en-US" w:eastAsia="zh-CN"/>
        </w:rPr>
      </w:pPr>
      <w:r>
        <w:rPr>
          <w:rFonts w:hint="default" w:ascii="Times New Roman" w:hAnsi="Times New Roman" w:eastAsia="宋体" w:cs="Times New Roman"/>
          <w:b w:val="0"/>
          <w:bCs w:val="0"/>
          <w:color w:val="auto"/>
          <w:sz w:val="28"/>
          <w:szCs w:val="28"/>
          <w:highlight w:val="none"/>
          <w:u w:val="none"/>
        </w:rPr>
        <w:t>报价保证金金额：</w:t>
      </w:r>
      <w:r>
        <w:rPr>
          <w:rFonts w:hint="default" w:ascii="Times New Roman" w:hAnsi="Times New Roman" w:eastAsia="宋体" w:cs="Times New Roman"/>
          <w:b w:val="0"/>
          <w:bCs w:val="0"/>
          <w:color w:val="auto"/>
          <w:sz w:val="28"/>
          <w:szCs w:val="28"/>
          <w:highlight w:val="none"/>
          <w:u w:val="none"/>
          <w:lang w:val="en-US" w:eastAsia="zh-CN"/>
        </w:rPr>
        <w:t>大写人民币：</w:t>
      </w:r>
      <w:r>
        <w:rPr>
          <w:rFonts w:hint="eastAsia" w:eastAsia="宋体" w:cs="Times New Roman"/>
          <w:b w:val="0"/>
          <w:bCs w:val="0"/>
          <w:color w:val="auto"/>
          <w:sz w:val="28"/>
          <w:szCs w:val="28"/>
          <w:highlight w:val="none"/>
          <w:u w:val="single"/>
          <w:lang w:val="en-US" w:eastAsia="zh-CN"/>
        </w:rPr>
        <w:t>壹万元整</w:t>
      </w:r>
      <w:r>
        <w:rPr>
          <w:rFonts w:hint="default" w:ascii="Times New Roman" w:hAnsi="Times New Roman" w:eastAsia="宋体" w:cs="Times New Roman"/>
          <w:b w:val="0"/>
          <w:bCs w:val="0"/>
          <w:color w:val="auto"/>
          <w:sz w:val="28"/>
          <w:szCs w:val="28"/>
          <w:highlight w:val="none"/>
          <w:u w:val="none"/>
          <w:lang w:val="en-US" w:eastAsia="zh-CN"/>
        </w:rPr>
        <w:t>（小写：</w:t>
      </w:r>
      <w:r>
        <w:rPr>
          <w:rFonts w:hint="default" w:ascii="Times New Roman" w:hAnsi="Times New Roman" w:eastAsia="宋体" w:cs="Times New Roman"/>
          <w:b w:val="0"/>
          <w:bCs w:val="0"/>
          <w:color w:val="auto"/>
          <w:sz w:val="28"/>
          <w:szCs w:val="28"/>
          <w:highlight w:val="none"/>
          <w:u w:val="single"/>
        </w:rPr>
        <w:t>¥</w:t>
      </w:r>
      <w:r>
        <w:rPr>
          <w:rFonts w:hint="eastAsia" w:eastAsia="宋体" w:cs="Times New Roman"/>
          <w:b w:val="0"/>
          <w:bCs w:val="0"/>
          <w:color w:val="auto"/>
          <w:sz w:val="28"/>
          <w:szCs w:val="28"/>
          <w:highlight w:val="none"/>
          <w:u w:val="single"/>
          <w:lang w:val="en-US" w:eastAsia="zh-CN"/>
        </w:rPr>
        <w:t>10,000.00</w:t>
      </w:r>
      <w:r>
        <w:rPr>
          <w:rFonts w:hint="default" w:ascii="Times New Roman" w:hAnsi="Times New Roman" w:eastAsia="宋体" w:cs="Times New Roman"/>
          <w:b w:val="0"/>
          <w:bCs w:val="0"/>
          <w:color w:val="auto"/>
          <w:sz w:val="28"/>
          <w:szCs w:val="28"/>
          <w:highlight w:val="none"/>
          <w:u w:val="single"/>
          <w:lang w:val="en-US" w:eastAsia="zh-CN"/>
        </w:rPr>
        <w:t>）</w:t>
      </w:r>
    </w:p>
    <w:p w14:paraId="5087E65B">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报价保证金缴纳期限：报价文件递交截止时间前（报价保证金汇错账号、迟到或不足额均作无效处理）</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未中标的报价人的报价保证金在采购人发出结果确认函后30个日历日内一次性无息退还。成交人的报价保证金在签订合同后30个日历日内一次性无息退还。</w:t>
      </w:r>
    </w:p>
    <w:p w14:paraId="6F4EF4AD">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rPr>
        <w:t>报价保证金</w:t>
      </w:r>
      <w:r>
        <w:rPr>
          <w:rFonts w:hint="default" w:ascii="Times New Roman" w:hAnsi="Times New Roman" w:eastAsia="宋体" w:cs="Times New Roman"/>
          <w:b w:val="0"/>
          <w:bCs w:val="0"/>
          <w:color w:val="auto"/>
          <w:sz w:val="28"/>
          <w:szCs w:val="28"/>
          <w:highlight w:val="none"/>
          <w:u w:val="none"/>
          <w:lang w:val="en-US" w:eastAsia="zh-CN"/>
        </w:rPr>
        <w:t>收款账户信息</w:t>
      </w:r>
    </w:p>
    <w:p w14:paraId="2B868336">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账户名称：东莞市新东湾环保投资有限公司</w:t>
      </w:r>
    </w:p>
    <w:p w14:paraId="64D4518E">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开户银行：招商银行股份有限公司东莞滨海湾新区支行</w:t>
      </w:r>
    </w:p>
    <w:p w14:paraId="0FE1A90D">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u w:val="none"/>
          <w:lang w:val="en-US" w:eastAsia="zh-CN"/>
        </w:rPr>
        <w:t>银行账号：769910275410988</w:t>
      </w:r>
    </w:p>
    <w:p w14:paraId="1A4F2559">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2、履约保证金</w:t>
      </w:r>
    </w:p>
    <w:p w14:paraId="5E13EB1D">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成交人与采购人签订合同前，须提交履约保证金。</w:t>
      </w:r>
    </w:p>
    <w:p w14:paraId="634C371B">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u w:val="none"/>
          <w:lang w:val="en-US" w:eastAsia="zh-CN"/>
        </w:rPr>
        <w:t>履约保证金金额为：</w:t>
      </w:r>
      <w:r>
        <w:rPr>
          <w:rFonts w:hint="default" w:ascii="Times New Roman" w:hAnsi="Times New Roman" w:eastAsia="宋体" w:cs="Times New Roman"/>
          <w:b w:val="0"/>
          <w:bCs w:val="0"/>
          <w:color w:val="auto"/>
          <w:sz w:val="28"/>
          <w:szCs w:val="28"/>
          <w:highlight w:val="none"/>
          <w:u w:val="single"/>
          <w:lang w:val="en-US" w:eastAsia="zh-CN"/>
        </w:rPr>
        <w:t>合同总价的10%</w:t>
      </w:r>
      <w:r>
        <w:rPr>
          <w:rFonts w:hint="default" w:ascii="Times New Roman" w:hAnsi="Times New Roman" w:eastAsia="宋体" w:cs="Times New Roman"/>
          <w:b w:val="0"/>
          <w:bCs w:val="0"/>
          <w:color w:val="auto"/>
          <w:sz w:val="28"/>
          <w:szCs w:val="28"/>
          <w:highlight w:val="none"/>
          <w:u w:val="none"/>
          <w:lang w:val="en-US" w:eastAsia="zh-CN"/>
        </w:rPr>
        <w:t>。成交人不能按本询价文件要求提交履约保证金的，采购人将有权取消成交人的中标资格。</w:t>
      </w:r>
      <w:r>
        <w:rPr>
          <w:rFonts w:hint="default" w:ascii="Times New Roman" w:hAnsi="Times New Roman" w:eastAsia="宋体" w:cs="Times New Roman"/>
          <w:b w:val="0"/>
          <w:bCs w:val="0"/>
          <w:color w:val="auto"/>
          <w:sz w:val="28"/>
          <w:szCs w:val="28"/>
          <w:highlight w:val="none"/>
        </w:rPr>
        <w:t>履约保证金作为</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在履约过程中违约金或罚款的扣罚来源之一</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项目验收合格且成交</w:t>
      </w:r>
      <w:r>
        <w:rPr>
          <w:rFonts w:hint="default" w:ascii="Times New Roman" w:hAnsi="Times New Roman" w:eastAsia="宋体" w:cs="Times New Roman"/>
          <w:b w:val="0"/>
          <w:bCs w:val="0"/>
          <w:color w:val="auto"/>
          <w:sz w:val="28"/>
          <w:szCs w:val="28"/>
          <w:highlight w:val="none"/>
        </w:rPr>
        <w:t>人没有任何违约</w:t>
      </w:r>
      <w:r>
        <w:rPr>
          <w:rFonts w:hint="default" w:ascii="Times New Roman" w:hAnsi="Times New Roman" w:eastAsia="宋体" w:cs="Times New Roman"/>
          <w:b w:val="0"/>
          <w:bCs w:val="0"/>
          <w:color w:val="auto"/>
          <w:sz w:val="28"/>
          <w:szCs w:val="28"/>
          <w:highlight w:val="none"/>
          <w:lang w:val="en-US" w:eastAsia="zh-CN"/>
        </w:rPr>
        <w:t>的（</w:t>
      </w:r>
      <w:r>
        <w:rPr>
          <w:rFonts w:hint="default" w:ascii="Times New Roman" w:hAnsi="Times New Roman" w:eastAsia="宋体" w:cs="Times New Roman"/>
          <w:b w:val="0"/>
          <w:bCs w:val="0"/>
          <w:color w:val="auto"/>
          <w:sz w:val="28"/>
          <w:szCs w:val="28"/>
          <w:highlight w:val="none"/>
        </w:rPr>
        <w:t>包括但不限于质量缺陷、逾期责任</w:t>
      </w:r>
      <w:r>
        <w:rPr>
          <w:rFonts w:hint="default" w:ascii="Times New Roman" w:hAnsi="Times New Roman" w:eastAsia="宋体" w:cs="Times New Roman"/>
          <w:b w:val="0"/>
          <w:bCs w:val="0"/>
          <w:color w:val="auto"/>
          <w:sz w:val="28"/>
          <w:szCs w:val="28"/>
          <w:highlight w:val="none"/>
          <w:lang w:val="en-US" w:eastAsia="zh-CN"/>
        </w:rPr>
        <w:t>等）情况下，</w:t>
      </w:r>
      <w:r>
        <w:rPr>
          <w:rFonts w:hint="default" w:ascii="Times New Roman" w:hAnsi="Times New Roman" w:eastAsia="宋体" w:cs="Times New Roman"/>
          <w:b w:val="0"/>
          <w:bCs w:val="0"/>
          <w:color w:val="auto"/>
          <w:sz w:val="28"/>
          <w:szCs w:val="28"/>
          <w:highlight w:val="none"/>
        </w:rPr>
        <w:t>采购人</w:t>
      </w:r>
      <w:r>
        <w:rPr>
          <w:rFonts w:hint="default" w:ascii="Times New Roman" w:hAnsi="Times New Roman" w:eastAsia="宋体" w:cs="Times New Roman"/>
          <w:b w:val="0"/>
          <w:bCs w:val="0"/>
          <w:color w:val="auto"/>
          <w:sz w:val="28"/>
          <w:szCs w:val="28"/>
          <w:highlight w:val="none"/>
          <w:lang w:val="en-US" w:eastAsia="zh-CN"/>
        </w:rPr>
        <w:t>在</w:t>
      </w:r>
      <w:r>
        <w:rPr>
          <w:rFonts w:hint="default" w:ascii="Times New Roman" w:hAnsi="Times New Roman" w:eastAsia="宋体" w:cs="Times New Roman"/>
          <w:b w:val="0"/>
          <w:bCs w:val="0"/>
          <w:color w:val="auto"/>
          <w:sz w:val="28"/>
          <w:szCs w:val="28"/>
          <w:highlight w:val="none"/>
        </w:rPr>
        <w:t>收到</w:t>
      </w:r>
      <w:r>
        <w:rPr>
          <w:rFonts w:hint="default" w:ascii="Times New Roman" w:hAnsi="Times New Roman" w:eastAsia="宋体" w:cs="Times New Roman"/>
          <w:b w:val="0"/>
          <w:bCs w:val="0"/>
          <w:color w:val="auto"/>
          <w:sz w:val="28"/>
          <w:szCs w:val="28"/>
          <w:highlight w:val="none"/>
          <w:lang w:val="en-US" w:eastAsia="zh-CN"/>
        </w:rPr>
        <w:t>成交</w:t>
      </w:r>
      <w:r>
        <w:rPr>
          <w:rFonts w:hint="default" w:ascii="Times New Roman" w:hAnsi="Times New Roman" w:eastAsia="宋体" w:cs="Times New Roman"/>
          <w:b w:val="0"/>
          <w:bCs w:val="0"/>
          <w:color w:val="auto"/>
          <w:sz w:val="28"/>
          <w:szCs w:val="28"/>
          <w:highlight w:val="none"/>
        </w:rPr>
        <w:t>人</w:t>
      </w:r>
      <w:r>
        <w:rPr>
          <w:rFonts w:hint="default" w:ascii="Times New Roman" w:hAnsi="Times New Roman" w:eastAsia="宋体" w:cs="Times New Roman"/>
          <w:b w:val="0"/>
          <w:bCs w:val="0"/>
          <w:color w:val="auto"/>
          <w:sz w:val="28"/>
          <w:szCs w:val="28"/>
          <w:highlight w:val="none"/>
          <w:lang w:val="en-US" w:eastAsia="zh-CN"/>
        </w:rPr>
        <w:t>的退还履约保证金</w:t>
      </w:r>
      <w:r>
        <w:rPr>
          <w:rFonts w:hint="default" w:ascii="Times New Roman" w:hAnsi="Times New Roman" w:eastAsia="宋体" w:cs="Times New Roman"/>
          <w:b w:val="0"/>
          <w:bCs w:val="0"/>
          <w:color w:val="auto"/>
          <w:sz w:val="28"/>
          <w:szCs w:val="28"/>
          <w:highlight w:val="none"/>
        </w:rPr>
        <w:t>申请后30个日历日内一次性无息退回履约保证金。</w:t>
      </w:r>
    </w:p>
    <w:p w14:paraId="5517C1EC">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履约保证金收款账户信息</w:t>
      </w:r>
    </w:p>
    <w:p w14:paraId="5F9EF57F">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账户名称：东莞市新东湾环保投资有限公司</w:t>
      </w:r>
    </w:p>
    <w:p w14:paraId="04C8BB68">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开户银行：招商银行股份有限公司东莞滨海湾新区支行</w:t>
      </w:r>
    </w:p>
    <w:p w14:paraId="377B58EC">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lang w:val="en-US" w:eastAsia="zh-CN"/>
        </w:rPr>
        <w:t>银行账号：769910275410988</w:t>
      </w:r>
    </w:p>
    <w:p w14:paraId="3B0241C3">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十三、开标时间及地址</w:t>
      </w:r>
    </w:p>
    <w:p w14:paraId="377F1788">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u w:val="none"/>
          <w:lang w:val="en-US" w:eastAsia="zh-CN"/>
        </w:rPr>
        <w:t>1、</w:t>
      </w:r>
      <w:r>
        <w:rPr>
          <w:rFonts w:hint="default" w:ascii="Times New Roman" w:hAnsi="Times New Roman" w:eastAsia="宋体" w:cs="Times New Roman"/>
          <w:b w:val="0"/>
          <w:bCs w:val="0"/>
          <w:color w:val="auto"/>
          <w:sz w:val="28"/>
          <w:szCs w:val="28"/>
          <w:highlight w:val="none"/>
        </w:rPr>
        <w:t>开标时间：202</w:t>
      </w:r>
      <w:r>
        <w:rPr>
          <w:rFonts w:hint="default"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rPr>
        <w:t>年</w:t>
      </w:r>
      <w:r>
        <w:rPr>
          <w:rFonts w:hint="eastAsia" w:eastAsia="宋体" w:cs="Times New Roman"/>
          <w:b w:val="0"/>
          <w:bCs w:val="0"/>
          <w:color w:val="auto"/>
          <w:sz w:val="28"/>
          <w:szCs w:val="28"/>
          <w:highlight w:val="none"/>
          <w:lang w:val="en-US" w:eastAsia="zh-CN"/>
        </w:rPr>
        <w:t>9</w:t>
      </w:r>
      <w:r>
        <w:rPr>
          <w:rFonts w:hint="default" w:ascii="Times New Roman" w:hAnsi="Times New Roman" w:eastAsia="宋体" w:cs="Times New Roman"/>
          <w:b w:val="0"/>
          <w:bCs w:val="0"/>
          <w:color w:val="auto"/>
          <w:sz w:val="28"/>
          <w:szCs w:val="28"/>
          <w:highlight w:val="none"/>
        </w:rPr>
        <w:t>月</w:t>
      </w:r>
      <w:r>
        <w:rPr>
          <w:rFonts w:hint="eastAsia" w:eastAsia="宋体" w:cs="Times New Roman"/>
          <w:b w:val="0"/>
          <w:bCs w:val="0"/>
          <w:color w:val="auto"/>
          <w:sz w:val="28"/>
          <w:szCs w:val="28"/>
          <w:highlight w:val="none"/>
          <w:lang w:val="en-US" w:eastAsia="zh-CN"/>
        </w:rPr>
        <w:t>8</w:t>
      </w:r>
      <w:r>
        <w:rPr>
          <w:rFonts w:hint="default" w:ascii="Times New Roman" w:hAnsi="Times New Roman" w:eastAsia="宋体" w:cs="Times New Roman"/>
          <w:b w:val="0"/>
          <w:bCs w:val="0"/>
          <w:color w:val="auto"/>
          <w:sz w:val="28"/>
          <w:szCs w:val="28"/>
          <w:highlight w:val="none"/>
        </w:rPr>
        <w:t>日（星期</w:t>
      </w:r>
      <w:r>
        <w:rPr>
          <w:rFonts w:hint="eastAsia" w:eastAsia="宋体" w:cs="Times New Roman"/>
          <w:b w:val="0"/>
          <w:bCs w:val="0"/>
          <w:color w:val="auto"/>
          <w:sz w:val="28"/>
          <w:szCs w:val="28"/>
          <w:highlight w:val="none"/>
          <w:lang w:val="en-US" w:eastAsia="zh-CN"/>
        </w:rPr>
        <w:t>一</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上午</w:t>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lang w:val="en-US" w:eastAsia="zh-CN"/>
        </w:rPr>
        <w:t>0</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30</w:t>
      </w:r>
      <w:r>
        <w:rPr>
          <w:rFonts w:hint="default" w:ascii="Times New Roman" w:hAnsi="Times New Roman" w:eastAsia="宋体" w:cs="Times New Roman"/>
          <w:b w:val="0"/>
          <w:bCs w:val="0"/>
          <w:color w:val="auto"/>
          <w:sz w:val="28"/>
          <w:szCs w:val="28"/>
          <w:highlight w:val="none"/>
        </w:rPr>
        <w:t>。</w:t>
      </w:r>
    </w:p>
    <w:p w14:paraId="4AF72350">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2、开标地址：东莞市滨海湾新区港澳码头项目（新东湾项目部）。</w:t>
      </w:r>
    </w:p>
    <w:p w14:paraId="679D7721">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3、报价文件递交方式</w:t>
      </w:r>
    </w:p>
    <w:p w14:paraId="49068D27">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（1）现场递交报价文件</w:t>
      </w:r>
    </w:p>
    <w:p w14:paraId="57F850A1">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报价人须委派法定代表人或授权委托人按时到开标地址提交报价文件并参加开标会议，开标时间后到达的拒收报价文件。</w:t>
      </w:r>
    </w:p>
    <w:p w14:paraId="46C9AE52">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报价人现场递交报价文件地址：东莞滨海湾新区港澳码头项目（新东湾公司项目部），逾期无效。</w:t>
      </w:r>
    </w:p>
    <w:p w14:paraId="31188DEB">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（2）邮寄递交报价文件</w:t>
      </w:r>
    </w:p>
    <w:p w14:paraId="44064602">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必须确保报价文件密封完好，在开标截止时间前一日送达采购人处，须使用顺丰速运提前寄送（运费自理，采购人拒收到付件），因邮寄造成报价文件破损无效或文件丢失的责任由报价人自负，因快递派件人员无工作证等原因（如顺丰即日达）造成快递派件问题的责任由报价人自负，开标时间后送达的报价文件无效。未到场开标视为对采购结果无异议。</w:t>
      </w:r>
    </w:p>
    <w:p w14:paraId="0E8EF14E">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邮寄递交报价收件信息：</w:t>
      </w:r>
    </w:p>
    <w:p w14:paraId="154C4569">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收件地址：东莞滨海湾新区港澳码头项目（新东湾公司项目部）</w:t>
      </w:r>
    </w:p>
    <w:p w14:paraId="4A516BB8">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联系人：邓小姐</w:t>
      </w:r>
    </w:p>
    <w:p w14:paraId="7675C7D7">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联系电话：13431105255</w:t>
      </w:r>
    </w:p>
    <w:p w14:paraId="041537F9">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十四、注意事项</w:t>
      </w:r>
    </w:p>
    <w:p w14:paraId="6CC7F022">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1、若报价人未按规定时间递交报价文件，视为放弃报价资格。</w:t>
      </w:r>
    </w:p>
    <w:p w14:paraId="689C958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2、报价人如未按要求交纳报价保证金，则视为放弃报价资格。</w:t>
      </w:r>
    </w:p>
    <w:p w14:paraId="27DF5565">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3、采购人向报价人提供的有关资料和数据，是采购人现有的能使报价人利用的资料，采购人对报价人由此而做出的推论、理解和结论概不负责。</w:t>
      </w:r>
    </w:p>
    <w:p w14:paraId="45EAE3D1">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4、本项目执行过程中将遵循国家、省、市有关法律、法规、标准、技术规范和规范性文件的最新规定。</w:t>
      </w:r>
    </w:p>
    <w:p w14:paraId="737B2618">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5、本项目仅可提交一个报价方案，提交两个或以上报价方案的报价人视为无效报价。</w:t>
      </w:r>
    </w:p>
    <w:p w14:paraId="153CF8B4">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6、本项目不接受报价人其他附加条件。</w:t>
      </w:r>
    </w:p>
    <w:p w14:paraId="462CB4B0">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7、有下列情形之一的，报价保证金将被没收，报价人纳入采购人报价人黑名单：</w:t>
      </w:r>
    </w:p>
    <w:p w14:paraId="5D0147E2">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7.1 中标后无正当理由放弃中标或不与采购人签订合同，又或者签订合同后不交定金（履约保证金或履约保函）的。</w:t>
      </w:r>
    </w:p>
    <w:p w14:paraId="6A513C0F">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7.2 成交人将本项目转让给他人，或者在报价文件中未说明，且未经采购人同意，将中标项目分包给他人，采购人可没收其报价保证金。</w:t>
      </w:r>
    </w:p>
    <w:p w14:paraId="138CB5DA">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7.3 报价人提供虚假报价文件或虚假补充文件。</w:t>
      </w:r>
    </w:p>
    <w:p w14:paraId="474AB816">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7.4 成交人在签订合同前，未按合同约定缴纳履约保证金。</w:t>
      </w:r>
    </w:p>
    <w:p w14:paraId="64818E74">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8、有下列情形之一的，视为报价人串通询价，其报价无效：</w:t>
      </w:r>
    </w:p>
    <w:p w14:paraId="44698378">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8.1 不同报价人的报价文件由同一单位或者个人编制；</w:t>
      </w:r>
    </w:p>
    <w:p w14:paraId="69685CB5">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8.2 不同报价人委托同一单位或者个人办理报价事宜；</w:t>
      </w:r>
    </w:p>
    <w:p w14:paraId="620C4CB9">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8.3 不同报价人的报价文件载明的项目管理成员或者联系人员为同一人；</w:t>
      </w:r>
    </w:p>
    <w:p w14:paraId="3525C569">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8.4 不同报价人的报价文件异常一致或者报价呈规律性差异；</w:t>
      </w:r>
    </w:p>
    <w:p w14:paraId="5D59701C">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8.5 不同报价人的报价文件相互混装；</w:t>
      </w:r>
    </w:p>
    <w:p w14:paraId="6E14A8B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8.6 不同报价人的报价保证金从同一单位或者个人的账户转出。</w:t>
      </w:r>
    </w:p>
    <w:p w14:paraId="76CFAA91">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u w:val="none"/>
        </w:rPr>
        <w:t>9、已列入采购人及上级单位黑名单的报价人的报价文件视为无效。</w:t>
      </w:r>
    </w:p>
    <w:p w14:paraId="7E991998">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8"/>
          <w:szCs w:val="28"/>
          <w:highlight w:val="none"/>
          <w:lang w:eastAsia="zh-CN"/>
        </w:rPr>
      </w:pPr>
    </w:p>
    <w:p w14:paraId="2A8A6EA7">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8"/>
          <w:szCs w:val="28"/>
          <w:highlight w:val="none"/>
          <w:lang w:eastAsia="zh-CN"/>
        </w:rPr>
      </w:pPr>
    </w:p>
    <w:p w14:paraId="78705643">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东莞市新东湾环保投资有限公司</w:t>
      </w:r>
      <w:r>
        <w:rPr>
          <w:rFonts w:hint="default" w:ascii="Times New Roman" w:hAnsi="Times New Roman" w:eastAsia="宋体" w:cs="Times New Roman"/>
          <w:b w:val="0"/>
          <w:bCs w:val="0"/>
          <w:color w:val="auto"/>
          <w:sz w:val="28"/>
          <w:szCs w:val="28"/>
          <w:highlight w:val="none"/>
        </w:rPr>
        <w:t xml:space="preserve">                        </w:t>
      </w:r>
    </w:p>
    <w:p w14:paraId="0AFC7DC4">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8"/>
          <w:szCs w:val="28"/>
          <w:highlight w:val="none"/>
        </w:rPr>
        <w:t>202</w:t>
      </w:r>
      <w:r>
        <w:rPr>
          <w:rFonts w:hint="default"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rPr>
        <w:t>年</w:t>
      </w:r>
      <w:r>
        <w:rPr>
          <w:rFonts w:hint="eastAsia" w:eastAsia="宋体" w:cs="Times New Roman"/>
          <w:b w:val="0"/>
          <w:bCs w:val="0"/>
          <w:color w:val="auto"/>
          <w:sz w:val="28"/>
          <w:szCs w:val="28"/>
          <w:highlight w:val="none"/>
          <w:lang w:val="en-US" w:eastAsia="zh-CN"/>
        </w:rPr>
        <w:t>8</w:t>
      </w:r>
      <w:r>
        <w:rPr>
          <w:rFonts w:hint="default" w:ascii="Times New Roman" w:hAnsi="Times New Roman" w:eastAsia="宋体" w:cs="Times New Roman"/>
          <w:b w:val="0"/>
          <w:bCs w:val="0"/>
          <w:color w:val="auto"/>
          <w:sz w:val="28"/>
          <w:szCs w:val="28"/>
          <w:highlight w:val="none"/>
        </w:rPr>
        <w:t>月</w:t>
      </w:r>
      <w:r>
        <w:rPr>
          <w:rFonts w:hint="eastAsia" w:eastAsia="宋体" w:cs="Times New Roman"/>
          <w:b w:val="0"/>
          <w:bCs w:val="0"/>
          <w:color w:val="auto"/>
          <w:sz w:val="28"/>
          <w:szCs w:val="28"/>
          <w:highlight w:val="none"/>
          <w:lang w:val="en-US" w:eastAsia="zh-CN"/>
        </w:rPr>
        <w:t>29</w:t>
      </w:r>
      <w:r>
        <w:rPr>
          <w:rFonts w:hint="default" w:ascii="Times New Roman" w:hAnsi="Times New Roman" w:eastAsia="宋体" w:cs="Times New Roman"/>
          <w:b w:val="0"/>
          <w:bCs w:val="0"/>
          <w:color w:val="auto"/>
          <w:sz w:val="28"/>
          <w:szCs w:val="28"/>
          <w:highlight w:val="none"/>
        </w:rPr>
        <w:t>日</w:t>
      </w:r>
    </w:p>
    <w:p w14:paraId="687EA3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0A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0" w:hRule="atLeast"/>
        </w:trPr>
        <w:tc>
          <w:tcPr>
            <w:tcW w:w="9060" w:type="dxa"/>
          </w:tcPr>
          <w:p w14:paraId="4448D826">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44444298">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574D421">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61E786A">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4975C584">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40"/>
                <w:szCs w:val="40"/>
                <w:highlight w:val="none"/>
                <w:vertAlign w:val="baseline"/>
                <w:lang w:val="en-US" w:eastAsia="zh-CN"/>
              </w:rPr>
              <w:t>长安镇厦岗生活垃圾填埋场存量垃圾综合整治项目-安防监控系统工程</w:t>
            </w:r>
            <w:r>
              <w:rPr>
                <w:rFonts w:hint="default" w:ascii="Times New Roman" w:hAnsi="Times New Roman" w:eastAsia="宋体" w:cs="Times New Roman"/>
                <w:b w:val="0"/>
                <w:bCs w:val="0"/>
                <w:color w:val="auto"/>
                <w:sz w:val="28"/>
                <w:szCs w:val="28"/>
                <w:highlight w:val="none"/>
                <w:vertAlign w:val="baseline"/>
                <w:lang w:val="en-US" w:eastAsia="zh-CN"/>
              </w:rPr>
              <w:t xml:space="preserve"> </w:t>
            </w:r>
          </w:p>
          <w:p w14:paraId="634C8E23">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7DDDDA1C">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报价文件</w:t>
            </w:r>
          </w:p>
          <w:p w14:paraId="1E2305F8">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2E8DD4E">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 正本 / 副本 ）</w:t>
            </w:r>
          </w:p>
          <w:p w14:paraId="0B96E4F9">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3324E3E0">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0EB6E91D">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44EC738">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2F589C5A">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2D02E5C2">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u w:val="singl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报价人：</w:t>
            </w:r>
            <w:r>
              <w:rPr>
                <w:rFonts w:hint="default" w:ascii="Times New Roman" w:hAnsi="Times New Roman" w:eastAsia="宋体" w:cs="Times New Roman"/>
                <w:b w:val="0"/>
                <w:bCs w:val="0"/>
                <w:color w:val="auto"/>
                <w:sz w:val="28"/>
                <w:szCs w:val="28"/>
                <w:highlight w:val="none"/>
                <w:u w:val="single"/>
                <w:vertAlign w:val="baseline"/>
                <w:lang w:val="en-US" w:eastAsia="zh-CN"/>
              </w:rPr>
              <w:t xml:space="preserve">                          </w:t>
            </w:r>
          </w:p>
          <w:p w14:paraId="5A83EA32">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报价时间：</w:t>
            </w:r>
            <w:r>
              <w:rPr>
                <w:rFonts w:hint="default" w:ascii="Times New Roman" w:hAnsi="Times New Roman" w:eastAsia="宋体" w:cs="Times New Roman"/>
                <w:b w:val="0"/>
                <w:bCs w:val="0"/>
                <w:color w:val="auto"/>
                <w:sz w:val="28"/>
                <w:szCs w:val="28"/>
                <w:highlight w:val="none"/>
                <w:u w:val="single"/>
                <w:vertAlign w:val="baseline"/>
                <w:lang w:val="en-US" w:eastAsia="zh-CN"/>
              </w:rPr>
              <w:t xml:space="preserve">                          </w:t>
            </w:r>
          </w:p>
        </w:tc>
      </w:tr>
    </w:tbl>
    <w:p w14:paraId="383CC65A">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p w14:paraId="393F6E72">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一、</w:t>
      </w:r>
      <w:r>
        <w:rPr>
          <w:rFonts w:hint="default" w:ascii="Times New Roman" w:hAnsi="Times New Roman" w:eastAsia="宋体" w:cs="Times New Roman"/>
          <w:b w:val="0"/>
          <w:bCs w:val="0"/>
          <w:color w:val="auto"/>
          <w:sz w:val="28"/>
          <w:szCs w:val="28"/>
          <w:highlight w:val="none"/>
        </w:rPr>
        <w:t>报价函</w:t>
      </w:r>
    </w:p>
    <w:p w14:paraId="21193846">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eastAsia="zh-CN"/>
        </w:rPr>
      </w:pPr>
    </w:p>
    <w:p w14:paraId="2FE97D78">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rPr>
        <w:t>报价</w:t>
      </w:r>
      <w:r>
        <w:rPr>
          <w:rFonts w:hint="default" w:ascii="Times New Roman" w:hAnsi="Times New Roman" w:eastAsia="宋体" w:cs="Times New Roman"/>
          <w:b w:val="0"/>
          <w:bCs w:val="0"/>
          <w:color w:val="auto"/>
          <w:sz w:val="28"/>
          <w:szCs w:val="28"/>
          <w:highlight w:val="none"/>
          <w:lang w:val="en-US" w:eastAsia="zh-CN"/>
        </w:rPr>
        <w:t>函</w:t>
      </w:r>
    </w:p>
    <w:p w14:paraId="119A819A">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eastAsia="zh-CN"/>
        </w:rPr>
      </w:pPr>
    </w:p>
    <w:p w14:paraId="3DAA963D">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东莞市新东湾环保投资有限公司</w:t>
      </w:r>
      <w:r>
        <w:rPr>
          <w:rFonts w:hint="default" w:ascii="Times New Roman" w:hAnsi="Times New Roman" w:eastAsia="宋体" w:cs="Times New Roman"/>
          <w:b w:val="0"/>
          <w:bCs w:val="0"/>
          <w:color w:val="auto"/>
          <w:sz w:val="28"/>
          <w:szCs w:val="28"/>
          <w:highlight w:val="none"/>
        </w:rPr>
        <w:t>：</w:t>
      </w:r>
    </w:p>
    <w:p w14:paraId="5C2DAC86">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针对贵司关于</w:t>
      </w:r>
      <w:r>
        <w:rPr>
          <w:rFonts w:hint="default" w:ascii="Times New Roman" w:hAnsi="Times New Roman" w:eastAsia="宋体" w:cs="Times New Roman"/>
          <w:b w:val="0"/>
          <w:bCs w:val="0"/>
          <w:color w:val="auto"/>
          <w:sz w:val="28"/>
          <w:szCs w:val="28"/>
          <w:highlight w:val="none"/>
          <w:u w:val="single"/>
          <w:lang w:val="en-US" w:eastAsia="zh-CN"/>
        </w:rPr>
        <w:t>长安镇厦岗生活垃圾填埋场存量垃圾综合整治项目-安防监控系统工程</w:t>
      </w:r>
      <w:r>
        <w:rPr>
          <w:rFonts w:hint="default" w:ascii="Times New Roman" w:hAnsi="Times New Roman" w:eastAsia="宋体" w:cs="Times New Roman"/>
          <w:b w:val="0"/>
          <w:bCs w:val="0"/>
          <w:color w:val="auto"/>
          <w:sz w:val="28"/>
          <w:szCs w:val="28"/>
          <w:highlight w:val="none"/>
        </w:rPr>
        <w:t>，我司愿意以</w:t>
      </w:r>
      <w:r>
        <w:rPr>
          <w:rFonts w:hint="default" w:ascii="Times New Roman" w:hAnsi="Times New Roman" w:eastAsia="宋体" w:cs="Times New Roman"/>
          <w:b/>
          <w:bCs/>
          <w:color w:val="auto"/>
          <w:sz w:val="28"/>
          <w:szCs w:val="28"/>
          <w:highlight w:val="none"/>
          <w:lang w:val="en-US" w:eastAsia="zh-CN"/>
        </w:rPr>
        <w:t>不含税</w:t>
      </w:r>
      <w:r>
        <w:rPr>
          <w:rFonts w:hint="default" w:ascii="Times New Roman" w:hAnsi="Times New Roman" w:eastAsia="宋体" w:cs="Times New Roman"/>
          <w:b w:val="0"/>
          <w:bCs w:val="0"/>
          <w:color w:val="auto"/>
          <w:sz w:val="28"/>
          <w:szCs w:val="28"/>
          <w:highlight w:val="none"/>
          <w:u w:val="none"/>
          <w:lang w:val="en-US" w:eastAsia="zh-CN"/>
        </w:rPr>
        <w:t>下浮</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u w:val="none"/>
          <w:lang w:val="en-US" w:eastAsia="zh-CN"/>
        </w:rPr>
        <w:t>%</w:t>
      </w:r>
      <w:r>
        <w:rPr>
          <w:rFonts w:hint="eastAsia" w:eastAsia="宋体" w:cs="Times New Roman"/>
          <w:b w:val="0"/>
          <w:bCs w:val="0"/>
          <w:color w:val="auto"/>
          <w:sz w:val="28"/>
          <w:szCs w:val="28"/>
          <w:highlight w:val="none"/>
          <w:u w:val="none"/>
          <w:lang w:val="en-US" w:eastAsia="zh-CN"/>
        </w:rPr>
        <w:t>（税率</w:t>
      </w:r>
      <w:r>
        <w:rPr>
          <w:rFonts w:hint="eastAsia" w:eastAsia="宋体" w:cs="Times New Roman"/>
          <w:b w:val="0"/>
          <w:bCs w:val="0"/>
          <w:color w:val="auto"/>
          <w:sz w:val="28"/>
          <w:szCs w:val="28"/>
          <w:highlight w:val="none"/>
          <w:u w:val="single"/>
          <w:lang w:val="en-US" w:eastAsia="zh-CN"/>
        </w:rPr>
        <w:t xml:space="preserve">   </w:t>
      </w:r>
      <w:r>
        <w:rPr>
          <w:rFonts w:hint="eastAsia" w:eastAsia="宋体" w:cs="Times New Roman"/>
          <w:b w:val="0"/>
          <w:bCs w:val="0"/>
          <w:color w:val="auto"/>
          <w:sz w:val="28"/>
          <w:szCs w:val="28"/>
          <w:highlight w:val="none"/>
          <w:u w:val="none"/>
          <w:lang w:val="en-US" w:eastAsia="zh-CN"/>
        </w:rPr>
        <w:t>%）</w:t>
      </w:r>
      <w:r>
        <w:rPr>
          <w:rFonts w:hint="default" w:ascii="Times New Roman" w:hAnsi="Times New Roman" w:eastAsia="宋体" w:cs="Times New Roman"/>
          <w:b w:val="0"/>
          <w:bCs w:val="0"/>
          <w:color w:val="auto"/>
          <w:sz w:val="28"/>
          <w:szCs w:val="28"/>
          <w:highlight w:val="none"/>
        </w:rPr>
        <w:t>承接此项目。</w:t>
      </w:r>
    </w:p>
    <w:p w14:paraId="1F8A3762">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6369556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BDA7449">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4422724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60113A0E">
      <w:pPr>
        <w:pStyle w:val="2"/>
        <w:keepNext w:val="0"/>
        <w:keepLines w:val="0"/>
        <w:pageBreakBefore w:val="0"/>
        <w:kinsoku/>
        <w:wordWrap/>
        <w:topLinePunct w:val="0"/>
        <w:bidi w:val="0"/>
        <w:ind w:left="0" w:leftChars="0" w:firstLine="560" w:firstLineChars="200"/>
        <w:outlineLvl w:val="9"/>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法定代表人或受委托人（签名或盖章）：</w:t>
      </w:r>
    </w:p>
    <w:p w14:paraId="57065DC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联系人：</w:t>
      </w:r>
    </w:p>
    <w:p w14:paraId="3CDACAA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联系电话：</w:t>
      </w:r>
    </w:p>
    <w:p w14:paraId="1E655C2D">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日期：</w:t>
      </w:r>
    </w:p>
    <w:p w14:paraId="341D4792">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val="en-US" w:eastAsia="zh-CN"/>
        </w:rPr>
      </w:pPr>
    </w:p>
    <w:p w14:paraId="69A79237">
      <w:pPr>
        <w:rPr>
          <w:rFonts w:hint="default" w:ascii="Times New Roman" w:hAnsi="Times New Roman" w:eastAsia="宋体" w:cs="Times New Roman"/>
          <w:b w:val="0"/>
          <w:bCs w:val="0"/>
          <w:color w:val="auto"/>
          <w:sz w:val="28"/>
          <w:szCs w:val="28"/>
          <w:highlight w:val="none"/>
          <w:lang w:val="en-US" w:eastAsia="zh-CN"/>
        </w:rPr>
      </w:pPr>
      <w:bookmarkStart w:id="3" w:name="_Hlk524442005"/>
      <w:r>
        <w:rPr>
          <w:rFonts w:hint="default" w:ascii="Times New Roman" w:hAnsi="Times New Roman" w:eastAsia="宋体" w:cs="Times New Roman"/>
          <w:b w:val="0"/>
          <w:bCs w:val="0"/>
          <w:color w:val="auto"/>
          <w:sz w:val="28"/>
          <w:szCs w:val="28"/>
          <w:highlight w:val="none"/>
          <w:lang w:val="en-US" w:eastAsia="zh-CN"/>
        </w:rPr>
        <w:br w:type="page"/>
      </w:r>
    </w:p>
    <w:p w14:paraId="77E62EFF">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二、法定代表人身份证明书及法定代表人身份证复印件</w:t>
      </w:r>
    </w:p>
    <w:p w14:paraId="53C0340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5D98C35">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法定代表人身份证明书</w:t>
      </w:r>
    </w:p>
    <w:p w14:paraId="382A934C">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val="en-US" w:eastAsia="zh-CN"/>
        </w:rPr>
      </w:pPr>
    </w:p>
    <w:p w14:paraId="09CB4097">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东莞市新东湾环保投资有限公司</w:t>
      </w:r>
      <w:r>
        <w:rPr>
          <w:rFonts w:hint="default" w:ascii="Times New Roman" w:hAnsi="Times New Roman" w:eastAsia="宋体" w:cs="Times New Roman"/>
          <w:b w:val="0"/>
          <w:bCs w:val="0"/>
          <w:color w:val="auto"/>
          <w:sz w:val="28"/>
          <w:szCs w:val="28"/>
          <w:highlight w:val="none"/>
        </w:rPr>
        <w:t>：</w:t>
      </w:r>
    </w:p>
    <w:p w14:paraId="009205F4">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本证明书声明：注册于</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（国家名称）的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名称）在下面签字的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（法定代表人姓名、职务）为本公司的合法代表人（须附法定代表人身份证复印件）。</w:t>
      </w:r>
    </w:p>
    <w:p w14:paraId="313B7756">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特此证明</w:t>
      </w:r>
    </w:p>
    <w:p w14:paraId="6A02254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409B8ECB">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5F4BDE61">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地址：</w:t>
      </w:r>
    </w:p>
    <w:p w14:paraId="44262C5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法定代表人（签名或盖私章）：</w:t>
      </w:r>
    </w:p>
    <w:p w14:paraId="62A36E5A">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4411FFEA">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59E97D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CEA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4B72E4F2">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法定代表人身份证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正面</w:t>
            </w:r>
            <w:r>
              <w:rPr>
                <w:rFonts w:hint="default" w:ascii="Times New Roman" w:hAnsi="Times New Roman" w:eastAsia="宋体" w:cs="Times New Roman"/>
                <w:b w:val="0"/>
                <w:bCs w:val="0"/>
                <w:color w:val="auto"/>
                <w:sz w:val="28"/>
                <w:szCs w:val="28"/>
                <w:highlight w:val="none"/>
                <w:lang w:eastAsia="zh-CN"/>
              </w:rPr>
              <w:t>）</w:t>
            </w:r>
          </w:p>
        </w:tc>
        <w:tc>
          <w:tcPr>
            <w:tcW w:w="4530" w:type="dxa"/>
          </w:tcPr>
          <w:p w14:paraId="41F4FD64">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反面</w:t>
            </w:r>
            <w:r>
              <w:rPr>
                <w:rFonts w:hint="default" w:ascii="Times New Roman" w:hAnsi="Times New Roman" w:eastAsia="宋体" w:cs="Times New Roman"/>
                <w:b w:val="0"/>
                <w:bCs w:val="0"/>
                <w:color w:val="auto"/>
                <w:sz w:val="28"/>
                <w:szCs w:val="28"/>
                <w:highlight w:val="none"/>
                <w:lang w:eastAsia="zh-CN"/>
              </w:rPr>
              <w:t>）</w:t>
            </w:r>
          </w:p>
        </w:tc>
      </w:tr>
      <w:tr w14:paraId="1414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4530" w:type="dxa"/>
          </w:tcPr>
          <w:p w14:paraId="778A301B">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c>
          <w:tcPr>
            <w:tcW w:w="4530" w:type="dxa"/>
          </w:tcPr>
          <w:p w14:paraId="17E73907">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r>
    </w:tbl>
    <w:p w14:paraId="5885DDA4">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66DB878F">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1B18BF61">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p w14:paraId="324F6599">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bookmarkStart w:id="4" w:name="_Toc384752807"/>
      <w:r>
        <w:rPr>
          <w:rFonts w:hint="default" w:ascii="Times New Roman" w:hAnsi="Times New Roman" w:eastAsia="宋体" w:cs="Times New Roman"/>
          <w:b w:val="0"/>
          <w:bCs w:val="0"/>
          <w:color w:val="auto"/>
          <w:sz w:val="28"/>
          <w:szCs w:val="28"/>
          <w:highlight w:val="none"/>
          <w:lang w:val="en-US" w:eastAsia="zh-CN"/>
        </w:rPr>
        <w:t>三、授权委托书</w:t>
      </w:r>
      <w:bookmarkEnd w:id="4"/>
      <w:r>
        <w:rPr>
          <w:rFonts w:hint="default" w:ascii="Times New Roman" w:hAnsi="Times New Roman" w:eastAsia="宋体" w:cs="Times New Roman"/>
          <w:b w:val="0"/>
          <w:bCs w:val="0"/>
          <w:color w:val="auto"/>
          <w:sz w:val="28"/>
          <w:szCs w:val="28"/>
          <w:highlight w:val="none"/>
          <w:lang w:val="en-US" w:eastAsia="zh-CN"/>
        </w:rPr>
        <w:t>及身份证复印件</w:t>
      </w:r>
    </w:p>
    <w:p w14:paraId="69C82911">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val="en-US" w:eastAsia="zh-CN"/>
        </w:rPr>
      </w:pPr>
    </w:p>
    <w:p w14:paraId="500DB96C">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授权委托书</w:t>
      </w:r>
    </w:p>
    <w:p w14:paraId="500EAB0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hint="default" w:ascii="Times New Roman" w:hAnsi="Times New Roman" w:eastAsia="宋体" w:cs="Times New Roman"/>
          <w:b w:val="0"/>
          <w:bCs w:val="0"/>
          <w:color w:val="auto"/>
          <w:sz w:val="28"/>
          <w:szCs w:val="28"/>
          <w:highlight w:val="none"/>
          <w:lang w:val="en-US" w:eastAsia="zh-CN"/>
        </w:rPr>
      </w:pPr>
    </w:p>
    <w:p w14:paraId="7517AD4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东莞市新东湾环保投资有限公司</w:t>
      </w:r>
      <w:r>
        <w:rPr>
          <w:rFonts w:hint="default" w:ascii="Times New Roman" w:hAnsi="Times New Roman" w:eastAsia="宋体" w:cs="Times New Roman"/>
          <w:b w:val="0"/>
          <w:bCs w:val="0"/>
          <w:color w:val="auto"/>
          <w:sz w:val="28"/>
          <w:szCs w:val="28"/>
          <w:highlight w:val="none"/>
        </w:rPr>
        <w:t>：</w:t>
      </w:r>
    </w:p>
    <w:p w14:paraId="678BE8B2">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本委托书声明：在下面签字的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（填写法定代表人姓名、职务）代表</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（填写</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名称）委托在下面签字的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（填写受委托人的姓名、职务）为本公司的合法代表人，就</w:t>
      </w:r>
      <w:r>
        <w:rPr>
          <w:rFonts w:hint="default" w:ascii="Times New Roman" w:hAnsi="Times New Roman" w:eastAsia="宋体" w:cs="Times New Roman"/>
          <w:b w:val="0"/>
          <w:bCs w:val="0"/>
          <w:color w:val="auto"/>
          <w:sz w:val="28"/>
          <w:szCs w:val="28"/>
          <w:highlight w:val="none"/>
          <w:u w:val="single"/>
          <w:lang w:eastAsia="zh-CN"/>
        </w:rPr>
        <w:t>长安镇厦岗生活垃圾填埋场存量垃圾综合整治项目-安防监控系统工程</w:t>
      </w:r>
      <w:r>
        <w:rPr>
          <w:rFonts w:hint="default" w:ascii="Times New Roman" w:hAnsi="Times New Roman" w:eastAsia="宋体" w:cs="Times New Roman"/>
          <w:b w:val="0"/>
          <w:bCs w:val="0"/>
          <w:color w:val="auto"/>
          <w:sz w:val="28"/>
          <w:szCs w:val="28"/>
          <w:highlight w:val="none"/>
        </w:rPr>
        <w:t>等相关供货及服务的报价、谈判和合同的签订、执行，以我方的名义处理一切与之有关的事宜（相关身份证复印件须附后）。</w:t>
      </w:r>
    </w:p>
    <w:p w14:paraId="0B25A81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本委托书于</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日至</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 xml:space="preserve"> 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日签字生效，特此声明。（有效期不得少于90个日历日）</w:t>
      </w:r>
    </w:p>
    <w:p w14:paraId="398B88E3">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p>
    <w:p w14:paraId="58D445DA">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140D1755">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地址：</w:t>
      </w:r>
    </w:p>
    <w:p w14:paraId="3E815334">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p>
    <w:p w14:paraId="09C502C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法定代表人（签字或盖章）：</w:t>
      </w:r>
    </w:p>
    <w:p w14:paraId="2D31D74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职务：</w:t>
      </w:r>
    </w:p>
    <w:p w14:paraId="08B3FE3B">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p>
    <w:p w14:paraId="2728F12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受委托人（签字或盖章）：</w:t>
      </w:r>
    </w:p>
    <w:p w14:paraId="518B64A4">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职务：</w:t>
      </w:r>
    </w:p>
    <w:p w14:paraId="7D403B0B">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日期：</w:t>
      </w:r>
      <w:bookmarkEnd w:id="3"/>
    </w:p>
    <w:p w14:paraId="21AB5F49">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D3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009E5093">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受委托人身份证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正面</w:t>
            </w:r>
            <w:r>
              <w:rPr>
                <w:rFonts w:hint="default" w:ascii="Times New Roman" w:hAnsi="Times New Roman" w:eastAsia="宋体" w:cs="Times New Roman"/>
                <w:b w:val="0"/>
                <w:bCs w:val="0"/>
                <w:color w:val="auto"/>
                <w:sz w:val="28"/>
                <w:szCs w:val="28"/>
                <w:highlight w:val="none"/>
                <w:lang w:eastAsia="zh-CN"/>
              </w:rPr>
              <w:t>）</w:t>
            </w:r>
          </w:p>
        </w:tc>
        <w:tc>
          <w:tcPr>
            <w:tcW w:w="4530" w:type="dxa"/>
          </w:tcPr>
          <w:p w14:paraId="6C4A874E">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受委托人身份证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反面</w:t>
            </w:r>
            <w:r>
              <w:rPr>
                <w:rFonts w:hint="default" w:ascii="Times New Roman" w:hAnsi="Times New Roman" w:eastAsia="宋体" w:cs="Times New Roman"/>
                <w:b w:val="0"/>
                <w:bCs w:val="0"/>
                <w:color w:val="auto"/>
                <w:sz w:val="28"/>
                <w:szCs w:val="28"/>
                <w:highlight w:val="none"/>
                <w:lang w:eastAsia="zh-CN"/>
              </w:rPr>
              <w:t>）</w:t>
            </w:r>
          </w:p>
        </w:tc>
      </w:tr>
      <w:tr w14:paraId="391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4530" w:type="dxa"/>
          </w:tcPr>
          <w:p w14:paraId="34CE4CB0">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c>
          <w:tcPr>
            <w:tcW w:w="4530" w:type="dxa"/>
          </w:tcPr>
          <w:p w14:paraId="331FF4A9">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r>
    </w:tbl>
    <w:p w14:paraId="671234A8">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5866C49E">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p w14:paraId="5B5544B1">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四、</w:t>
      </w:r>
      <w:bookmarkStart w:id="5" w:name="_Toc4791_WPSOffice_Level1"/>
      <w:r>
        <w:rPr>
          <w:rFonts w:hint="default" w:ascii="Times New Roman" w:hAnsi="Times New Roman" w:eastAsia="宋体" w:cs="Times New Roman"/>
          <w:b w:val="0"/>
          <w:bCs w:val="0"/>
          <w:color w:val="auto"/>
          <w:sz w:val="28"/>
          <w:szCs w:val="28"/>
          <w:highlight w:val="none"/>
          <w:lang w:val="en-US" w:eastAsia="zh-CN"/>
        </w:rPr>
        <w:t>采购文件“</w:t>
      </w:r>
      <w:r>
        <w:rPr>
          <w:rFonts w:hint="default" w:ascii="Times New Roman" w:hAnsi="Times New Roman" w:eastAsia="宋体" w:cs="Times New Roman"/>
          <w:b/>
          <w:bCs/>
          <w:color w:val="auto"/>
          <w:sz w:val="28"/>
          <w:szCs w:val="28"/>
          <w:highlight w:val="none"/>
          <w:lang w:val="en-US" w:eastAsia="zh-CN"/>
        </w:rPr>
        <w:t>三、报价人资格要求</w:t>
      </w:r>
      <w:r>
        <w:rPr>
          <w:rFonts w:hint="default" w:ascii="Times New Roman" w:hAnsi="Times New Roman" w:eastAsia="宋体" w:cs="Times New Roman"/>
          <w:b w:val="0"/>
          <w:bCs w:val="0"/>
          <w:color w:val="auto"/>
          <w:sz w:val="28"/>
          <w:szCs w:val="28"/>
          <w:highlight w:val="none"/>
          <w:lang w:val="en-US" w:eastAsia="zh-CN"/>
        </w:rPr>
        <w:t>”要求证明材料</w:t>
      </w:r>
    </w:p>
    <w:p w14:paraId="11E6E8AF">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1、报价人须为在中华人民共和国境内登记注册的具有独立承担民事责任能力的法人或其他组织</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rPr>
        <w:t>（提供《营业执照》复印件）</w:t>
      </w:r>
    </w:p>
    <w:p w14:paraId="3949CC8A">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2、报价人须具有有效期内的《</w:t>
      </w:r>
      <w:r>
        <w:rPr>
          <w:rFonts w:hint="default" w:ascii="Times New Roman" w:hAnsi="Times New Roman" w:eastAsia="宋体" w:cs="Times New Roman"/>
          <w:b w:val="0"/>
          <w:bCs w:val="0"/>
          <w:color w:val="auto"/>
          <w:sz w:val="28"/>
          <w:szCs w:val="28"/>
          <w:highlight w:val="none"/>
          <w:u w:val="none"/>
          <w:lang w:eastAsia="zh-CN"/>
        </w:rPr>
        <w:t>安全生产许可证</w:t>
      </w:r>
      <w:r>
        <w:rPr>
          <w:rFonts w:hint="default" w:ascii="Times New Roman" w:hAnsi="Times New Roman" w:eastAsia="宋体" w:cs="Times New Roman"/>
          <w:b w:val="0"/>
          <w:bCs w:val="0"/>
          <w:color w:val="auto"/>
          <w:sz w:val="28"/>
          <w:szCs w:val="28"/>
          <w:highlight w:val="none"/>
          <w:u w:val="none"/>
        </w:rPr>
        <w:t>》。（提</w:t>
      </w:r>
      <w:r>
        <w:rPr>
          <w:rFonts w:hint="default" w:ascii="Times New Roman" w:hAnsi="Times New Roman" w:eastAsia="宋体" w:cs="Times New Roman"/>
          <w:b w:val="0"/>
          <w:bCs w:val="0"/>
          <w:color w:val="auto"/>
          <w:sz w:val="28"/>
          <w:szCs w:val="28"/>
          <w:highlight w:val="none"/>
          <w:u w:val="none"/>
          <w:lang w:val="en-US" w:eastAsia="zh-CN"/>
        </w:rPr>
        <w:t>证书</w:t>
      </w:r>
      <w:r>
        <w:rPr>
          <w:rFonts w:hint="default" w:ascii="Times New Roman" w:hAnsi="Times New Roman" w:eastAsia="宋体" w:cs="Times New Roman"/>
          <w:b w:val="0"/>
          <w:bCs w:val="0"/>
          <w:color w:val="auto"/>
          <w:sz w:val="28"/>
          <w:szCs w:val="28"/>
          <w:highlight w:val="none"/>
          <w:u w:val="none"/>
        </w:rPr>
        <w:t>复印件）</w:t>
      </w:r>
    </w:p>
    <w:p w14:paraId="1F33F44F">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rPr>
        <w:t>3、报价人须提供投标截止日前6个月内任意1个月的依法缴纳税收证明材料</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提供税收完税证明</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rPr>
        <w:t>。</w:t>
      </w:r>
    </w:p>
    <w:p w14:paraId="079ADD17">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4</w:t>
      </w:r>
      <w:r>
        <w:rPr>
          <w:rFonts w:hint="default" w:ascii="Times New Roman" w:hAnsi="Times New Roman" w:eastAsia="宋体" w:cs="Times New Roman"/>
          <w:b w:val="0"/>
          <w:bCs w:val="0"/>
          <w:color w:val="auto"/>
          <w:sz w:val="28"/>
          <w:szCs w:val="28"/>
          <w:highlight w:val="none"/>
          <w:u w:val="none"/>
        </w:rPr>
        <w:t>、报价人须提供公司无欠税证明材料。</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w:t>
      </w:r>
      <w:r>
        <w:rPr>
          <w:rFonts w:hint="default" w:ascii="Times New Roman" w:hAnsi="Times New Roman" w:eastAsia="宋体" w:cs="Times New Roman"/>
          <w:b w:val="0"/>
          <w:bCs w:val="0"/>
          <w:color w:val="auto"/>
          <w:sz w:val="28"/>
          <w:szCs w:val="28"/>
          <w:highlight w:val="none"/>
          <w:u w:val="none"/>
          <w:lang w:eastAsia="zh-CN"/>
        </w:rPr>
        <w:t>无欠税证明）</w:t>
      </w:r>
    </w:p>
    <w:p w14:paraId="4D01EC04">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5</w:t>
      </w:r>
      <w:r>
        <w:rPr>
          <w:rFonts w:hint="default" w:ascii="Times New Roman" w:hAnsi="Times New Roman" w:eastAsia="宋体" w:cs="Times New Roman"/>
          <w:b w:val="0"/>
          <w:bCs w:val="0"/>
          <w:color w:val="auto"/>
          <w:sz w:val="28"/>
          <w:szCs w:val="28"/>
          <w:highlight w:val="none"/>
          <w:u w:val="none"/>
        </w:rPr>
        <w:t>、报价人须具</w:t>
      </w:r>
      <w:r>
        <w:rPr>
          <w:rFonts w:hint="default" w:ascii="Times New Roman" w:hAnsi="Times New Roman" w:eastAsia="宋体" w:cs="Times New Roman"/>
          <w:b w:val="0"/>
          <w:bCs w:val="0"/>
          <w:color w:val="auto"/>
          <w:sz w:val="28"/>
          <w:szCs w:val="28"/>
          <w:highlight w:val="none"/>
          <w:u w:val="none"/>
          <w:lang w:val="en-US" w:eastAsia="zh-CN"/>
        </w:rPr>
        <w:t>2023年1月1日至今</w:t>
      </w:r>
      <w:r>
        <w:rPr>
          <w:rFonts w:hint="default" w:ascii="Times New Roman" w:hAnsi="Times New Roman" w:eastAsia="宋体" w:cs="Times New Roman"/>
          <w:b w:val="0"/>
          <w:bCs w:val="0"/>
          <w:color w:val="auto"/>
          <w:sz w:val="28"/>
          <w:szCs w:val="28"/>
          <w:highlight w:val="none"/>
          <w:u w:val="none"/>
        </w:rPr>
        <w:t>类似项目业绩经验</w:t>
      </w:r>
      <w:r>
        <w:rPr>
          <w:rFonts w:hint="default" w:ascii="Times New Roman" w:hAnsi="Times New Roman" w:eastAsia="宋体" w:cs="Times New Roman"/>
          <w:b w:val="0"/>
          <w:bCs w:val="0"/>
          <w:color w:val="auto"/>
          <w:sz w:val="28"/>
          <w:szCs w:val="28"/>
          <w:highlight w:val="none"/>
          <w:u w:val="none"/>
          <w:lang w:val="en-US" w:eastAsia="zh-CN"/>
        </w:rPr>
        <w:t>2个。</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提供合同展示内容需要体现：甲方双方名称、项目名称、合同金额、合同签署日期、合同期内开具的专用发票</w:t>
      </w:r>
      <w:r>
        <w:rPr>
          <w:rFonts w:hint="default" w:ascii="Times New Roman" w:hAnsi="Times New Roman" w:eastAsia="宋体" w:cs="Times New Roman"/>
          <w:b w:val="0"/>
          <w:bCs w:val="0"/>
          <w:color w:val="auto"/>
          <w:sz w:val="28"/>
          <w:szCs w:val="28"/>
          <w:highlight w:val="none"/>
          <w:u w:val="none"/>
          <w:lang w:eastAsia="zh-CN"/>
        </w:rPr>
        <w:t>）</w:t>
      </w:r>
    </w:p>
    <w:p w14:paraId="1AA20A04">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6</w:t>
      </w:r>
      <w:r>
        <w:rPr>
          <w:rFonts w:hint="default" w:ascii="Times New Roman" w:hAnsi="Times New Roman" w:eastAsia="宋体" w:cs="Times New Roman"/>
          <w:b w:val="0"/>
          <w:bCs w:val="0"/>
          <w:color w:val="auto"/>
          <w:sz w:val="28"/>
          <w:szCs w:val="28"/>
          <w:highlight w:val="none"/>
          <w:u w:val="none"/>
        </w:rPr>
        <w:t>、未被列入采购人及上级企业相关领域黑名单。</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采购人查询</w:t>
      </w:r>
      <w:r>
        <w:rPr>
          <w:rFonts w:hint="eastAsia" w:ascii="Times New Roman" w:hAnsi="Times New Roman" w:eastAsia="宋体" w:cs="Times New Roman"/>
          <w:b w:val="0"/>
          <w:bCs w:val="0"/>
          <w:color w:val="auto"/>
          <w:sz w:val="28"/>
          <w:szCs w:val="28"/>
          <w:highlight w:val="none"/>
          <w:u w:val="none"/>
          <w:lang w:val="en-US" w:eastAsia="zh-CN"/>
        </w:rPr>
        <w:t>，报价人不需要提供资料</w:t>
      </w:r>
      <w:r>
        <w:rPr>
          <w:rFonts w:hint="default" w:ascii="Times New Roman" w:hAnsi="Times New Roman" w:eastAsia="宋体" w:cs="Times New Roman"/>
          <w:b w:val="0"/>
          <w:bCs w:val="0"/>
          <w:color w:val="auto"/>
          <w:sz w:val="28"/>
          <w:szCs w:val="28"/>
          <w:highlight w:val="none"/>
          <w:u w:val="none"/>
          <w:lang w:eastAsia="zh-CN"/>
        </w:rPr>
        <w:t>）</w:t>
      </w:r>
    </w:p>
    <w:p w14:paraId="483F4B6D">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7</w:t>
      </w:r>
      <w:r>
        <w:rPr>
          <w:rFonts w:hint="default" w:ascii="Times New Roman" w:hAnsi="Times New Roman" w:eastAsia="宋体" w:cs="Times New Roman"/>
          <w:b w:val="0"/>
          <w:bCs w:val="0"/>
          <w:color w:val="auto"/>
          <w:sz w:val="28"/>
          <w:szCs w:val="28"/>
          <w:highlight w:val="none"/>
          <w:u w:val="none"/>
        </w:rPr>
        <w:t>、本项目不接受联合体报价。</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提供相关承诺函</w:t>
      </w:r>
      <w:r>
        <w:rPr>
          <w:rFonts w:hint="default" w:ascii="Times New Roman" w:hAnsi="Times New Roman" w:eastAsia="宋体" w:cs="Times New Roman"/>
          <w:b w:val="0"/>
          <w:bCs w:val="0"/>
          <w:color w:val="auto"/>
          <w:sz w:val="28"/>
          <w:szCs w:val="28"/>
          <w:highlight w:val="none"/>
          <w:u w:val="none"/>
          <w:lang w:eastAsia="zh-CN"/>
        </w:rPr>
        <w:t>）</w:t>
      </w:r>
    </w:p>
    <w:p w14:paraId="588DD0A7">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p>
    <w:p w14:paraId="12DC88F0">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p>
    <w:p w14:paraId="5CA88669">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p>
    <w:p w14:paraId="4786AF3F">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p>
    <w:p w14:paraId="6146ABCC">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bCs/>
          <w:color w:val="auto"/>
          <w:sz w:val="28"/>
          <w:szCs w:val="28"/>
          <w:highlight w:val="none"/>
          <w:lang w:val="en-US" w:eastAsia="zh-CN"/>
        </w:rPr>
        <w:t>说明：</w:t>
      </w:r>
      <w:r>
        <w:rPr>
          <w:rFonts w:hint="default" w:ascii="Times New Roman" w:hAnsi="Times New Roman" w:eastAsia="宋体" w:cs="Times New Roman"/>
          <w:b w:val="0"/>
          <w:bCs w:val="0"/>
          <w:color w:val="auto"/>
          <w:sz w:val="28"/>
          <w:szCs w:val="28"/>
          <w:highlight w:val="none"/>
          <w:lang w:val="en-US" w:eastAsia="zh-CN"/>
        </w:rPr>
        <w:t>请在报价文件中提供上述所有相关证明材料并加盖公章，证明</w:t>
      </w:r>
      <w:r>
        <w:rPr>
          <w:rFonts w:hint="default" w:ascii="Times New Roman" w:hAnsi="Times New Roman" w:eastAsia="宋体" w:cs="Times New Roman"/>
          <w:b w:val="0"/>
          <w:bCs w:val="0"/>
          <w:color w:val="auto"/>
          <w:sz w:val="28"/>
          <w:szCs w:val="28"/>
          <w:highlight w:val="none"/>
          <w:u w:val="none"/>
          <w:lang w:val="en-US" w:eastAsia="zh-CN"/>
        </w:rPr>
        <w:t>材料缺少或证明材料不符合采购要求的视为无效报价。</w:t>
      </w:r>
    </w:p>
    <w:p w14:paraId="2012308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bCs/>
          <w:color w:val="auto"/>
          <w:sz w:val="28"/>
          <w:szCs w:val="28"/>
          <w:highlight w:val="none"/>
        </w:rPr>
      </w:pPr>
    </w:p>
    <w:p w14:paraId="78778ED9">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br w:type="page"/>
      </w:r>
    </w:p>
    <w:p w14:paraId="022016D0">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bCs/>
          <w:color w:val="auto"/>
          <w:sz w:val="28"/>
          <w:szCs w:val="28"/>
          <w:highlight w:val="none"/>
          <w:u w:val="none"/>
          <w:lang w:val="en-US" w:eastAsia="zh-CN"/>
        </w:rPr>
      </w:pPr>
      <w:r>
        <w:rPr>
          <w:rFonts w:hint="default" w:ascii="Times New Roman" w:hAnsi="Times New Roman" w:eastAsia="宋体" w:cs="Times New Roman"/>
          <w:b/>
          <w:bCs/>
          <w:color w:val="auto"/>
          <w:sz w:val="28"/>
          <w:szCs w:val="28"/>
          <w:highlight w:val="none"/>
          <w:u w:val="none"/>
          <w:lang w:val="en-US" w:eastAsia="zh-CN"/>
        </w:rPr>
        <w:t>税收完税证明查询图例</w:t>
      </w:r>
    </w:p>
    <w:p w14:paraId="288670AB">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lang w:eastAsia="zh-CN"/>
        </w:rPr>
        <w:drawing>
          <wp:inline distT="0" distB="0" distL="114300" distR="114300">
            <wp:extent cx="4342765" cy="3376295"/>
            <wp:effectExtent l="9525" t="9525" r="10160" b="24130"/>
            <wp:docPr id="2" name="图片 2" descr="175204446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2044469347"/>
                    <pic:cNvPicPr>
                      <a:picLocks noChangeAspect="1"/>
                    </pic:cNvPicPr>
                  </pic:nvPicPr>
                  <pic:blipFill>
                    <a:blip r:embed="rId8"/>
                    <a:stretch>
                      <a:fillRect/>
                    </a:stretch>
                  </pic:blipFill>
                  <pic:spPr>
                    <a:xfrm>
                      <a:off x="0" y="0"/>
                      <a:ext cx="4342765" cy="3376295"/>
                    </a:xfrm>
                    <a:prstGeom prst="rect">
                      <a:avLst/>
                    </a:prstGeom>
                    <a:ln>
                      <a:solidFill>
                        <a:schemeClr val="tx1"/>
                      </a:solidFill>
                    </a:ln>
                  </pic:spPr>
                </pic:pic>
              </a:graphicData>
            </a:graphic>
          </wp:inline>
        </w:drawing>
      </w:r>
    </w:p>
    <w:p w14:paraId="3EDB721B">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bCs/>
          <w:color w:val="auto"/>
          <w:sz w:val="28"/>
          <w:szCs w:val="28"/>
          <w:highlight w:val="none"/>
          <w:u w:val="none"/>
        </w:rPr>
      </w:pPr>
    </w:p>
    <w:p w14:paraId="41A736CC">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bCs/>
          <w:color w:val="auto"/>
          <w:sz w:val="28"/>
          <w:szCs w:val="28"/>
          <w:highlight w:val="none"/>
          <w:u w:val="none"/>
          <w:lang w:val="en-US" w:eastAsia="zh-CN"/>
        </w:rPr>
      </w:pPr>
      <w:r>
        <w:rPr>
          <w:rFonts w:hint="default" w:ascii="Times New Roman" w:hAnsi="Times New Roman" w:eastAsia="宋体" w:cs="Times New Roman"/>
          <w:b/>
          <w:bCs/>
          <w:color w:val="auto"/>
          <w:sz w:val="28"/>
          <w:szCs w:val="28"/>
          <w:highlight w:val="none"/>
          <w:u w:val="none"/>
        </w:rPr>
        <w:t>无欠税证明</w:t>
      </w:r>
      <w:r>
        <w:rPr>
          <w:rFonts w:hint="default" w:ascii="Times New Roman" w:hAnsi="Times New Roman" w:eastAsia="宋体" w:cs="Times New Roman"/>
          <w:b/>
          <w:bCs/>
          <w:color w:val="auto"/>
          <w:sz w:val="28"/>
          <w:szCs w:val="28"/>
          <w:highlight w:val="none"/>
          <w:u w:val="none"/>
          <w:lang w:val="en-US" w:eastAsia="zh-CN"/>
        </w:rPr>
        <w:t>查询图例</w:t>
      </w:r>
    </w:p>
    <w:p w14:paraId="1595DD13">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eastAsia="zh-CN"/>
        </w:rPr>
        <w:drawing>
          <wp:inline distT="0" distB="0" distL="114300" distR="114300">
            <wp:extent cx="5267960" cy="4219575"/>
            <wp:effectExtent l="9525" t="9525" r="18415" b="19050"/>
            <wp:docPr id="3" name="图片 3" descr="175204458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2044587324"/>
                    <pic:cNvPicPr>
                      <a:picLocks noChangeAspect="1"/>
                    </pic:cNvPicPr>
                  </pic:nvPicPr>
                  <pic:blipFill>
                    <a:blip r:embed="rId9"/>
                    <a:stretch>
                      <a:fillRect/>
                    </a:stretch>
                  </pic:blipFill>
                  <pic:spPr>
                    <a:xfrm>
                      <a:off x="0" y="0"/>
                      <a:ext cx="5267960" cy="4219575"/>
                    </a:xfrm>
                    <a:prstGeom prst="rect">
                      <a:avLst/>
                    </a:prstGeom>
                    <a:ln>
                      <a:solidFill>
                        <a:schemeClr val="tx1"/>
                      </a:solidFill>
                    </a:ln>
                  </pic:spPr>
                </pic:pic>
              </a:graphicData>
            </a:graphic>
          </wp:inline>
        </w:drawing>
      </w:r>
    </w:p>
    <w:p w14:paraId="699EFF55">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5D8A021F">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五、承诺函</w:t>
      </w:r>
    </w:p>
    <w:p w14:paraId="7FE88AEA">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承诺函</w:t>
      </w:r>
    </w:p>
    <w:p w14:paraId="324F40B9">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p>
    <w:p w14:paraId="4335FDE0">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东莞市新东湾环保投资有限公司：</w:t>
      </w:r>
    </w:p>
    <w:p w14:paraId="545AADBB">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我司就参加</w:t>
      </w:r>
      <w:r>
        <w:rPr>
          <w:rFonts w:hint="default" w:ascii="Times New Roman" w:hAnsi="Times New Roman" w:eastAsia="宋体" w:cs="Times New Roman"/>
          <w:b w:val="0"/>
          <w:bCs w:val="0"/>
          <w:color w:val="auto"/>
          <w:sz w:val="28"/>
          <w:szCs w:val="28"/>
          <w:highlight w:val="none"/>
          <w:u w:val="single"/>
          <w:lang w:eastAsia="zh-CN"/>
        </w:rPr>
        <w:t>长安镇厦岗生活垃圾填埋场存量垃圾综合整治项目-安防监控系统工程</w:t>
      </w: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工作，作出以下承诺：</w:t>
      </w:r>
    </w:p>
    <w:p w14:paraId="1EF71F35">
      <w:pPr>
        <w:keepNext w:val="0"/>
        <w:keepLines w:val="0"/>
        <w:pageBreakBefore w:val="0"/>
        <w:numPr>
          <w:ilvl w:val="0"/>
          <w:numId w:val="2"/>
        </w:numPr>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我公司已充分了解采购项目情况，本次报价完全响应询价文件的要求，我公司所提供的</w:t>
      </w:r>
      <w:r>
        <w:rPr>
          <w:rFonts w:hint="default" w:ascii="Times New Roman" w:hAnsi="Times New Roman" w:eastAsia="宋体" w:cs="Times New Roman"/>
          <w:b w:val="0"/>
          <w:bCs w:val="0"/>
          <w:color w:val="auto"/>
          <w:sz w:val="28"/>
          <w:szCs w:val="28"/>
          <w:highlight w:val="none"/>
          <w:u w:val="single"/>
          <w:lang w:eastAsia="zh-CN"/>
        </w:rPr>
        <w:t>长安镇厦岗生活垃圾填埋场存量垃圾综合整治项目-安防监控系统工程</w:t>
      </w:r>
      <w:r>
        <w:rPr>
          <w:rFonts w:hint="default" w:ascii="Times New Roman" w:hAnsi="Times New Roman" w:eastAsia="宋体" w:cs="Times New Roman"/>
          <w:b w:val="0"/>
          <w:bCs w:val="0"/>
          <w:color w:val="auto"/>
          <w:sz w:val="28"/>
          <w:szCs w:val="28"/>
          <w:highlight w:val="none"/>
        </w:rPr>
        <w:t>（服务内容）等于或优于采购人需求，并承诺如不满足采购人需求，采购人有权取消合同并进行违约处罚。</w:t>
      </w:r>
    </w:p>
    <w:p w14:paraId="2EF520B7">
      <w:pPr>
        <w:keepNext w:val="0"/>
        <w:keepLines w:val="0"/>
        <w:pageBreakBefore w:val="0"/>
        <w:kinsoku/>
        <w:wordWrap/>
        <w:overflowPunct/>
        <w:topLinePunct w:val="0"/>
        <w:bidi w:val="0"/>
        <w:snapToGrid w:val="0"/>
        <w:spacing w:line="360" w:lineRule="auto"/>
        <w:ind w:left="0" w:leftChars="0" w:firstLine="560" w:firstLineChars="200"/>
        <w:jc w:val="both"/>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lang w:val="en-US" w:eastAsia="zh-CN"/>
        </w:rPr>
        <w:t>2、我公司对该项目现场背景及现状已充分了解，对现场有充分评估，将会根据</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日的现场踏勘结果制定相应的施工方案。</w:t>
      </w:r>
    </w:p>
    <w:p w14:paraId="00CD665C">
      <w:pPr>
        <w:keepNext w:val="0"/>
        <w:keepLines w:val="0"/>
        <w:pageBreakBefore w:val="0"/>
        <w:kinsoku/>
        <w:wordWrap/>
        <w:overflowPunct/>
        <w:topLinePunct w:val="0"/>
        <w:bidi w:val="0"/>
        <w:snapToGrid w:val="0"/>
        <w:spacing w:line="360" w:lineRule="auto"/>
        <w:ind w:left="0" w:leftChars="0" w:firstLine="560" w:firstLineChars="200"/>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lang w:val="en-US" w:eastAsia="zh-CN"/>
        </w:rPr>
        <w:t>3、</w:t>
      </w:r>
      <w:r>
        <w:rPr>
          <w:rFonts w:hint="default" w:ascii="Times New Roman" w:hAnsi="Times New Roman" w:eastAsia="宋体" w:cs="Times New Roman"/>
          <w:b w:val="0"/>
          <w:bCs w:val="0"/>
          <w:color w:val="auto"/>
          <w:sz w:val="28"/>
          <w:szCs w:val="28"/>
          <w:highlight w:val="none"/>
        </w:rPr>
        <w:t>经过充分考虑，我公司愿意参与该项目的</w:t>
      </w: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，并保证若</w:t>
      </w:r>
      <w:r>
        <w:rPr>
          <w:rFonts w:hint="default" w:ascii="Times New Roman" w:hAnsi="Times New Roman" w:eastAsia="宋体" w:cs="Times New Roman"/>
          <w:b w:val="0"/>
          <w:bCs w:val="0"/>
          <w:color w:val="auto"/>
          <w:sz w:val="28"/>
          <w:szCs w:val="28"/>
          <w:highlight w:val="none"/>
          <w:lang w:val="en-US" w:eastAsia="zh-CN"/>
        </w:rPr>
        <w:t>成交</w:t>
      </w:r>
      <w:r>
        <w:rPr>
          <w:rFonts w:hint="default" w:ascii="Times New Roman" w:hAnsi="Times New Roman" w:eastAsia="宋体" w:cs="Times New Roman"/>
          <w:b w:val="0"/>
          <w:bCs w:val="0"/>
          <w:color w:val="auto"/>
          <w:sz w:val="28"/>
          <w:szCs w:val="28"/>
          <w:highlight w:val="none"/>
        </w:rPr>
        <w:t>，不以场地存在瑕疵为由拒绝签署合同或拒绝履行所约定的各项义务，不要求增加额外费用</w:t>
      </w:r>
      <w:r>
        <w:rPr>
          <w:rFonts w:hint="default" w:ascii="Times New Roman" w:hAnsi="Times New Roman" w:eastAsia="宋体" w:cs="Times New Roman"/>
          <w:b w:val="0"/>
          <w:bCs w:val="0"/>
          <w:color w:val="auto"/>
          <w:sz w:val="28"/>
          <w:szCs w:val="28"/>
          <w:highlight w:val="none"/>
          <w:lang w:eastAsia="zh-CN"/>
        </w:rPr>
        <w:t>。</w:t>
      </w:r>
    </w:p>
    <w:p w14:paraId="27F3477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6A131C1">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2DB323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6DBD422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2C9ECAEB">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32E62094">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753016C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w:t>
      </w:r>
      <w:r>
        <w:rPr>
          <w:rFonts w:hint="default" w:ascii="Times New Roman" w:hAnsi="Times New Roman" w:eastAsia="宋体" w:cs="Times New Roman"/>
          <w:b w:val="0"/>
          <w:bCs w:val="0"/>
          <w:color w:val="auto"/>
          <w:sz w:val="28"/>
          <w:szCs w:val="28"/>
          <w:highlight w:val="none"/>
          <w:lang w:val="en-US" w:eastAsia="zh-CN"/>
        </w:rPr>
        <w:t>或受委托人</w:t>
      </w:r>
      <w:r>
        <w:rPr>
          <w:rFonts w:hint="default" w:ascii="Times New Roman" w:hAnsi="Times New Roman" w:eastAsia="宋体" w:cs="Times New Roman"/>
          <w:b w:val="0"/>
          <w:bCs w:val="0"/>
          <w:color w:val="auto"/>
          <w:sz w:val="28"/>
          <w:szCs w:val="28"/>
          <w:highlight w:val="none"/>
        </w:rPr>
        <w:t>（签字或盖章）：</w:t>
      </w:r>
    </w:p>
    <w:p w14:paraId="10A033B8">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日期：</w:t>
      </w:r>
    </w:p>
    <w:p w14:paraId="4420660B">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40DCA23B">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六、投标保证金汇入情况说明</w:t>
      </w:r>
    </w:p>
    <w:p w14:paraId="6170161F">
      <w:pPr>
        <w:ind w:left="0" w:leftChars="0" w:firstLine="0" w:firstLineChars="0"/>
        <w:rPr>
          <w:rFonts w:hint="default" w:ascii="Times New Roman" w:hAnsi="Times New Roman" w:eastAsia="宋体" w:cs="Times New Roman"/>
          <w:b w:val="0"/>
          <w:bCs w:val="0"/>
          <w:color w:val="auto"/>
          <w:sz w:val="28"/>
          <w:szCs w:val="28"/>
          <w:highlight w:val="none"/>
        </w:rPr>
      </w:pPr>
    </w:p>
    <w:p w14:paraId="7419B5C8">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投标保证金汇入情况说明</w:t>
      </w:r>
    </w:p>
    <w:p w14:paraId="462F54A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Times New Roman" w:hAnsi="Times New Roman" w:eastAsia="宋体" w:cs="Times New Roman"/>
          <w:b w:val="0"/>
          <w:bCs w:val="0"/>
          <w:color w:val="auto"/>
          <w:sz w:val="28"/>
          <w:szCs w:val="28"/>
          <w:highlight w:val="none"/>
          <w:lang w:eastAsia="zh-CN"/>
        </w:rPr>
      </w:pPr>
    </w:p>
    <w:p w14:paraId="10C0E2E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东莞市新东湾环保投资有限公司：</w:t>
      </w:r>
    </w:p>
    <w:p w14:paraId="1B8943C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本单位已按</w:t>
      </w:r>
      <w:r>
        <w:rPr>
          <w:rFonts w:hint="default" w:ascii="Times New Roman" w:hAnsi="Times New Roman" w:eastAsia="宋体" w:cs="Times New Roman"/>
          <w:b w:val="0"/>
          <w:bCs w:val="0"/>
          <w:color w:val="auto"/>
          <w:sz w:val="28"/>
          <w:szCs w:val="28"/>
          <w:highlight w:val="none"/>
          <w:u w:val="single"/>
          <w:lang w:eastAsia="zh-CN"/>
        </w:rPr>
        <w:t>长安镇厦岗生活垃圾填埋场存量垃圾综合整治项目-安防监控系统工程</w:t>
      </w:r>
      <w:r>
        <w:rPr>
          <w:rFonts w:hint="default" w:ascii="Times New Roman" w:hAnsi="Times New Roman" w:eastAsia="宋体" w:cs="Times New Roman"/>
          <w:b w:val="0"/>
          <w:bCs w:val="0"/>
          <w:color w:val="auto"/>
          <w:sz w:val="28"/>
          <w:szCs w:val="28"/>
          <w:highlight w:val="none"/>
        </w:rPr>
        <w:t>的采购文件要求，于</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日前以</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u w:val="single"/>
        </w:rPr>
        <w:t>（付款形式）</w:t>
      </w:r>
      <w:r>
        <w:rPr>
          <w:rFonts w:hint="default" w:ascii="Times New Roman" w:hAnsi="Times New Roman" w:eastAsia="宋体" w:cs="Times New Roman"/>
          <w:b w:val="0"/>
          <w:bCs w:val="0"/>
          <w:color w:val="auto"/>
          <w:sz w:val="28"/>
          <w:szCs w:val="28"/>
          <w:highlight w:val="none"/>
        </w:rPr>
        <w:t>方式汇入指定</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户（</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户名称：</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eastAsia="zh-CN"/>
        </w:rPr>
        <w:t>东莞市新东湾环保投资有限公司</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号：</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eastAsia="zh-CN"/>
        </w:rPr>
        <w:t>769910275410988</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,开户银行：</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eastAsia="zh-CN"/>
        </w:rPr>
        <w:t>招商银行股份有限公司东莞滨海湾新区支行</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w:t>
      </w:r>
    </w:p>
    <w:p w14:paraId="020594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本单位</w:t>
      </w:r>
      <w:r>
        <w:rPr>
          <w:rFonts w:hint="default" w:ascii="Times New Roman" w:hAnsi="Times New Roman" w:eastAsia="宋体" w:cs="Times New Roman"/>
          <w:b w:val="0"/>
          <w:bCs w:val="0"/>
          <w:color w:val="auto"/>
          <w:sz w:val="28"/>
          <w:szCs w:val="28"/>
          <w:highlight w:val="none"/>
          <w:lang w:val="en-US" w:eastAsia="zh-CN"/>
        </w:rPr>
        <w:t>的报价</w:t>
      </w:r>
      <w:r>
        <w:rPr>
          <w:rFonts w:hint="default" w:ascii="Times New Roman" w:hAnsi="Times New Roman" w:eastAsia="宋体" w:cs="Times New Roman"/>
          <w:b w:val="0"/>
          <w:bCs w:val="0"/>
          <w:color w:val="auto"/>
          <w:sz w:val="28"/>
          <w:szCs w:val="28"/>
          <w:highlight w:val="none"/>
        </w:rPr>
        <w:t>保证金的汇款情况：</w:t>
      </w:r>
    </w:p>
    <w:p w14:paraId="61E92CE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汇出时间：</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年</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日；</w:t>
      </w:r>
    </w:p>
    <w:p w14:paraId="2882C6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汇款金额：（大写）人民币</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元（小写：</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元），</w:t>
      </w:r>
    </w:p>
    <w:p w14:paraId="5B73E6F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汇款</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户名称：</w:t>
      </w:r>
      <w:r>
        <w:rPr>
          <w:rFonts w:hint="default" w:ascii="Times New Roman" w:hAnsi="Times New Roman" w:eastAsia="宋体" w:cs="Times New Roman"/>
          <w:b w:val="0"/>
          <w:bCs w:val="0"/>
          <w:color w:val="auto"/>
          <w:sz w:val="28"/>
          <w:szCs w:val="28"/>
          <w:highlight w:val="none"/>
          <w:u w:val="single"/>
        </w:rPr>
        <w:t xml:space="preserve">  （必须是</w:t>
      </w:r>
      <w:r>
        <w:rPr>
          <w:rFonts w:hint="default" w:ascii="Times New Roman" w:hAnsi="Times New Roman" w:eastAsia="宋体" w:cs="Times New Roman"/>
          <w:b w:val="0"/>
          <w:bCs w:val="0"/>
          <w:color w:val="auto"/>
          <w:sz w:val="28"/>
          <w:szCs w:val="28"/>
          <w:highlight w:val="none"/>
          <w:u w:val="single"/>
          <w:lang w:val="en-US" w:eastAsia="zh-CN"/>
        </w:rPr>
        <w:t>报价</w:t>
      </w:r>
      <w:r>
        <w:rPr>
          <w:rFonts w:hint="default" w:ascii="Times New Roman" w:hAnsi="Times New Roman" w:eastAsia="宋体" w:cs="Times New Roman"/>
          <w:b w:val="0"/>
          <w:bCs w:val="0"/>
          <w:color w:val="auto"/>
          <w:sz w:val="28"/>
          <w:szCs w:val="28"/>
          <w:highlight w:val="none"/>
          <w:u w:val="single"/>
        </w:rPr>
        <w:t>时使用的</w:t>
      </w:r>
      <w:r>
        <w:rPr>
          <w:rFonts w:hint="default" w:ascii="Times New Roman" w:hAnsi="Times New Roman" w:eastAsia="宋体" w:cs="Times New Roman"/>
          <w:b w:val="0"/>
          <w:bCs w:val="0"/>
          <w:color w:val="auto"/>
          <w:sz w:val="28"/>
          <w:szCs w:val="28"/>
          <w:highlight w:val="none"/>
          <w:u w:val="single"/>
          <w:lang w:eastAsia="zh-CN"/>
        </w:rPr>
        <w:t>账</w:t>
      </w:r>
      <w:r>
        <w:rPr>
          <w:rFonts w:hint="default" w:ascii="Times New Roman" w:hAnsi="Times New Roman" w:eastAsia="宋体" w:cs="Times New Roman"/>
          <w:b w:val="0"/>
          <w:bCs w:val="0"/>
          <w:color w:val="auto"/>
          <w:sz w:val="28"/>
          <w:szCs w:val="28"/>
          <w:highlight w:val="none"/>
          <w:u w:val="single"/>
        </w:rPr>
        <w:t xml:space="preserve">户名）   </w:t>
      </w:r>
    </w:p>
    <w:p w14:paraId="76A15C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 xml:space="preserve">        号：</w:t>
      </w:r>
      <w:r>
        <w:rPr>
          <w:rFonts w:hint="default" w:ascii="Times New Roman" w:hAnsi="Times New Roman" w:eastAsia="宋体" w:cs="Times New Roman"/>
          <w:b w:val="0"/>
          <w:bCs w:val="0"/>
          <w:color w:val="auto"/>
          <w:sz w:val="28"/>
          <w:szCs w:val="28"/>
          <w:highlight w:val="none"/>
          <w:u w:val="single"/>
        </w:rPr>
        <w:t xml:space="preserve">  （必须是</w:t>
      </w:r>
      <w:r>
        <w:rPr>
          <w:rFonts w:hint="default" w:ascii="Times New Roman" w:hAnsi="Times New Roman" w:eastAsia="宋体" w:cs="Times New Roman"/>
          <w:b w:val="0"/>
          <w:bCs w:val="0"/>
          <w:color w:val="auto"/>
          <w:sz w:val="28"/>
          <w:szCs w:val="28"/>
          <w:highlight w:val="none"/>
          <w:u w:val="single"/>
          <w:lang w:val="en-US" w:eastAsia="zh-CN"/>
        </w:rPr>
        <w:t>报价</w:t>
      </w:r>
      <w:r>
        <w:rPr>
          <w:rFonts w:hint="default" w:ascii="Times New Roman" w:hAnsi="Times New Roman" w:eastAsia="宋体" w:cs="Times New Roman"/>
          <w:b w:val="0"/>
          <w:bCs w:val="0"/>
          <w:color w:val="auto"/>
          <w:sz w:val="28"/>
          <w:szCs w:val="28"/>
          <w:highlight w:val="none"/>
          <w:u w:val="single"/>
        </w:rPr>
        <w:t>时使用的</w:t>
      </w:r>
      <w:r>
        <w:rPr>
          <w:rFonts w:hint="default" w:ascii="Times New Roman" w:hAnsi="Times New Roman" w:eastAsia="宋体" w:cs="Times New Roman"/>
          <w:b w:val="0"/>
          <w:bCs w:val="0"/>
          <w:color w:val="auto"/>
          <w:sz w:val="28"/>
          <w:szCs w:val="28"/>
          <w:highlight w:val="none"/>
          <w:u w:val="single"/>
          <w:lang w:eastAsia="zh-CN"/>
        </w:rPr>
        <w:t>账</w:t>
      </w:r>
      <w:r>
        <w:rPr>
          <w:rFonts w:hint="default" w:ascii="Times New Roman" w:hAnsi="Times New Roman" w:eastAsia="宋体" w:cs="Times New Roman"/>
          <w:b w:val="0"/>
          <w:bCs w:val="0"/>
          <w:color w:val="auto"/>
          <w:sz w:val="28"/>
          <w:szCs w:val="28"/>
          <w:highlight w:val="none"/>
          <w:u w:val="single"/>
        </w:rPr>
        <w:t xml:space="preserve">号）        </w:t>
      </w:r>
    </w:p>
    <w:p w14:paraId="0FBF07C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u w:val="single"/>
        </w:rPr>
      </w:pPr>
      <w:r>
        <w:rPr>
          <w:rFonts w:hint="default" w:ascii="Times New Roman" w:hAnsi="Times New Roman" w:eastAsia="宋体" w:cs="Times New Roman"/>
          <w:b w:val="0"/>
          <w:bCs w:val="0"/>
          <w:color w:val="auto"/>
          <w:sz w:val="28"/>
          <w:szCs w:val="28"/>
          <w:highlight w:val="none"/>
        </w:rPr>
        <w:t>开 户  银 行：</w:t>
      </w:r>
      <w:r>
        <w:rPr>
          <w:rFonts w:hint="default" w:ascii="Times New Roman" w:hAnsi="Times New Roman" w:eastAsia="宋体" w:cs="Times New Roman"/>
          <w:b w:val="0"/>
          <w:bCs w:val="0"/>
          <w:color w:val="auto"/>
          <w:sz w:val="28"/>
          <w:szCs w:val="28"/>
          <w:highlight w:val="none"/>
          <w:u w:val="single"/>
        </w:rPr>
        <w:t xml:space="preserve">  （  XX 银行 XX 分行 XX 支行   ）</w:t>
      </w:r>
    </w:p>
    <w:p w14:paraId="3F85064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本单位谨承诺上述资料是正确、真实的，如因上述证明与事实不符导致的一切损失，本单位保证承担赔偿等一切法律责任。</w:t>
      </w:r>
    </w:p>
    <w:p w14:paraId="10D3FF6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保证金退回时，请按上述资料退回。</w:t>
      </w:r>
    </w:p>
    <w:p w14:paraId="126B8BC6">
      <w:pPr>
        <w:keepNext w:val="0"/>
        <w:keepLines w:val="0"/>
        <w:pageBreakBefore w:val="0"/>
        <w:widowControl w:val="0"/>
        <w:tabs>
          <w:tab w:val="left" w:pos="7560"/>
          <w:tab w:val="left" w:pos="7840"/>
          <w:tab w:val="left" w:pos="8400"/>
        </w:tabs>
        <w:kinsoku/>
        <w:wordWrap/>
        <w:overflowPunct/>
        <w:topLinePunct w:val="0"/>
        <w:autoSpaceDE/>
        <w:autoSpaceDN/>
        <w:bidi w:val="0"/>
        <w:adjustRightInd/>
        <w:snapToGrid w:val="0"/>
        <w:spacing w:line="360" w:lineRule="auto"/>
        <w:ind w:right="464" w:rightChars="166"/>
        <w:jc w:val="right"/>
        <w:textAlignment w:val="auto"/>
        <w:rPr>
          <w:rFonts w:hint="default" w:ascii="Times New Roman" w:hAnsi="Times New Roman" w:eastAsia="宋体" w:cs="Times New Roman"/>
          <w:b w:val="0"/>
          <w:bCs w:val="0"/>
          <w:color w:val="auto"/>
          <w:sz w:val="28"/>
          <w:szCs w:val="28"/>
          <w:highlight w:val="none"/>
          <w:lang w:val="en-US" w:eastAsia="zh-CN"/>
        </w:rPr>
      </w:pPr>
    </w:p>
    <w:p w14:paraId="3990647F">
      <w:pPr>
        <w:keepNext w:val="0"/>
        <w:keepLines w:val="0"/>
        <w:pageBreakBefore w:val="0"/>
        <w:widowControl w:val="0"/>
        <w:tabs>
          <w:tab w:val="left" w:pos="7560"/>
          <w:tab w:val="left" w:pos="7840"/>
          <w:tab w:val="left" w:pos="8400"/>
        </w:tabs>
        <w:kinsoku/>
        <w:wordWrap/>
        <w:overflowPunct/>
        <w:topLinePunct w:val="0"/>
        <w:autoSpaceDE/>
        <w:autoSpaceDN/>
        <w:bidi w:val="0"/>
        <w:adjustRightInd/>
        <w:snapToGrid w:val="0"/>
        <w:spacing w:line="360" w:lineRule="auto"/>
        <w:ind w:right="464" w:rightChars="166"/>
        <w:jc w:val="right"/>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（单位公章）</w:t>
      </w:r>
    </w:p>
    <w:p w14:paraId="349CD06A">
      <w:pPr>
        <w:keepNext w:val="0"/>
        <w:keepLines w:val="0"/>
        <w:pageBreakBefore w:val="0"/>
        <w:widowControl w:val="0"/>
        <w:tabs>
          <w:tab w:val="left" w:pos="7840"/>
        </w:tabs>
        <w:kinsoku/>
        <w:wordWrap w:val="0"/>
        <w:overflowPunct/>
        <w:topLinePunct w:val="0"/>
        <w:autoSpaceDE/>
        <w:autoSpaceDN/>
        <w:bidi w:val="0"/>
        <w:adjustRightInd/>
        <w:snapToGrid w:val="0"/>
        <w:spacing w:line="360" w:lineRule="auto"/>
        <w:ind w:right="464" w:rightChars="166"/>
        <w:jc w:val="righ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rPr>
        <w:t>年 月 日</w:t>
      </w:r>
      <w:r>
        <w:rPr>
          <w:rFonts w:hint="default" w:ascii="Times New Roman" w:hAnsi="Times New Roman" w:eastAsia="宋体" w:cs="Times New Roman"/>
          <w:b w:val="0"/>
          <w:bCs w:val="0"/>
          <w:color w:val="auto"/>
          <w:sz w:val="28"/>
          <w:szCs w:val="28"/>
          <w:highlight w:val="none"/>
          <w:lang w:val="en-US" w:eastAsia="zh-CN"/>
        </w:rPr>
        <w:t xml:space="preserve">  </w:t>
      </w:r>
    </w:p>
    <w:p w14:paraId="17B097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单位名称：</w:t>
      </w:r>
    </w:p>
    <w:p w14:paraId="0125DF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联系人手机：</w:t>
      </w:r>
    </w:p>
    <w:p w14:paraId="66C6BACE">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日期</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eastAsia="zh-CN"/>
        </w:rPr>
        <w:br w:type="page"/>
      </w:r>
    </w:p>
    <w:p w14:paraId="6AEF84B0">
      <w:pPr>
        <w:spacing w:line="380" w:lineRule="exact"/>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附：</w:t>
      </w: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保证金汇款凭证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加盖公章</w:t>
      </w:r>
      <w:r>
        <w:rPr>
          <w:rFonts w:hint="default" w:ascii="Times New Roman" w:hAnsi="Times New Roman" w:eastAsia="宋体" w:cs="Times New Roman"/>
          <w:b w:val="0"/>
          <w:bCs w:val="0"/>
          <w:color w:val="auto"/>
          <w:sz w:val="28"/>
          <w:szCs w:val="28"/>
          <w:highlight w:val="none"/>
          <w:lang w:eastAsia="zh-CN"/>
        </w:rPr>
        <w:t>）</w:t>
      </w:r>
    </w:p>
    <w:tbl>
      <w:tblPr>
        <w:tblStyle w:val="20"/>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27A1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trPr>
        <w:tc>
          <w:tcPr>
            <w:tcW w:w="8953" w:type="dxa"/>
            <w:vAlign w:val="center"/>
          </w:tcPr>
          <w:p w14:paraId="4C91C622">
            <w:pPr>
              <w:tabs>
                <w:tab w:val="left" w:pos="3885"/>
              </w:tabs>
              <w:jc w:val="center"/>
              <w:rPr>
                <w:rFonts w:hint="default" w:ascii="Times New Roman" w:hAnsi="Times New Roman" w:eastAsia="宋体" w:cs="Times New Roman"/>
                <w:b w:val="0"/>
                <w:bCs w:val="0"/>
                <w:color w:val="auto"/>
                <w:sz w:val="28"/>
                <w:szCs w:val="28"/>
                <w:highlight w:val="none"/>
              </w:rPr>
            </w:pPr>
          </w:p>
        </w:tc>
      </w:tr>
    </w:tbl>
    <w:p w14:paraId="11733405">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278A8295">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七、本项目采购文件要求或报价人认为应补充的其他资料（如有）。</w:t>
      </w:r>
    </w:p>
    <w:p w14:paraId="55F89C6B">
      <w:pPr>
        <w:pStyle w:val="15"/>
        <w:spacing w:line="440" w:lineRule="exact"/>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2A289584">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（仅为格式参考，投标文件不需要提供）</w:t>
      </w:r>
    </w:p>
    <w:p w14:paraId="7BE03334">
      <w:pPr>
        <w:widowControl/>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0"/>
          <w:sz w:val="24"/>
          <w:szCs w:val="24"/>
          <w:highlight w:val="none"/>
          <w:lang w:bidi="ar"/>
        </w:rPr>
        <w:t>履约保函</w:t>
      </w:r>
    </w:p>
    <w:p w14:paraId="03597464">
      <w:pPr>
        <w:widowControl/>
        <w:wordWrap w:val="0"/>
        <w:spacing w:line="440" w:lineRule="exact"/>
        <w:jc w:val="right"/>
        <w:rPr>
          <w:rFonts w:hint="default" w:ascii="Times New Roman" w:hAnsi="Times New Roman" w:eastAsia="宋体" w:cs="Times New Roman"/>
          <w:b w:val="0"/>
          <w:bCs w:val="0"/>
          <w:color w:val="auto"/>
          <w:kern w:val="0"/>
          <w:sz w:val="24"/>
          <w:szCs w:val="24"/>
          <w:highlight w:val="none"/>
          <w:lang w:bidi="ar"/>
        </w:rPr>
      </w:pPr>
      <w:r>
        <w:rPr>
          <w:rFonts w:hint="default" w:ascii="Times New Roman" w:hAnsi="Times New Roman" w:eastAsia="宋体" w:cs="Times New Roman"/>
          <w:b w:val="0"/>
          <w:bCs w:val="0"/>
          <w:color w:val="auto"/>
          <w:kern w:val="0"/>
          <w:sz w:val="24"/>
          <w:szCs w:val="24"/>
          <w:highlight w:val="none"/>
          <w:lang w:bidi="ar"/>
        </w:rPr>
        <w:t xml:space="preserve">编号：             </w:t>
      </w:r>
    </w:p>
    <w:p w14:paraId="551552D7">
      <w:pPr>
        <w:widowControl/>
        <w:wordWrap w:val="0"/>
        <w:spacing w:line="440" w:lineRule="exact"/>
        <w:jc w:val="right"/>
        <w:rPr>
          <w:rFonts w:hint="default" w:ascii="Times New Roman" w:hAnsi="Times New Roman" w:eastAsia="宋体" w:cs="Times New Roman"/>
          <w:b w:val="0"/>
          <w:bCs w:val="0"/>
          <w:color w:val="auto"/>
          <w:kern w:val="0"/>
          <w:sz w:val="24"/>
          <w:szCs w:val="24"/>
          <w:highlight w:val="none"/>
          <w:lang w:bidi="ar"/>
        </w:rPr>
      </w:pPr>
      <w:r>
        <w:rPr>
          <w:rFonts w:hint="default" w:ascii="Times New Roman" w:hAnsi="Times New Roman" w:eastAsia="宋体" w:cs="Times New Roman"/>
          <w:b w:val="0"/>
          <w:bCs w:val="0"/>
          <w:color w:val="auto"/>
          <w:kern w:val="0"/>
          <w:sz w:val="24"/>
          <w:szCs w:val="24"/>
          <w:highlight w:val="none"/>
          <w:lang w:bidi="ar"/>
        </w:rPr>
        <w:t xml:space="preserve">查询码：             </w:t>
      </w:r>
    </w:p>
    <w:p w14:paraId="749F065B">
      <w:pPr>
        <w:widowControl/>
        <w:wordWrap w:val="0"/>
        <w:spacing w:line="400" w:lineRule="exact"/>
        <w:ind w:left="0" w:leftChars="0" w:firstLine="0" w:firstLineChars="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致：</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（甲方）</w:t>
      </w:r>
    </w:p>
    <w:p w14:paraId="73337E9F">
      <w:pPr>
        <w:widowControl/>
        <w:wordWrap w:val="0"/>
        <w:spacing w:line="400" w:lineRule="exact"/>
        <w:rPr>
          <w:rFonts w:hint="default" w:ascii="Times New Roman" w:hAnsi="Times New Roman" w:eastAsia="宋体" w:cs="Times New Roman"/>
          <w:b w:val="0"/>
          <w:bCs w:val="0"/>
          <w:color w:val="auto"/>
          <w:kern w:val="0"/>
          <w:sz w:val="21"/>
          <w:szCs w:val="21"/>
          <w:highlight w:val="none"/>
          <w:lang w:bidi="ar"/>
        </w:rPr>
      </w:pPr>
    </w:p>
    <w:p w14:paraId="24C03CC1">
      <w:pPr>
        <w:widowControl/>
        <w:wordWrap w:val="0"/>
        <w:ind w:firstLine="420" w:firstLineChars="20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鉴于</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（下称乙方）与甲方签订的编号为</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、名称为</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的合同（下称原合同），为担保乙方履行原合同项下的义务，本行根据乙方申请，特此开立以甲方为受益人的履约保函。具体内容如下：</w:t>
      </w:r>
    </w:p>
    <w:p w14:paraId="67CED7FA">
      <w:pPr>
        <w:ind w:firstLine="420" w:firstLineChars="20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我行</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（银行全称）担保的最高限额为原合同总价的10%，即人民币（大写</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元整（￥</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w:t>
      </w:r>
    </w:p>
    <w:p w14:paraId="5877498A">
      <w:pPr>
        <w:ind w:firstLine="420" w:firstLineChars="20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我行作为连带责任保证人，承诺在收到甲方出具的书面索赔通知后7个工作日内，无条件支付不超过最高担保限额的款项至甲方指定账户。</w:t>
      </w:r>
    </w:p>
    <w:p w14:paraId="0F10C83D">
      <w:pPr>
        <w:ind w:firstLine="420" w:firstLineChars="20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甲方提出索赔要求时, 无需先行向乙方追偿，我行放弃先诉抗辩权。</w:t>
      </w:r>
    </w:p>
    <w:p w14:paraId="424FD398">
      <w:pPr>
        <w:ind w:firstLine="420" w:firstLineChars="20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本保函不可撤销，且不因原合同条款的修改、补充或履行过程中的变更而失效。甲方与乙方对原合同的任何调整，均无需另行通知我行。</w:t>
      </w:r>
    </w:p>
    <w:p w14:paraId="07229D24">
      <w:pPr>
        <w:ind w:firstLine="420" w:firstLineChars="20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本保函自原合同签订之日起至项目服务期结束且验收合格、结算完成后，双方签字之日起 7 天内保持有效。但最迟不超过</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年</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月</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日。</w:t>
      </w:r>
    </w:p>
    <w:p w14:paraId="7523731F">
      <w:pPr>
        <w:rPr>
          <w:rFonts w:hint="default" w:ascii="Times New Roman" w:hAnsi="Times New Roman" w:eastAsia="宋体" w:cs="Times New Roman"/>
          <w:b w:val="0"/>
          <w:bCs w:val="0"/>
          <w:color w:val="auto"/>
          <w:sz w:val="21"/>
          <w:szCs w:val="21"/>
          <w:highlight w:val="none"/>
        </w:rPr>
      </w:pPr>
    </w:p>
    <w:p w14:paraId="05A36EED">
      <w:pPr>
        <w:rPr>
          <w:rFonts w:hint="default" w:ascii="Times New Roman" w:hAnsi="Times New Roman" w:eastAsia="宋体" w:cs="Times New Roman"/>
          <w:b w:val="0"/>
          <w:bCs w:val="0"/>
          <w:color w:val="auto"/>
          <w:sz w:val="21"/>
          <w:szCs w:val="21"/>
          <w:highlight w:val="none"/>
          <w:u w:val="single"/>
        </w:rPr>
      </w:pPr>
      <w:r>
        <w:rPr>
          <w:rFonts w:hint="default" w:ascii="Times New Roman" w:hAnsi="Times New Roman" w:eastAsia="宋体" w:cs="Times New Roman"/>
          <w:b w:val="0"/>
          <w:bCs w:val="0"/>
          <w:color w:val="auto"/>
          <w:sz w:val="21"/>
          <w:szCs w:val="21"/>
          <w:highlight w:val="none"/>
        </w:rPr>
        <w:t>保证人：（盖章）</w:t>
      </w:r>
      <w:r>
        <w:rPr>
          <w:rFonts w:hint="default" w:ascii="Times New Roman" w:hAnsi="Times New Roman" w:eastAsia="宋体" w:cs="Times New Roman"/>
          <w:b w:val="0"/>
          <w:bCs w:val="0"/>
          <w:color w:val="auto"/>
          <w:sz w:val="21"/>
          <w:szCs w:val="21"/>
          <w:highlight w:val="none"/>
          <w:u w:val="single"/>
        </w:rPr>
        <w:t xml:space="preserve">            </w:t>
      </w:r>
    </w:p>
    <w:p w14:paraId="31D6F4FF">
      <w:pP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营业地址：</w:t>
      </w:r>
      <w:r>
        <w:rPr>
          <w:rFonts w:hint="default" w:ascii="Times New Roman" w:hAnsi="Times New Roman" w:eastAsia="宋体" w:cs="Times New Roman"/>
          <w:b w:val="0"/>
          <w:bCs w:val="0"/>
          <w:color w:val="auto"/>
          <w:sz w:val="21"/>
          <w:szCs w:val="21"/>
          <w:highlight w:val="none"/>
          <w:u w:val="single"/>
        </w:rPr>
        <w:t xml:space="preserve">               </w:t>
      </w:r>
    </w:p>
    <w:p w14:paraId="3CC5589C">
      <w:pPr>
        <w:rPr>
          <w:rFonts w:hint="default" w:ascii="Times New Roman" w:hAnsi="Times New Roman" w:eastAsia="宋体" w:cs="Times New Roman"/>
          <w:b w:val="0"/>
          <w:bCs w:val="0"/>
          <w:color w:val="auto"/>
          <w:sz w:val="21"/>
          <w:szCs w:val="21"/>
          <w:highlight w:val="none"/>
          <w:u w:val="single"/>
        </w:rPr>
      </w:pPr>
      <w:r>
        <w:rPr>
          <w:rFonts w:hint="default" w:ascii="Times New Roman" w:hAnsi="Times New Roman" w:eastAsia="宋体" w:cs="Times New Roman"/>
          <w:b w:val="0"/>
          <w:bCs w:val="0"/>
          <w:color w:val="auto"/>
          <w:sz w:val="21"/>
          <w:szCs w:val="21"/>
          <w:highlight w:val="none"/>
        </w:rPr>
        <w:t>负责人：（签字）</w:t>
      </w:r>
      <w:r>
        <w:rPr>
          <w:rFonts w:hint="default" w:ascii="Times New Roman" w:hAnsi="Times New Roman" w:eastAsia="宋体" w:cs="Times New Roman"/>
          <w:b w:val="0"/>
          <w:bCs w:val="0"/>
          <w:color w:val="auto"/>
          <w:sz w:val="21"/>
          <w:szCs w:val="21"/>
          <w:highlight w:val="none"/>
          <w:u w:val="single"/>
        </w:rPr>
        <w:t xml:space="preserve">       </w:t>
      </w:r>
    </w:p>
    <w:p w14:paraId="7BFB297E">
      <w:pPr>
        <w:pStyle w:val="15"/>
        <w:spacing w:line="440" w:lineRule="exact"/>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 xml:space="preserve">联系人：      </w:t>
      </w:r>
    </w:p>
    <w:p w14:paraId="14B50889">
      <w:pPr>
        <w:pStyle w:val="15"/>
        <w:spacing w:line="440" w:lineRule="exact"/>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 xml:space="preserve">联系电话：         </w:t>
      </w:r>
    </w:p>
    <w:p w14:paraId="29693D7D">
      <w:pPr>
        <w:pStyle w:val="16"/>
        <w:keepNext w:val="0"/>
        <w:keepLines w:val="0"/>
        <w:pageBreakBefore w:val="0"/>
        <w:numPr>
          <w:ilvl w:val="0"/>
          <w:numId w:val="0"/>
        </w:numPr>
        <w:kinsoku/>
        <w:wordWrap/>
        <w:overflowPunct/>
        <w:topLinePunct w:val="0"/>
        <w:bidi w:val="0"/>
        <w:snapToGrid w:val="0"/>
        <w:spacing w:line="360" w:lineRule="auto"/>
        <w:ind w:firstLine="420" w:firstLineChars="200"/>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日期：     年  月  日</w:t>
      </w:r>
    </w:p>
    <w:bookmarkEnd w:id="5"/>
    <w:p w14:paraId="00C325D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br w:type="page"/>
      </w:r>
    </w:p>
    <w:p w14:paraId="78F8FA7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仅为公示，报价文件不需要提供，成交后执行</w:t>
      </w:r>
      <w:r>
        <w:rPr>
          <w:rFonts w:hint="default" w:ascii="Times New Roman" w:hAnsi="Times New Roman" w:eastAsia="宋体" w:cs="Times New Roman"/>
          <w:b/>
          <w:bCs/>
          <w:color w:val="auto"/>
          <w:sz w:val="28"/>
          <w:szCs w:val="28"/>
          <w:highlight w:val="none"/>
          <w:lang w:eastAsia="zh-CN"/>
        </w:rPr>
        <w:t>）</w:t>
      </w:r>
    </w:p>
    <w:p w14:paraId="0E121ECF">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bCs/>
          <w:kern w:val="0"/>
          <w:sz w:val="21"/>
          <w:szCs w:val="21"/>
          <w:highlight w:val="none"/>
          <w:lang w:val="en-US" w:eastAsia="zh-CN"/>
        </w:rPr>
      </w:pPr>
    </w:p>
    <w:p w14:paraId="665E4106">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甲方合同编号：</w:t>
      </w:r>
    </w:p>
    <w:p w14:paraId="38855BB0">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乙方合同编号：</w:t>
      </w:r>
    </w:p>
    <w:p w14:paraId="45BD264C">
      <w:pPr>
        <w:spacing w:line="360" w:lineRule="auto"/>
        <w:jc w:val="center"/>
        <w:rPr>
          <w:rFonts w:hint="default" w:ascii="Times New Roman" w:hAnsi="Times New Roman" w:eastAsia="宋体" w:cs="Times New Roman"/>
          <w:bCs/>
          <w:kern w:val="0"/>
          <w:sz w:val="21"/>
          <w:szCs w:val="21"/>
          <w:highlight w:val="none"/>
        </w:rPr>
      </w:pPr>
      <w:r>
        <w:rPr>
          <w:rFonts w:hint="default" w:ascii="Times New Roman" w:hAnsi="Times New Roman" w:cs="Times New Roman"/>
          <w:b/>
          <w:bCs w:val="0"/>
          <w:sz w:val="32"/>
          <w:szCs w:val="32"/>
          <w:highlight w:val="none"/>
          <w:lang w:eastAsia="zh-CN"/>
        </w:rPr>
        <w:t>长安镇厦岗生活垃圾填埋场存量垃圾综合整治项目-安防监控系统工程</w:t>
      </w:r>
      <w:r>
        <w:rPr>
          <w:rFonts w:hint="default" w:ascii="Times New Roman" w:hAnsi="Times New Roman" w:cs="Times New Roman"/>
          <w:b/>
          <w:bCs w:val="0"/>
          <w:sz w:val="32"/>
          <w:szCs w:val="32"/>
          <w:highlight w:val="none"/>
          <w:lang w:val="en-US" w:eastAsia="zh-CN"/>
        </w:rPr>
        <w:t>合同</w:t>
      </w:r>
      <w:r>
        <w:rPr>
          <w:rFonts w:hint="default" w:ascii="Times New Roman" w:hAnsi="Times New Roman" w:eastAsia="宋体" w:cs="Times New Roman"/>
          <w:b/>
          <w:bCs w:val="0"/>
          <w:sz w:val="32"/>
          <w:szCs w:val="32"/>
          <w:highlight w:val="none"/>
        </w:rPr>
        <w:br w:type="textWrapping"/>
      </w:r>
    </w:p>
    <w:p w14:paraId="642BF172">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甲方：</w:t>
      </w:r>
      <w:r>
        <w:rPr>
          <w:rFonts w:hint="default" w:ascii="Times New Roman" w:hAnsi="Times New Roman" w:eastAsia="宋体" w:cs="Times New Roman"/>
          <w:bCs/>
          <w:kern w:val="0"/>
          <w:sz w:val="21"/>
          <w:szCs w:val="21"/>
          <w:highlight w:val="none"/>
          <w:lang w:val="en-US" w:eastAsia="zh-CN"/>
        </w:rPr>
        <w:t>东莞市新东湾环保投资有限公司</w:t>
      </w:r>
    </w:p>
    <w:p w14:paraId="6BB6B8D9">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乙方：XXX有限公司</w:t>
      </w:r>
    </w:p>
    <w:p w14:paraId="1BB78F52">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p>
    <w:p w14:paraId="5FD38C3A">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甲、乙双方根据《中华人民共和国民法典》及其他有关法律、法规，遵循平等、自愿、公平和诚实信用的原则，就</w:t>
      </w:r>
      <w:r>
        <w:rPr>
          <w:rFonts w:hint="default" w:ascii="Times New Roman" w:hAnsi="Times New Roman" w:eastAsia="宋体" w:cs="Times New Roman"/>
          <w:sz w:val="21"/>
          <w:szCs w:val="21"/>
          <w:highlight w:val="none"/>
          <w:u w:val="single"/>
          <w:lang w:eastAsia="zh-CN"/>
        </w:rPr>
        <w:t>长安镇厦岗生活垃圾填埋场存量垃圾综合整治项目-安防监控系统工程</w:t>
      </w:r>
      <w:r>
        <w:rPr>
          <w:rFonts w:hint="default" w:ascii="Times New Roman" w:hAnsi="Times New Roman" w:eastAsia="宋体" w:cs="Times New Roman"/>
          <w:sz w:val="21"/>
          <w:szCs w:val="21"/>
          <w:highlight w:val="none"/>
        </w:rPr>
        <w:t>的相关供货事宜协商一致，特订立本合同，以资共同遵守：</w:t>
      </w:r>
    </w:p>
    <w:p w14:paraId="187BA673">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p>
    <w:p w14:paraId="6D8794C2">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第一条  合同概要</w:t>
      </w:r>
    </w:p>
    <w:p w14:paraId="4B405750">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双方同意由乙方承接甲方的</w:t>
      </w:r>
      <w:r>
        <w:rPr>
          <w:rFonts w:hint="default" w:ascii="Times New Roman" w:hAnsi="Times New Roman" w:eastAsia="宋体" w:cs="Times New Roman"/>
          <w:b w:val="0"/>
          <w:bCs/>
          <w:color w:val="auto"/>
          <w:sz w:val="21"/>
          <w:szCs w:val="21"/>
          <w:u w:val="single"/>
          <w:lang w:eastAsia="zh-CN"/>
        </w:rPr>
        <w:t>长安镇厦岗生活垃圾填埋场存量垃圾综合整治项目-安防监控系统工程</w:t>
      </w:r>
      <w:r>
        <w:rPr>
          <w:rFonts w:hint="default" w:ascii="Times New Roman" w:hAnsi="Times New Roman" w:eastAsia="宋体" w:cs="Times New Roman"/>
          <w:b w:val="0"/>
          <w:bCs/>
          <w:color w:val="auto"/>
          <w:sz w:val="21"/>
          <w:szCs w:val="21"/>
        </w:rPr>
        <w:t>，由乙方提供系统所需的相关设备及部件，并由乙方负责系统的</w:t>
      </w:r>
      <w:r>
        <w:rPr>
          <w:rFonts w:hint="default" w:ascii="Times New Roman" w:hAnsi="Times New Roman" w:eastAsia="宋体" w:cs="Times New Roman"/>
          <w:b w:val="0"/>
          <w:bCs/>
          <w:color w:val="auto"/>
          <w:sz w:val="21"/>
          <w:szCs w:val="21"/>
          <w:lang w:val="en-US" w:eastAsia="zh-CN"/>
        </w:rPr>
        <w:t>供货、</w:t>
      </w:r>
      <w:r>
        <w:rPr>
          <w:rFonts w:hint="default" w:ascii="Times New Roman" w:hAnsi="Times New Roman" w:eastAsia="宋体" w:cs="Times New Roman"/>
          <w:b w:val="0"/>
          <w:bCs/>
          <w:color w:val="auto"/>
          <w:sz w:val="21"/>
          <w:szCs w:val="21"/>
        </w:rPr>
        <w:t>安装、调试以及开通后</w:t>
      </w:r>
      <w:r>
        <w:rPr>
          <w:rFonts w:hint="default" w:ascii="Times New Roman" w:hAnsi="Times New Roman" w:eastAsia="宋体" w:cs="Times New Roman"/>
          <w:b w:val="0"/>
          <w:bCs/>
          <w:color w:val="auto"/>
          <w:sz w:val="21"/>
          <w:szCs w:val="21"/>
          <w:lang w:val="en-US" w:eastAsia="zh-CN"/>
        </w:rPr>
        <w:t>的</w:t>
      </w:r>
      <w:r>
        <w:rPr>
          <w:rFonts w:hint="default" w:ascii="Times New Roman" w:hAnsi="Times New Roman" w:eastAsia="宋体" w:cs="Times New Roman"/>
          <w:b w:val="0"/>
          <w:bCs/>
          <w:color w:val="auto"/>
          <w:sz w:val="21"/>
          <w:szCs w:val="21"/>
        </w:rPr>
        <w:t>系统运行技术服务。</w:t>
      </w:r>
    </w:p>
    <w:p w14:paraId="7F88D6E9">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bCs w:val="0"/>
          <w:color w:val="auto"/>
          <w:sz w:val="21"/>
          <w:szCs w:val="21"/>
        </w:rPr>
        <w:t>第二条  设备要求及设备清单</w:t>
      </w:r>
      <w:r>
        <w:rPr>
          <w:rFonts w:hint="default" w:ascii="Times New Roman" w:hAnsi="Times New Roman" w:eastAsia="宋体" w:cs="Times New Roman"/>
          <w:b w:val="0"/>
          <w:bCs/>
          <w:color w:val="auto"/>
          <w:sz w:val="21"/>
          <w:szCs w:val="21"/>
        </w:rPr>
        <w:t xml:space="preserve">  </w:t>
      </w:r>
    </w:p>
    <w:p w14:paraId="4B18D6F8">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详见附件1《合同清单》。</w:t>
      </w:r>
    </w:p>
    <w:p w14:paraId="47117B99">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 xml:space="preserve">第三条  </w:t>
      </w:r>
      <w:r>
        <w:rPr>
          <w:rFonts w:hint="default" w:ascii="Times New Roman" w:hAnsi="Times New Roman" w:eastAsia="宋体" w:cs="Times New Roman"/>
          <w:b/>
          <w:bCs w:val="0"/>
          <w:color w:val="auto"/>
          <w:sz w:val="21"/>
          <w:szCs w:val="21"/>
          <w:lang w:val="en-US" w:eastAsia="zh-CN"/>
        </w:rPr>
        <w:t>合同价</w:t>
      </w:r>
      <w:r>
        <w:rPr>
          <w:rFonts w:hint="default" w:ascii="Times New Roman" w:hAnsi="Times New Roman" w:eastAsia="宋体" w:cs="Times New Roman"/>
          <w:b/>
          <w:bCs w:val="0"/>
          <w:color w:val="auto"/>
          <w:sz w:val="21"/>
          <w:szCs w:val="21"/>
        </w:rPr>
        <w:t>款及支付方式</w:t>
      </w:r>
    </w:p>
    <w:p w14:paraId="35BB95F6">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合同含税金额为大写人民币xxx，小写¥xx.xx（其中，税率为xx%，税金为¥xx.xx，不含税金额为¥xx.xx）</w:t>
      </w:r>
      <w:r>
        <w:rPr>
          <w:rFonts w:hint="default" w:ascii="Times New Roman" w:hAnsi="Times New Roman" w:eastAsia="宋体" w:cs="Times New Roman"/>
          <w:b w:val="0"/>
          <w:bCs/>
          <w:color w:val="auto"/>
          <w:sz w:val="21"/>
          <w:szCs w:val="21"/>
          <w:highlight w:val="none"/>
        </w:rPr>
        <w:t>如遇国家调整税率，不含税合同款不予调整，税金按调整后税率及相关细则执行。</w:t>
      </w:r>
    </w:p>
    <w:p w14:paraId="630561D2">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2、合同价款</w:t>
      </w:r>
      <w:r>
        <w:rPr>
          <w:rFonts w:hint="default" w:ascii="Times New Roman" w:hAnsi="Times New Roman" w:eastAsia="宋体" w:cs="Times New Roman"/>
          <w:b w:val="0"/>
          <w:bCs/>
          <w:color w:val="auto"/>
          <w:sz w:val="21"/>
          <w:szCs w:val="21"/>
          <w:highlight w:val="none"/>
        </w:rPr>
        <w:t>包含设备费、安装</w:t>
      </w:r>
      <w:r>
        <w:rPr>
          <w:rFonts w:hint="default" w:ascii="Times New Roman" w:hAnsi="Times New Roman" w:eastAsia="宋体" w:cs="Times New Roman"/>
          <w:b w:val="0"/>
          <w:bCs/>
          <w:color w:val="auto"/>
          <w:sz w:val="21"/>
          <w:szCs w:val="21"/>
          <w:highlight w:val="none"/>
          <w:lang w:val="en-US" w:eastAsia="zh-CN"/>
        </w:rPr>
        <w:t>费、</w:t>
      </w:r>
      <w:r>
        <w:rPr>
          <w:rFonts w:hint="default" w:ascii="Times New Roman" w:hAnsi="Times New Roman" w:eastAsia="宋体" w:cs="Times New Roman"/>
          <w:b w:val="0"/>
          <w:bCs/>
          <w:color w:val="auto"/>
          <w:sz w:val="21"/>
          <w:szCs w:val="21"/>
          <w:highlight w:val="none"/>
        </w:rPr>
        <w:t>调试费、运维费、人工费、税费、运费</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保险费</w:t>
      </w:r>
      <w:r>
        <w:rPr>
          <w:rFonts w:hint="default" w:ascii="Times New Roman" w:hAnsi="Times New Roman" w:eastAsia="宋体" w:cs="Times New Roman"/>
          <w:b w:val="0"/>
          <w:bCs/>
          <w:color w:val="auto"/>
          <w:sz w:val="21"/>
          <w:szCs w:val="21"/>
          <w:highlight w:val="none"/>
        </w:rPr>
        <w:t>等乙方履行本合同义务而甲方需支付乙方的一切可预见及不可预见的费用</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甲方不再额外支付其他费用。</w:t>
      </w:r>
    </w:p>
    <w:p w14:paraId="1CC8D12D">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val="en-US" w:eastAsia="zh-CN"/>
        </w:rPr>
        <w:t>3、</w:t>
      </w:r>
      <w:r>
        <w:rPr>
          <w:rFonts w:hint="default" w:ascii="Times New Roman" w:hAnsi="Times New Roman" w:eastAsia="宋体" w:cs="Times New Roman"/>
          <w:b w:val="0"/>
          <w:bCs/>
          <w:color w:val="auto"/>
          <w:sz w:val="21"/>
          <w:szCs w:val="21"/>
        </w:rPr>
        <w:t>支付方式</w:t>
      </w:r>
      <w:r>
        <w:rPr>
          <w:rFonts w:hint="default" w:ascii="Times New Roman" w:hAnsi="Times New Roman" w:eastAsia="宋体" w:cs="Times New Roman"/>
          <w:b w:val="0"/>
          <w:bCs/>
          <w:color w:val="auto"/>
          <w:sz w:val="21"/>
          <w:szCs w:val="21"/>
          <w:lang w:eastAsia="zh-CN"/>
        </w:rPr>
        <w:t>：</w:t>
      </w:r>
    </w:p>
    <w:p w14:paraId="45A45A90">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（1）工程全部安装完成，经甲方验收合格后，乙方提交等额增值税专用发票及请款资料，甲方于收到有效资料的三十个日历日内支付至合同价款的60%；</w:t>
      </w:r>
    </w:p>
    <w:p w14:paraId="7FBAD39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（2）乙方提交结算书并经甲方审核完成后，乙方提交等额增值税专用发票及请款资料，甲方于收到有效资料的三十个日历日内支付至结算价款的97%</w:t>
      </w:r>
    </w:p>
    <w:p w14:paraId="091F3671">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（3）剩余结算价款的3%为质保金，质保期满后，乙方没有任何违约情况，由乙方提交等额增值税专用发票及请款资料，甲方在三十个日历日内一次性无息支付剩余款项。</w:t>
      </w:r>
    </w:p>
    <w:p w14:paraId="23970863">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备注：乙方收款前需向甲方提供请款材料和开具合法有效等额的增值税专用发票，否则甲方有权拒绝付款。机房在收到等额发票及相关资料审核无误后，在30个日历日内支付对应款项。</w:t>
      </w:r>
    </w:p>
    <w:p w14:paraId="1BAF0CC0">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3.1 甲方开票信息</w:t>
      </w:r>
    </w:p>
    <w:p w14:paraId="07E524E2">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名称：</w:t>
      </w:r>
      <w:r>
        <w:rPr>
          <w:rFonts w:hint="default" w:ascii="Times New Roman" w:hAnsi="Times New Roman" w:eastAsia="宋体" w:cs="Times New Roman"/>
          <w:sz w:val="21"/>
          <w:szCs w:val="21"/>
          <w:highlight w:val="none"/>
          <w:u w:val="single"/>
          <w:lang w:val="en-US" w:eastAsia="zh-CN"/>
        </w:rPr>
        <w:t>东莞市新东湾环保投资有限公司</w:t>
      </w:r>
    </w:p>
    <w:p w14:paraId="7120E285">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税号：</w:t>
      </w:r>
      <w:r>
        <w:rPr>
          <w:rFonts w:hint="default" w:ascii="Times New Roman" w:hAnsi="Times New Roman" w:eastAsia="宋体" w:cs="Times New Roman"/>
          <w:sz w:val="21"/>
          <w:szCs w:val="21"/>
          <w:highlight w:val="none"/>
          <w:u w:val="single"/>
          <w:lang w:val="en-US" w:eastAsia="zh-CN"/>
        </w:rPr>
        <w:t>91441900MA7F85CE1N</w:t>
      </w:r>
    </w:p>
    <w:p w14:paraId="77C41460">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开户银行：</w:t>
      </w:r>
      <w:r>
        <w:rPr>
          <w:rFonts w:hint="default" w:ascii="Times New Roman" w:hAnsi="Times New Roman" w:eastAsia="宋体" w:cs="Times New Roman"/>
          <w:sz w:val="21"/>
          <w:szCs w:val="21"/>
          <w:highlight w:val="none"/>
          <w:u w:val="single"/>
          <w:lang w:val="en-US" w:eastAsia="zh-CN"/>
        </w:rPr>
        <w:t>招商银行股份有限公司东莞滨海湾新区支行</w:t>
      </w:r>
    </w:p>
    <w:p w14:paraId="14A232F4">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银行账号：</w:t>
      </w:r>
      <w:r>
        <w:rPr>
          <w:rFonts w:hint="default" w:ascii="Times New Roman" w:hAnsi="Times New Roman" w:eastAsia="宋体" w:cs="Times New Roman"/>
          <w:sz w:val="21"/>
          <w:szCs w:val="21"/>
          <w:highlight w:val="none"/>
          <w:u w:val="single"/>
          <w:lang w:val="en-US" w:eastAsia="zh-CN"/>
        </w:rPr>
        <w:t>769910275410988</w:t>
      </w:r>
    </w:p>
    <w:p w14:paraId="54A51E77">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 xml:space="preserve">3.2 </w:t>
      </w:r>
      <w:r>
        <w:rPr>
          <w:rFonts w:hint="default" w:ascii="Times New Roman" w:hAnsi="Times New Roman" w:eastAsia="宋体" w:cs="Times New Roman"/>
          <w:sz w:val="21"/>
          <w:szCs w:val="21"/>
          <w:highlight w:val="none"/>
        </w:rPr>
        <w:t>乙方的收款</w:t>
      </w:r>
      <w:r>
        <w:rPr>
          <w:rFonts w:hint="default" w:ascii="Times New Roman" w:hAnsi="Times New Roman" w:eastAsia="宋体" w:cs="Times New Roman"/>
          <w:sz w:val="21"/>
          <w:szCs w:val="21"/>
          <w:highlight w:val="none"/>
          <w:lang w:val="en-US" w:eastAsia="zh-CN"/>
        </w:rPr>
        <w:t>信息</w:t>
      </w:r>
    </w:p>
    <w:p w14:paraId="5F983E33">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开户银行地址：</w:t>
      </w:r>
      <w:r>
        <w:rPr>
          <w:rFonts w:hint="default" w:ascii="Times New Roman" w:hAnsi="Times New Roman" w:eastAsia="宋体" w:cs="Times New Roman"/>
          <w:sz w:val="21"/>
          <w:szCs w:val="21"/>
          <w:highlight w:val="none"/>
          <w:u w:val="single"/>
          <w:lang w:val="en-US" w:eastAsia="zh-CN"/>
        </w:rPr>
        <w:t xml:space="preserve">  </w:t>
      </w:r>
    </w:p>
    <w:p w14:paraId="2D56AEE5">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税号：</w:t>
      </w:r>
      <w:r>
        <w:rPr>
          <w:rFonts w:hint="default" w:ascii="Times New Roman" w:hAnsi="Times New Roman" w:eastAsia="宋体" w:cs="Times New Roman"/>
          <w:sz w:val="21"/>
          <w:szCs w:val="21"/>
          <w:highlight w:val="none"/>
          <w:u w:val="single"/>
          <w:lang w:val="en-US" w:eastAsia="zh-CN"/>
        </w:rPr>
        <w:t xml:space="preserve">  </w:t>
      </w:r>
    </w:p>
    <w:p w14:paraId="1CFFE343">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收款单位账号：</w:t>
      </w:r>
      <w:r>
        <w:rPr>
          <w:rFonts w:hint="default" w:ascii="Times New Roman" w:hAnsi="Times New Roman" w:eastAsia="宋体" w:cs="Times New Roman"/>
          <w:sz w:val="21"/>
          <w:szCs w:val="21"/>
          <w:highlight w:val="none"/>
          <w:u w:val="single"/>
          <w:lang w:val="en-US" w:eastAsia="zh-CN"/>
        </w:rPr>
        <w:t xml:space="preserve">  </w:t>
      </w:r>
    </w:p>
    <w:p w14:paraId="3666D177">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收款单位名称：</w:t>
      </w:r>
      <w:r>
        <w:rPr>
          <w:rFonts w:hint="default" w:ascii="Times New Roman" w:hAnsi="Times New Roman" w:eastAsia="宋体" w:cs="Times New Roman"/>
          <w:sz w:val="21"/>
          <w:szCs w:val="21"/>
          <w:highlight w:val="none"/>
          <w:u w:val="single"/>
          <w:lang w:val="en-US" w:eastAsia="zh-CN"/>
        </w:rPr>
        <w:t xml:space="preserve">  </w:t>
      </w:r>
    </w:p>
    <w:p w14:paraId="670E3E6C">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因乙方提供的收款账户信息错误或乙方擅自变更收款账户信息而未及时书面通知甲方，导致甲方付款迟延的，甲方无需承担迟延付款责任。</w:t>
      </w:r>
    </w:p>
    <w:p w14:paraId="49DD0CB5">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第四条  工程安装、调试</w:t>
      </w:r>
    </w:p>
    <w:p w14:paraId="568B8B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kern w:val="2"/>
          <w:sz w:val="21"/>
          <w:szCs w:val="21"/>
          <w:lang w:val="en-US" w:eastAsia="zh-CN" w:bidi="ar-SA"/>
        </w:rPr>
        <w:t>1.</w:t>
      </w:r>
      <w:r>
        <w:rPr>
          <w:rFonts w:hint="default" w:ascii="Times New Roman" w:hAnsi="Times New Roman" w:eastAsia="宋体" w:cs="Times New Roman"/>
          <w:b w:val="0"/>
          <w:bCs/>
          <w:color w:val="auto"/>
          <w:sz w:val="21"/>
          <w:szCs w:val="21"/>
          <w:lang w:val="en-US" w:eastAsia="zh-CN"/>
        </w:rPr>
        <w:t>自甲方发出《进场通知书》之日起，乙方应于45个日历天内交付工程并完成验收。甲方验收不通过的，乙方应于2日内整改完毕。</w:t>
      </w:r>
    </w:p>
    <w:p w14:paraId="4D0581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2.</w:t>
      </w:r>
      <w:r>
        <w:rPr>
          <w:rFonts w:hint="default" w:ascii="Times New Roman" w:hAnsi="Times New Roman" w:eastAsia="宋体" w:cs="Times New Roman"/>
          <w:b w:val="0"/>
          <w:bCs/>
          <w:color w:val="auto"/>
          <w:sz w:val="21"/>
          <w:szCs w:val="21"/>
        </w:rPr>
        <w:t>甲方应负责提供系统安装和调试的必要条件，做好施工方的现场协调工作，积极为乙方提供良好的工作环境。</w:t>
      </w:r>
    </w:p>
    <w:p w14:paraId="18033F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3.</w:t>
      </w:r>
      <w:r>
        <w:rPr>
          <w:rFonts w:hint="default" w:ascii="Times New Roman" w:hAnsi="Times New Roman" w:eastAsia="宋体" w:cs="Times New Roman"/>
          <w:b w:val="0"/>
          <w:bCs/>
          <w:color w:val="auto"/>
          <w:sz w:val="21"/>
          <w:szCs w:val="21"/>
        </w:rPr>
        <w:t>如遇特殊情况如下雨、大风等不利于施工安全时</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经甲方确认</w:t>
      </w:r>
      <w:r>
        <w:rPr>
          <w:rFonts w:hint="default" w:ascii="Times New Roman" w:hAnsi="Times New Roman" w:eastAsia="宋体" w:cs="Times New Roman"/>
          <w:b w:val="0"/>
          <w:bCs/>
          <w:color w:val="auto"/>
          <w:sz w:val="21"/>
          <w:szCs w:val="21"/>
        </w:rPr>
        <w:t>乙方可以适当延长工期。</w:t>
      </w:r>
    </w:p>
    <w:p w14:paraId="207109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4.</w:t>
      </w:r>
      <w:r>
        <w:rPr>
          <w:rFonts w:hint="default" w:ascii="Times New Roman" w:hAnsi="Times New Roman" w:eastAsia="宋体" w:cs="Times New Roman"/>
          <w:b w:val="0"/>
          <w:bCs/>
          <w:color w:val="auto"/>
          <w:sz w:val="21"/>
          <w:szCs w:val="21"/>
          <w:lang w:val="en-US" w:eastAsia="zh-CN"/>
        </w:rPr>
        <w:t>设备</w:t>
      </w:r>
      <w:r>
        <w:rPr>
          <w:rFonts w:hint="default" w:ascii="Times New Roman" w:hAnsi="Times New Roman" w:eastAsia="宋体" w:cs="Times New Roman"/>
          <w:b w:val="0"/>
          <w:bCs/>
          <w:color w:val="auto"/>
          <w:sz w:val="21"/>
          <w:szCs w:val="21"/>
        </w:rPr>
        <w:t>安装、调试过程中如有不符合</w:t>
      </w:r>
      <w:r>
        <w:rPr>
          <w:rFonts w:hint="default" w:ascii="Times New Roman" w:hAnsi="Times New Roman" w:eastAsia="宋体" w:cs="Times New Roman"/>
          <w:b w:val="0"/>
          <w:bCs/>
          <w:color w:val="auto"/>
          <w:sz w:val="21"/>
          <w:szCs w:val="21"/>
          <w:lang w:val="en-US" w:eastAsia="zh-CN"/>
        </w:rPr>
        <w:t>本合同要求的相关</w:t>
      </w:r>
      <w:r>
        <w:rPr>
          <w:rFonts w:hint="default" w:ascii="Times New Roman" w:hAnsi="Times New Roman" w:eastAsia="宋体" w:cs="Times New Roman"/>
          <w:b w:val="0"/>
          <w:bCs/>
          <w:color w:val="auto"/>
          <w:sz w:val="21"/>
          <w:szCs w:val="21"/>
        </w:rPr>
        <w:t>技术</w:t>
      </w:r>
      <w:r>
        <w:rPr>
          <w:rFonts w:hint="default" w:ascii="Times New Roman" w:hAnsi="Times New Roman" w:eastAsia="宋体" w:cs="Times New Roman"/>
          <w:b w:val="0"/>
          <w:bCs/>
          <w:color w:val="auto"/>
          <w:sz w:val="21"/>
          <w:szCs w:val="21"/>
          <w:lang w:val="en-US" w:eastAsia="zh-CN"/>
        </w:rPr>
        <w:t>规范</w:t>
      </w:r>
      <w:r>
        <w:rPr>
          <w:rFonts w:hint="default" w:ascii="Times New Roman" w:hAnsi="Times New Roman" w:eastAsia="宋体" w:cs="Times New Roman"/>
          <w:b w:val="0"/>
          <w:bCs/>
          <w:color w:val="auto"/>
          <w:sz w:val="21"/>
          <w:szCs w:val="21"/>
        </w:rPr>
        <w:t>要求的，</w:t>
      </w:r>
      <w:r>
        <w:rPr>
          <w:rFonts w:hint="default" w:ascii="Times New Roman" w:hAnsi="Times New Roman" w:eastAsia="宋体" w:cs="Times New Roman"/>
          <w:b w:val="0"/>
          <w:bCs/>
          <w:color w:val="auto"/>
          <w:sz w:val="21"/>
          <w:szCs w:val="21"/>
          <w:lang w:val="en-US" w:eastAsia="zh-CN"/>
        </w:rPr>
        <w:t>乙方须</w:t>
      </w:r>
      <w:r>
        <w:rPr>
          <w:rFonts w:hint="default" w:ascii="Times New Roman" w:hAnsi="Times New Roman" w:eastAsia="宋体" w:cs="Times New Roman"/>
          <w:b w:val="0"/>
          <w:bCs/>
          <w:color w:val="auto"/>
          <w:sz w:val="21"/>
          <w:szCs w:val="21"/>
        </w:rPr>
        <w:t>立即返工直到达到标准</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甲方不予支付返工的费用</w:t>
      </w:r>
      <w:r>
        <w:rPr>
          <w:rFonts w:hint="default" w:ascii="Times New Roman" w:hAnsi="Times New Roman" w:eastAsia="宋体" w:cs="Times New Roman"/>
          <w:b w:val="0"/>
          <w:bCs/>
          <w:color w:val="auto"/>
          <w:sz w:val="21"/>
          <w:szCs w:val="21"/>
        </w:rPr>
        <w:t>。</w:t>
      </w:r>
    </w:p>
    <w:p w14:paraId="6D006E04">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五</w:t>
      </w:r>
      <w:r>
        <w:rPr>
          <w:rFonts w:hint="default" w:ascii="Times New Roman" w:hAnsi="Times New Roman" w:eastAsia="宋体" w:cs="Times New Roman"/>
          <w:b/>
          <w:bCs w:val="0"/>
          <w:color w:val="auto"/>
          <w:sz w:val="21"/>
          <w:szCs w:val="21"/>
        </w:rPr>
        <w:t xml:space="preserve">条  </w:t>
      </w:r>
      <w:r>
        <w:rPr>
          <w:rFonts w:hint="default" w:ascii="Times New Roman" w:hAnsi="Times New Roman" w:eastAsia="宋体" w:cs="Times New Roman"/>
          <w:b/>
          <w:bCs w:val="0"/>
          <w:color w:val="auto"/>
          <w:sz w:val="21"/>
          <w:szCs w:val="21"/>
          <w:lang w:val="en-US" w:eastAsia="zh-CN"/>
        </w:rPr>
        <w:t>货物及技术要求</w:t>
      </w:r>
    </w:p>
    <w:p w14:paraId="289A55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1.</w:t>
      </w:r>
      <w:r>
        <w:rPr>
          <w:rFonts w:hint="default" w:ascii="Times New Roman" w:hAnsi="Times New Roman" w:eastAsia="宋体" w:cs="Times New Roman"/>
          <w:bCs/>
          <w:color w:val="auto"/>
          <w:sz w:val="21"/>
          <w:szCs w:val="21"/>
          <w:lang w:val="en-US"/>
        </w:rPr>
        <w:t>乙方应按本合同的</w:t>
      </w:r>
      <w:r>
        <w:rPr>
          <w:rFonts w:hint="default" w:ascii="Times New Roman" w:hAnsi="Times New Roman" w:eastAsia="宋体" w:cs="Times New Roman"/>
          <w:bCs/>
          <w:color w:val="auto"/>
          <w:sz w:val="21"/>
          <w:szCs w:val="21"/>
          <w:lang w:val="en-US" w:eastAsia="zh-CN"/>
        </w:rPr>
        <w:t>技术需求书</w:t>
      </w:r>
      <w:r>
        <w:rPr>
          <w:rFonts w:hint="default" w:ascii="Times New Roman" w:hAnsi="Times New Roman" w:eastAsia="宋体" w:cs="Times New Roman"/>
          <w:bCs/>
          <w:color w:val="auto"/>
          <w:sz w:val="21"/>
          <w:szCs w:val="21"/>
          <w:lang w:val="en-US"/>
        </w:rPr>
        <w:t>标准完成供货、安装及保修服务</w:t>
      </w:r>
      <w:r>
        <w:rPr>
          <w:rFonts w:hint="default" w:ascii="Times New Roman" w:hAnsi="Times New Roman" w:eastAsia="宋体" w:cs="Times New Roman"/>
          <w:bCs/>
          <w:color w:val="auto"/>
          <w:sz w:val="21"/>
          <w:szCs w:val="21"/>
          <w:lang w:val="en-US" w:eastAsia="zh-CN"/>
        </w:rPr>
        <w:t>，</w:t>
      </w:r>
      <w:r>
        <w:rPr>
          <w:rFonts w:hint="default" w:ascii="Times New Roman" w:hAnsi="Times New Roman" w:eastAsia="宋体" w:cs="Times New Roman"/>
          <w:b w:val="0"/>
          <w:bCs/>
          <w:color w:val="auto"/>
          <w:sz w:val="21"/>
          <w:szCs w:val="21"/>
        </w:rPr>
        <w:t>施工调试完毕后乙方应为甲方操作人员进行培训。</w:t>
      </w:r>
    </w:p>
    <w:p w14:paraId="7CEBB56F">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2.</w:t>
      </w:r>
      <w:r>
        <w:rPr>
          <w:rFonts w:hint="default" w:ascii="Times New Roman" w:hAnsi="Times New Roman" w:eastAsia="宋体" w:cs="Times New Roman"/>
          <w:bCs/>
          <w:color w:val="auto"/>
          <w:sz w:val="21"/>
          <w:szCs w:val="21"/>
          <w:lang w:val="en-US"/>
        </w:rPr>
        <w:t>乙方应确保货物的包装在正常情况下能够保证设备的完好。凡由于包装不良造成的损失和由此产生的费用均由乙方承担</w:t>
      </w:r>
      <w:r>
        <w:rPr>
          <w:rFonts w:hint="default" w:ascii="Times New Roman" w:hAnsi="Times New Roman" w:eastAsia="宋体" w:cs="Times New Roman"/>
          <w:bCs/>
          <w:color w:val="auto"/>
          <w:sz w:val="21"/>
          <w:szCs w:val="21"/>
          <w:lang w:val="en-US" w:eastAsia="zh-CN"/>
        </w:rPr>
        <w:t>。</w:t>
      </w:r>
    </w:p>
    <w:p w14:paraId="6E3C77D6">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3.</w:t>
      </w:r>
      <w:r>
        <w:rPr>
          <w:rFonts w:hint="default" w:ascii="Times New Roman" w:hAnsi="Times New Roman" w:eastAsia="宋体" w:cs="Times New Roman"/>
          <w:bCs/>
          <w:color w:val="auto"/>
          <w:sz w:val="21"/>
          <w:szCs w:val="21"/>
          <w:lang w:val="en-US"/>
        </w:rPr>
        <w:t>乙方应确保货物的质量及安装符合国家及地方有关的规定、规范、行业标准，符合甲方需求以及本合同相关约定（如前述标准不一致的，以较高标准为准），且乙方保证所提供的产品是全新的、未使用过的、</w:t>
      </w:r>
      <w:r>
        <w:rPr>
          <w:rFonts w:hint="default" w:ascii="Times New Roman" w:hAnsi="Times New Roman" w:eastAsia="宋体" w:cs="Times New Roman"/>
          <w:bCs/>
          <w:color w:val="auto"/>
          <w:sz w:val="21"/>
          <w:szCs w:val="21"/>
          <w:lang w:val="en-US" w:eastAsia="zh-CN"/>
        </w:rPr>
        <w:t>不存在纠纷的</w:t>
      </w:r>
      <w:r>
        <w:rPr>
          <w:rFonts w:hint="default" w:ascii="Times New Roman" w:hAnsi="Times New Roman" w:eastAsia="宋体" w:cs="Times New Roman"/>
          <w:bCs/>
          <w:color w:val="auto"/>
          <w:sz w:val="21"/>
          <w:szCs w:val="21"/>
          <w:lang w:val="en-US"/>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w:t>
      </w:r>
    </w:p>
    <w:p w14:paraId="656AC0C7">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4.</w:t>
      </w:r>
      <w:r>
        <w:rPr>
          <w:rFonts w:hint="default" w:ascii="Times New Roman" w:hAnsi="Times New Roman" w:eastAsia="宋体" w:cs="Times New Roman"/>
          <w:bCs/>
          <w:color w:val="auto"/>
          <w:sz w:val="21"/>
          <w:szCs w:val="21"/>
          <w:lang w:val="en-US"/>
        </w:rPr>
        <w:t>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本条款为独立条款，不受合同效力的限制。</w:t>
      </w:r>
    </w:p>
    <w:p w14:paraId="29E6E143">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5.</w:t>
      </w:r>
      <w:r>
        <w:rPr>
          <w:rFonts w:hint="default" w:ascii="Times New Roman" w:hAnsi="Times New Roman" w:eastAsia="宋体" w:cs="Times New Roman"/>
          <w:bCs/>
          <w:color w:val="auto"/>
          <w:sz w:val="21"/>
          <w:szCs w:val="21"/>
          <w:lang w:val="en-US"/>
        </w:rPr>
        <w:t>乙方应委派具有相关工作经验及具备合格作业操作证书的人员进行安装工作，乙方须承担现场安装工人的保险工作，因安装过程中操作失误而导致伤亡事故的发生，乙方须承担由此产生的所有责任和费用。</w:t>
      </w:r>
    </w:p>
    <w:p w14:paraId="17CEA526">
      <w:pPr>
        <w:pStyle w:val="97"/>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sz w:val="21"/>
          <w:szCs w:val="21"/>
          <w:lang w:val="en-US" w:eastAsia="zh-CN"/>
        </w:rPr>
        <w:t>6.</w:t>
      </w:r>
      <w:r>
        <w:rPr>
          <w:rFonts w:hint="default" w:ascii="Times New Roman" w:hAnsi="Times New Roman" w:eastAsia="宋体" w:cs="Times New Roman"/>
          <w:bCs/>
          <w:color w:val="auto"/>
          <w:sz w:val="21"/>
          <w:szCs w:val="21"/>
          <w:lang w:val="en-US"/>
        </w:rPr>
        <w:t>乙方须为所有进场工作人员（含临时、外包人员）办理不低于140万元/人的工伤保险或意外伤害保险，保险有效期应覆盖本合同履行期及人员进场作业的全部时段。同一人员的保险重复投保时，保额需叠加计算达到约定标准。人员进场前3个工作日，乙方需向甲方提交加盖公章的投保人员名单、保险公司出具的生效保单及保额证明、人员身份证及劳动关系证明，人员变动时，乙方应在24小时内更新备案资料。如出现未投保或保额不足、备案资料不真实或逾期提交的情况，违约金按缺额人数×2万元/人计算，且甲方有权从合同款中直接扣除。乙方须在违约后5个工作日内补足保险/资料，逾期按2000元/人/日加罚。</w:t>
      </w:r>
    </w:p>
    <w:p w14:paraId="7E9D0200">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六</w:t>
      </w:r>
      <w:r>
        <w:rPr>
          <w:rFonts w:hint="default" w:ascii="Times New Roman" w:hAnsi="Times New Roman" w:eastAsia="宋体" w:cs="Times New Roman"/>
          <w:b/>
          <w:bCs w:val="0"/>
          <w:color w:val="auto"/>
          <w:sz w:val="21"/>
          <w:szCs w:val="21"/>
        </w:rPr>
        <w:t>条  验收和移交</w:t>
      </w:r>
    </w:p>
    <w:p w14:paraId="7637BD3B">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1.监控</w:t>
      </w:r>
      <w:r>
        <w:rPr>
          <w:rFonts w:hint="default" w:ascii="Times New Roman" w:hAnsi="Times New Roman" w:eastAsia="宋体" w:cs="Times New Roman"/>
          <w:b w:val="0"/>
          <w:bCs/>
          <w:color w:val="auto"/>
          <w:sz w:val="21"/>
          <w:szCs w:val="21"/>
        </w:rPr>
        <w:t>系统</w:t>
      </w:r>
      <w:r>
        <w:rPr>
          <w:rFonts w:hint="default" w:ascii="Times New Roman" w:hAnsi="Times New Roman" w:eastAsia="宋体" w:cs="Times New Roman"/>
          <w:b w:val="0"/>
          <w:bCs/>
          <w:color w:val="auto"/>
          <w:sz w:val="21"/>
          <w:szCs w:val="21"/>
          <w:lang w:val="en-US" w:eastAsia="zh-CN"/>
        </w:rPr>
        <w:t>安装完成并开通进行</w:t>
      </w:r>
      <w:r>
        <w:rPr>
          <w:rFonts w:hint="default" w:ascii="Times New Roman" w:hAnsi="Times New Roman" w:eastAsia="宋体" w:cs="Times New Roman"/>
          <w:b w:val="0"/>
          <w:bCs/>
          <w:color w:val="auto"/>
          <w:sz w:val="21"/>
          <w:szCs w:val="21"/>
        </w:rPr>
        <w:t>调试</w:t>
      </w:r>
      <w:r>
        <w:rPr>
          <w:rFonts w:hint="default" w:ascii="Times New Roman" w:hAnsi="Times New Roman" w:eastAsia="宋体" w:cs="Times New Roman"/>
          <w:b w:val="0"/>
          <w:bCs/>
          <w:color w:val="auto"/>
          <w:sz w:val="21"/>
          <w:szCs w:val="21"/>
          <w:lang w:val="en-US" w:eastAsia="zh-CN"/>
        </w:rPr>
        <w:t>完成后</w:t>
      </w:r>
      <w:r>
        <w:rPr>
          <w:rFonts w:hint="default" w:ascii="Times New Roman" w:hAnsi="Times New Roman" w:eastAsia="宋体" w:cs="Times New Roman"/>
          <w:b w:val="0"/>
          <w:bCs/>
          <w:color w:val="auto"/>
          <w:sz w:val="21"/>
          <w:szCs w:val="21"/>
        </w:rPr>
        <w:t>，甲乙双方对系统作全面验收，验收合格后各方签字确认，并由乙方移交给甲方使用。</w:t>
      </w:r>
    </w:p>
    <w:p w14:paraId="47DA18FA">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b w:val="0"/>
          <w:bCs/>
          <w:color w:val="auto"/>
          <w:sz w:val="21"/>
          <w:szCs w:val="21"/>
          <w:lang w:val="en-US" w:eastAsia="zh-CN"/>
        </w:rPr>
        <w:t>2.</w:t>
      </w:r>
      <w:r>
        <w:rPr>
          <w:rFonts w:hint="default" w:ascii="Times New Roman" w:hAnsi="Times New Roman" w:eastAsia="宋体" w:cs="Times New Roman"/>
          <w:sz w:val="21"/>
          <w:szCs w:val="21"/>
          <w:highlight w:val="none"/>
          <w:u w:val="none"/>
          <w:lang w:val="en-US" w:eastAsia="zh-CN"/>
        </w:rPr>
        <w:t>验收前责任主体：在设备通过验收前，乙方须对进场人员、物资、材料、机具及半成品承担全面管理责任，应自行投保足额工程一切险及第三者责任险，包括但不限于人员安全管理及安保措施、物资的保管、防盗及损毁预防、机具的操作安全及维护等等。若发生物资遗失、被盗或损毁，乙方应自费补充并保证供货进度不受影响。风险及所有权转移时点以甲、乙双方签署的验收合格文件载明日期为准。验收完成前，设备及附属物的一切风险(包括不可抗力因素)均由乙方承担。甲方不承担乙方人员或第三方造成的损失、保管不善导致的物资短缺、安装过程中的安全事故等责任。</w:t>
      </w:r>
    </w:p>
    <w:p w14:paraId="684D30A6">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3.竣工资料要求：竣工资料1式3份，具体按甲方验收标准执行。</w:t>
      </w:r>
    </w:p>
    <w:p w14:paraId="6595239D">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七</w:t>
      </w:r>
      <w:r>
        <w:rPr>
          <w:rFonts w:hint="default" w:ascii="Times New Roman" w:hAnsi="Times New Roman" w:eastAsia="宋体" w:cs="Times New Roman"/>
          <w:b/>
          <w:bCs w:val="0"/>
          <w:color w:val="auto"/>
          <w:sz w:val="21"/>
          <w:szCs w:val="21"/>
        </w:rPr>
        <w:t>条  设备</w:t>
      </w:r>
      <w:r>
        <w:rPr>
          <w:rFonts w:hint="default" w:ascii="Times New Roman" w:hAnsi="Times New Roman" w:eastAsia="宋体" w:cs="Times New Roman"/>
          <w:b/>
          <w:bCs w:val="0"/>
          <w:color w:val="auto"/>
          <w:sz w:val="21"/>
          <w:szCs w:val="21"/>
          <w:lang w:val="en-US" w:eastAsia="zh-CN"/>
        </w:rPr>
        <w:t>质保</w:t>
      </w:r>
    </w:p>
    <w:p w14:paraId="4FB1AC49">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质保期自设备调试、检测合格之日起算。本工程缺陷责任期为2年，质量保修期为2年</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自验收合格之日起计算</w:t>
      </w:r>
      <w:r>
        <w:rPr>
          <w:rFonts w:hint="default" w:ascii="Times New Roman" w:hAnsi="Times New Roman" w:eastAsia="宋体" w:cs="Times New Roman"/>
          <w:b w:val="0"/>
          <w:bCs/>
          <w:color w:val="auto"/>
          <w:sz w:val="21"/>
          <w:szCs w:val="21"/>
          <w:lang w:eastAsia="zh-CN"/>
        </w:rPr>
        <w:t>）。</w:t>
      </w:r>
    </w:p>
    <w:p w14:paraId="50578091">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2.质保期内，</w:t>
      </w:r>
      <w:r>
        <w:rPr>
          <w:rFonts w:hint="default" w:ascii="Times New Roman" w:hAnsi="Times New Roman" w:eastAsia="宋体" w:cs="Times New Roman"/>
          <w:b w:val="0"/>
          <w:bCs/>
          <w:color w:val="auto"/>
          <w:sz w:val="21"/>
          <w:szCs w:val="21"/>
        </w:rPr>
        <w:t>如出现使用故障，乙方负责免费维修</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如故障是因人为或意外引起的，需调换的设备或零件的费用由甲方负责，乙方负责免费维修。</w:t>
      </w:r>
    </w:p>
    <w:p w14:paraId="69FC31F7">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rPr>
        <w:t>在质保期内，如</w:t>
      </w:r>
      <w:r>
        <w:rPr>
          <w:rFonts w:hint="default" w:ascii="Times New Roman" w:hAnsi="Times New Roman" w:eastAsia="宋体" w:cs="Times New Roman"/>
          <w:b w:val="0"/>
          <w:bCs/>
          <w:color w:val="auto"/>
          <w:sz w:val="21"/>
          <w:szCs w:val="21"/>
          <w:highlight w:val="none"/>
          <w:lang w:val="en-US" w:eastAsia="zh-CN"/>
        </w:rPr>
        <w:t>监控设备</w:t>
      </w:r>
      <w:r>
        <w:rPr>
          <w:rFonts w:hint="default" w:ascii="Times New Roman" w:hAnsi="Times New Roman" w:eastAsia="宋体" w:cs="Times New Roman"/>
          <w:b w:val="0"/>
          <w:bCs/>
          <w:color w:val="auto"/>
          <w:sz w:val="21"/>
          <w:szCs w:val="21"/>
          <w:highlight w:val="none"/>
        </w:rPr>
        <w:t>无法正常运行，</w:t>
      </w:r>
      <w:r>
        <w:rPr>
          <w:rFonts w:hint="default" w:ascii="Times New Roman" w:hAnsi="Times New Roman" w:eastAsia="宋体" w:cs="Times New Roman"/>
          <w:b w:val="0"/>
          <w:bCs/>
          <w:color w:val="auto"/>
          <w:sz w:val="21"/>
          <w:szCs w:val="21"/>
          <w:highlight w:val="none"/>
          <w:lang w:val="en-US" w:eastAsia="zh-CN"/>
        </w:rPr>
        <w:t>乙方</w:t>
      </w:r>
      <w:r>
        <w:rPr>
          <w:rFonts w:hint="default" w:ascii="Times New Roman" w:hAnsi="Times New Roman" w:eastAsia="宋体" w:cs="Times New Roman"/>
          <w:b w:val="0"/>
          <w:bCs/>
          <w:color w:val="auto"/>
          <w:sz w:val="21"/>
          <w:szCs w:val="21"/>
          <w:highlight w:val="none"/>
        </w:rPr>
        <w:t>须在</w:t>
      </w:r>
      <w:r>
        <w:rPr>
          <w:rFonts w:hint="default" w:ascii="Times New Roman" w:hAnsi="Times New Roman" w:eastAsia="宋体" w:cs="Times New Roman"/>
          <w:b w:val="0"/>
          <w:bCs/>
          <w:color w:val="auto"/>
          <w:sz w:val="21"/>
          <w:szCs w:val="21"/>
          <w:highlight w:val="none"/>
          <w:lang w:val="en-US" w:eastAsia="zh-CN"/>
        </w:rPr>
        <w:t>甲方</w:t>
      </w:r>
      <w:r>
        <w:rPr>
          <w:rFonts w:hint="default" w:ascii="Times New Roman" w:hAnsi="Times New Roman" w:eastAsia="宋体" w:cs="Times New Roman"/>
          <w:b w:val="0"/>
          <w:bCs/>
          <w:color w:val="auto"/>
          <w:sz w:val="21"/>
          <w:szCs w:val="21"/>
          <w:highlight w:val="none"/>
        </w:rPr>
        <w:t>发出维修通知单1</w:t>
      </w:r>
      <w:r>
        <w:rPr>
          <w:rFonts w:hint="default" w:ascii="Times New Roman" w:hAnsi="Times New Roman" w:eastAsia="宋体" w:cs="Times New Roman"/>
          <w:b w:val="0"/>
          <w:bCs/>
          <w:color w:val="auto"/>
          <w:sz w:val="21"/>
          <w:szCs w:val="21"/>
          <w:highlight w:val="none"/>
          <w:lang w:val="en-US" w:eastAsia="zh-CN"/>
        </w:rPr>
        <w:t>个日历日</w:t>
      </w:r>
      <w:r>
        <w:rPr>
          <w:rFonts w:hint="default" w:ascii="Times New Roman" w:hAnsi="Times New Roman" w:eastAsia="宋体" w:cs="Times New Roman"/>
          <w:b w:val="0"/>
          <w:bCs/>
          <w:color w:val="auto"/>
          <w:sz w:val="21"/>
          <w:szCs w:val="21"/>
          <w:highlight w:val="none"/>
        </w:rPr>
        <w:t>内进行维修工作</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因设备自身原因导致</w:t>
      </w:r>
      <w:r>
        <w:rPr>
          <w:rFonts w:hint="default" w:ascii="Times New Roman" w:hAnsi="Times New Roman" w:eastAsia="宋体" w:cs="Times New Roman"/>
          <w:b w:val="0"/>
          <w:bCs/>
          <w:color w:val="auto"/>
          <w:sz w:val="21"/>
          <w:szCs w:val="21"/>
          <w:highlight w:val="none"/>
        </w:rPr>
        <w:t>设备无法维修，</w:t>
      </w:r>
      <w:r>
        <w:rPr>
          <w:rFonts w:hint="default" w:ascii="Times New Roman" w:hAnsi="Times New Roman" w:eastAsia="宋体" w:cs="Times New Roman"/>
          <w:b w:val="0"/>
          <w:bCs/>
          <w:color w:val="auto"/>
          <w:sz w:val="21"/>
          <w:szCs w:val="21"/>
          <w:highlight w:val="none"/>
          <w:lang w:eastAsia="zh-CN"/>
        </w:rPr>
        <w:t>乙方</w:t>
      </w:r>
      <w:r>
        <w:rPr>
          <w:rFonts w:hint="default" w:ascii="Times New Roman" w:hAnsi="Times New Roman" w:eastAsia="宋体" w:cs="Times New Roman"/>
          <w:b w:val="0"/>
          <w:bCs/>
          <w:color w:val="auto"/>
          <w:sz w:val="21"/>
          <w:szCs w:val="21"/>
          <w:highlight w:val="none"/>
        </w:rPr>
        <w:t>须在3个</w:t>
      </w:r>
      <w:r>
        <w:rPr>
          <w:rFonts w:hint="default" w:ascii="Times New Roman" w:hAnsi="Times New Roman" w:eastAsia="宋体" w:cs="Times New Roman"/>
          <w:b w:val="0"/>
          <w:bCs/>
          <w:color w:val="auto"/>
          <w:sz w:val="21"/>
          <w:szCs w:val="21"/>
          <w:highlight w:val="none"/>
          <w:lang w:val="en-US" w:eastAsia="zh-CN"/>
        </w:rPr>
        <w:t>日历日</w:t>
      </w:r>
      <w:r>
        <w:rPr>
          <w:rFonts w:hint="default" w:ascii="Times New Roman" w:hAnsi="Times New Roman" w:eastAsia="宋体" w:cs="Times New Roman"/>
          <w:b w:val="0"/>
          <w:bCs/>
          <w:color w:val="auto"/>
          <w:sz w:val="21"/>
          <w:szCs w:val="21"/>
          <w:highlight w:val="none"/>
        </w:rPr>
        <w:t>更换原来规格的</w:t>
      </w:r>
      <w:r>
        <w:rPr>
          <w:rFonts w:hint="default" w:ascii="Times New Roman" w:hAnsi="Times New Roman" w:eastAsia="宋体" w:cs="Times New Roman"/>
          <w:b w:val="0"/>
          <w:bCs/>
          <w:color w:val="auto"/>
          <w:sz w:val="21"/>
          <w:szCs w:val="21"/>
          <w:highlight w:val="none"/>
          <w:lang w:val="en-US" w:eastAsia="zh-CN"/>
        </w:rPr>
        <w:t>配件</w:t>
      </w:r>
      <w:r>
        <w:rPr>
          <w:rFonts w:hint="default" w:ascii="Times New Roman" w:hAnsi="Times New Roman" w:eastAsia="宋体" w:cs="Times New Roman"/>
          <w:b w:val="0"/>
          <w:bCs/>
          <w:color w:val="auto"/>
          <w:sz w:val="21"/>
          <w:szCs w:val="21"/>
          <w:highlight w:val="none"/>
        </w:rPr>
        <w:t>，修理或更换</w:t>
      </w:r>
      <w:r>
        <w:rPr>
          <w:rFonts w:hint="default" w:ascii="Times New Roman" w:hAnsi="Times New Roman" w:eastAsia="宋体" w:cs="Times New Roman"/>
          <w:b w:val="0"/>
          <w:bCs/>
          <w:color w:val="auto"/>
          <w:sz w:val="21"/>
          <w:szCs w:val="21"/>
          <w:highlight w:val="none"/>
          <w:lang w:val="en-US" w:eastAsia="zh-CN"/>
        </w:rPr>
        <w:t>产生的</w:t>
      </w:r>
      <w:r>
        <w:rPr>
          <w:rFonts w:hint="default" w:ascii="Times New Roman" w:hAnsi="Times New Roman" w:eastAsia="宋体" w:cs="Times New Roman"/>
          <w:b w:val="0"/>
          <w:bCs/>
          <w:color w:val="auto"/>
          <w:sz w:val="21"/>
          <w:szCs w:val="21"/>
          <w:highlight w:val="none"/>
        </w:rPr>
        <w:t>费用由乙方承担</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非设备自身原因需要维修的，乙方</w:t>
      </w:r>
      <w:r>
        <w:rPr>
          <w:rFonts w:hint="default" w:ascii="Times New Roman" w:hAnsi="Times New Roman" w:eastAsia="宋体" w:cs="Times New Roman"/>
          <w:b w:val="0"/>
          <w:bCs/>
          <w:color w:val="auto"/>
          <w:sz w:val="21"/>
          <w:szCs w:val="21"/>
          <w:highlight w:val="none"/>
        </w:rPr>
        <w:t>需在</w:t>
      </w:r>
      <w:r>
        <w:rPr>
          <w:rFonts w:hint="default" w:ascii="Times New Roman" w:hAnsi="Times New Roman" w:eastAsia="宋体" w:cs="Times New Roman"/>
          <w:b w:val="0"/>
          <w:bCs/>
          <w:color w:val="auto"/>
          <w:sz w:val="21"/>
          <w:szCs w:val="21"/>
          <w:highlight w:val="none"/>
          <w:lang w:val="en-US" w:eastAsia="zh-CN"/>
        </w:rPr>
        <w:t>甲方</w:t>
      </w:r>
      <w:r>
        <w:rPr>
          <w:rFonts w:hint="default" w:ascii="Times New Roman" w:hAnsi="Times New Roman" w:eastAsia="宋体" w:cs="Times New Roman"/>
          <w:b w:val="0"/>
          <w:bCs/>
          <w:color w:val="auto"/>
          <w:sz w:val="21"/>
          <w:szCs w:val="21"/>
          <w:highlight w:val="none"/>
        </w:rPr>
        <w:t>提出易损件更换需求</w:t>
      </w:r>
      <w:r>
        <w:rPr>
          <w:rFonts w:hint="default" w:ascii="Times New Roman" w:hAnsi="Times New Roman" w:eastAsia="宋体" w:cs="Times New Roman"/>
          <w:b w:val="0"/>
          <w:bCs/>
          <w:color w:val="auto"/>
          <w:sz w:val="21"/>
          <w:szCs w:val="21"/>
          <w:highlight w:val="none"/>
          <w:lang w:val="en-US" w:eastAsia="zh-CN"/>
        </w:rPr>
        <w:t>起</w:t>
      </w:r>
      <w:r>
        <w:rPr>
          <w:rFonts w:hint="default" w:ascii="Times New Roman" w:hAnsi="Times New Roman" w:eastAsia="宋体" w:cs="Times New Roman"/>
          <w:b w:val="0"/>
          <w:bCs/>
          <w:color w:val="auto"/>
          <w:sz w:val="21"/>
          <w:szCs w:val="21"/>
          <w:highlight w:val="none"/>
          <w:lang w:eastAsia="zh-CN"/>
        </w:rPr>
        <w:t>3</w:t>
      </w:r>
      <w:r>
        <w:rPr>
          <w:rFonts w:hint="default" w:ascii="Times New Roman" w:hAnsi="Times New Roman" w:eastAsia="宋体" w:cs="Times New Roman"/>
          <w:b w:val="0"/>
          <w:bCs/>
          <w:color w:val="auto"/>
          <w:sz w:val="21"/>
          <w:szCs w:val="21"/>
          <w:highlight w:val="none"/>
        </w:rPr>
        <w:t>个日历日内提供维修服务，更换物料由</w:t>
      </w:r>
      <w:r>
        <w:rPr>
          <w:rFonts w:hint="default" w:ascii="Times New Roman" w:hAnsi="Times New Roman" w:eastAsia="宋体" w:cs="Times New Roman"/>
          <w:b w:val="0"/>
          <w:bCs/>
          <w:color w:val="auto"/>
          <w:sz w:val="21"/>
          <w:szCs w:val="21"/>
          <w:highlight w:val="none"/>
          <w:lang w:eastAsia="zh-CN"/>
        </w:rPr>
        <w:t>乙方</w:t>
      </w:r>
      <w:r>
        <w:rPr>
          <w:rFonts w:hint="default" w:ascii="Times New Roman" w:hAnsi="Times New Roman" w:eastAsia="宋体" w:cs="Times New Roman"/>
          <w:b w:val="0"/>
          <w:bCs/>
          <w:color w:val="auto"/>
          <w:sz w:val="21"/>
          <w:szCs w:val="21"/>
          <w:highlight w:val="none"/>
        </w:rPr>
        <w:t>提供，费用</w:t>
      </w:r>
      <w:r>
        <w:rPr>
          <w:rFonts w:hint="default" w:ascii="Times New Roman" w:hAnsi="Times New Roman" w:eastAsia="宋体" w:cs="Times New Roman"/>
          <w:b w:val="0"/>
          <w:bCs/>
          <w:color w:val="auto"/>
          <w:sz w:val="21"/>
          <w:szCs w:val="21"/>
          <w:highlight w:val="none"/>
          <w:lang w:val="en-US" w:eastAsia="zh-CN"/>
        </w:rPr>
        <w:t>双方</w:t>
      </w:r>
      <w:r>
        <w:rPr>
          <w:rFonts w:hint="default" w:ascii="Times New Roman" w:hAnsi="Times New Roman" w:eastAsia="宋体" w:cs="Times New Roman"/>
          <w:b w:val="0"/>
          <w:bCs/>
          <w:color w:val="auto"/>
          <w:sz w:val="21"/>
          <w:szCs w:val="21"/>
          <w:highlight w:val="none"/>
        </w:rPr>
        <w:t>另行计算。</w:t>
      </w:r>
      <w:r>
        <w:rPr>
          <w:rFonts w:hint="default" w:ascii="Times New Roman" w:hAnsi="Times New Roman" w:eastAsia="宋体" w:cs="Times New Roman"/>
          <w:b w:val="0"/>
          <w:bCs/>
          <w:color w:val="auto"/>
          <w:sz w:val="21"/>
          <w:szCs w:val="21"/>
          <w:highlight w:val="none"/>
          <w:lang w:val="en-US" w:eastAsia="zh-CN"/>
        </w:rPr>
        <w:t>乙方逾期维修或经2次维修后，故障仍无法解决的，甲方有权委托第三方维修，相关费用由乙方承担，甲方可在质保金中直接扣除。如质保金不足扣除的，乙方应于3日内补足。</w:t>
      </w:r>
    </w:p>
    <w:p w14:paraId="56185033">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八</w:t>
      </w:r>
      <w:r>
        <w:rPr>
          <w:rFonts w:hint="default" w:ascii="Times New Roman" w:hAnsi="Times New Roman" w:eastAsia="宋体" w:cs="Times New Roman"/>
          <w:b/>
          <w:bCs w:val="0"/>
          <w:color w:val="auto"/>
          <w:sz w:val="21"/>
          <w:szCs w:val="21"/>
        </w:rPr>
        <w:t>条</w:t>
      </w:r>
      <w:r>
        <w:rPr>
          <w:rFonts w:hint="default" w:ascii="Times New Roman" w:hAnsi="Times New Roman" w:eastAsia="宋体" w:cs="Times New Roman"/>
          <w:b/>
          <w:bCs w:val="0"/>
          <w:color w:val="auto"/>
          <w:sz w:val="21"/>
          <w:szCs w:val="21"/>
          <w:lang w:val="en-US" w:eastAsia="zh-CN"/>
        </w:rPr>
        <w:t xml:space="preserve"> 变更</w:t>
      </w:r>
    </w:p>
    <w:p w14:paraId="04A729C8">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1.可作为工程变更及签证价款调整的依据：</w:t>
      </w:r>
    </w:p>
    <w:p w14:paraId="3D1FD48A">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（1）设计院出具并经甲方确认的设计变更单；</w:t>
      </w:r>
    </w:p>
    <w:p w14:paraId="1AF1A93B">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（2）甲方下发的工程联系单。</w:t>
      </w:r>
    </w:p>
    <w:p w14:paraId="3AEF86F4">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2.价款调整的计价方法：工程变更及签证引起工程费用增减经审定后相应调整，调整方式：累计调整的工程费用=∑各项工程变更及签证发生的工程签证费用=工程变更及签证工程量*综合单价+税金。</w:t>
      </w:r>
    </w:p>
    <w:p w14:paraId="069B9052">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投标总价中措施项目费用、其他项目费用为包干价，因此工程变更及签证所发生的措施项目费用及其他项目费用已全部包含在投标总价的措施项目清单报价中,也不再作为工程变更及签证中管理费、利润、规费和税金的计取基数。税金费率按工程所在地的有关规定计算。</w:t>
      </w:r>
    </w:p>
    <w:p w14:paraId="738A7A8A">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3.综合单价的确认方式：</w:t>
      </w:r>
    </w:p>
    <w:p w14:paraId="558D7EFC">
      <w:pPr>
        <w:keepNext w:val="0"/>
        <w:keepLines w:val="0"/>
        <w:pageBreakBefore w:val="0"/>
        <w:widowControl/>
        <w:numPr>
          <w:ilvl w:val="0"/>
          <w:numId w:val="3"/>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清单中有相同综合单价的，按清单中的相同综合单价计算；</w:t>
      </w:r>
    </w:p>
    <w:p w14:paraId="5A2A138C">
      <w:pPr>
        <w:keepNext w:val="0"/>
        <w:keepLines w:val="0"/>
        <w:pageBreakBefore w:val="0"/>
        <w:widowControl/>
        <w:numPr>
          <w:ilvl w:val="0"/>
          <w:numId w:val="3"/>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清单中有类似综合单价的，按类似综合单价计算；</w:t>
      </w:r>
    </w:p>
    <w:p w14:paraId="7E10DF01">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（3）清单中没有相同或类似综合单价的，由承包人提出适当的重新组价的综合单价，经发包人审核确认后执行。</w:t>
      </w:r>
    </w:p>
    <w:p w14:paraId="219B6361">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4.工程量及重新组价的综合单价计算的依据：</w:t>
      </w:r>
    </w:p>
    <w:p w14:paraId="76EFC4DD">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《建设部建筑工程施工发包与承包计价管理办法》；</w:t>
      </w:r>
    </w:p>
    <w:p w14:paraId="624157AB">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《建设工程工程量清单计价规范（GB50500-2013）》；</w:t>
      </w:r>
    </w:p>
    <w:p w14:paraId="586F0605">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《广东省建筑与装饰工程综合定额（2018）》；</w:t>
      </w:r>
    </w:p>
    <w:p w14:paraId="78AB9A9C">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（4）《广东省安装工程综合定额（2018）》；</w:t>
      </w:r>
    </w:p>
    <w:p w14:paraId="1A755A21">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（5）《广东省市政工程综合定额（2018）》；</w:t>
      </w:r>
    </w:p>
    <w:p w14:paraId="1D3DABBF">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（6）《广东省施工机械台班费用（2018）》；</w:t>
      </w:r>
    </w:p>
    <w:p w14:paraId="6B09B104">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（7）</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投标当月的东莞工程造价管理信息和东莞市主要建筑材料网上公布价；</w:t>
      </w:r>
    </w:p>
    <w:p w14:paraId="30052624">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（8）定额人工单价执行东莞市的相关文件；</w:t>
      </w:r>
    </w:p>
    <w:p w14:paraId="717CE0F0">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（9）中标下浮率；</w:t>
      </w:r>
    </w:p>
    <w:p w14:paraId="43E62184">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（10）工程签证中所发生的零星机械台班按照上述机械台班定额计取，零工和零星机械台班单价为包干价，只计取税金，不再计取其他任何费用。</w:t>
      </w:r>
    </w:p>
    <w:p w14:paraId="48CDB67E">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5.安装定额中的未计价主材单价的方法确定：</w:t>
      </w:r>
    </w:p>
    <w:p w14:paraId="3F326F23">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投标清单中已有相同材料的价格，应按投标清单中已有的材料单价确定；</w:t>
      </w:r>
    </w:p>
    <w:p w14:paraId="1162E56C">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（2）投标清单中只有类似此类材料的价格，经发包人审核确认后，可参照该单价确定材料价格；</w:t>
      </w:r>
    </w:p>
    <w:p w14:paraId="1CE1A9DB">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（3） 投标清单中没有相同或类似于此类材料的价格，可参考东莞市工程造价管理中心发布的的工程投标当月的信息指导价确定；</w:t>
      </w:r>
    </w:p>
    <w:p w14:paraId="7E4CBA3F">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（4）若上述方式仍然无法确定此类材料价格时，可经双方共同询价认可后确定。</w:t>
      </w:r>
    </w:p>
    <w:p w14:paraId="6742E0DA">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6.现场签证事件：现场签证工作完成后的 48 小时内，合同双方当事人应确认由此引起调整的合同价款，并作为追加合同价款。调整方式按“专用合同中的风险费用的计算方法“工程变更事件”执行。</w:t>
      </w:r>
    </w:p>
    <w:p w14:paraId="4F1DA566">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九</w:t>
      </w:r>
      <w:r>
        <w:rPr>
          <w:rFonts w:hint="default" w:ascii="Times New Roman" w:hAnsi="Times New Roman" w:eastAsia="宋体" w:cs="Times New Roman"/>
          <w:b/>
          <w:bCs w:val="0"/>
          <w:color w:val="auto"/>
          <w:sz w:val="21"/>
          <w:szCs w:val="21"/>
        </w:rPr>
        <w:t>条</w:t>
      </w:r>
      <w:r>
        <w:rPr>
          <w:rFonts w:hint="default" w:ascii="Times New Roman" w:hAnsi="Times New Roman" w:eastAsia="宋体"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1"/>
          <w:szCs w:val="21"/>
        </w:rPr>
        <w:t>违约责任</w:t>
      </w:r>
    </w:p>
    <w:p w14:paraId="7CB48809">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sz w:val="21"/>
          <w:szCs w:val="21"/>
          <w:highlight w:val="none"/>
        </w:rPr>
        <w:t>乙方未按时供货</w:t>
      </w:r>
      <w:r>
        <w:rPr>
          <w:rFonts w:hint="default" w:ascii="Times New Roman" w:hAnsi="Times New Roman" w:eastAsia="宋体" w:cs="Times New Roman"/>
          <w:sz w:val="21"/>
          <w:szCs w:val="21"/>
          <w:highlight w:val="none"/>
          <w:lang w:val="en-US" w:eastAsia="zh-CN"/>
        </w:rPr>
        <w:t>安装</w:t>
      </w:r>
      <w:r>
        <w:rPr>
          <w:rFonts w:hint="default" w:ascii="Times New Roman" w:hAnsi="Times New Roman" w:eastAsia="宋体" w:cs="Times New Roman"/>
          <w:sz w:val="21"/>
          <w:szCs w:val="21"/>
          <w:highlight w:val="none"/>
        </w:rPr>
        <w:t>（包括相关的技术资料）的违约责任：</w:t>
      </w:r>
    </w:p>
    <w:p w14:paraId="34D3B26A">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（1）逾期1~5日历日，每延误一日按合同总价的0.</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%/日计算违约金；</w:t>
      </w:r>
    </w:p>
    <w:p w14:paraId="46F16598">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（2）逾期6~10日历日，每延误一日按合同总价的0.</w:t>
      </w: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 xml:space="preserve">%/日计算违约金； </w:t>
      </w:r>
    </w:p>
    <w:p w14:paraId="35D365FD">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（3）逾期11~15日历日，每延误一日按合同总价的0.</w:t>
      </w:r>
      <w:r>
        <w:rPr>
          <w:rFonts w:hint="default" w:ascii="Times New Roman" w:hAnsi="Times New Roman" w:eastAsia="宋体" w:cs="Times New Roman"/>
          <w:sz w:val="21"/>
          <w:szCs w:val="21"/>
          <w:highlight w:val="none"/>
          <w:lang w:val="en-US" w:eastAsia="zh-CN"/>
        </w:rPr>
        <w:t>15</w:t>
      </w:r>
      <w:r>
        <w:rPr>
          <w:rFonts w:hint="default" w:ascii="Times New Roman" w:hAnsi="Times New Roman" w:eastAsia="宋体" w:cs="Times New Roman"/>
          <w:sz w:val="21"/>
          <w:szCs w:val="21"/>
          <w:highlight w:val="none"/>
        </w:rPr>
        <w:t xml:space="preserve">%/日计算违约金。 </w:t>
      </w:r>
    </w:p>
    <w:p w14:paraId="560F69DF">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违约金不足以弥补因此给甲方造成的损失的，乙方还应补足；乙方支付违约金，并不解除乙方按照合同继续交货的义务</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若延误累计超出15日历日的，甲方有权单方面解除合同。同时，造成甲方损失（包括但不限于经济损失等），均由乙方承担。如果经甲方同意给予了延长期，那么，根据本款应缴纳的违约金</w:t>
      </w:r>
      <w:r>
        <w:rPr>
          <w:rFonts w:hint="default" w:ascii="Times New Roman" w:hAnsi="Times New Roman" w:eastAsia="宋体" w:cs="Times New Roman"/>
          <w:sz w:val="21"/>
          <w:szCs w:val="21"/>
          <w:highlight w:val="none"/>
          <w:lang w:val="en-US" w:eastAsia="zh-CN"/>
        </w:rPr>
        <w:t>及逾期天数</w:t>
      </w:r>
      <w:r>
        <w:rPr>
          <w:rFonts w:hint="default" w:ascii="Times New Roman" w:hAnsi="Times New Roman" w:eastAsia="宋体" w:cs="Times New Roman"/>
          <w:sz w:val="21"/>
          <w:szCs w:val="21"/>
          <w:highlight w:val="none"/>
        </w:rPr>
        <w:t>从延期后的工期到期日开始计算。</w:t>
      </w:r>
    </w:p>
    <w:p w14:paraId="154743DC">
      <w:pPr>
        <w:widowControl/>
        <w:numPr>
          <w:ilvl w:val="0"/>
          <w:numId w:val="0"/>
        </w:numPr>
        <w:snapToGrid w:val="0"/>
        <w:spacing w:line="360" w:lineRule="auto"/>
        <w:ind w:left="0" w:leftChars="0" w:firstLine="420" w:firstLineChars="200"/>
        <w:jc w:val="both"/>
        <w:rPr>
          <w:rFonts w:hint="default" w:ascii="Times New Roman" w:hAnsi="Times New Roman" w:eastAsia="宋体" w:cs="Times New Roman"/>
          <w:lang w:val="en-US" w:eastAsia="zh-CN"/>
        </w:rPr>
      </w:pPr>
      <w:r>
        <w:rPr>
          <w:rFonts w:hint="default" w:ascii="Times New Roman" w:hAnsi="Times New Roman" w:eastAsia="宋体" w:cs="Times New Roman"/>
          <w:sz w:val="21"/>
          <w:szCs w:val="21"/>
          <w:highlight w:val="none"/>
          <w:lang w:val="en-US" w:eastAsia="zh-CN"/>
        </w:rPr>
        <w:t>2.验收未通过，乙方整改完毕仍无法验收通过的，甲方有权解除本合同，并要求乙方按照</w:t>
      </w:r>
      <w:r>
        <w:rPr>
          <w:rFonts w:hint="default" w:ascii="Times New Roman" w:hAnsi="Times New Roman" w:eastAsia="宋体" w:cs="Times New Roman"/>
          <w:color w:val="000000"/>
          <w:kern w:val="0"/>
          <w:sz w:val="21"/>
          <w:szCs w:val="21"/>
          <w:highlight w:val="none"/>
        </w:rPr>
        <w:t>合同总</w:t>
      </w:r>
      <w:r>
        <w:rPr>
          <w:rFonts w:hint="default" w:ascii="Times New Roman" w:hAnsi="Times New Roman" w:eastAsia="宋体" w:cs="Times New Roman"/>
          <w:color w:val="000000"/>
          <w:kern w:val="0"/>
          <w:sz w:val="21"/>
          <w:szCs w:val="21"/>
          <w:highlight w:val="none"/>
          <w:lang w:val="en-US" w:eastAsia="zh-CN"/>
        </w:rPr>
        <w:t>价款</w:t>
      </w:r>
      <w:r>
        <w:rPr>
          <w:rFonts w:hint="default" w:ascii="Times New Roman" w:hAnsi="Times New Roman" w:eastAsia="宋体" w:cs="Times New Roman"/>
          <w:color w:val="000000"/>
          <w:kern w:val="0"/>
          <w:sz w:val="21"/>
          <w:szCs w:val="21"/>
          <w:highlight w:val="none"/>
        </w:rPr>
        <w:t>的20%向甲方支付违约金</w:t>
      </w:r>
      <w:r>
        <w:rPr>
          <w:rFonts w:hint="default" w:ascii="Times New Roman" w:hAnsi="Times New Roman" w:eastAsia="宋体" w:cs="Times New Roman"/>
          <w:color w:val="000000"/>
          <w:kern w:val="0"/>
          <w:sz w:val="21"/>
          <w:szCs w:val="21"/>
          <w:highlight w:val="none"/>
          <w:lang w:eastAsia="zh-CN"/>
        </w:rPr>
        <w:t>。</w:t>
      </w:r>
    </w:p>
    <w:p w14:paraId="3DEBCE15">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eastAsia="宋体" w:cs="Times New Roman"/>
          <w:sz w:val="21"/>
          <w:szCs w:val="21"/>
          <w:highlight w:val="none"/>
        </w:rPr>
        <w:t>甲方未按时付款的，应按合同总金额的0.</w:t>
      </w:r>
      <w:r>
        <w:rPr>
          <w:rFonts w:hint="default" w:ascii="Times New Roman" w:hAnsi="Times New Roman" w:eastAsia="宋体" w:cs="Times New Roman"/>
          <w:sz w:val="21"/>
          <w:szCs w:val="21"/>
          <w:highlight w:val="none"/>
          <w:lang w:val="en-US" w:eastAsia="zh-CN"/>
        </w:rPr>
        <w:t>05</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rPr>
        <w:t>日支付乙方违约金。逾期达20个日历日的，乙方有权单方终止合同并要求甲方赔偿损失。</w:t>
      </w:r>
    </w:p>
    <w:p w14:paraId="1A4DC476">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eastAsia="宋体" w:cs="Times New Roman"/>
          <w:sz w:val="21"/>
          <w:szCs w:val="21"/>
          <w:highlight w:val="none"/>
        </w:rPr>
        <w:t>因一方或双方遇不可抗力不能继续履行合同时，双方互免承担违约责任，可在结清已发生费用后解除合同。</w:t>
      </w:r>
    </w:p>
    <w:p w14:paraId="3476ABA0">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5.</w:t>
      </w:r>
      <w:r>
        <w:rPr>
          <w:rFonts w:hint="default" w:ascii="Times New Roman" w:hAnsi="Times New Roman" w:eastAsia="宋体" w:cs="Times New Roman"/>
          <w:color w:val="000000"/>
          <w:kern w:val="0"/>
          <w:sz w:val="21"/>
          <w:szCs w:val="21"/>
          <w:highlight w:val="none"/>
        </w:rPr>
        <w:t>在甲方场所，乙方履行合同应当遵守甲方对于场所的各项管理规定，造成甲方或第三方人身安全或财产经济损失的，由乙方负责全额赔偿。</w:t>
      </w:r>
    </w:p>
    <w:p w14:paraId="47A2DAE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lang w:val="en-US" w:eastAsia="zh-CN" w:bidi="ar-SA"/>
        </w:rPr>
        <w:t>6.</w:t>
      </w:r>
      <w:r>
        <w:rPr>
          <w:rFonts w:hint="default" w:ascii="Times New Roman" w:hAnsi="Times New Roman" w:eastAsia="宋体" w:cs="Times New Roman"/>
          <w:color w:val="000000"/>
          <w:kern w:val="0"/>
          <w:sz w:val="21"/>
          <w:szCs w:val="21"/>
          <w:highlight w:val="none"/>
        </w:rPr>
        <w:t>乙方无正当理由拒不履行本合同约定，经甲方书面通知后，仍未在限期内整改的，甲方有权解除合同，乙方应向甲方退回所有已收取款项，且应按合同总</w:t>
      </w:r>
      <w:r>
        <w:rPr>
          <w:rFonts w:hint="default" w:ascii="Times New Roman" w:hAnsi="Times New Roman" w:eastAsia="宋体" w:cs="Times New Roman"/>
          <w:color w:val="000000"/>
          <w:kern w:val="0"/>
          <w:sz w:val="21"/>
          <w:szCs w:val="21"/>
          <w:highlight w:val="none"/>
          <w:lang w:val="en-US" w:eastAsia="zh-CN"/>
        </w:rPr>
        <w:t>价款</w:t>
      </w:r>
      <w:r>
        <w:rPr>
          <w:rFonts w:hint="default" w:ascii="Times New Roman" w:hAnsi="Times New Roman" w:eastAsia="宋体" w:cs="Times New Roman"/>
          <w:color w:val="000000"/>
          <w:kern w:val="0"/>
          <w:sz w:val="21"/>
          <w:szCs w:val="21"/>
          <w:highlight w:val="none"/>
        </w:rPr>
        <w:t>的20%向甲方支付违约金。</w:t>
      </w:r>
    </w:p>
    <w:p w14:paraId="4DB508E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7.</w:t>
      </w:r>
      <w:r>
        <w:rPr>
          <w:rFonts w:hint="default" w:ascii="Times New Roman" w:hAnsi="Times New Roman" w:eastAsia="宋体" w:cs="Times New Roman"/>
          <w:color w:val="000000"/>
          <w:kern w:val="0"/>
          <w:sz w:val="21"/>
          <w:szCs w:val="21"/>
          <w:highlight w:val="none"/>
        </w:rPr>
        <w:t>甲方依法律相关规定或本合同约定解除合同的，乙方须在</w:t>
      </w:r>
      <w:r>
        <w:rPr>
          <w:rFonts w:hint="default" w:ascii="Times New Roman" w:hAnsi="Times New Roman" w:eastAsia="宋体" w:cs="Times New Roman"/>
          <w:color w:val="000000"/>
          <w:kern w:val="0"/>
          <w:sz w:val="21"/>
          <w:szCs w:val="21"/>
          <w:highlight w:val="none"/>
          <w:lang w:val="en-US" w:eastAsia="zh-CN"/>
        </w:rPr>
        <w:t>3个工作日内撤离货物及撤走相关人员。</w:t>
      </w:r>
      <w:r>
        <w:rPr>
          <w:rFonts w:hint="default" w:ascii="Times New Roman" w:hAnsi="Times New Roman" w:eastAsia="宋体" w:cs="Times New Roman"/>
          <w:color w:val="000000"/>
          <w:kern w:val="0"/>
          <w:sz w:val="21"/>
          <w:szCs w:val="21"/>
          <w:highlight w:val="none"/>
        </w:rPr>
        <w:t>逾期未撤离的，乙方应向甲方支付场地占用</w:t>
      </w:r>
      <w:r>
        <w:rPr>
          <w:rFonts w:hint="default" w:ascii="Times New Roman" w:hAnsi="Times New Roman" w:eastAsia="宋体" w:cs="Times New Roman"/>
          <w:color w:val="000000"/>
          <w:kern w:val="0"/>
          <w:sz w:val="21"/>
          <w:szCs w:val="21"/>
          <w:highlight w:val="none"/>
          <w:u w:val="single"/>
        </w:rPr>
        <w:t>费500元/日</w:t>
      </w:r>
      <w:r>
        <w:rPr>
          <w:rFonts w:hint="default" w:ascii="Times New Roman" w:hAnsi="Times New Roman" w:eastAsia="宋体" w:cs="Times New Roman"/>
          <w:color w:val="000000"/>
          <w:kern w:val="0"/>
          <w:sz w:val="21"/>
          <w:szCs w:val="21"/>
          <w:highlight w:val="none"/>
        </w:rPr>
        <w:t>。解除合同书面通知送达之日起，甲方无须对乙方的</w:t>
      </w:r>
      <w:r>
        <w:rPr>
          <w:rFonts w:hint="default" w:ascii="Times New Roman" w:hAnsi="Times New Roman" w:eastAsia="宋体" w:cs="Times New Roman"/>
          <w:color w:val="000000"/>
          <w:kern w:val="0"/>
          <w:sz w:val="21"/>
          <w:szCs w:val="21"/>
          <w:highlight w:val="none"/>
          <w:lang w:eastAsia="zh-CN"/>
        </w:rPr>
        <w:t>货物</w:t>
      </w:r>
      <w:r>
        <w:rPr>
          <w:rFonts w:hint="default" w:ascii="Times New Roman" w:hAnsi="Times New Roman" w:eastAsia="宋体" w:cs="Times New Roman"/>
          <w:color w:val="000000"/>
          <w:kern w:val="0"/>
          <w:sz w:val="21"/>
          <w:szCs w:val="21"/>
          <w:highlight w:val="none"/>
        </w:rPr>
        <w:t>负保管义务和责任，若相关</w:t>
      </w:r>
      <w:r>
        <w:rPr>
          <w:rFonts w:hint="default" w:ascii="Times New Roman" w:hAnsi="Times New Roman" w:eastAsia="宋体" w:cs="Times New Roman"/>
          <w:color w:val="000000"/>
          <w:kern w:val="0"/>
          <w:sz w:val="21"/>
          <w:szCs w:val="21"/>
          <w:highlight w:val="none"/>
          <w:lang w:eastAsia="zh-CN"/>
        </w:rPr>
        <w:t>货物</w:t>
      </w:r>
      <w:r>
        <w:rPr>
          <w:rFonts w:hint="default" w:ascii="Times New Roman" w:hAnsi="Times New Roman" w:eastAsia="宋体" w:cs="Times New Roman"/>
          <w:color w:val="000000"/>
          <w:kern w:val="0"/>
          <w:sz w:val="21"/>
          <w:szCs w:val="21"/>
          <w:highlight w:val="none"/>
        </w:rPr>
        <w:t>损坏或损毁，均由乙方自行承担损失。</w:t>
      </w:r>
    </w:p>
    <w:p w14:paraId="5F7E399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8.</w:t>
      </w:r>
      <w:r>
        <w:rPr>
          <w:rFonts w:hint="default" w:ascii="Times New Roman" w:hAnsi="Times New Roman" w:eastAsia="宋体" w:cs="Times New Roman"/>
          <w:sz w:val="21"/>
          <w:szCs w:val="21"/>
          <w:highlight w:val="none"/>
        </w:rPr>
        <w:t>因乙方违约而甲方主张权利产生的包括但不限于律师费、诉讼费、保全费、保全担保费等一切费用，均由乙方承担。</w:t>
      </w:r>
    </w:p>
    <w:p w14:paraId="217239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9.</w:t>
      </w:r>
      <w:r>
        <w:rPr>
          <w:rFonts w:hint="default" w:ascii="Times New Roman" w:hAnsi="Times New Roman" w:eastAsia="宋体" w:cs="Times New Roman"/>
          <w:sz w:val="21"/>
          <w:szCs w:val="21"/>
          <w:highlight w:val="none"/>
          <w:lang w:val="en-US" w:eastAsia="zh-CN"/>
        </w:rPr>
        <w:t>除本合同另有约定或为履行本合同的需要外，乙方应对其通过工作接触和履行合同过程中得知的有关甲方的商业秘密严格保密，未经甲方事先书面同意，不得向其他人披露，乙方违反上述保密义务，造成甲方损失的，应向甲方支付20万元/次的违约金。保密义务不因本合同终止而终止。</w:t>
      </w:r>
    </w:p>
    <w:p w14:paraId="4B3EFF11">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lang w:val="en-US" w:eastAsia="zh-CN"/>
        </w:rPr>
        <w:t xml:space="preserve">第九条 </w:t>
      </w:r>
      <w:r>
        <w:rPr>
          <w:rFonts w:hint="default" w:ascii="Times New Roman" w:hAnsi="Times New Roman" w:eastAsia="宋体" w:cs="Times New Roman"/>
          <w:b/>
          <w:bCs w:val="0"/>
          <w:color w:val="auto"/>
          <w:sz w:val="21"/>
          <w:szCs w:val="21"/>
          <w:highlight w:val="none"/>
        </w:rPr>
        <w:t>不可抗力</w:t>
      </w:r>
    </w:p>
    <w:p w14:paraId="497380C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甲乙双方中任何一方由于不可抗力影响合同执行时，发生不可抗力一方应在24小时内通知另一方。在此情况下，乙方仍然有责任采取必要的措施加速供货，双方应通过友好协商尽快解决本合同的执行问题。</w:t>
      </w:r>
    </w:p>
    <w:p w14:paraId="6F20805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2"/>
          <w:sz w:val="21"/>
          <w:szCs w:val="21"/>
          <w:lang w:val="en-US" w:eastAsia="zh-CN" w:bidi="ar-SA"/>
        </w:rPr>
        <w:t xml:space="preserve">第十条 </w:t>
      </w:r>
      <w:r>
        <w:rPr>
          <w:rFonts w:hint="default" w:ascii="Times New Roman" w:hAnsi="Times New Roman" w:eastAsia="宋体" w:cs="Times New Roman"/>
          <w:b/>
          <w:color w:val="auto"/>
          <w:sz w:val="21"/>
          <w:szCs w:val="21"/>
          <w:highlight w:val="none"/>
        </w:rPr>
        <w:t>争议的解决</w:t>
      </w:r>
    </w:p>
    <w:p w14:paraId="4CE8D4A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因履行本合同发生的任何争议，双方本着友好互利的原则协商解决。协商不成时应向甲方所在地人民法院提起诉讼。除有争议的部分外，双方应继续履行本合同所约定的义务。</w:t>
      </w:r>
    </w:p>
    <w:p w14:paraId="1B333AD4">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2"/>
          <w:sz w:val="21"/>
          <w:szCs w:val="21"/>
          <w:lang w:val="en-US" w:eastAsia="zh-CN" w:bidi="ar-SA"/>
        </w:rPr>
        <w:t xml:space="preserve">第十一条  </w:t>
      </w:r>
      <w:r>
        <w:rPr>
          <w:rFonts w:hint="default" w:ascii="Times New Roman" w:hAnsi="Times New Roman" w:eastAsia="宋体" w:cs="Times New Roman"/>
          <w:b/>
          <w:color w:val="auto"/>
          <w:sz w:val="21"/>
          <w:szCs w:val="21"/>
          <w:highlight w:val="none"/>
        </w:rPr>
        <w:t>其它约定</w:t>
      </w:r>
    </w:p>
    <w:p w14:paraId="17648B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sz w:val="21"/>
          <w:szCs w:val="21"/>
          <w:highlight w:val="none"/>
        </w:rPr>
        <w:t>本合同任何内容的修改，须由双方进行协商，并另行签订补充协议或书面文件。合同中未尽事项，由双方协商另行签订补充协议</w:t>
      </w:r>
      <w:r>
        <w:rPr>
          <w:rFonts w:hint="default" w:ascii="Times New Roman" w:hAnsi="Times New Roman" w:eastAsia="宋体" w:cs="Times New Roman"/>
          <w:sz w:val="21"/>
          <w:szCs w:val="21"/>
          <w:highlight w:val="none"/>
          <w:lang w:val="en-US" w:eastAsia="zh-CN"/>
        </w:rPr>
        <w:t>予以明确</w:t>
      </w:r>
      <w:r>
        <w:rPr>
          <w:rFonts w:hint="default" w:ascii="Times New Roman" w:hAnsi="Times New Roman" w:eastAsia="宋体" w:cs="Times New Roman"/>
          <w:sz w:val="21"/>
          <w:szCs w:val="21"/>
          <w:highlight w:val="none"/>
        </w:rPr>
        <w:t>。</w:t>
      </w:r>
    </w:p>
    <w:p w14:paraId="67402B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eastAsia="宋体" w:cs="Times New Roman"/>
          <w:sz w:val="21"/>
          <w:szCs w:val="21"/>
          <w:highlight w:val="none"/>
        </w:rPr>
        <w:t>本合同一式</w:t>
      </w:r>
      <w:r>
        <w:rPr>
          <w:rFonts w:hint="default" w:ascii="Times New Roman" w:hAnsi="Times New Roman" w:eastAsia="宋体" w:cs="Times New Roman"/>
          <w:sz w:val="21"/>
          <w:szCs w:val="21"/>
          <w:highlight w:val="none"/>
          <w:u w:val="single"/>
          <w:lang w:val="en-US" w:eastAsia="zh-CN"/>
        </w:rPr>
        <w:t>伍</w:t>
      </w:r>
      <w:r>
        <w:rPr>
          <w:rFonts w:hint="default" w:ascii="Times New Roman" w:hAnsi="Times New Roman" w:eastAsia="宋体" w:cs="Times New Roman"/>
          <w:sz w:val="21"/>
          <w:szCs w:val="21"/>
          <w:highlight w:val="none"/>
        </w:rPr>
        <w:t>份，甲方执</w:t>
      </w:r>
      <w:r>
        <w:rPr>
          <w:rFonts w:hint="default" w:ascii="Times New Roman" w:hAnsi="Times New Roman" w:eastAsia="宋体" w:cs="Times New Roman"/>
          <w:sz w:val="21"/>
          <w:szCs w:val="21"/>
          <w:highlight w:val="none"/>
          <w:u w:val="single"/>
          <w:lang w:val="en-US" w:eastAsia="zh-CN"/>
        </w:rPr>
        <w:t>叁</w:t>
      </w:r>
      <w:r>
        <w:rPr>
          <w:rFonts w:hint="default" w:ascii="Times New Roman" w:hAnsi="Times New Roman" w:eastAsia="宋体" w:cs="Times New Roman"/>
          <w:sz w:val="21"/>
          <w:szCs w:val="21"/>
          <w:highlight w:val="none"/>
        </w:rPr>
        <w:t>份、乙方执</w:t>
      </w:r>
      <w:r>
        <w:rPr>
          <w:rFonts w:hint="default" w:ascii="Times New Roman" w:hAnsi="Times New Roman" w:eastAsia="宋体" w:cs="Times New Roman"/>
          <w:sz w:val="21"/>
          <w:szCs w:val="21"/>
          <w:highlight w:val="none"/>
          <w:u w:val="single"/>
          <w:lang w:eastAsia="zh-CN"/>
        </w:rPr>
        <w:t>贰</w:t>
      </w:r>
      <w:r>
        <w:rPr>
          <w:rFonts w:hint="default" w:ascii="Times New Roman" w:hAnsi="Times New Roman" w:eastAsia="宋体" w:cs="Times New Roman"/>
          <w:sz w:val="21"/>
          <w:szCs w:val="21"/>
          <w:highlight w:val="none"/>
        </w:rPr>
        <w:t>份。本合同自双方法定代表人签字并加盖公章（或合同专用章），或授权代表签字附授权文件并加盖公章（或合同专用章）后即生效，合同履行完毕后自行失效。</w:t>
      </w:r>
    </w:p>
    <w:p w14:paraId="757C6A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eastAsia="宋体" w:cs="Times New Roman"/>
          <w:kern w:val="2"/>
          <w:sz w:val="21"/>
          <w:szCs w:val="21"/>
          <w:highlight w:val="none"/>
        </w:rPr>
        <w:t>在合同有效期内，如任何一方需变更接收人信息（包括但不限于联系人、联系方式、送达地址等），应提前3个日历日以书面形式（含电子邮件）通知对方，并经对方确认收悉。未按约定履行通知义务的，原指定接收人继续视为有效接收主体，由此产生的一切法律后果由未通知方承担。双方指定的商务文件接收人信息</w:t>
      </w:r>
      <w:r>
        <w:rPr>
          <w:rFonts w:hint="default" w:ascii="Times New Roman" w:hAnsi="Times New Roman" w:eastAsia="宋体" w:cs="Times New Roman"/>
          <w:kern w:val="2"/>
          <w:sz w:val="21"/>
          <w:szCs w:val="21"/>
          <w:highlight w:val="none"/>
          <w:lang w:val="en-US" w:eastAsia="zh-CN"/>
        </w:rPr>
        <w:t>如下：</w:t>
      </w:r>
    </w:p>
    <w:tbl>
      <w:tblPr>
        <w:tblStyle w:val="2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130"/>
      </w:tblGrid>
      <w:tr w14:paraId="6258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3AFB3E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甲方：</w:t>
            </w:r>
          </w:p>
          <w:p w14:paraId="72F18B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东莞市新东湾环保投资有限公司</w:t>
            </w:r>
          </w:p>
        </w:tc>
        <w:tc>
          <w:tcPr>
            <w:tcW w:w="4130" w:type="dxa"/>
            <w:shd w:val="clear" w:color="auto" w:fill="auto"/>
            <w:vAlign w:val="center"/>
          </w:tcPr>
          <w:p w14:paraId="06D9390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乙方：</w:t>
            </w:r>
          </w:p>
          <w:p w14:paraId="1FDD468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tc>
      </w:tr>
      <w:tr w14:paraId="4833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3BF088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合同联系人：</w:t>
            </w:r>
          </w:p>
        </w:tc>
        <w:tc>
          <w:tcPr>
            <w:tcW w:w="4130" w:type="dxa"/>
            <w:shd w:val="clear" w:color="auto" w:fill="auto"/>
            <w:vAlign w:val="center"/>
          </w:tcPr>
          <w:p w14:paraId="2F73853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合同联系人：</w:t>
            </w:r>
            <w:r>
              <w:rPr>
                <w:rFonts w:hint="default" w:ascii="Times New Roman" w:hAnsi="Times New Roman" w:eastAsia="宋体" w:cs="Times New Roman"/>
                <w:sz w:val="21"/>
                <w:szCs w:val="21"/>
                <w:highlight w:val="none"/>
                <w:lang w:val="en-US" w:eastAsia="zh-CN"/>
              </w:rPr>
              <w:t xml:space="preserve"> </w:t>
            </w:r>
          </w:p>
        </w:tc>
      </w:tr>
      <w:tr w14:paraId="721C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1950C5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联系人电话：</w:t>
            </w:r>
          </w:p>
        </w:tc>
        <w:tc>
          <w:tcPr>
            <w:tcW w:w="4130" w:type="dxa"/>
            <w:shd w:val="clear" w:color="auto" w:fill="auto"/>
            <w:vAlign w:val="center"/>
          </w:tcPr>
          <w:p w14:paraId="1096C1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sz w:val="21"/>
                <w:szCs w:val="21"/>
                <w:highlight w:val="none"/>
              </w:rPr>
              <w:t>联系人电话：</w:t>
            </w:r>
            <w:r>
              <w:rPr>
                <w:rFonts w:hint="default" w:ascii="Times New Roman" w:hAnsi="Times New Roman" w:eastAsia="宋体" w:cs="Times New Roman"/>
                <w:sz w:val="21"/>
                <w:szCs w:val="21"/>
                <w:highlight w:val="none"/>
                <w:lang w:val="en-US" w:eastAsia="zh-CN"/>
              </w:rPr>
              <w:t xml:space="preserve"> </w:t>
            </w:r>
          </w:p>
        </w:tc>
      </w:tr>
      <w:tr w14:paraId="57EA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269" w:type="dxa"/>
            <w:vAlign w:val="center"/>
          </w:tcPr>
          <w:p w14:paraId="2A8DD8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公司联系</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地址：</w:t>
            </w:r>
            <w:r>
              <w:rPr>
                <w:rFonts w:hint="default" w:ascii="Times New Roman" w:hAnsi="Times New Roman" w:eastAsia="宋体" w:cs="Times New Roman"/>
                <w:color w:val="000000" w:themeColor="text1"/>
                <w:sz w:val="21"/>
                <w:szCs w:val="21"/>
                <w:highlight w:val="none"/>
                <w14:textFill>
                  <w14:solidFill>
                    <w14:schemeClr w14:val="tx1"/>
                  </w14:solidFill>
                </w14:textFill>
              </w:rPr>
              <w:t>广东省东莞市滨海湾新区湾区大道1号</w:t>
            </w:r>
          </w:p>
        </w:tc>
        <w:tc>
          <w:tcPr>
            <w:tcW w:w="4130" w:type="dxa"/>
            <w:shd w:val="clear" w:color="auto" w:fill="auto"/>
            <w:vAlign w:val="center"/>
          </w:tcPr>
          <w:p w14:paraId="19B2BF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公司联系地址</w:t>
            </w:r>
            <w:r>
              <w:rPr>
                <w:rFonts w:hint="default" w:ascii="Times New Roman" w:hAnsi="Times New Roman" w:eastAsia="宋体" w:cs="Times New Roman"/>
                <w:sz w:val="21"/>
                <w:szCs w:val="21"/>
                <w:highlight w:val="none"/>
                <w:lang w:eastAsia="zh-CN"/>
              </w:rPr>
              <w:t>：</w:t>
            </w:r>
          </w:p>
        </w:tc>
      </w:tr>
      <w:tr w14:paraId="5763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678048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公司固定</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电话：0769-21686680</w:t>
            </w:r>
          </w:p>
        </w:tc>
        <w:tc>
          <w:tcPr>
            <w:tcW w:w="4130" w:type="dxa"/>
            <w:shd w:val="clear" w:color="auto" w:fill="auto"/>
            <w:vAlign w:val="center"/>
          </w:tcPr>
          <w:p w14:paraId="22BEEF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公司固定电话：</w:t>
            </w:r>
          </w:p>
        </w:tc>
      </w:tr>
      <w:tr w14:paraId="14FF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9" w:type="dxa"/>
            <w:vAlign w:val="center"/>
          </w:tcPr>
          <w:p w14:paraId="3BC289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公司收件</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邮箱：</w:t>
            </w:r>
          </w:p>
          <w:p w14:paraId="34B049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xindongwanhb@126.com</w:t>
            </w:r>
          </w:p>
        </w:tc>
        <w:tc>
          <w:tcPr>
            <w:tcW w:w="4130" w:type="dxa"/>
            <w:shd w:val="clear" w:color="auto" w:fill="auto"/>
            <w:vAlign w:val="center"/>
          </w:tcPr>
          <w:p w14:paraId="302200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公司收件邮箱：</w:t>
            </w:r>
          </w:p>
          <w:p w14:paraId="24261C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p>
        </w:tc>
      </w:tr>
      <w:tr w14:paraId="68FE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69" w:type="dxa"/>
            <w:vAlign w:val="center"/>
          </w:tcPr>
          <w:p w14:paraId="6F643F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邮编号：523</w:t>
            </w: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000</w:t>
            </w:r>
          </w:p>
        </w:tc>
        <w:tc>
          <w:tcPr>
            <w:tcW w:w="4130" w:type="dxa"/>
            <w:shd w:val="clear" w:color="auto" w:fill="auto"/>
            <w:vAlign w:val="center"/>
          </w:tcPr>
          <w:p w14:paraId="19287F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邮编号：</w:t>
            </w:r>
          </w:p>
        </w:tc>
      </w:tr>
    </w:tbl>
    <w:p w14:paraId="0B301F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4.本合同附件</w:t>
      </w:r>
    </w:p>
    <w:p w14:paraId="0F3735F2">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附件1：《</w:t>
      </w:r>
      <w:r>
        <w:rPr>
          <w:rFonts w:hint="default" w:ascii="Times New Roman" w:hAnsi="Times New Roman" w:eastAsia="宋体" w:cs="Times New Roman"/>
          <w:sz w:val="21"/>
          <w:szCs w:val="21"/>
          <w:highlight w:val="none"/>
          <w:lang w:val="en-US" w:eastAsia="zh-CN"/>
        </w:rPr>
        <w:t>合同清单</w:t>
      </w:r>
      <w:r>
        <w:rPr>
          <w:rFonts w:hint="default" w:ascii="Times New Roman" w:hAnsi="Times New Roman" w:eastAsia="宋体" w:cs="Times New Roman"/>
          <w:sz w:val="21"/>
          <w:szCs w:val="21"/>
          <w:highlight w:val="none"/>
        </w:rPr>
        <w:t>》</w:t>
      </w:r>
    </w:p>
    <w:p w14:paraId="1FA4F4BB">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附件2：《阳光合作协议》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安全管理协议</w:t>
      </w:r>
      <w:r>
        <w:rPr>
          <w:rFonts w:hint="default" w:ascii="Times New Roman" w:hAnsi="Times New Roman" w:eastAsia="宋体" w:cs="Times New Roman"/>
          <w:sz w:val="21"/>
          <w:szCs w:val="21"/>
          <w:highlight w:val="none"/>
          <w:lang w:eastAsia="zh-CN"/>
        </w:rPr>
        <w:t>》</w:t>
      </w:r>
    </w:p>
    <w:p w14:paraId="26BE65BC">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附件3：采购文件及用户需求书</w:t>
      </w:r>
    </w:p>
    <w:p w14:paraId="72297353">
      <w:pPr>
        <w:snapToGrid w:val="0"/>
        <w:spacing w:line="300" w:lineRule="auto"/>
        <w:ind w:firstLine="480" w:firstLineChars="200"/>
        <w:rPr>
          <w:rFonts w:hint="default" w:ascii="Times New Roman" w:hAnsi="Times New Roman" w:eastAsia="宋体" w:cs="Times New Roman"/>
          <w:sz w:val="24"/>
          <w:szCs w:val="24"/>
          <w:highlight w:val="none"/>
          <w:lang w:val="en-US" w:eastAsia="zh-CN"/>
        </w:rPr>
      </w:pPr>
    </w:p>
    <w:p w14:paraId="7D447B50">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jc w:val="center"/>
        <w:textAlignment w:val="auto"/>
        <w:rPr>
          <w:rFonts w:hint="default" w:ascii="Times New Roman" w:hAnsi="Times New Roman" w:eastAsia="宋体" w:cs="Times New Roman"/>
          <w:b/>
          <w:bCs/>
          <w:sz w:val="21"/>
          <w:szCs w:val="21"/>
          <w:highlight w:val="none"/>
        </w:rPr>
      </w:pPr>
    </w:p>
    <w:p w14:paraId="2A59AA15">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w:t>
      </w:r>
      <w:r>
        <w:rPr>
          <w:rFonts w:hint="default" w:ascii="Times New Roman" w:hAnsi="Times New Roman" w:eastAsia="宋体" w:cs="Times New Roman"/>
          <w:b/>
          <w:bCs/>
          <w:sz w:val="21"/>
          <w:szCs w:val="21"/>
          <w:highlight w:val="none"/>
          <w:lang w:val="en-US" w:eastAsia="zh-CN"/>
        </w:rPr>
        <w:t>本页</w:t>
      </w:r>
      <w:r>
        <w:rPr>
          <w:rFonts w:hint="default" w:ascii="Times New Roman" w:hAnsi="Times New Roman" w:eastAsia="宋体" w:cs="Times New Roman"/>
          <w:b/>
          <w:bCs/>
          <w:sz w:val="21"/>
          <w:szCs w:val="21"/>
          <w:highlight w:val="none"/>
        </w:rPr>
        <w:t>以下无正文）</w:t>
      </w:r>
    </w:p>
    <w:p w14:paraId="0F57A366">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1C2A7C9D">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52E36AAB">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甲方（盖章）：                     乙方（盖章）：</w:t>
      </w:r>
    </w:p>
    <w:p w14:paraId="6984BB07">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41B00495">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法定代表人（</w:t>
      </w:r>
      <w:r>
        <w:rPr>
          <w:rFonts w:hint="default" w:ascii="Times New Roman" w:hAnsi="Times New Roman" w:eastAsia="宋体" w:cs="Times New Roman"/>
          <w:sz w:val="21"/>
          <w:szCs w:val="21"/>
          <w:highlight w:val="none"/>
          <w:lang w:val="en-US" w:eastAsia="zh-CN"/>
        </w:rPr>
        <w:t>签字或盖章</w:t>
      </w:r>
      <w:r>
        <w:rPr>
          <w:rFonts w:hint="default" w:ascii="Times New Roman" w:hAnsi="Times New Roman" w:eastAsia="宋体" w:cs="Times New Roman"/>
          <w:sz w:val="21"/>
          <w:szCs w:val="21"/>
          <w:highlight w:val="none"/>
        </w:rPr>
        <w:t>）：         法定代表人（</w:t>
      </w:r>
      <w:r>
        <w:rPr>
          <w:rFonts w:hint="default" w:ascii="Times New Roman" w:hAnsi="Times New Roman" w:eastAsia="宋体" w:cs="Times New Roman"/>
          <w:sz w:val="21"/>
          <w:szCs w:val="21"/>
          <w:highlight w:val="none"/>
          <w:lang w:val="en-US" w:eastAsia="zh-CN"/>
        </w:rPr>
        <w:t>签字或盖章</w:t>
      </w:r>
      <w:r>
        <w:rPr>
          <w:rFonts w:hint="default" w:ascii="Times New Roman" w:hAnsi="Times New Roman" w:eastAsia="宋体" w:cs="Times New Roman"/>
          <w:sz w:val="21"/>
          <w:szCs w:val="21"/>
          <w:highlight w:val="none"/>
        </w:rPr>
        <w:t>）：</w:t>
      </w:r>
    </w:p>
    <w:p w14:paraId="4066416C">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2FB6B161">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或授权代表人（签字）：             或授权代表人（签字）：</w:t>
      </w:r>
    </w:p>
    <w:p w14:paraId="54A861DB">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w:t>
      </w:r>
    </w:p>
    <w:p w14:paraId="1AAF79E6">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5F9068F6">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签约地点：东莞市</w:t>
      </w:r>
    </w:p>
    <w:p w14:paraId="3687ECCE">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签订时间：</w:t>
      </w:r>
    </w:p>
    <w:p w14:paraId="4780E20A">
      <w:pP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br w:type="page"/>
      </w:r>
    </w:p>
    <w:p w14:paraId="7FFE266E">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附件1：《</w:t>
      </w:r>
      <w:r>
        <w:rPr>
          <w:rFonts w:hint="default" w:ascii="Times New Roman" w:hAnsi="Times New Roman" w:eastAsia="宋体" w:cs="Times New Roman"/>
          <w:sz w:val="21"/>
          <w:szCs w:val="21"/>
          <w:highlight w:val="none"/>
          <w:lang w:val="en-US" w:eastAsia="zh-CN"/>
        </w:rPr>
        <w:t>合同清单</w:t>
      </w:r>
      <w:r>
        <w:rPr>
          <w:rFonts w:hint="default" w:ascii="Times New Roman" w:hAnsi="Times New Roman" w:eastAsia="宋体" w:cs="Times New Roman"/>
          <w:sz w:val="21"/>
          <w:szCs w:val="21"/>
          <w:highlight w:val="none"/>
        </w:rPr>
        <w:t>》</w:t>
      </w:r>
    </w:p>
    <w:p w14:paraId="1376C795">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附件2：《阳光合作协议》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安全管理协议</w:t>
      </w:r>
      <w:r>
        <w:rPr>
          <w:rFonts w:hint="default" w:ascii="Times New Roman" w:hAnsi="Times New Roman" w:eastAsia="宋体" w:cs="Times New Roman"/>
          <w:sz w:val="21"/>
          <w:szCs w:val="21"/>
          <w:highlight w:val="none"/>
          <w:lang w:eastAsia="zh-CN"/>
        </w:rPr>
        <w:t>》</w:t>
      </w:r>
    </w:p>
    <w:p w14:paraId="68A627A8">
      <w:pPr>
        <w:pStyle w:val="10"/>
        <w:keepNext w:val="0"/>
        <w:keepLines w:val="0"/>
        <w:pageBreakBefore w:val="0"/>
        <w:kinsoku/>
        <w:wordWrap/>
        <w:topLinePunct w:val="0"/>
        <w:bidi w:val="0"/>
        <w:snapToGrid w:val="0"/>
        <w:spacing w:after="0" w:line="240" w:lineRule="auto"/>
        <w:jc w:val="both"/>
        <w:rPr>
          <w:rFonts w:hint="default" w:ascii="Times New Roman" w:hAnsi="Times New Roman" w:eastAsia="宋体" w:cs="Times New Roman"/>
          <w:b w:val="0"/>
          <w:bCs w:val="0"/>
          <w:color w:val="auto"/>
          <w:sz w:val="21"/>
          <w:szCs w:val="21"/>
          <w:highlight w:val="none"/>
        </w:rPr>
      </w:pPr>
    </w:p>
    <w:p w14:paraId="7DED1E01">
      <w:pPr>
        <w:keepNext w:val="0"/>
        <w:keepLines w:val="0"/>
        <w:pageBreakBefore w:val="0"/>
        <w:kinsoku/>
        <w:wordWrap/>
        <w:topLinePunct w:val="0"/>
        <w:bidi w:val="0"/>
        <w:snapToGrid w:val="0"/>
        <w:spacing w:line="240" w:lineRule="auto"/>
        <w:jc w:val="center"/>
        <w:outlineLvl w:val="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阳光合作协议</w:t>
      </w:r>
    </w:p>
    <w:p w14:paraId="711007BA">
      <w:pPr>
        <w:keepNext w:val="0"/>
        <w:keepLines w:val="0"/>
        <w:pageBreakBefore w:val="0"/>
        <w:kinsoku/>
        <w:wordWrap/>
        <w:topLinePunct w:val="0"/>
        <w:bidi w:val="0"/>
        <w:snapToGrid w:val="0"/>
        <w:spacing w:line="240" w:lineRule="auto"/>
        <w:contextualSpacing/>
        <w:jc w:val="both"/>
        <w:rPr>
          <w:rFonts w:hint="default" w:ascii="Times New Roman" w:hAnsi="Times New Roman" w:eastAsia="宋体" w:cs="Times New Roman"/>
          <w:b w:val="0"/>
          <w:bCs w:val="0"/>
          <w:color w:val="auto"/>
          <w:sz w:val="21"/>
          <w:szCs w:val="21"/>
          <w:highlight w:val="none"/>
        </w:rPr>
      </w:pPr>
    </w:p>
    <w:p w14:paraId="4EF7B280">
      <w:pPr>
        <w:keepNext w:val="0"/>
        <w:keepLines w:val="0"/>
        <w:pageBreakBefore w:val="0"/>
        <w:kinsoku/>
        <w:wordWrap/>
        <w:topLinePunct w:val="0"/>
        <w:bidi w:val="0"/>
        <w:snapToGrid w:val="0"/>
        <w:spacing w:line="240" w:lineRule="auto"/>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甲方（甲方全称）： </w:t>
      </w:r>
    </w:p>
    <w:p w14:paraId="01B96F36">
      <w:pPr>
        <w:keepNext w:val="0"/>
        <w:keepLines w:val="0"/>
        <w:pageBreakBefore w:val="0"/>
        <w:kinsoku/>
        <w:wordWrap/>
        <w:topLinePunct w:val="0"/>
        <w:bidi w:val="0"/>
        <w:snapToGrid w:val="0"/>
        <w:spacing w:line="240" w:lineRule="auto"/>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乙方（服务商全称）：</w:t>
      </w:r>
    </w:p>
    <w:p w14:paraId="0C62ACCA">
      <w:pPr>
        <w:keepNext w:val="0"/>
        <w:keepLines w:val="0"/>
        <w:pageBreakBefore w:val="0"/>
        <w:kinsoku/>
        <w:wordWrap/>
        <w:topLinePunct w:val="0"/>
        <w:bidi w:val="0"/>
        <w:snapToGrid w:val="0"/>
        <w:spacing w:line="240" w:lineRule="auto"/>
        <w:ind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甲乙双方于</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年</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月</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日签署了《</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项目合同》（以下简称原合同），为加强双方阳光合作，保证职员职业安全，甲乙双方经协商签订本协议并作为双方共同遵守的阳光合作行为准则。</w:t>
      </w:r>
    </w:p>
    <w:p w14:paraId="5059F4D0">
      <w:pPr>
        <w:keepNext w:val="0"/>
        <w:keepLines w:val="0"/>
        <w:pageBreakBefore w:val="0"/>
        <w:kinsoku/>
        <w:wordWrap/>
        <w:topLinePunct w:val="0"/>
        <w:bidi w:val="0"/>
        <w:snapToGrid w:val="0"/>
        <w:spacing w:line="240" w:lineRule="auto"/>
        <w:ind w:left="560" w:leftChars="200"/>
        <w:contextualSpacing/>
        <w:jc w:val="both"/>
        <w:outlineLvl w:val="1"/>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一、甲方责任</w:t>
      </w:r>
    </w:p>
    <w:p w14:paraId="08CF9320">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1、甲方有责任向乙方介绍本单位有关采购管理通用原则和本协议的规定。</w:t>
      </w:r>
    </w:p>
    <w:p w14:paraId="0FA6DEA3">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2、甲方有责任对本单位相关人员进行阳光合作教育。</w:t>
      </w:r>
    </w:p>
    <w:p w14:paraId="3E3246B2">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60148AB">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4、甲方人员如违反阳光合作管理制度及本协议规定，甲方视情节轻重、影响大小给予行政及经济处罚。</w:t>
      </w:r>
    </w:p>
    <w:p w14:paraId="6F0E4D01">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5、对于乙方举报甲方人员违反阳光合作规定的情况，甲方应及时进行调查，根据调查情况进行处理，并将调查结果向乙方反馈。</w:t>
      </w:r>
    </w:p>
    <w:p w14:paraId="3E543F29">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6、接受举报的一方应为举报方保密，不得对举报方进行报复，对举报属实和严格遵守《阳光合作协议》的合作方，在同等条件下给予后续合作的优先权。</w:t>
      </w:r>
    </w:p>
    <w:p w14:paraId="7D9B254A">
      <w:pPr>
        <w:keepNext w:val="0"/>
        <w:keepLines w:val="0"/>
        <w:pageBreakBefore w:val="0"/>
        <w:kinsoku/>
        <w:wordWrap/>
        <w:topLinePunct w:val="0"/>
        <w:bidi w:val="0"/>
        <w:snapToGrid w:val="0"/>
        <w:spacing w:line="240" w:lineRule="auto"/>
        <w:ind w:left="560" w:leftChars="200"/>
        <w:contextualSpacing/>
        <w:jc w:val="both"/>
        <w:outlineLvl w:val="1"/>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二、乙方责任</w:t>
      </w:r>
    </w:p>
    <w:p w14:paraId="45146315">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1、乙方应保证乙方人员了解甲方有关采购管理通用原则和及本协议的规定，并遵照执行。</w:t>
      </w:r>
    </w:p>
    <w:p w14:paraId="481BCEC3">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2、乙方不得以任何形式给予甲方人员回扣、赠送实物、现金、有价证券、礼券等有价物品或提供旅游等其他可能影响职务行为公正履行的活动（以下统称“财物”）。</w:t>
      </w:r>
    </w:p>
    <w:p w14:paraId="08865D05">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3、乙方有责任接受甲方对乙方在合作期间阳光合作管理执行情况的监督，并对甲方相关调查工作主动配合。</w:t>
      </w:r>
    </w:p>
    <w:p w14:paraId="60F4588C">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4、乙方有义务就甲方人员任何形式的索取或收受财物行为及时向甲方（直接联系人为东莞实业投资控股集团有限公司</w:t>
      </w:r>
      <w:r>
        <w:rPr>
          <w:rFonts w:hint="eastAsia" w:eastAsia="宋体" w:cs="Times New Roman"/>
          <w:b w:val="0"/>
          <w:bCs w:val="0"/>
          <w:color w:val="auto"/>
          <w:sz w:val="20"/>
          <w:szCs w:val="20"/>
          <w:highlight w:val="none"/>
          <w:lang w:eastAsia="zh-CN"/>
        </w:rPr>
        <w:t>风控法务部</w:t>
      </w:r>
      <w:r>
        <w:rPr>
          <w:rFonts w:hint="default" w:ascii="Times New Roman" w:hAnsi="Times New Roman" w:eastAsia="宋体" w:cs="Times New Roman"/>
          <w:b w:val="0"/>
          <w:bCs w:val="0"/>
          <w:color w:val="auto"/>
          <w:sz w:val="20"/>
          <w:szCs w:val="20"/>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2BB022D">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5、甲方接受乙方实名或匿名举报，保证为举报者的信息保密，常设举报部门及电话： </w:t>
      </w:r>
    </w:p>
    <w:p w14:paraId="3476BFEC">
      <w:pPr>
        <w:keepNext w:val="0"/>
        <w:keepLines w:val="0"/>
        <w:pageBreakBefore w:val="0"/>
        <w:kinsoku/>
        <w:wordWrap/>
        <w:topLinePunct w:val="0"/>
        <w:bidi w:val="0"/>
        <w:snapToGrid w:val="0"/>
        <w:spacing w:line="240" w:lineRule="auto"/>
        <w:ind w:left="140" w:leftChars="50" w:firstLine="400" w:firstLineChars="200"/>
        <w:contextualSpacing/>
        <w:jc w:val="both"/>
        <w:rPr>
          <w:rFonts w:hint="eastAsia" w:ascii="Times New Roman" w:hAnsi="Times New Roman" w:eastAsia="宋体" w:cs="Times New Roman"/>
          <w:b w:val="0"/>
          <w:bCs w:val="0"/>
          <w:color w:val="auto"/>
          <w:sz w:val="20"/>
          <w:szCs w:val="20"/>
          <w:highlight w:val="none"/>
          <w:lang w:eastAsia="zh-CN"/>
        </w:rPr>
      </w:pPr>
      <w:r>
        <w:rPr>
          <w:rFonts w:hint="default" w:ascii="Times New Roman" w:hAnsi="Times New Roman" w:eastAsia="宋体" w:cs="Times New Roman"/>
          <w:b w:val="0"/>
          <w:bCs w:val="0"/>
          <w:color w:val="auto"/>
          <w:sz w:val="20"/>
          <w:szCs w:val="20"/>
          <w:highlight w:val="none"/>
        </w:rPr>
        <w:t>举报受理部门：东莞实业投资控股集团有限公司</w:t>
      </w:r>
      <w:r>
        <w:rPr>
          <w:rFonts w:hint="eastAsia" w:eastAsia="宋体" w:cs="Times New Roman"/>
          <w:b w:val="0"/>
          <w:bCs w:val="0"/>
          <w:color w:val="auto"/>
          <w:sz w:val="20"/>
          <w:szCs w:val="20"/>
          <w:highlight w:val="none"/>
          <w:lang w:eastAsia="zh-CN"/>
        </w:rPr>
        <w:t>风控法务部</w:t>
      </w:r>
    </w:p>
    <w:p w14:paraId="13D5FA46">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东实集团举报邮箱：dgsyxf@163、com</w:t>
      </w:r>
    </w:p>
    <w:p w14:paraId="1CDEC5E0">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东实集团举报电话：0769-28820703（周一至周五9：00-12：00和14：00-18：00）</w:t>
      </w:r>
    </w:p>
    <w:p w14:paraId="7ABB38B9">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邮寄地址：东莞市东城区八一路1号机关二号大院9号楼，东莞实业投资控股集团有限公司</w:t>
      </w:r>
      <w:r>
        <w:rPr>
          <w:rFonts w:hint="eastAsia" w:eastAsia="宋体" w:cs="Times New Roman"/>
          <w:b w:val="0"/>
          <w:bCs w:val="0"/>
          <w:color w:val="auto"/>
          <w:sz w:val="20"/>
          <w:szCs w:val="20"/>
          <w:highlight w:val="none"/>
          <w:lang w:eastAsia="zh-CN"/>
        </w:rPr>
        <w:t>风控法务部</w:t>
      </w:r>
      <w:r>
        <w:rPr>
          <w:rFonts w:hint="default" w:ascii="Times New Roman" w:hAnsi="Times New Roman" w:eastAsia="宋体" w:cs="Times New Roman"/>
          <w:b w:val="0"/>
          <w:bCs w:val="0"/>
          <w:color w:val="auto"/>
          <w:sz w:val="20"/>
          <w:szCs w:val="20"/>
          <w:highlight w:val="none"/>
        </w:rPr>
        <w:t>收，邮编523000。</w:t>
      </w:r>
    </w:p>
    <w:p w14:paraId="4FCD4D43">
      <w:pPr>
        <w:keepNext w:val="0"/>
        <w:keepLines w:val="0"/>
        <w:pageBreakBefore w:val="0"/>
        <w:kinsoku/>
        <w:wordWrap/>
        <w:topLinePunct w:val="0"/>
        <w:bidi w:val="0"/>
        <w:snapToGrid w:val="0"/>
        <w:spacing w:line="240" w:lineRule="auto"/>
        <w:ind w:left="560" w:leftChars="200"/>
        <w:contextualSpacing/>
        <w:jc w:val="both"/>
        <w:outlineLvl w:val="1"/>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三、其他</w:t>
      </w:r>
    </w:p>
    <w:p w14:paraId="109DAC3C">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1、本协议是原合同的补充协议，与原合同有同等法律效力。</w:t>
      </w:r>
    </w:p>
    <w:p w14:paraId="200B333C">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2、本协议一式</w:t>
      </w:r>
      <w:r>
        <w:rPr>
          <w:rFonts w:hint="default" w:ascii="Times New Roman" w:hAnsi="Times New Roman" w:eastAsia="宋体" w:cs="Times New Roman"/>
          <w:b w:val="0"/>
          <w:bCs w:val="0"/>
          <w:color w:val="auto"/>
          <w:sz w:val="20"/>
          <w:szCs w:val="20"/>
          <w:highlight w:val="none"/>
          <w:u w:val="single"/>
          <w:lang w:val="en-US" w:eastAsia="zh-CN"/>
        </w:rPr>
        <w:t>伍</w:t>
      </w:r>
      <w:r>
        <w:rPr>
          <w:rFonts w:hint="default" w:ascii="Times New Roman" w:hAnsi="Times New Roman" w:eastAsia="宋体" w:cs="Times New Roman"/>
          <w:b w:val="0"/>
          <w:bCs w:val="0"/>
          <w:color w:val="auto"/>
          <w:sz w:val="20"/>
          <w:szCs w:val="20"/>
          <w:highlight w:val="none"/>
        </w:rPr>
        <w:t>份，甲方执</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u w:val="single"/>
          <w:lang w:val="en-US" w:eastAsia="zh-CN"/>
        </w:rPr>
        <w:t>叁</w:t>
      </w:r>
      <w:r>
        <w:rPr>
          <w:rFonts w:hint="default" w:ascii="Times New Roman" w:hAnsi="Times New Roman" w:eastAsia="宋体" w:cs="Times New Roman"/>
          <w:b w:val="0"/>
          <w:bCs w:val="0"/>
          <w:color w:val="auto"/>
          <w:sz w:val="20"/>
          <w:szCs w:val="20"/>
          <w:highlight w:val="none"/>
        </w:rPr>
        <w:t>份，乙方执</w:t>
      </w:r>
      <w:r>
        <w:rPr>
          <w:rFonts w:hint="default" w:ascii="Times New Roman" w:hAnsi="Times New Roman" w:eastAsia="宋体" w:cs="Times New Roman"/>
          <w:b w:val="0"/>
          <w:bCs w:val="0"/>
          <w:color w:val="auto"/>
          <w:sz w:val="20"/>
          <w:szCs w:val="20"/>
          <w:highlight w:val="none"/>
          <w:u w:val="single"/>
        </w:rPr>
        <w:t xml:space="preserve"> 贰 </w:t>
      </w:r>
      <w:r>
        <w:rPr>
          <w:rFonts w:hint="default" w:ascii="Times New Roman" w:hAnsi="Times New Roman" w:eastAsia="宋体" w:cs="Times New Roman"/>
          <w:b w:val="0"/>
          <w:bCs w:val="0"/>
          <w:color w:val="auto"/>
          <w:sz w:val="20"/>
          <w:szCs w:val="20"/>
          <w:highlight w:val="none"/>
        </w:rPr>
        <w:t>份，具有同等法律效力。</w:t>
      </w:r>
    </w:p>
    <w:p w14:paraId="242A0122">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3、本协议经双方签署后生效。</w:t>
      </w:r>
    </w:p>
    <w:p w14:paraId="041F17E9">
      <w:pPr>
        <w:keepNext w:val="0"/>
        <w:keepLines w:val="0"/>
        <w:pageBreakBefore w:val="0"/>
        <w:kinsoku/>
        <w:wordWrap/>
        <w:topLinePunct w:val="0"/>
        <w:bidi w:val="0"/>
        <w:snapToGrid w:val="0"/>
        <w:spacing w:line="240" w:lineRule="auto"/>
        <w:ind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甲方（盖章）：                        乙方（盖章）： </w:t>
      </w:r>
    </w:p>
    <w:p w14:paraId="69647964">
      <w:pPr>
        <w:keepNext w:val="0"/>
        <w:keepLines w:val="0"/>
        <w:pageBreakBefore w:val="0"/>
        <w:kinsoku/>
        <w:wordWrap/>
        <w:topLinePunct w:val="0"/>
        <w:bidi w:val="0"/>
        <w:snapToGrid w:val="0"/>
        <w:spacing w:line="240" w:lineRule="auto"/>
        <w:ind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法定代表人（授权代表）：</w:t>
      </w:r>
      <w:r>
        <w:rPr>
          <w:rFonts w:hint="default" w:ascii="Times New Roman" w:hAnsi="Times New Roman" w:eastAsia="宋体" w:cs="Times New Roman"/>
          <w:b w:val="0"/>
          <w:bCs w:val="0"/>
          <w:color w:val="auto"/>
          <w:sz w:val="20"/>
          <w:szCs w:val="20"/>
          <w:highlight w:val="none"/>
        </w:rPr>
        <w:tab/>
      </w:r>
      <w:r>
        <w:rPr>
          <w:rFonts w:hint="default" w:ascii="Times New Roman" w:hAnsi="Times New Roman" w:eastAsia="宋体" w:cs="Times New Roman"/>
          <w:b w:val="0"/>
          <w:bCs w:val="0"/>
          <w:color w:val="auto"/>
          <w:sz w:val="20"/>
          <w:szCs w:val="20"/>
          <w:highlight w:val="none"/>
        </w:rPr>
        <w:tab/>
      </w:r>
      <w:r>
        <w:rPr>
          <w:rFonts w:hint="default" w:ascii="Times New Roman" w:hAnsi="Times New Roman" w:eastAsia="宋体" w:cs="Times New Roman"/>
          <w:b w:val="0"/>
          <w:bCs w:val="0"/>
          <w:color w:val="auto"/>
          <w:sz w:val="20"/>
          <w:szCs w:val="20"/>
          <w:highlight w:val="none"/>
        </w:rPr>
        <w:t xml:space="preserve">     法定代表人（授权代表）：</w:t>
      </w:r>
    </w:p>
    <w:p w14:paraId="599E0F47">
      <w:pPr>
        <w:pStyle w:val="2"/>
        <w:keepNext w:val="0"/>
        <w:keepLines w:val="0"/>
        <w:pageBreakBefore w:val="0"/>
        <w:kinsoku/>
        <w:wordWrap/>
        <w:topLinePunct w:val="0"/>
        <w:bidi w:val="0"/>
        <w:snapToGrid w:val="0"/>
        <w:spacing w:after="0" w:line="240" w:lineRule="auto"/>
        <w:ind w:left="0" w:leftChars="0" w:firstLine="400" w:firstLineChars="20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0"/>
          <w:szCs w:val="20"/>
          <w:highlight w:val="none"/>
        </w:rPr>
        <w:t>签约日期</w:t>
      </w:r>
      <w:r>
        <w:rPr>
          <w:rFonts w:hint="default" w:ascii="Times New Roman" w:hAnsi="Times New Roman" w:eastAsia="宋体" w:cs="Times New Roman"/>
          <w:b w:val="0"/>
          <w:bCs w:val="0"/>
          <w:color w:val="auto"/>
          <w:sz w:val="20"/>
          <w:szCs w:val="20"/>
          <w:highlight w:val="none"/>
          <w:lang w:eastAsia="zh-CN"/>
        </w:rPr>
        <w:t>：</w:t>
      </w:r>
      <w:r>
        <w:rPr>
          <w:rFonts w:hint="default" w:ascii="Times New Roman" w:hAnsi="Times New Roman" w:eastAsia="宋体" w:cs="Times New Roman"/>
          <w:b w:val="0"/>
          <w:bCs w:val="0"/>
          <w:color w:val="auto"/>
          <w:sz w:val="21"/>
          <w:szCs w:val="21"/>
          <w:highlight w:val="none"/>
          <w:lang w:eastAsia="zh-CN"/>
        </w:rPr>
        <w:br w:type="page"/>
      </w:r>
    </w:p>
    <w:p w14:paraId="7F3BD15A">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jc w:val="center"/>
        <w:textAlignment w:val="auto"/>
        <w:rPr>
          <w:rFonts w:hint="default" w:ascii="Times New Roman" w:hAnsi="Times New Roman" w:cs="Times New Roman" w:eastAsiaTheme="minorEastAsia"/>
          <w:b/>
          <w:bCs/>
          <w:color w:val="000000" w:themeColor="text1"/>
          <w:sz w:val="28"/>
          <w:szCs w:val="28"/>
          <w:highlight w:val="none"/>
          <w:u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8"/>
          <w:szCs w:val="28"/>
          <w:highlight w:val="none"/>
          <w:u w:val="none"/>
          <w:lang w:val="en-US" w:eastAsia="zh-CN"/>
          <w14:textFill>
            <w14:solidFill>
              <w14:schemeClr w14:val="tx1"/>
            </w14:solidFill>
          </w14:textFill>
        </w:rPr>
        <w:t>安全管理协议</w:t>
      </w:r>
    </w:p>
    <w:p w14:paraId="40E217DC">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jc w:val="center"/>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广东东实环境股份有限公司编制</w:t>
      </w:r>
    </w:p>
    <w:p w14:paraId="407C97CF">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jc w:val="center"/>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（适用于东实环境及其下属公司）</w:t>
      </w:r>
    </w:p>
    <w:p w14:paraId="583B9878">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1ED1BF03">
      <w:pPr>
        <w:keepNext w:val="0"/>
        <w:keepLines w:val="0"/>
        <w:pageBreakBefore w:val="0"/>
        <w:numPr>
          <w:ilvl w:val="12"/>
          <w:numId w:val="0"/>
        </w:numPr>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甲方【发包单位】：东莞市新东湾环保投资有限公司</w:t>
      </w:r>
    </w:p>
    <w:p w14:paraId="171A1C44">
      <w:pPr>
        <w:keepNext w:val="0"/>
        <w:keepLines w:val="0"/>
        <w:pageBreakBefore w:val="0"/>
        <w:numPr>
          <w:ilvl w:val="12"/>
          <w:numId w:val="0"/>
        </w:numPr>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地址：</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广东省东莞市滨海湾新区湾区大道1号</w:t>
      </w:r>
    </w:p>
    <w:p w14:paraId="531EF9F0">
      <w:pPr>
        <w:keepNext w:val="0"/>
        <w:keepLines w:val="0"/>
        <w:pageBreakBefore w:val="0"/>
        <w:kinsoku/>
        <w:wordWrap/>
        <w:overflowPunct/>
        <w:topLinePunct w:val="0"/>
        <w:autoSpaceDE/>
        <w:autoSpaceDN/>
        <w:bidi w:val="0"/>
        <w:snapToGrid w:val="0"/>
        <w:spacing w:line="276" w:lineRule="auto"/>
        <w:ind w:left="0" w:leftChars="0" w:firstLine="0" w:firstLineChars="0"/>
        <w:jc w:val="both"/>
        <w:textAlignment w:val="auto"/>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联络人：</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52248199">
      <w:pPr>
        <w:keepNext w:val="0"/>
        <w:keepLines w:val="0"/>
        <w:pageBreakBefore w:val="0"/>
        <w:numPr>
          <w:ilvl w:val="12"/>
          <w:numId w:val="0"/>
        </w:numPr>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4325A61B">
      <w:pPr>
        <w:keepNext w:val="0"/>
        <w:keepLines w:val="0"/>
        <w:pageBreakBefore w:val="0"/>
        <w:kinsoku/>
        <w:wordWrap/>
        <w:overflowPunct/>
        <w:topLinePunct w:val="0"/>
        <w:autoSpaceDE/>
        <w:autoSpaceDN/>
        <w:bidi w:val="0"/>
        <w:adjustRightInd w:val="0"/>
        <w:snapToGrid w:val="0"/>
        <w:spacing w:line="276" w:lineRule="auto"/>
        <w:ind w:left="0" w:leftChars="0" w:firstLine="0" w:firstLineChars="0"/>
        <w:jc w:val="both"/>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乙方【施工单位】：</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62225E81">
      <w:pPr>
        <w:keepNext w:val="0"/>
        <w:keepLines w:val="0"/>
        <w:pageBreakBefore w:val="0"/>
        <w:kinsoku/>
        <w:wordWrap/>
        <w:overflowPunct/>
        <w:topLinePunct w:val="0"/>
        <w:autoSpaceDE/>
        <w:autoSpaceDN/>
        <w:bidi w:val="0"/>
        <w:adjustRightInd w:val="0"/>
        <w:snapToGrid w:val="0"/>
        <w:spacing w:line="276" w:lineRule="auto"/>
        <w:ind w:left="0" w:leftChars="0" w:firstLine="0" w:firstLineChars="0"/>
        <w:jc w:val="both"/>
        <w:textAlignment w:val="auto"/>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地址：</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7377302F">
      <w:pPr>
        <w:keepNext w:val="0"/>
        <w:keepLines w:val="0"/>
        <w:pageBreakBefore w:val="0"/>
        <w:kinsoku/>
        <w:wordWrap/>
        <w:overflowPunct/>
        <w:topLinePunct w:val="0"/>
        <w:autoSpaceDE/>
        <w:autoSpaceDN/>
        <w:bidi w:val="0"/>
        <w:adjustRightInd w:val="0"/>
        <w:snapToGrid w:val="0"/>
        <w:spacing w:line="276" w:lineRule="auto"/>
        <w:ind w:left="0" w:leftChars="0" w:firstLine="0" w:firstLineChars="0"/>
        <w:jc w:val="both"/>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联络人：</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7F1EF98A">
      <w:pPr>
        <w:keepNext w:val="0"/>
        <w:keepLines w:val="0"/>
        <w:pageBreakBefore w:val="0"/>
        <w:kinsoku/>
        <w:wordWrap/>
        <w:overflowPunct/>
        <w:topLinePunct w:val="0"/>
        <w:autoSpaceDE/>
        <w:autoSpaceDN/>
        <w:bidi w:val="0"/>
        <w:adjustRightInd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0242280D">
      <w:pPr>
        <w:keepNext w:val="0"/>
        <w:keepLines w:val="0"/>
        <w:pageBreakBefore w:val="0"/>
        <w:kinsoku/>
        <w:wordWrap/>
        <w:overflowPunct/>
        <w:topLinePunct w:val="0"/>
        <w:autoSpaceDE/>
        <w:autoSpaceDN/>
        <w:bidi w:val="0"/>
        <w:adjustRightInd w:val="0"/>
        <w:snapToGrid w:val="0"/>
        <w:spacing w:line="276" w:lineRule="auto"/>
        <w:ind w:firstLine="420" w:firstLineChars="200"/>
        <w:jc w:val="both"/>
        <w:textAlignment w:val="auto"/>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为了切实加强对建设项目施工现场的安全管理，进一步明确甲乙双方的安全管理责任，防止发生建设工程施工安全事故，依照《中华人民共和国合同法》《中华人民共和国安全生产法》、国务院《建设工程安全生产管理条例》及其它相关法律、法规规定，遵循平等、自愿、公平和依法管理的原则，在甲乙双方签订的《</w:t>
      </w:r>
      <w:r>
        <w:rPr>
          <w:rFonts w:hint="eastAsia" w:cs="Times New Roman" w:eastAsiaTheme="minorEastAsia"/>
          <w:b w:val="0"/>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》（以下简称原合同）基础上，共同协商一致，签订本安全管理协议书（以下简称本协议）。</w:t>
      </w:r>
    </w:p>
    <w:p w14:paraId="12441E4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第一条 基本情况</w:t>
      </w:r>
    </w:p>
    <w:p w14:paraId="6C704C9B">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工程名称：</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080CF8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工程地点与范围：</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37F02F4">
      <w:pPr>
        <w:keepNext w:val="0"/>
        <w:keepLines w:val="0"/>
        <w:pageBreakBefore w:val="0"/>
        <w:kinsoku/>
        <w:wordWrap/>
        <w:overflowPunct/>
        <w:topLinePunct w:val="0"/>
        <w:autoSpaceDE/>
        <w:autoSpaceDN/>
        <w:bidi w:val="0"/>
        <w:adjustRightInd/>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3本工程内容包括：</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471439EF">
      <w:pPr>
        <w:keepNext w:val="0"/>
        <w:keepLines w:val="0"/>
        <w:pageBreakBefore w:val="0"/>
        <w:kinsoku/>
        <w:wordWrap/>
        <w:overflowPunct/>
        <w:topLinePunct w:val="0"/>
        <w:autoSpaceDE/>
        <w:autoSpaceDN/>
        <w:bidi w:val="0"/>
        <w:adjustRightInd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4规范标准（按实际项目需求调整）：</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44491D4">
      <w:pPr>
        <w:keepNext w:val="0"/>
        <w:keepLines w:val="0"/>
        <w:pageBreakBefore w:val="0"/>
        <w:kinsoku/>
        <w:wordWrap/>
        <w:overflowPunct/>
        <w:topLinePunct w:val="0"/>
        <w:autoSpaceDE/>
        <w:autoSpaceDN/>
        <w:bidi w:val="0"/>
        <w:adjustRightInd w:val="0"/>
        <w:snapToGrid w:val="0"/>
        <w:spacing w:line="276" w:lineRule="auto"/>
        <w:ind w:firstLine="42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5技术要求：</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0F28DF5B">
      <w:pPr>
        <w:keepNext w:val="0"/>
        <w:keepLines w:val="0"/>
        <w:pageBreakBefore w:val="0"/>
        <w:kinsoku/>
        <w:wordWrap/>
        <w:overflowPunct/>
        <w:topLinePunct w:val="0"/>
        <w:autoSpaceDE/>
        <w:autoSpaceDN/>
        <w:bidi w:val="0"/>
        <w:adjustRightInd w:val="0"/>
        <w:snapToGrid w:val="0"/>
        <w:spacing w:line="276" w:lineRule="auto"/>
        <w:ind w:firstLine="420"/>
        <w:jc w:val="both"/>
        <w:textAlignment w:val="auto"/>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工程承包方式：</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C126E7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工程工期：</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6D22059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第二条 乙方资质</w:t>
      </w:r>
    </w:p>
    <w:p w14:paraId="08B50E5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乙方应将资质、资格证书、安全有关资料原件呈送甲方，并对资料真实性负责，审核通过后报送甲方进行复核、备案。</w:t>
      </w:r>
    </w:p>
    <w:p w14:paraId="619186E6">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第三条 乙方承包项目负责人及安全管理人员</w:t>
      </w:r>
    </w:p>
    <w:p w14:paraId="17724345">
      <w:pPr>
        <w:keepNext w:val="0"/>
        <w:keepLines w:val="0"/>
        <w:pageBreakBefore w:val="0"/>
        <w:kinsoku/>
        <w:wordWrap/>
        <w:overflowPunct/>
        <w:topLinePunct w:val="0"/>
        <w:autoSpaceDE/>
        <w:autoSpaceDN/>
        <w:bidi w:val="0"/>
        <w:adjustRightInd w:val="0"/>
        <w:snapToGrid w:val="0"/>
        <w:spacing w:line="276" w:lineRule="auto"/>
        <w:ind w:left="0" w:leftChars="0"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乙方承包项目负责人：</w:t>
      </w:r>
      <w:r>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t xml:space="preserve">   </w:t>
      </w:r>
    </w:p>
    <w:p w14:paraId="5F9987F4">
      <w:pPr>
        <w:keepNext w:val="0"/>
        <w:keepLines w:val="0"/>
        <w:pageBreakBefore w:val="0"/>
        <w:kinsoku/>
        <w:wordWrap/>
        <w:overflowPunct/>
        <w:topLinePunct w:val="0"/>
        <w:autoSpaceDE/>
        <w:autoSpaceDN/>
        <w:bidi w:val="0"/>
        <w:adjustRightInd w:val="0"/>
        <w:snapToGrid w:val="0"/>
        <w:spacing w:line="276" w:lineRule="auto"/>
        <w:ind w:left="0" w:leftChars="0"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乙方安全生产管理负责人：</w:t>
      </w:r>
      <w:r>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t xml:space="preserve">   </w:t>
      </w:r>
    </w:p>
    <w:p w14:paraId="273C7AA2">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第四条 甲方的权利和义务</w:t>
      </w:r>
    </w:p>
    <w:p w14:paraId="01EA1209">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甲方或甲方委托方审查乙方的营业执照、资质证书、特种作业人员有效证件、安全管理制度和机械安全防护设施及检测情况等，并需要对原件和复印件进行核对无误，对复印件加盖与原件一致；</w:t>
      </w:r>
    </w:p>
    <w:p w14:paraId="1375365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甲方或甲方委托方对乙方所制定的安全操作规程和应急预案进行审查、审批和检查落实，对无方案、无措施和措施落实不到位的有权停止施工，限期整改，并根据具体情况进行处罚；</w:t>
      </w:r>
    </w:p>
    <w:p w14:paraId="29C05A35">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 乙方编制的施工组织设计、施工安全方案、施工安全措施以及关键工序、重点环节，特种机械设备的使用专项施工方案，由甲方或甲方委托方审查同意后方可实施；</w:t>
      </w:r>
    </w:p>
    <w:p w14:paraId="32A3D4E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 甲方或甲方委托方对乙方特种设备作业人员资格进行验证，禁止非特种作业人员从事特种作业；</w:t>
      </w:r>
    </w:p>
    <w:p w14:paraId="0F70B4D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 因乙方不遵守本协议条款，造成安全事故的发生，甲方有权取消乙方承包资格，并终止原合同，因此产生的责任（包括但不限于行政责任）由乙方承担，并且须根据原合同及本协议相关规定向乙方承担违约责任；</w:t>
      </w:r>
    </w:p>
    <w:p w14:paraId="250F910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 甲方或甲方委托方有权依据国家安全政策、法规和各项安全技术操作规程对乙方安全进行监督、检查和管理，有权纠正和制止乙方违规、违章行为，并根据具体情况进行处罚。甲方或甲方委托方发现乙方存在工程安全隐患，有权责令乙方限期整改；对存在重大工程安全隐患的，甲方或甲方委托方有权责令乙方立即停工整改，待隐患消除后方可复工；</w:t>
      </w:r>
    </w:p>
    <w:p w14:paraId="6E07A85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7甲方或甲方委托方建立由甲方、乙方共同参加的安全例会制度，定期分析工程安全动态，协助乙方制定保障安全施工的方案和措施。安全例会应形成会议记录或会议纪要；</w:t>
      </w:r>
    </w:p>
    <w:p w14:paraId="39FB80FB">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8乙方发生事故时，甲方或甲方委托方应提供支持和帮助，发生人身伤害事故时，要积极配合抢救，并提供其他便利条件；</w:t>
      </w:r>
    </w:p>
    <w:p w14:paraId="10A97EC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9甲方或甲方委托方不得指派乙方人员从事原合同外的施工任务。</w:t>
      </w:r>
    </w:p>
    <w:p w14:paraId="2364BD9E">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第五条 乙方的权利和义务</w:t>
      </w:r>
    </w:p>
    <w:p w14:paraId="6B9E4C2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shd w:val="clear" w:color="auto" w:fill="FFFFFF"/>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1 乙方负责人是承包项目第一责任人，对本协议工程安全负全面责任；</w:t>
      </w:r>
    </w:p>
    <w:p w14:paraId="63BE2C8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乙方应认真贯彻执行国家安全生产政策、法规和行业安全规程、规定及甲方制定的各项安全管理制度，自觉遵守本协议；</w:t>
      </w:r>
    </w:p>
    <w:p w14:paraId="6BE993C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3 乙方自备及租赁的各类施工机械设备，必须符合国家技术标准和行业技术标准，且机械性能良好，各种安全防护装置齐全、灵敏、可靠，特种设备</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并经有资质检验部门出具的经检验符合安全规定的证明材料；</w:t>
      </w:r>
    </w:p>
    <w:p w14:paraId="6D95E39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 乙方在施工、作业过程中应切实采取有效地安全防护措施，加强项目施工作业的安全管理工作，防止各类安全事故的发生，保证人身及财产安全；</w:t>
      </w:r>
    </w:p>
    <w:p w14:paraId="3C291F8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 乙方必须坚持“管生产必须管安全”的原则，做到安全工作与生产“五同时”（即计划、布置、检查、总结、考核）；</w:t>
      </w:r>
    </w:p>
    <w:p w14:paraId="09590AE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 乙方应建立安全生产保证体系及安全组织机构，设置专职安全生产管理人员，健全现场安全生产责任制及相应的安全奖惩办法；</w:t>
      </w:r>
    </w:p>
    <w:p w14:paraId="131DFA61">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 乙方项目负责人、专职安全生产管理人员和特种作业人员应按照国家有关规定经过培训考核合格后，持相关安全管理部门核发的、有效的资格证书上岗；</w:t>
      </w:r>
    </w:p>
    <w:p w14:paraId="19FE402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 乙方投入施工现场的全部机械设备及各类工具，必须经检验合格，符合国家相关标准并遵守相关操作规程；</w:t>
      </w:r>
    </w:p>
    <w:p w14:paraId="1EA4390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b w:val="0"/>
          <w:bCs w:val="0"/>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 w:val="0"/>
          <w:bCs w:val="0"/>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u w:val="none"/>
          <w14:textFill>
            <w14:solidFill>
              <w14:schemeClr w14:val="tx1"/>
            </w14:solidFill>
          </w14:textFill>
        </w:rPr>
        <w:t>9 人员保险：乙方须为所有进场工作人员（含临时、外包人员）办理不低于140万元/人的工伤保险或意外伤害保险，保险有效期应覆盖本合同履行期及人员进场作业的全部时段。同一人员的保险重复投保时，保额需叠加计算达到约定标准。人员进场前3个工作日，乙方需向甲方提交加盖公章的投保人员名单、保险公司出具的生效保单及保额证明、人员身份证及劳动关系证明，人员变动时，乙方应在24小时内更新备案资料。如出现未投保或保额不足、备案资料不真实或逾期提交的情况，违约金按缺额人数×2万元/人计算，且甲方有权从合同款中直接扣除。乙方须在违约后5个工作日内补足保险/资料，逾期按2000元/人/日加罚。</w:t>
      </w:r>
    </w:p>
    <w:p w14:paraId="1F671381">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10 乙方根据工作现场特点在生产组织中编制安全施工方案或安全施工技术方案；</w:t>
      </w:r>
    </w:p>
    <w:p w14:paraId="4271605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11 乙方做好工作人员的安全教育和安全技术交底工作，保证上岗作业人员经安全教育，未经安全教育者不得进场施工；</w:t>
      </w:r>
    </w:p>
    <w:p w14:paraId="3D0C732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12 乙方应购置配备安全防护设施和劳动保护用品，其使用要求符合国家标准，对不合格者，甲方有权要求整改，并根据具体情况进行处罚；</w:t>
      </w:r>
    </w:p>
    <w:p w14:paraId="12A8F19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13 乙方在施工过程中对人的不安全行为，物的不安全状态，作业环境的不安全因素和管理上的缺陷进行控制。杜绝违章指挥、违章作业现象存在；</w:t>
      </w:r>
    </w:p>
    <w:p w14:paraId="2FEEC2F2">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14 乙方应做好上岗人员安全教育培训档案管理工作，培训记录和安全考试卷必须保存完整、齐全；</w:t>
      </w:r>
    </w:p>
    <w:p w14:paraId="0B0FDD6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15 乙方要定期做好生产现场的安全检查工作，对安全隐患及时整改。对甲方检查后下达的安全检查整改通知单应无条件整改；</w:t>
      </w:r>
    </w:p>
    <w:p w14:paraId="53BA3B2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16 乙方有责任向甲方提出安全合理化建议，有义务完成甲方安排的有利于安全工作的其他要求；</w:t>
      </w:r>
    </w:p>
    <w:p w14:paraId="3EA21C1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17 乙方在生产过程中发生安全事故，应按照国家相关安全事故报告和调查处理的规定，及时如实上报甲方，不得发生迟报、瞒报、谎报现象，甲方将保留对其追究法律责任的权利；</w:t>
      </w:r>
    </w:p>
    <w:p w14:paraId="150DCB3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18 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4F4311F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19 乙方在施工、作业过程中必须加强安全管理，由于管理不到位造成安全事故发生，乙方必须承担全部责任，并承担由此给甲方造成的名誉及经济损失；</w:t>
      </w:r>
    </w:p>
    <w:p w14:paraId="7440EB7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20 乙方应如实的向上岗人员告知作业现场及岗位存在的危险因素、防范措施和应急处理措施；</w:t>
      </w:r>
    </w:p>
    <w:p w14:paraId="060DEFE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21 乙方生产电源的架设和水源的使用，必须服从甲方的管理，不得私自接用；</w:t>
      </w:r>
    </w:p>
    <w:p w14:paraId="4162BB1E">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22 乙方必须做好消防工作，落实岗位消防制度，防止火灾的发生。消防设施的设置要求满足消防规程的要求，严禁使用不合格或过期消防设备；</w:t>
      </w:r>
    </w:p>
    <w:p w14:paraId="0E8A5D0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23 乙方必须做好作业现场各类车辆的交通安全工作，杜绝超速、超载、无证驾驶、酒后驾驶、疲劳驾驶等违章行为的发生；</w:t>
      </w:r>
    </w:p>
    <w:p w14:paraId="63DB9E8B">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24 乙方必须在作业现场重点危险部位设置醒目的安全警示标志、路标及隔离围栏等，并不定期进行检查维护，保证警示标志的整洁、完好；</w:t>
      </w:r>
    </w:p>
    <w:p w14:paraId="2B6FF3B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25 乙方应加强生产现场管理，严禁闲杂人员进入生产现场，并保持生产现场良好的秩序；</w:t>
      </w:r>
    </w:p>
    <w:p w14:paraId="1B80FF6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26 乙方必须对务工人员进行相关安全教育培训，并做好培训记录，严禁未经安全培训的人员进行相关施工作业；</w:t>
      </w:r>
    </w:p>
    <w:p w14:paraId="3687AF4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27 乙方</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在承包工程中，实施总承包的施工单位不得将工程转包和分包给不具备安全生产条件的或者相应资质的单位和个人；</w:t>
      </w:r>
    </w:p>
    <w:p w14:paraId="082145CE">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28 乙方用于本工程项目的施工机械、工器具、安全防护用具及特种设的数量和质量必须满足施工需要，对因使用工器具不当所造成的人员伤害及设备损坏负责；</w:t>
      </w:r>
    </w:p>
    <w:p w14:paraId="5DCFD5F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shd w:val="clear" w:color="auto" w:fill="FFFFFF"/>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29 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13A3F5E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30 乙方的车辆在现场发生意外，造成甲方或其它单位的财产损失或人员伤害等，应依法承担相关的赔偿、治疗等责任；</w:t>
      </w:r>
    </w:p>
    <w:p w14:paraId="55FB67E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31 如因乙方采取的安全措施不当，或违反有关安全规程、规定及本协议所列安全事项而造成事故的，除依法由甲方或第三方承担责任的，均应由乙方全部承担；</w:t>
      </w:r>
    </w:p>
    <w:p w14:paraId="07F0D1AF">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32 乙方需在甲方厂区住宿的，严格执行甲方公司相关制度规定，甲方只提供住宿，如有意外发生，一切后果自负；</w:t>
      </w:r>
    </w:p>
    <w:p w14:paraId="5E350A1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 xml:space="preserve">33 </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乙方应确保施工人员身体健康，特殊工种严格执行国家关于年龄的限制。</w:t>
      </w:r>
    </w:p>
    <w:p w14:paraId="7006521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第六条 违约处理</w:t>
      </w:r>
    </w:p>
    <w:p w14:paraId="07FFA269">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23106E5A">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乙方应提供一份公司盖章版的专项安全施工方案原件备案至甲方公司安全环境管理部门，资料内容至少包括：</w:t>
      </w:r>
    </w:p>
    <w:p w14:paraId="5CD96F2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施工安全目标和计划方案；</w:t>
      </w:r>
    </w:p>
    <w:p w14:paraId="1FCB1C91">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施工人员安全生产责任制；</w:t>
      </w:r>
    </w:p>
    <w:p w14:paraId="038D20D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施工安全管理制度；</w:t>
      </w:r>
    </w:p>
    <w:p w14:paraId="5295BDD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施工人员安全奖惩制度；</w:t>
      </w:r>
    </w:p>
    <w:p w14:paraId="161B7CFE">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施工安全管理协议书；</w:t>
      </w:r>
    </w:p>
    <w:p w14:paraId="65595FA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施工安全管理组织框架图；</w:t>
      </w:r>
    </w:p>
    <w:p w14:paraId="3EF57E1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施工安全管理人员登记表和任命书；</w:t>
      </w:r>
    </w:p>
    <w:p w14:paraId="43A4BB78">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施工人员登记表；</w:t>
      </w:r>
    </w:p>
    <w:p w14:paraId="5215F270">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施工特种作业人员登记表和特种证件复印件；</w:t>
      </w:r>
    </w:p>
    <w:p w14:paraId="493750D9">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施工人员安全培训签到表和安全考核记录表；</w:t>
      </w:r>
    </w:p>
    <w:p w14:paraId="56CCAA3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施工人员工伤保险或人身意外险购买凭证；</w:t>
      </w:r>
    </w:p>
    <w:p w14:paraId="1A72522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安全及应急管理制度和应急物品清单；</w:t>
      </w:r>
    </w:p>
    <w:p w14:paraId="7CCCAAB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安全日常隐患排查管理制度；</w:t>
      </w:r>
    </w:p>
    <w:p w14:paraId="5DE0C529">
      <w:pPr>
        <w:keepNext w:val="0"/>
        <w:keepLines w:val="0"/>
        <w:pageBreakBefore w:val="0"/>
        <w:widowControl/>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大型设备进场进度表；</w:t>
      </w:r>
    </w:p>
    <w:p w14:paraId="1E543EE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以上资料应在进厂施工后5个工作日内提供完毕，逾期未提供或资料不齐全的，按《EHS管理处罚细则》相关条款实施。</w:t>
      </w:r>
    </w:p>
    <w:p w14:paraId="30AE6B5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 乙方应提供一份公司盖章版的EHS安全施工方案原件备案至甲方公司安全环境管理部门，资料内容至少包括</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p>
    <w:p w14:paraId="252F612A">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施工项目概况和危险源辨识及评估报告；</w:t>
      </w:r>
    </w:p>
    <w:p w14:paraId="776EAD5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施工单位安全文明方案；</w:t>
      </w:r>
    </w:p>
    <w:p w14:paraId="14705ECF">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施工现场安全标示管理制度；</w:t>
      </w:r>
    </w:p>
    <w:p w14:paraId="5D423681">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临时用电安全管理制度；</w:t>
      </w:r>
    </w:p>
    <w:p w14:paraId="4E30C49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高处作业安全管理制度；</w:t>
      </w:r>
    </w:p>
    <w:p w14:paraId="6BAB1A8A">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动火作业安全管理制度；</w:t>
      </w:r>
    </w:p>
    <w:p w14:paraId="73AD7982">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吊装作业安全管理制度；</w:t>
      </w:r>
    </w:p>
    <w:p w14:paraId="4B7C918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较大危险性工作风险清单和预防管控措施制度；</w:t>
      </w:r>
    </w:p>
    <w:p w14:paraId="6EA21B50">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消防安全管理专项制度；</w:t>
      </w:r>
    </w:p>
    <w:p w14:paraId="18D5F644">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施工人员劳保用品佩戴管理制度；</w:t>
      </w:r>
    </w:p>
    <w:p w14:paraId="47E9465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施工人员生活区专项管理制度；</w:t>
      </w:r>
    </w:p>
    <w:p w14:paraId="36D5228E">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职业健康安全管理制度。</w:t>
      </w:r>
    </w:p>
    <w:p w14:paraId="32A9299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以上资料应在进厂施工后5个工作日内提供完毕，逾期未提供或资料不齐全的，按《EHS管理处罚细则》相关条款实施。</w:t>
      </w:r>
    </w:p>
    <w:p w14:paraId="5B6F20C7">
      <w:pPr>
        <w:keepNext w:val="0"/>
        <w:keepLines w:val="0"/>
        <w:pageBreakBefore w:val="0"/>
        <w:kinsoku/>
        <w:wordWrap/>
        <w:overflowPunct/>
        <w:topLinePunct w:val="0"/>
        <w:autoSpaceDE/>
        <w:autoSpaceDN/>
        <w:bidi w:val="0"/>
        <w:snapToGrid w:val="0"/>
        <w:spacing w:line="276" w:lineRule="auto"/>
        <w:ind w:left="0" w:firstLine="42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 处罚细则</w:t>
      </w:r>
    </w:p>
    <w:p w14:paraId="7404F841">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1安全文明施工违约处理</w:t>
      </w:r>
    </w:p>
    <w:p w14:paraId="076A9243">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详见《EHS管理处罚细则》（附件1）管理规定。</w:t>
      </w:r>
    </w:p>
    <w:p w14:paraId="54405EA8">
      <w:pPr>
        <w:pStyle w:val="42"/>
        <w:keepNext w:val="0"/>
        <w:keepLines w:val="0"/>
        <w:pageBreakBefore w:val="0"/>
        <w:tabs>
          <w:tab w:val="left" w:pos="312"/>
        </w:tabs>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事故违约处理</w:t>
      </w:r>
    </w:p>
    <w:p w14:paraId="5A5DE6B9">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详见《事故处罚实施细则》管理规定（附件2）。</w:t>
      </w:r>
    </w:p>
    <w:p w14:paraId="139A2AC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第七条 协议生效与终止</w:t>
      </w:r>
    </w:p>
    <w:p w14:paraId="5F3A228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本协议从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7CE6EA9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 xml:space="preserve">第八条 </w:t>
      </w:r>
      <w:r>
        <w:rPr>
          <w:rFonts w:hint="default" w:ascii="Times New Roman" w:hAnsi="Times New Roman" w:cs="Times New Roman" w:eastAsiaTheme="minorEastAsia"/>
          <w:b/>
          <w:bCs/>
          <w:color w:val="000000" w:themeColor="text1"/>
          <w:kern w:val="0"/>
          <w:sz w:val="21"/>
          <w:szCs w:val="21"/>
          <w:highlight w:val="none"/>
          <w:u w:val="none"/>
          <w14:textFill>
            <w14:solidFill>
              <w14:schemeClr w14:val="tx1"/>
            </w14:solidFill>
          </w14:textFill>
        </w:rPr>
        <w:t>其它要求</w:t>
      </w:r>
    </w:p>
    <w:p w14:paraId="6DDC599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本协议履行过程中未尽事宜，按甲方有关规章制度执行。</w:t>
      </w:r>
    </w:p>
    <w:p w14:paraId="52177ECE">
      <w:pPr>
        <w:keepNext w:val="0"/>
        <w:keepLines w:val="0"/>
        <w:pageBreakBefore w:val="0"/>
        <w:numPr>
          <w:ilvl w:val="255"/>
          <w:numId w:val="0"/>
        </w:numPr>
        <w:kinsoku/>
        <w:wordWrap/>
        <w:overflowPunct/>
        <w:topLinePunct w:val="0"/>
        <w:autoSpaceDE/>
        <w:autoSpaceDN/>
        <w:bidi w:val="0"/>
        <w:snapToGrid w:val="0"/>
        <w:spacing w:line="276" w:lineRule="auto"/>
        <w:ind w:left="560" w:left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本协议一式</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份，均具有同等法律效力，协议甲方执</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份，乙方执</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份。由双方法定代表人签章或其授权代表人签署并盖章后生效。</w:t>
      </w:r>
    </w:p>
    <w:p w14:paraId="610B5CC1">
      <w:pPr>
        <w:keepNext w:val="0"/>
        <w:keepLines w:val="0"/>
        <w:pageBreakBefore w:val="0"/>
        <w:numPr>
          <w:ilvl w:val="12"/>
          <w:numId w:val="0"/>
        </w:numPr>
        <w:kinsoku/>
        <w:wordWrap/>
        <w:overflowPunct/>
        <w:topLinePunct w:val="0"/>
        <w:autoSpaceDE/>
        <w:autoSpaceDN/>
        <w:bidi w:val="0"/>
        <w:snapToGrid w:val="0"/>
        <w:spacing w:line="276" w:lineRule="auto"/>
        <w:jc w:val="center"/>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068C93C0">
      <w:pPr>
        <w:keepNext w:val="0"/>
        <w:keepLines w:val="0"/>
        <w:pageBreakBefore w:val="0"/>
        <w:numPr>
          <w:ilvl w:val="12"/>
          <w:numId w:val="0"/>
        </w:numPr>
        <w:kinsoku/>
        <w:wordWrap/>
        <w:overflowPunct/>
        <w:topLinePunct w:val="0"/>
        <w:autoSpaceDE/>
        <w:autoSpaceDN/>
        <w:bidi w:val="0"/>
        <w:snapToGrid w:val="0"/>
        <w:spacing w:line="276" w:lineRule="auto"/>
        <w:jc w:val="center"/>
        <w:textAlignment w:val="auto"/>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t>---</w:t>
      </w: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以下无正文</w:t>
      </w:r>
      <w:r>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t>---</w:t>
      </w:r>
    </w:p>
    <w:p w14:paraId="0C68EC7E">
      <w:pPr>
        <w:keepNext w:val="0"/>
        <w:keepLines w:val="0"/>
        <w:pageBreakBefore w:val="0"/>
        <w:numPr>
          <w:ilvl w:val="12"/>
          <w:numId w:val="0"/>
        </w:numPr>
        <w:kinsoku/>
        <w:wordWrap/>
        <w:overflowPunct/>
        <w:topLinePunct w:val="0"/>
        <w:autoSpaceDE/>
        <w:autoSpaceDN/>
        <w:bidi w:val="0"/>
        <w:snapToGrid w:val="0"/>
        <w:spacing w:line="276" w:lineRule="auto"/>
        <w:jc w:val="center"/>
        <w:textAlignment w:val="auto"/>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p>
    <w:tbl>
      <w:tblPr>
        <w:tblStyle w:val="20"/>
        <w:tblW w:w="8856" w:type="dxa"/>
        <w:jc w:val="center"/>
        <w:tblLayout w:type="fixed"/>
        <w:tblCellMar>
          <w:top w:w="0" w:type="dxa"/>
          <w:left w:w="108" w:type="dxa"/>
          <w:bottom w:w="0" w:type="dxa"/>
          <w:right w:w="108" w:type="dxa"/>
        </w:tblCellMar>
      </w:tblPr>
      <w:tblGrid>
        <w:gridCol w:w="4786"/>
        <w:gridCol w:w="4070"/>
      </w:tblGrid>
      <w:tr w14:paraId="76C5D036">
        <w:tblPrEx>
          <w:tblCellMar>
            <w:top w:w="0" w:type="dxa"/>
            <w:left w:w="108" w:type="dxa"/>
            <w:bottom w:w="0" w:type="dxa"/>
            <w:right w:w="108" w:type="dxa"/>
          </w:tblCellMar>
        </w:tblPrEx>
        <w:trPr>
          <w:trHeight w:val="1194" w:hRule="atLeast"/>
          <w:jc w:val="center"/>
        </w:trPr>
        <w:tc>
          <w:tcPr>
            <w:tcW w:w="4786" w:type="dxa"/>
            <w:shd w:val="clear" w:color="auto" w:fill="auto"/>
          </w:tcPr>
          <w:p w14:paraId="4EF502C8">
            <w:pPr>
              <w:keepNext w:val="0"/>
              <w:keepLines w:val="0"/>
              <w:pageBreakBefore w:val="0"/>
              <w:numPr>
                <w:ilvl w:val="-1"/>
                <w:numId w:val="0"/>
              </w:numPr>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甲方（盖章）</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p>
          <w:p w14:paraId="5A057204">
            <w:pPr>
              <w:keepNext w:val="0"/>
              <w:keepLines w:val="0"/>
              <w:pageBreakBefore w:val="0"/>
              <w:numPr>
                <w:ilvl w:val="-1"/>
                <w:numId w:val="0"/>
              </w:numPr>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u w:val="none"/>
                <w:lang w:val="en-US" w:eastAsia="zh-CN"/>
                <w14:textFill>
                  <w14:solidFill>
                    <w14:schemeClr w14:val="tx1"/>
                  </w14:solidFill>
                </w14:textFill>
              </w:rPr>
              <w:t xml:space="preserve"> </w:t>
            </w:r>
          </w:p>
        </w:tc>
        <w:tc>
          <w:tcPr>
            <w:tcW w:w="4070" w:type="dxa"/>
            <w:shd w:val="clear" w:color="auto" w:fill="auto"/>
          </w:tcPr>
          <w:p w14:paraId="1B4F09F0">
            <w:pPr>
              <w:keepNext w:val="0"/>
              <w:keepLines w:val="0"/>
              <w:pageBreakBefore w:val="0"/>
              <w:kinsoku/>
              <w:wordWrap/>
              <w:overflowPunct/>
              <w:topLinePunct w:val="0"/>
              <w:autoSpaceDE/>
              <w:autoSpaceDN/>
              <w:bidi w:val="0"/>
              <w:snapToGrid w:val="0"/>
              <w:spacing w:line="360" w:lineRule="auto"/>
              <w:ind w:left="0" w:leftChars="0" w:firstLine="0" w:firstLineChars="0"/>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乙方（盖章）</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p>
          <w:p w14:paraId="1941E60F">
            <w:pPr>
              <w:keepNext w:val="0"/>
              <w:keepLines w:val="0"/>
              <w:pageBreakBefore w:val="0"/>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tc>
      </w:tr>
      <w:tr w14:paraId="1EF40639">
        <w:tblPrEx>
          <w:tblCellMar>
            <w:top w:w="0" w:type="dxa"/>
            <w:left w:w="108" w:type="dxa"/>
            <w:bottom w:w="0" w:type="dxa"/>
            <w:right w:w="108" w:type="dxa"/>
          </w:tblCellMar>
        </w:tblPrEx>
        <w:trPr>
          <w:trHeight w:val="984" w:hRule="atLeast"/>
          <w:jc w:val="center"/>
        </w:trPr>
        <w:tc>
          <w:tcPr>
            <w:tcW w:w="4786" w:type="dxa"/>
            <w:shd w:val="clear" w:color="auto" w:fill="auto"/>
          </w:tcPr>
          <w:p w14:paraId="193FD157">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法定代表人（签章）：</w:t>
            </w:r>
          </w:p>
          <w:p w14:paraId="7664FE97">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或授权代表人（签字）：</w:t>
            </w:r>
          </w:p>
        </w:tc>
        <w:tc>
          <w:tcPr>
            <w:tcW w:w="4070" w:type="dxa"/>
            <w:shd w:val="clear" w:color="auto" w:fill="auto"/>
          </w:tcPr>
          <w:p w14:paraId="2064E046">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法定代表人（签章）：</w:t>
            </w:r>
          </w:p>
          <w:p w14:paraId="5C4E1BF1">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或授权代表人（签字）：</w:t>
            </w:r>
          </w:p>
        </w:tc>
      </w:tr>
      <w:tr w14:paraId="406AFD6A">
        <w:tblPrEx>
          <w:tblCellMar>
            <w:top w:w="0" w:type="dxa"/>
            <w:left w:w="108" w:type="dxa"/>
            <w:bottom w:w="0" w:type="dxa"/>
            <w:right w:w="108" w:type="dxa"/>
          </w:tblCellMar>
        </w:tblPrEx>
        <w:trPr>
          <w:trHeight w:val="1553" w:hRule="atLeast"/>
          <w:jc w:val="center"/>
        </w:trPr>
        <w:tc>
          <w:tcPr>
            <w:tcW w:w="4786" w:type="dxa"/>
            <w:shd w:val="clear" w:color="auto" w:fill="auto"/>
          </w:tcPr>
          <w:p w14:paraId="52A66DD2">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项目负责人（签字）：</w:t>
            </w:r>
          </w:p>
          <w:p w14:paraId="6E53FEC3">
            <w:pPr>
              <w:keepNext w:val="0"/>
              <w:keepLines w:val="0"/>
              <w:pageBreakBefore w:val="0"/>
              <w:numPr>
                <w:ilvl w:val="12"/>
                <w:numId w:val="0"/>
              </w:numPr>
              <w:tabs>
                <w:tab w:val="left" w:pos="540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或项目经理（签字）：</w:t>
            </w:r>
          </w:p>
        </w:tc>
        <w:tc>
          <w:tcPr>
            <w:tcW w:w="4070" w:type="dxa"/>
            <w:shd w:val="clear" w:color="auto" w:fill="auto"/>
          </w:tcPr>
          <w:p w14:paraId="251BD219">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项目负责人（签字）：</w:t>
            </w:r>
          </w:p>
          <w:p w14:paraId="75F17CD3">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或项目经理（签字）：</w:t>
            </w:r>
          </w:p>
        </w:tc>
      </w:tr>
      <w:tr w14:paraId="74150071">
        <w:tblPrEx>
          <w:tblCellMar>
            <w:top w:w="0" w:type="dxa"/>
            <w:left w:w="108" w:type="dxa"/>
            <w:bottom w:w="0" w:type="dxa"/>
            <w:right w:w="108" w:type="dxa"/>
          </w:tblCellMar>
        </w:tblPrEx>
        <w:trPr>
          <w:trHeight w:val="666" w:hRule="atLeast"/>
          <w:jc w:val="center"/>
        </w:trPr>
        <w:tc>
          <w:tcPr>
            <w:tcW w:w="8856" w:type="dxa"/>
            <w:gridSpan w:val="2"/>
            <w:shd w:val="clear" w:color="auto" w:fill="auto"/>
            <w:vAlign w:val="center"/>
          </w:tcPr>
          <w:p w14:paraId="37BA0F12">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日期：</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年</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月</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日</w:t>
            </w:r>
          </w:p>
        </w:tc>
      </w:tr>
    </w:tbl>
    <w:p w14:paraId="5D24A1A2">
      <w:pPr>
        <w:keepNext w:val="0"/>
        <w:keepLines w:val="0"/>
        <w:pageBreakBefore w:val="0"/>
        <w:kinsoku/>
        <w:wordWrap/>
        <w:overflowPunct/>
        <w:topLinePunct w:val="0"/>
        <w:autoSpaceDE/>
        <w:autoSpaceDN/>
        <w:bidi w:val="0"/>
        <w:adjustRightInd/>
        <w:snapToGrid w:val="0"/>
        <w:spacing w:before="0" w:line="360" w:lineRule="auto"/>
        <w:ind w:left="0" w:leftChars="0" w:right="0" w:rightChars="0"/>
        <w:jc w:val="left"/>
        <w:textAlignment w:val="auto"/>
        <w:outlineLvl w:val="9"/>
        <w:rPr>
          <w:rFonts w:hint="default" w:ascii="Times New Roman" w:hAnsi="Times New Roman" w:cs="Times New Roman" w:eastAsiaTheme="minorEastAsia"/>
          <w:bCs/>
          <w:color w:val="000000" w:themeColor="text1"/>
          <w:kern w:val="44"/>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kern w:val="44"/>
          <w:sz w:val="21"/>
          <w:szCs w:val="21"/>
          <w:highlight w:val="none"/>
          <w:u w:val="none"/>
          <w14:textFill>
            <w14:solidFill>
              <w14:schemeClr w14:val="tx1"/>
            </w14:solidFill>
          </w14:textFill>
        </w:rPr>
        <w:br w:type="page"/>
      </w:r>
    </w:p>
    <w:p w14:paraId="37A9FF4A">
      <w:pPr>
        <w:keepNext w:val="0"/>
        <w:keepLines w:val="0"/>
        <w:pageBreakBefore w:val="0"/>
        <w:tabs>
          <w:tab w:val="left" w:pos="6720"/>
        </w:tabs>
        <w:kinsoku/>
        <w:wordWrap/>
        <w:overflowPunct w:val="0"/>
        <w:topLinePunct w:val="0"/>
        <w:autoSpaceDE w:val="0"/>
        <w:autoSpaceDN w:val="0"/>
        <w:bidi w:val="0"/>
        <w:adjustRightInd w:val="0"/>
        <w:snapToGrid w:val="0"/>
        <w:spacing w:line="240" w:lineRule="auto"/>
        <w:ind w:left="0" w:leftChars="0" w:right="184" w:rightChars="66" w:firstLine="0" w:firstLineChars="0"/>
        <w:jc w:val="center"/>
        <w:textAlignment w:val="baseline"/>
        <w:outlineLvl w:val="9"/>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pPr>
      <w: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t xml:space="preserve">附件1   </w:t>
      </w:r>
      <w:r>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t>EHS管理处罚实施细则</w:t>
      </w:r>
    </w:p>
    <w:p w14:paraId="06FD1692">
      <w:pPr>
        <w:keepNext w:val="0"/>
        <w:keepLines w:val="0"/>
        <w:pageBreakBefore w:val="0"/>
        <w:kinsoku/>
        <w:wordWrap/>
        <w:topLinePunct w:val="0"/>
        <w:bidi w:val="0"/>
        <w:adjustRightInd w:val="0"/>
        <w:snapToGrid w:val="0"/>
        <w:spacing w:line="240" w:lineRule="auto"/>
        <w:ind w:left="192"/>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p>
    <w:p w14:paraId="5EA93789">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范围</w:t>
      </w:r>
    </w:p>
    <w:p w14:paraId="08C0448A">
      <w:pPr>
        <w:keepNext w:val="0"/>
        <w:keepLines w:val="0"/>
        <w:pageBreakBefore w:val="0"/>
        <w:kinsoku/>
        <w:wordWrap/>
        <w:overflowPunct w:val="0"/>
        <w:topLinePunct w:val="0"/>
        <w:autoSpaceDE w:val="0"/>
        <w:autoSpaceDN w:val="0"/>
        <w:bidi w:val="0"/>
        <w:adjustRightInd w:val="0"/>
        <w:snapToGrid w:val="0"/>
        <w:spacing w:line="240" w:lineRule="auto"/>
        <w:ind w:right="-263" w:rightChars="-94"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本细则明确了甲方工程项目现场违反EHS管理的各类行为和现象，规定了处罚的额度。本细则适用于甲方所有标段的工程项目。</w:t>
      </w:r>
    </w:p>
    <w:p w14:paraId="59E45D92">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职责</w:t>
      </w:r>
    </w:p>
    <w:p w14:paraId="0D4B7D4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由甲方工程相关部门、监理单位有关人员负责对违章行为和现象的处罚。处罚对象为乙方。</w:t>
      </w:r>
    </w:p>
    <w:p w14:paraId="1EA6F070">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目的</w:t>
      </w:r>
    </w:p>
    <w:p w14:paraId="4D833C5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为加强安全文明施工管理，使违章处理工作有章可循，避免和减少各类人身伤害事故，营造良好的文明施工环境，特制定本细则。下称《细则》。</w:t>
      </w:r>
    </w:p>
    <w:p w14:paraId="7F6B48A1">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内容</w:t>
      </w:r>
    </w:p>
    <w:p w14:paraId="437DD496">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违章的分类</w:t>
      </w:r>
    </w:p>
    <w:p w14:paraId="595DE9AA">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从生产活动的组织与造成事故直接原因、主要原因及领导原因来区分，违章可分为作业性违章、装置性违章、指挥性违章和违反文明施工规定。</w:t>
      </w:r>
    </w:p>
    <w:p w14:paraId="59A7EDBF">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从违章者本人的安全技术素质与思想心理、习惯等因素区分，违章可分为习惯违章和偶然性违章二类。</w:t>
      </w:r>
    </w:p>
    <w:p w14:paraId="53D83DD4">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查处违章的原则</w:t>
      </w:r>
    </w:p>
    <w:p w14:paraId="5721491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坚持违章必究的原则，同时按《细则》中所含内容进行一定数额的罚款，做到实事求是，严格执行，谢绝说情。对性质恶劣，拒绝警告、整改、有意延续违章的行为，在原处罚数额的基础上增加2-10倍的处罚。情况紧急时下达停工整顿命令。</w:t>
      </w:r>
    </w:p>
    <w:p w14:paraId="4975424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因违章而导致各类事故的发生，按事故等级对乙方的处罚执行《事故处罚实施细则》</w:t>
      </w:r>
    </w:p>
    <w:p w14:paraId="0BF90A1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 作业性违章</w:t>
      </w:r>
    </w:p>
    <w:p w14:paraId="70580719">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作业性违章定义：指在施工中违反《安全生产法》和地方性、行业性的法律法规的规定，违反保证安全施工的各项规定、制度及措施的一切不安全行为。</w:t>
      </w:r>
    </w:p>
    <w:p w14:paraId="0AC09A7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作业性违章主要指施工人员个人作业过程中发生的违章。</w:t>
      </w:r>
    </w:p>
    <w:p w14:paraId="7FAF2DCD">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 装置性违章</w:t>
      </w:r>
    </w:p>
    <w:p w14:paraId="7E6A5BE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装置性违章定义：指工作现场的环境、设备、设施及工器具不符合国家、行业、公司有关规定及反事故措施和保证人身安全的各项规定及技术措施的要求，不能保证人身和设备安全的一切不安全状态。</w:t>
      </w:r>
    </w:p>
    <w:p w14:paraId="414C49D2">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装置性违章主要指与生产有关的设备、设施不符合规定要求的违章。</w:t>
      </w:r>
    </w:p>
    <w:p w14:paraId="107092A5">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5 指挥性违章</w:t>
      </w:r>
    </w:p>
    <w:p w14:paraId="2C8C032A">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5</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指挥性违章定义：指各级领导，甚至工作票签发人、工作负责人，违反劳动安全卫生法规、条例和保证人身安全的技术措施、安全措施进行作业组织与指挥行为。</w:t>
      </w:r>
    </w:p>
    <w:p w14:paraId="24EE0282">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5</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指挥性违章主要指生产指挥人员违反有关规定及根据某项作业制定的技术措施、安全措施等发出的错误命令或做出的错误决定。</w:t>
      </w:r>
    </w:p>
    <w:p w14:paraId="7F933D7E">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6 文明施工违章定义：指在施工中一切不文明施工的行为。</w:t>
      </w:r>
    </w:p>
    <w:p w14:paraId="1C7EA55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7 各类违章处罚金额标准：</w:t>
      </w:r>
    </w:p>
    <w:tbl>
      <w:tblPr>
        <w:tblStyle w:val="20"/>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4284"/>
        <w:gridCol w:w="65"/>
        <w:gridCol w:w="2165"/>
        <w:gridCol w:w="26"/>
        <w:gridCol w:w="1176"/>
      </w:tblGrid>
      <w:tr w14:paraId="4050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1C1ED95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序号</w:t>
            </w:r>
          </w:p>
        </w:tc>
        <w:tc>
          <w:tcPr>
            <w:tcW w:w="4284" w:type="dxa"/>
            <w:shd w:val="clear" w:color="auto" w:fill="auto"/>
            <w:vAlign w:val="center"/>
          </w:tcPr>
          <w:p w14:paraId="28504A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违章内容</w:t>
            </w:r>
          </w:p>
        </w:tc>
        <w:tc>
          <w:tcPr>
            <w:tcW w:w="2230" w:type="dxa"/>
            <w:gridSpan w:val="2"/>
            <w:shd w:val="clear" w:color="auto" w:fill="auto"/>
            <w:vAlign w:val="center"/>
          </w:tcPr>
          <w:p w14:paraId="39E7C2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罚款金额</w:t>
            </w:r>
          </w:p>
        </w:tc>
        <w:tc>
          <w:tcPr>
            <w:tcW w:w="1202" w:type="dxa"/>
            <w:gridSpan w:val="2"/>
            <w:shd w:val="clear" w:color="auto" w:fill="auto"/>
            <w:vAlign w:val="center"/>
          </w:tcPr>
          <w:p w14:paraId="3F6D3B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备注</w:t>
            </w:r>
          </w:p>
        </w:tc>
      </w:tr>
      <w:tr w14:paraId="3CB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668" w:type="dxa"/>
            <w:gridSpan w:val="6"/>
            <w:shd w:val="clear" w:color="auto" w:fill="auto"/>
            <w:vAlign w:val="center"/>
          </w:tcPr>
          <w:p w14:paraId="6D40CB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环境、职业健康、安全管理</w:t>
            </w:r>
          </w:p>
        </w:tc>
      </w:tr>
      <w:tr w14:paraId="6ACC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B0C7A3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EHS01</w:t>
            </w:r>
          </w:p>
        </w:tc>
        <w:tc>
          <w:tcPr>
            <w:tcW w:w="4284" w:type="dxa"/>
            <w:shd w:val="clear" w:color="auto" w:fill="auto"/>
            <w:vAlign w:val="center"/>
          </w:tcPr>
          <w:p w14:paraId="3B018D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未规定要求设置安全生产管理机构或专职安全生产监督管理人员（含无证上岗）</w:t>
            </w:r>
          </w:p>
        </w:tc>
        <w:tc>
          <w:tcPr>
            <w:tcW w:w="2230" w:type="dxa"/>
            <w:gridSpan w:val="2"/>
            <w:shd w:val="clear" w:color="auto" w:fill="auto"/>
            <w:vAlign w:val="center"/>
          </w:tcPr>
          <w:p w14:paraId="76169C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每次10000元</w:t>
            </w:r>
          </w:p>
        </w:tc>
        <w:tc>
          <w:tcPr>
            <w:tcW w:w="1202" w:type="dxa"/>
            <w:gridSpan w:val="2"/>
            <w:vMerge w:val="restart"/>
            <w:shd w:val="clear" w:color="auto" w:fill="auto"/>
            <w:vAlign w:val="center"/>
          </w:tcPr>
          <w:p w14:paraId="518A91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限期整改</w:t>
            </w:r>
          </w:p>
          <w:p w14:paraId="1F96DE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禁止施工</w:t>
            </w:r>
          </w:p>
        </w:tc>
      </w:tr>
      <w:tr w14:paraId="05FF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BC091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EHS02</w:t>
            </w:r>
          </w:p>
        </w:tc>
        <w:tc>
          <w:tcPr>
            <w:tcW w:w="4284" w:type="dxa"/>
            <w:shd w:val="clear" w:color="auto" w:fill="auto"/>
            <w:vAlign w:val="center"/>
          </w:tcPr>
          <w:p w14:paraId="0653D9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未建立相关安全管理制度和管理体系</w:t>
            </w:r>
          </w:p>
        </w:tc>
        <w:tc>
          <w:tcPr>
            <w:tcW w:w="2230" w:type="dxa"/>
            <w:gridSpan w:val="2"/>
            <w:shd w:val="clear" w:color="auto" w:fill="auto"/>
            <w:vAlign w:val="center"/>
          </w:tcPr>
          <w:p w14:paraId="558284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每次5000元</w:t>
            </w:r>
          </w:p>
        </w:tc>
        <w:tc>
          <w:tcPr>
            <w:tcW w:w="1202" w:type="dxa"/>
            <w:gridSpan w:val="2"/>
            <w:vMerge w:val="continue"/>
            <w:shd w:val="clear" w:color="auto" w:fill="auto"/>
            <w:vAlign w:val="center"/>
          </w:tcPr>
          <w:p w14:paraId="0AF3DD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A57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23304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EHS03</w:t>
            </w:r>
          </w:p>
        </w:tc>
        <w:tc>
          <w:tcPr>
            <w:tcW w:w="4284" w:type="dxa"/>
            <w:shd w:val="clear" w:color="auto" w:fill="auto"/>
            <w:vAlign w:val="center"/>
          </w:tcPr>
          <w:p w14:paraId="205E9E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未落实三级安全教育、专项教育，提交虚假相关资料、代替填写资料等</w:t>
            </w:r>
          </w:p>
        </w:tc>
        <w:tc>
          <w:tcPr>
            <w:tcW w:w="2230" w:type="dxa"/>
            <w:gridSpan w:val="2"/>
            <w:shd w:val="clear" w:color="auto" w:fill="auto"/>
            <w:vAlign w:val="center"/>
          </w:tcPr>
          <w:p w14:paraId="77D60F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vMerge w:val="continue"/>
            <w:shd w:val="clear" w:color="auto" w:fill="auto"/>
            <w:vAlign w:val="center"/>
          </w:tcPr>
          <w:p w14:paraId="061542E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6A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52" w:type="dxa"/>
            <w:shd w:val="clear" w:color="auto" w:fill="auto"/>
            <w:vAlign w:val="center"/>
          </w:tcPr>
          <w:p w14:paraId="0A9B14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EHS04</w:t>
            </w:r>
          </w:p>
        </w:tc>
        <w:tc>
          <w:tcPr>
            <w:tcW w:w="4284" w:type="dxa"/>
            <w:shd w:val="clear" w:color="auto" w:fill="auto"/>
            <w:vAlign w:val="center"/>
          </w:tcPr>
          <w:p w14:paraId="75F6D4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未按规定要求编制专项方案未按照规定要求进行安全技术交底或弄虚作假填写交底资料</w:t>
            </w:r>
          </w:p>
        </w:tc>
        <w:tc>
          <w:tcPr>
            <w:tcW w:w="2230" w:type="dxa"/>
            <w:gridSpan w:val="2"/>
            <w:shd w:val="clear" w:color="auto" w:fill="auto"/>
            <w:vAlign w:val="center"/>
          </w:tcPr>
          <w:p w14:paraId="0DB5AA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34C81E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禁止相关危险作业</w:t>
            </w:r>
          </w:p>
        </w:tc>
      </w:tr>
      <w:tr w14:paraId="550B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shd w:val="clear" w:color="auto" w:fill="auto"/>
            <w:vAlign w:val="center"/>
          </w:tcPr>
          <w:p w14:paraId="72E000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EHS05</w:t>
            </w:r>
          </w:p>
        </w:tc>
        <w:tc>
          <w:tcPr>
            <w:tcW w:w="4284" w:type="dxa"/>
            <w:shd w:val="clear" w:color="auto" w:fill="auto"/>
            <w:vAlign w:val="center"/>
          </w:tcPr>
          <w:p w14:paraId="7FB033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未落实安全检查、填写检查记录或未及时整改回复</w:t>
            </w:r>
          </w:p>
        </w:tc>
        <w:tc>
          <w:tcPr>
            <w:tcW w:w="2230" w:type="dxa"/>
            <w:gridSpan w:val="2"/>
            <w:shd w:val="clear" w:color="auto" w:fill="auto"/>
            <w:vAlign w:val="center"/>
          </w:tcPr>
          <w:p w14:paraId="6F6959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每处每次1000元，重大安全隐患未及时整改1～5倍以上</w:t>
            </w:r>
          </w:p>
        </w:tc>
        <w:tc>
          <w:tcPr>
            <w:tcW w:w="1202" w:type="dxa"/>
            <w:gridSpan w:val="2"/>
            <w:shd w:val="clear" w:color="auto" w:fill="auto"/>
            <w:vAlign w:val="center"/>
          </w:tcPr>
          <w:p w14:paraId="5DA319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DD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793FB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EHS06</w:t>
            </w:r>
          </w:p>
        </w:tc>
        <w:tc>
          <w:tcPr>
            <w:tcW w:w="4284" w:type="dxa"/>
            <w:shd w:val="clear" w:color="auto" w:fill="auto"/>
            <w:vAlign w:val="center"/>
          </w:tcPr>
          <w:p w14:paraId="001119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未建立应急救援体系、未配置应急救援物资、未定期进行演练、无应急救援预案</w:t>
            </w:r>
          </w:p>
        </w:tc>
        <w:tc>
          <w:tcPr>
            <w:tcW w:w="2230" w:type="dxa"/>
            <w:gridSpan w:val="2"/>
            <w:shd w:val="clear" w:color="auto" w:fill="auto"/>
            <w:vAlign w:val="center"/>
          </w:tcPr>
          <w:p w14:paraId="19E455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每处每次10000元</w:t>
            </w:r>
          </w:p>
        </w:tc>
        <w:tc>
          <w:tcPr>
            <w:tcW w:w="1202" w:type="dxa"/>
            <w:gridSpan w:val="2"/>
            <w:shd w:val="clear" w:color="auto" w:fill="auto"/>
            <w:vAlign w:val="center"/>
          </w:tcPr>
          <w:p w14:paraId="663A745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CB7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AF19A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EHS07</w:t>
            </w:r>
          </w:p>
        </w:tc>
        <w:tc>
          <w:tcPr>
            <w:tcW w:w="4284" w:type="dxa"/>
            <w:shd w:val="clear" w:color="auto" w:fill="auto"/>
            <w:vAlign w:val="center"/>
          </w:tcPr>
          <w:p w14:paraId="23B4DE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不报、瞒报、迟报安全事故</w:t>
            </w:r>
          </w:p>
        </w:tc>
        <w:tc>
          <w:tcPr>
            <w:tcW w:w="2230" w:type="dxa"/>
            <w:gridSpan w:val="2"/>
            <w:shd w:val="clear" w:color="auto" w:fill="auto"/>
            <w:vAlign w:val="center"/>
          </w:tcPr>
          <w:p w14:paraId="7BFE361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2D2C03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E0B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5ED17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EHS08</w:t>
            </w:r>
          </w:p>
        </w:tc>
        <w:tc>
          <w:tcPr>
            <w:tcW w:w="4284" w:type="dxa"/>
            <w:shd w:val="clear" w:color="auto" w:fill="auto"/>
            <w:vAlign w:val="center"/>
          </w:tcPr>
          <w:p w14:paraId="16D902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特种作业人员未持证上岗</w:t>
            </w:r>
          </w:p>
        </w:tc>
        <w:tc>
          <w:tcPr>
            <w:tcW w:w="2230" w:type="dxa"/>
            <w:gridSpan w:val="2"/>
            <w:shd w:val="clear" w:color="auto" w:fill="auto"/>
            <w:vAlign w:val="center"/>
          </w:tcPr>
          <w:p w14:paraId="199B50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14E472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86C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272CDC7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EHS09</w:t>
            </w:r>
          </w:p>
        </w:tc>
        <w:tc>
          <w:tcPr>
            <w:tcW w:w="4284" w:type="dxa"/>
            <w:shd w:val="clear" w:color="auto" w:fill="auto"/>
            <w:vAlign w:val="center"/>
          </w:tcPr>
          <w:p w14:paraId="3323BC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规定的人员未按规定时间参与安全会议、检查和其他安全活动</w:t>
            </w:r>
          </w:p>
        </w:tc>
        <w:tc>
          <w:tcPr>
            <w:tcW w:w="2230" w:type="dxa"/>
            <w:gridSpan w:val="2"/>
            <w:shd w:val="clear" w:color="auto" w:fill="auto"/>
            <w:vAlign w:val="center"/>
          </w:tcPr>
          <w:p w14:paraId="6163DC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0D3D1D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F2F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AD10B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EHS10</w:t>
            </w:r>
          </w:p>
        </w:tc>
        <w:tc>
          <w:tcPr>
            <w:tcW w:w="4284" w:type="dxa"/>
            <w:shd w:val="clear" w:color="auto" w:fill="auto"/>
            <w:vAlign w:val="center"/>
          </w:tcPr>
          <w:p w14:paraId="78D2C2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未按规定要求设置职业健康、环境保护设施、未按规定落实</w:t>
            </w:r>
          </w:p>
        </w:tc>
        <w:tc>
          <w:tcPr>
            <w:tcW w:w="2230" w:type="dxa"/>
            <w:gridSpan w:val="2"/>
            <w:shd w:val="clear" w:color="auto" w:fill="auto"/>
            <w:vAlign w:val="center"/>
          </w:tcPr>
          <w:p w14:paraId="3A1938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每处每1000-20000元</w:t>
            </w:r>
          </w:p>
        </w:tc>
        <w:tc>
          <w:tcPr>
            <w:tcW w:w="1202" w:type="dxa"/>
            <w:gridSpan w:val="2"/>
            <w:shd w:val="clear" w:color="auto" w:fill="auto"/>
            <w:vAlign w:val="center"/>
          </w:tcPr>
          <w:p w14:paraId="472D24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756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90C4F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EHS11</w:t>
            </w:r>
          </w:p>
        </w:tc>
        <w:tc>
          <w:tcPr>
            <w:tcW w:w="4284" w:type="dxa"/>
            <w:shd w:val="clear" w:color="auto" w:fill="auto"/>
            <w:vAlign w:val="center"/>
          </w:tcPr>
          <w:p w14:paraId="11FC1F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未按照规定要求配置劳动防护用品或劳动防护用品不符合安全卫生要求</w:t>
            </w:r>
          </w:p>
        </w:tc>
        <w:tc>
          <w:tcPr>
            <w:tcW w:w="2230" w:type="dxa"/>
            <w:gridSpan w:val="2"/>
            <w:shd w:val="clear" w:color="auto" w:fill="auto"/>
            <w:vAlign w:val="center"/>
          </w:tcPr>
          <w:p w14:paraId="58D369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5CB6FC1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D32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76B6D0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EHS12</w:t>
            </w:r>
          </w:p>
        </w:tc>
        <w:tc>
          <w:tcPr>
            <w:tcW w:w="4284" w:type="dxa"/>
            <w:shd w:val="clear" w:color="auto" w:fill="auto"/>
            <w:vAlign w:val="center"/>
          </w:tcPr>
          <w:p w14:paraId="4676E1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打架斗殴\聚众闹事\拦路封门等恶劣影响</w:t>
            </w:r>
          </w:p>
        </w:tc>
        <w:tc>
          <w:tcPr>
            <w:tcW w:w="2230" w:type="dxa"/>
            <w:gridSpan w:val="2"/>
            <w:shd w:val="clear" w:color="auto" w:fill="auto"/>
            <w:vAlign w:val="center"/>
          </w:tcPr>
          <w:p w14:paraId="1BAF7A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28BFC0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30F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77D39E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EHS13</w:t>
            </w:r>
          </w:p>
        </w:tc>
        <w:tc>
          <w:tcPr>
            <w:tcW w:w="4284" w:type="dxa"/>
            <w:shd w:val="clear" w:color="auto" w:fill="auto"/>
            <w:vAlign w:val="center"/>
          </w:tcPr>
          <w:p w14:paraId="73A636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不服从管理、威胁、恐吓、殴打管理人员</w:t>
            </w:r>
          </w:p>
        </w:tc>
        <w:tc>
          <w:tcPr>
            <w:tcW w:w="2230" w:type="dxa"/>
            <w:gridSpan w:val="2"/>
            <w:shd w:val="clear" w:color="auto" w:fill="auto"/>
            <w:vAlign w:val="center"/>
          </w:tcPr>
          <w:p w14:paraId="092D4D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每次5000-100000元</w:t>
            </w:r>
          </w:p>
        </w:tc>
        <w:tc>
          <w:tcPr>
            <w:tcW w:w="1202" w:type="dxa"/>
            <w:gridSpan w:val="2"/>
            <w:shd w:val="clear" w:color="auto" w:fill="auto"/>
            <w:vAlign w:val="center"/>
          </w:tcPr>
          <w:p w14:paraId="6C4752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98B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4DA0B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EHS14</w:t>
            </w:r>
          </w:p>
        </w:tc>
        <w:tc>
          <w:tcPr>
            <w:tcW w:w="4284" w:type="dxa"/>
            <w:shd w:val="clear" w:color="auto" w:fill="auto"/>
            <w:vAlign w:val="center"/>
          </w:tcPr>
          <w:p w14:paraId="58E350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非法雇佣童工或违法犯罪人员</w:t>
            </w:r>
          </w:p>
        </w:tc>
        <w:tc>
          <w:tcPr>
            <w:tcW w:w="2230" w:type="dxa"/>
            <w:gridSpan w:val="2"/>
            <w:shd w:val="clear" w:color="auto" w:fill="auto"/>
            <w:vAlign w:val="center"/>
          </w:tcPr>
          <w:p w14:paraId="4827C4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6FFB8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BB7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7ECF0A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EHS15</w:t>
            </w:r>
          </w:p>
        </w:tc>
        <w:tc>
          <w:tcPr>
            <w:tcW w:w="4284" w:type="dxa"/>
            <w:shd w:val="clear" w:color="auto" w:fill="auto"/>
            <w:vAlign w:val="center"/>
          </w:tcPr>
          <w:p w14:paraId="61838C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危险作业未要求开具施工许可</w:t>
            </w:r>
          </w:p>
        </w:tc>
        <w:tc>
          <w:tcPr>
            <w:tcW w:w="2230" w:type="dxa"/>
            <w:gridSpan w:val="2"/>
            <w:shd w:val="clear" w:color="auto" w:fill="auto"/>
            <w:vAlign w:val="center"/>
          </w:tcPr>
          <w:p w14:paraId="5C8342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F953D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C91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31BE1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EHS16</w:t>
            </w:r>
          </w:p>
        </w:tc>
        <w:tc>
          <w:tcPr>
            <w:tcW w:w="4284" w:type="dxa"/>
            <w:shd w:val="clear" w:color="auto" w:fill="auto"/>
            <w:vAlign w:val="center"/>
          </w:tcPr>
          <w:p w14:paraId="71D5C2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因管理问题造成的责任事故</w:t>
            </w:r>
          </w:p>
        </w:tc>
        <w:tc>
          <w:tcPr>
            <w:tcW w:w="2230" w:type="dxa"/>
            <w:gridSpan w:val="2"/>
            <w:shd w:val="clear" w:color="auto" w:fill="auto"/>
            <w:vAlign w:val="center"/>
          </w:tcPr>
          <w:p w14:paraId="305050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每处每次5000-20000元</w:t>
            </w:r>
          </w:p>
        </w:tc>
        <w:tc>
          <w:tcPr>
            <w:tcW w:w="1202" w:type="dxa"/>
            <w:gridSpan w:val="2"/>
            <w:shd w:val="clear" w:color="auto" w:fill="auto"/>
            <w:vAlign w:val="center"/>
          </w:tcPr>
          <w:p w14:paraId="39904D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C10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35AC3B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EHS17</w:t>
            </w:r>
          </w:p>
        </w:tc>
        <w:tc>
          <w:tcPr>
            <w:tcW w:w="4284" w:type="dxa"/>
            <w:shd w:val="clear" w:color="auto" w:fill="auto"/>
            <w:vAlign w:val="center"/>
          </w:tcPr>
          <w:p w14:paraId="61F126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因管理问题造成员工上访等恶性事件</w:t>
            </w:r>
          </w:p>
        </w:tc>
        <w:tc>
          <w:tcPr>
            <w:tcW w:w="2230" w:type="dxa"/>
            <w:gridSpan w:val="2"/>
            <w:shd w:val="clear" w:color="auto" w:fill="auto"/>
            <w:vAlign w:val="center"/>
          </w:tcPr>
          <w:p w14:paraId="32ECB37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每处每次5000-20000元</w:t>
            </w:r>
          </w:p>
        </w:tc>
        <w:tc>
          <w:tcPr>
            <w:tcW w:w="1202" w:type="dxa"/>
            <w:gridSpan w:val="2"/>
            <w:shd w:val="clear" w:color="auto" w:fill="auto"/>
            <w:vAlign w:val="center"/>
          </w:tcPr>
          <w:p w14:paraId="11EC0A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D37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AD593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EHS18</w:t>
            </w:r>
          </w:p>
        </w:tc>
        <w:tc>
          <w:tcPr>
            <w:tcW w:w="4284" w:type="dxa"/>
            <w:shd w:val="clear" w:color="auto" w:fill="auto"/>
            <w:vAlign w:val="center"/>
          </w:tcPr>
          <w:p w14:paraId="38BEE6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其他违反安全卫生职业健康安全事项，但非本罚则列出者，酌情处罚</w:t>
            </w:r>
          </w:p>
        </w:tc>
        <w:tc>
          <w:tcPr>
            <w:tcW w:w="2230" w:type="dxa"/>
            <w:gridSpan w:val="2"/>
            <w:shd w:val="clear" w:color="auto" w:fill="auto"/>
            <w:vAlign w:val="center"/>
          </w:tcPr>
          <w:p w14:paraId="48E7E2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每处每次500-200000元</w:t>
            </w:r>
          </w:p>
        </w:tc>
        <w:tc>
          <w:tcPr>
            <w:tcW w:w="1202" w:type="dxa"/>
            <w:gridSpan w:val="2"/>
            <w:shd w:val="clear" w:color="auto" w:fill="auto"/>
            <w:vAlign w:val="center"/>
          </w:tcPr>
          <w:p w14:paraId="21858F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3F6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blHeader/>
          <w:jc w:val="center"/>
        </w:trPr>
        <w:tc>
          <w:tcPr>
            <w:tcW w:w="8668" w:type="dxa"/>
            <w:gridSpan w:val="6"/>
            <w:shd w:val="clear" w:color="auto" w:fill="auto"/>
            <w:vAlign w:val="center"/>
          </w:tcPr>
          <w:p w14:paraId="318599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文明施工管理</w:t>
            </w:r>
          </w:p>
        </w:tc>
      </w:tr>
      <w:tr w14:paraId="48AE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774220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CC01</w:t>
            </w:r>
          </w:p>
        </w:tc>
        <w:tc>
          <w:tcPr>
            <w:tcW w:w="4284" w:type="dxa"/>
            <w:shd w:val="clear" w:color="auto" w:fill="auto"/>
            <w:vAlign w:val="center"/>
          </w:tcPr>
          <w:p w14:paraId="4B4E96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进入工地后未佩戴安全帽或未系帽带</w:t>
            </w:r>
          </w:p>
        </w:tc>
        <w:tc>
          <w:tcPr>
            <w:tcW w:w="2230" w:type="dxa"/>
            <w:gridSpan w:val="2"/>
            <w:shd w:val="clear" w:color="auto" w:fill="auto"/>
            <w:vAlign w:val="center"/>
          </w:tcPr>
          <w:p w14:paraId="7AADCC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0EA7A1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FB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0870C23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CC02</w:t>
            </w:r>
          </w:p>
        </w:tc>
        <w:tc>
          <w:tcPr>
            <w:tcW w:w="4284" w:type="dxa"/>
            <w:shd w:val="clear" w:color="auto" w:fill="auto"/>
            <w:vAlign w:val="center"/>
          </w:tcPr>
          <w:p w14:paraId="0B1253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进入工地后未穿上工作服</w:t>
            </w:r>
          </w:p>
        </w:tc>
        <w:tc>
          <w:tcPr>
            <w:tcW w:w="2230" w:type="dxa"/>
            <w:gridSpan w:val="2"/>
            <w:shd w:val="clear" w:color="auto" w:fill="auto"/>
            <w:vAlign w:val="center"/>
          </w:tcPr>
          <w:p w14:paraId="6F9BFE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47C352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E60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blHeader/>
          <w:jc w:val="center"/>
        </w:trPr>
        <w:tc>
          <w:tcPr>
            <w:tcW w:w="952" w:type="dxa"/>
            <w:shd w:val="clear" w:color="auto" w:fill="auto"/>
            <w:vAlign w:val="center"/>
          </w:tcPr>
          <w:p w14:paraId="53050F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CC03</w:t>
            </w:r>
          </w:p>
        </w:tc>
        <w:tc>
          <w:tcPr>
            <w:tcW w:w="4284" w:type="dxa"/>
            <w:shd w:val="clear" w:color="auto" w:fill="auto"/>
            <w:vAlign w:val="center"/>
          </w:tcPr>
          <w:p w14:paraId="46CFF6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进入工地未佩戴工作证或借用他人工作证</w:t>
            </w:r>
          </w:p>
        </w:tc>
        <w:tc>
          <w:tcPr>
            <w:tcW w:w="2230" w:type="dxa"/>
            <w:gridSpan w:val="2"/>
            <w:shd w:val="clear" w:color="auto" w:fill="auto"/>
            <w:vAlign w:val="center"/>
          </w:tcPr>
          <w:p w14:paraId="48F391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21E1E1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1F1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1DAAA8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CC04</w:t>
            </w:r>
          </w:p>
        </w:tc>
        <w:tc>
          <w:tcPr>
            <w:tcW w:w="4284" w:type="dxa"/>
            <w:shd w:val="clear" w:color="auto" w:fill="auto"/>
            <w:vAlign w:val="center"/>
          </w:tcPr>
          <w:p w14:paraId="0EB71FE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进入工地内赤膊、穿背心、拖鞋、短裤、裙子</w:t>
            </w:r>
          </w:p>
        </w:tc>
        <w:tc>
          <w:tcPr>
            <w:tcW w:w="2230" w:type="dxa"/>
            <w:gridSpan w:val="2"/>
            <w:shd w:val="clear" w:color="auto" w:fill="auto"/>
            <w:vAlign w:val="center"/>
          </w:tcPr>
          <w:p w14:paraId="3F6DD0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38C93E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6BB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64BD12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CC05</w:t>
            </w:r>
          </w:p>
        </w:tc>
        <w:tc>
          <w:tcPr>
            <w:tcW w:w="4284" w:type="dxa"/>
            <w:shd w:val="clear" w:color="auto" w:fill="auto"/>
            <w:vAlign w:val="center"/>
          </w:tcPr>
          <w:p w14:paraId="583961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未在规定区域抽烟</w:t>
            </w:r>
          </w:p>
        </w:tc>
        <w:tc>
          <w:tcPr>
            <w:tcW w:w="2230" w:type="dxa"/>
            <w:gridSpan w:val="2"/>
            <w:shd w:val="clear" w:color="auto" w:fill="auto"/>
            <w:vAlign w:val="center"/>
          </w:tcPr>
          <w:p w14:paraId="12228E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p w14:paraId="2B7D8A0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危险区域1000元</w:t>
            </w:r>
          </w:p>
        </w:tc>
        <w:tc>
          <w:tcPr>
            <w:tcW w:w="1202" w:type="dxa"/>
            <w:gridSpan w:val="2"/>
            <w:shd w:val="clear" w:color="auto" w:fill="auto"/>
            <w:vAlign w:val="center"/>
          </w:tcPr>
          <w:p w14:paraId="272D74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74C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67B2BE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CC06</w:t>
            </w:r>
          </w:p>
        </w:tc>
        <w:tc>
          <w:tcPr>
            <w:tcW w:w="4284" w:type="dxa"/>
            <w:shd w:val="clear" w:color="auto" w:fill="auto"/>
            <w:vAlign w:val="center"/>
          </w:tcPr>
          <w:p w14:paraId="0EA638A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未在规定的区域倾倒垃圾</w:t>
            </w:r>
          </w:p>
        </w:tc>
        <w:tc>
          <w:tcPr>
            <w:tcW w:w="2230" w:type="dxa"/>
            <w:gridSpan w:val="2"/>
            <w:shd w:val="clear" w:color="auto" w:fill="auto"/>
            <w:vAlign w:val="center"/>
          </w:tcPr>
          <w:p w14:paraId="7D5ED6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每处每次500-10000元</w:t>
            </w:r>
          </w:p>
        </w:tc>
        <w:tc>
          <w:tcPr>
            <w:tcW w:w="1202" w:type="dxa"/>
            <w:gridSpan w:val="2"/>
            <w:shd w:val="clear" w:color="auto" w:fill="auto"/>
            <w:vAlign w:val="center"/>
          </w:tcPr>
          <w:p w14:paraId="1B3449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844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351B57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CC07</w:t>
            </w:r>
          </w:p>
        </w:tc>
        <w:tc>
          <w:tcPr>
            <w:tcW w:w="4284" w:type="dxa"/>
            <w:shd w:val="clear" w:color="auto" w:fill="auto"/>
            <w:vAlign w:val="center"/>
          </w:tcPr>
          <w:p w14:paraId="17A104A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在工地现场席地躺睡</w:t>
            </w:r>
          </w:p>
        </w:tc>
        <w:tc>
          <w:tcPr>
            <w:tcW w:w="2230" w:type="dxa"/>
            <w:gridSpan w:val="2"/>
            <w:shd w:val="clear" w:color="auto" w:fill="auto"/>
            <w:vAlign w:val="center"/>
          </w:tcPr>
          <w:p w14:paraId="36A545D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0159A3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03C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4E7682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CC08</w:t>
            </w:r>
          </w:p>
        </w:tc>
        <w:tc>
          <w:tcPr>
            <w:tcW w:w="4284" w:type="dxa"/>
            <w:shd w:val="clear" w:color="auto" w:fill="auto"/>
            <w:vAlign w:val="center"/>
          </w:tcPr>
          <w:p w14:paraId="4B0EFB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未在指定区域大小便、洗浴等</w:t>
            </w:r>
          </w:p>
        </w:tc>
        <w:tc>
          <w:tcPr>
            <w:tcW w:w="2230" w:type="dxa"/>
            <w:gridSpan w:val="2"/>
            <w:shd w:val="clear" w:color="auto" w:fill="auto"/>
            <w:vAlign w:val="center"/>
          </w:tcPr>
          <w:p w14:paraId="57F521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639EF4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526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952" w:type="dxa"/>
            <w:shd w:val="clear" w:color="auto" w:fill="auto"/>
            <w:vAlign w:val="center"/>
          </w:tcPr>
          <w:p w14:paraId="22EF61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CC09</w:t>
            </w:r>
          </w:p>
        </w:tc>
        <w:tc>
          <w:tcPr>
            <w:tcW w:w="4284" w:type="dxa"/>
            <w:shd w:val="clear" w:color="auto" w:fill="auto"/>
            <w:vAlign w:val="center"/>
          </w:tcPr>
          <w:p w14:paraId="5A3615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酒后进入（含酒精性饮料、迷幻剂等）工地</w:t>
            </w:r>
          </w:p>
        </w:tc>
        <w:tc>
          <w:tcPr>
            <w:tcW w:w="2230" w:type="dxa"/>
            <w:gridSpan w:val="2"/>
            <w:shd w:val="clear" w:color="auto" w:fill="auto"/>
            <w:vAlign w:val="center"/>
          </w:tcPr>
          <w:p w14:paraId="5CB70F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3C0DC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11B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5858AF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CC10</w:t>
            </w:r>
          </w:p>
        </w:tc>
        <w:tc>
          <w:tcPr>
            <w:tcW w:w="4284" w:type="dxa"/>
            <w:shd w:val="clear" w:color="auto" w:fill="auto"/>
            <w:vAlign w:val="center"/>
          </w:tcPr>
          <w:p w14:paraId="68FDBA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未按照国家标准做好噪声排放、污水处理和环境保护措施</w:t>
            </w:r>
          </w:p>
        </w:tc>
        <w:tc>
          <w:tcPr>
            <w:tcW w:w="2230" w:type="dxa"/>
            <w:gridSpan w:val="2"/>
            <w:shd w:val="clear" w:color="auto" w:fill="auto"/>
            <w:vAlign w:val="center"/>
          </w:tcPr>
          <w:p w14:paraId="742652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p w14:paraId="6F19AD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c>
          <w:tcPr>
            <w:tcW w:w="1202" w:type="dxa"/>
            <w:gridSpan w:val="2"/>
            <w:shd w:val="clear" w:color="auto" w:fill="auto"/>
            <w:vAlign w:val="center"/>
          </w:tcPr>
          <w:p w14:paraId="763F3B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2F8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22A7AC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CC11</w:t>
            </w:r>
          </w:p>
        </w:tc>
        <w:tc>
          <w:tcPr>
            <w:tcW w:w="4284" w:type="dxa"/>
            <w:shd w:val="clear" w:color="auto" w:fill="auto"/>
            <w:vAlign w:val="center"/>
          </w:tcPr>
          <w:p w14:paraId="2785FE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加工区、预制区、施工现场未及时进行5S清理</w:t>
            </w:r>
          </w:p>
        </w:tc>
        <w:tc>
          <w:tcPr>
            <w:tcW w:w="2230" w:type="dxa"/>
            <w:gridSpan w:val="2"/>
            <w:shd w:val="clear" w:color="auto" w:fill="auto"/>
            <w:vAlign w:val="center"/>
          </w:tcPr>
          <w:p w14:paraId="371E69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0E740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F3A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4563E9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CC12</w:t>
            </w:r>
          </w:p>
        </w:tc>
        <w:tc>
          <w:tcPr>
            <w:tcW w:w="4284" w:type="dxa"/>
            <w:shd w:val="clear" w:color="auto" w:fill="auto"/>
            <w:vAlign w:val="center"/>
          </w:tcPr>
          <w:p w14:paraId="0B94FF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生活区、食堂不符合环境与卫生要求</w:t>
            </w:r>
          </w:p>
        </w:tc>
        <w:tc>
          <w:tcPr>
            <w:tcW w:w="2230" w:type="dxa"/>
            <w:gridSpan w:val="2"/>
            <w:shd w:val="clear" w:color="auto" w:fill="auto"/>
            <w:vAlign w:val="center"/>
          </w:tcPr>
          <w:p w14:paraId="7B67379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3E3BFA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E30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54D2913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CC13</w:t>
            </w:r>
          </w:p>
        </w:tc>
        <w:tc>
          <w:tcPr>
            <w:tcW w:w="4284" w:type="dxa"/>
            <w:shd w:val="clear" w:color="auto" w:fill="auto"/>
            <w:vAlign w:val="center"/>
          </w:tcPr>
          <w:p w14:paraId="2C3870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食堂采购、出售变质过期食物的</w:t>
            </w:r>
          </w:p>
        </w:tc>
        <w:tc>
          <w:tcPr>
            <w:tcW w:w="2230" w:type="dxa"/>
            <w:gridSpan w:val="2"/>
            <w:shd w:val="clear" w:color="auto" w:fill="auto"/>
            <w:vAlign w:val="center"/>
          </w:tcPr>
          <w:p w14:paraId="4D2177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177DE0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85E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656F41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CC14</w:t>
            </w:r>
          </w:p>
        </w:tc>
        <w:tc>
          <w:tcPr>
            <w:tcW w:w="4284" w:type="dxa"/>
            <w:shd w:val="clear" w:color="auto" w:fill="auto"/>
            <w:vAlign w:val="center"/>
          </w:tcPr>
          <w:p w14:paraId="004E76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w:t>
            </w:r>
          </w:p>
        </w:tc>
        <w:tc>
          <w:tcPr>
            <w:tcW w:w="2230" w:type="dxa"/>
            <w:gridSpan w:val="2"/>
            <w:shd w:val="clear" w:color="auto" w:fill="auto"/>
            <w:vAlign w:val="center"/>
          </w:tcPr>
          <w:p w14:paraId="2E2DF8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145DAF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056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8668" w:type="dxa"/>
            <w:gridSpan w:val="6"/>
            <w:shd w:val="clear" w:color="auto" w:fill="auto"/>
            <w:vAlign w:val="center"/>
          </w:tcPr>
          <w:p w14:paraId="0020A0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消防动火作业管理</w:t>
            </w:r>
          </w:p>
        </w:tc>
      </w:tr>
      <w:tr w14:paraId="3A9E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ECC74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FC01</w:t>
            </w:r>
          </w:p>
        </w:tc>
        <w:tc>
          <w:tcPr>
            <w:tcW w:w="4284" w:type="dxa"/>
            <w:shd w:val="clear" w:color="auto" w:fill="auto"/>
            <w:vAlign w:val="center"/>
          </w:tcPr>
          <w:p w14:paraId="3EA235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执行动火人无特种操作证或无效</w:t>
            </w:r>
          </w:p>
        </w:tc>
        <w:tc>
          <w:tcPr>
            <w:tcW w:w="2256" w:type="dxa"/>
            <w:gridSpan w:val="3"/>
            <w:shd w:val="clear" w:color="auto" w:fill="auto"/>
            <w:vAlign w:val="center"/>
          </w:tcPr>
          <w:p w14:paraId="7E6496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176" w:type="dxa"/>
            <w:shd w:val="clear" w:color="auto" w:fill="auto"/>
            <w:vAlign w:val="center"/>
          </w:tcPr>
          <w:p w14:paraId="45E99F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6C9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D94DC4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FC02</w:t>
            </w:r>
          </w:p>
        </w:tc>
        <w:tc>
          <w:tcPr>
            <w:tcW w:w="4284" w:type="dxa"/>
            <w:shd w:val="clear" w:color="auto" w:fill="auto"/>
            <w:vAlign w:val="center"/>
          </w:tcPr>
          <w:p w14:paraId="425AE9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动火作业无施工许可单或未签批完整</w:t>
            </w:r>
          </w:p>
        </w:tc>
        <w:tc>
          <w:tcPr>
            <w:tcW w:w="2256" w:type="dxa"/>
            <w:gridSpan w:val="3"/>
            <w:shd w:val="clear" w:color="auto" w:fill="auto"/>
            <w:vAlign w:val="center"/>
          </w:tcPr>
          <w:p w14:paraId="54A789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411FE5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7CD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21386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FC03</w:t>
            </w:r>
          </w:p>
        </w:tc>
        <w:tc>
          <w:tcPr>
            <w:tcW w:w="4284" w:type="dxa"/>
            <w:shd w:val="clear" w:color="auto" w:fill="auto"/>
            <w:vAlign w:val="center"/>
          </w:tcPr>
          <w:p w14:paraId="743427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动火作业现场存在易燃材料或安全距离不足</w:t>
            </w:r>
          </w:p>
        </w:tc>
        <w:tc>
          <w:tcPr>
            <w:tcW w:w="2256" w:type="dxa"/>
            <w:gridSpan w:val="3"/>
            <w:shd w:val="clear" w:color="auto" w:fill="auto"/>
            <w:vAlign w:val="center"/>
          </w:tcPr>
          <w:p w14:paraId="72F1B7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42CF3E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2C47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52" w:type="dxa"/>
            <w:shd w:val="clear" w:color="auto" w:fill="auto"/>
            <w:vAlign w:val="center"/>
          </w:tcPr>
          <w:p w14:paraId="1F6EDAA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FC04</w:t>
            </w:r>
          </w:p>
        </w:tc>
        <w:tc>
          <w:tcPr>
            <w:tcW w:w="4284" w:type="dxa"/>
            <w:shd w:val="clear" w:color="auto" w:fill="auto"/>
            <w:vAlign w:val="center"/>
          </w:tcPr>
          <w:p w14:paraId="4699C9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动火现场未配置足够看火人或未佩戴标识</w:t>
            </w:r>
          </w:p>
        </w:tc>
        <w:tc>
          <w:tcPr>
            <w:tcW w:w="2256" w:type="dxa"/>
            <w:gridSpan w:val="3"/>
            <w:shd w:val="clear" w:color="auto" w:fill="auto"/>
            <w:vAlign w:val="center"/>
          </w:tcPr>
          <w:p w14:paraId="07AFE7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197EF2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暂停施工</w:t>
            </w:r>
          </w:p>
        </w:tc>
      </w:tr>
      <w:tr w14:paraId="106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6535B85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FC05</w:t>
            </w:r>
          </w:p>
        </w:tc>
        <w:tc>
          <w:tcPr>
            <w:tcW w:w="4284" w:type="dxa"/>
            <w:shd w:val="clear" w:color="auto" w:fill="auto"/>
            <w:vAlign w:val="center"/>
          </w:tcPr>
          <w:p w14:paraId="0E25FAF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动火现场未规定要求配置足够灭火装置或配置的灭火装备失效</w:t>
            </w:r>
          </w:p>
        </w:tc>
        <w:tc>
          <w:tcPr>
            <w:tcW w:w="2256" w:type="dxa"/>
            <w:gridSpan w:val="3"/>
            <w:shd w:val="clear" w:color="auto" w:fill="auto"/>
            <w:vAlign w:val="center"/>
          </w:tcPr>
          <w:p w14:paraId="66C083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5F9D0C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30F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191BFF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FC06</w:t>
            </w:r>
          </w:p>
        </w:tc>
        <w:tc>
          <w:tcPr>
            <w:tcW w:w="4284" w:type="dxa"/>
            <w:shd w:val="clear" w:color="auto" w:fill="auto"/>
            <w:vAlign w:val="center"/>
          </w:tcPr>
          <w:p w14:paraId="7DC7EB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动火作业完成后焊渣未清理，现场未整理</w:t>
            </w:r>
          </w:p>
        </w:tc>
        <w:tc>
          <w:tcPr>
            <w:tcW w:w="2256" w:type="dxa"/>
            <w:gridSpan w:val="3"/>
            <w:shd w:val="clear" w:color="auto" w:fill="auto"/>
            <w:vAlign w:val="center"/>
          </w:tcPr>
          <w:p w14:paraId="23EEFB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5E79D6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B8D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0194A4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FC07</w:t>
            </w:r>
          </w:p>
        </w:tc>
        <w:tc>
          <w:tcPr>
            <w:tcW w:w="4284" w:type="dxa"/>
            <w:shd w:val="clear" w:color="auto" w:fill="auto"/>
            <w:vAlign w:val="center"/>
          </w:tcPr>
          <w:p w14:paraId="5F380A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私自伪造、涂改、代签或变更动火证</w:t>
            </w:r>
          </w:p>
        </w:tc>
        <w:tc>
          <w:tcPr>
            <w:tcW w:w="2256" w:type="dxa"/>
            <w:gridSpan w:val="3"/>
            <w:shd w:val="clear" w:color="auto" w:fill="auto"/>
            <w:vAlign w:val="center"/>
          </w:tcPr>
          <w:p w14:paraId="550A12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7FFAB6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CEC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E30DC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FC08</w:t>
            </w:r>
          </w:p>
        </w:tc>
        <w:tc>
          <w:tcPr>
            <w:tcW w:w="4284" w:type="dxa"/>
            <w:shd w:val="clear" w:color="auto" w:fill="auto"/>
            <w:vAlign w:val="center"/>
          </w:tcPr>
          <w:p w14:paraId="165437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氧气乙炔瓶距离未达规范要求</w:t>
            </w:r>
          </w:p>
        </w:tc>
        <w:tc>
          <w:tcPr>
            <w:tcW w:w="2256" w:type="dxa"/>
            <w:gridSpan w:val="3"/>
            <w:shd w:val="clear" w:color="auto" w:fill="auto"/>
            <w:vAlign w:val="center"/>
          </w:tcPr>
          <w:p w14:paraId="57A858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176" w:type="dxa"/>
            <w:shd w:val="clear" w:color="auto" w:fill="auto"/>
            <w:vAlign w:val="center"/>
          </w:tcPr>
          <w:p w14:paraId="294536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立即整改</w:t>
            </w:r>
          </w:p>
        </w:tc>
      </w:tr>
      <w:tr w14:paraId="6BD8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2DEFA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FC09</w:t>
            </w:r>
          </w:p>
        </w:tc>
        <w:tc>
          <w:tcPr>
            <w:tcW w:w="4284" w:type="dxa"/>
            <w:shd w:val="clear" w:color="auto" w:fill="auto"/>
            <w:vAlign w:val="center"/>
          </w:tcPr>
          <w:p w14:paraId="25759A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作业申请单上未自动检查或与现场不符</w:t>
            </w:r>
          </w:p>
        </w:tc>
        <w:tc>
          <w:tcPr>
            <w:tcW w:w="2256" w:type="dxa"/>
            <w:gridSpan w:val="3"/>
            <w:shd w:val="clear" w:color="auto" w:fill="auto"/>
            <w:vAlign w:val="center"/>
          </w:tcPr>
          <w:p w14:paraId="257F17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176" w:type="dxa"/>
            <w:shd w:val="clear" w:color="auto" w:fill="auto"/>
            <w:vAlign w:val="center"/>
          </w:tcPr>
          <w:p w14:paraId="3A9B6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686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4EA15E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FC10</w:t>
            </w:r>
          </w:p>
        </w:tc>
        <w:tc>
          <w:tcPr>
            <w:tcW w:w="4284" w:type="dxa"/>
            <w:shd w:val="clear" w:color="auto" w:fill="auto"/>
            <w:vAlign w:val="center"/>
          </w:tcPr>
          <w:p w14:paraId="75E503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因施工造成火险、火灾</w:t>
            </w:r>
          </w:p>
        </w:tc>
        <w:tc>
          <w:tcPr>
            <w:tcW w:w="2256" w:type="dxa"/>
            <w:gridSpan w:val="3"/>
            <w:shd w:val="clear" w:color="auto" w:fill="auto"/>
            <w:vAlign w:val="center"/>
          </w:tcPr>
          <w:p w14:paraId="5641C5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每处每次2000-200000元</w:t>
            </w:r>
          </w:p>
        </w:tc>
        <w:tc>
          <w:tcPr>
            <w:tcW w:w="1176" w:type="dxa"/>
            <w:shd w:val="clear" w:color="auto" w:fill="auto"/>
            <w:vAlign w:val="center"/>
          </w:tcPr>
          <w:p w14:paraId="51A995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040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51107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FC11</w:t>
            </w:r>
          </w:p>
        </w:tc>
        <w:tc>
          <w:tcPr>
            <w:tcW w:w="4284" w:type="dxa"/>
            <w:shd w:val="clear" w:color="auto" w:fill="auto"/>
            <w:vAlign w:val="center"/>
          </w:tcPr>
          <w:p w14:paraId="79B1DE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易燃气瓶、材料等未按规定妥善保存</w:t>
            </w:r>
          </w:p>
        </w:tc>
        <w:tc>
          <w:tcPr>
            <w:tcW w:w="2256" w:type="dxa"/>
            <w:gridSpan w:val="3"/>
            <w:shd w:val="clear" w:color="auto" w:fill="auto"/>
            <w:vAlign w:val="center"/>
          </w:tcPr>
          <w:p w14:paraId="440F6B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6B01CA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D14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69556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FC12</w:t>
            </w:r>
          </w:p>
        </w:tc>
        <w:tc>
          <w:tcPr>
            <w:tcW w:w="4284" w:type="dxa"/>
            <w:shd w:val="clear" w:color="auto" w:fill="auto"/>
            <w:vAlign w:val="center"/>
          </w:tcPr>
          <w:p w14:paraId="4DDB3E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未按规定在易燃材料等规定区域配置灭火器</w:t>
            </w:r>
          </w:p>
        </w:tc>
        <w:tc>
          <w:tcPr>
            <w:tcW w:w="2256" w:type="dxa"/>
            <w:gridSpan w:val="3"/>
            <w:shd w:val="clear" w:color="auto" w:fill="auto"/>
            <w:vAlign w:val="center"/>
          </w:tcPr>
          <w:p w14:paraId="2F8DF9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601131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DC0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A22FB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FC13</w:t>
            </w:r>
          </w:p>
        </w:tc>
        <w:tc>
          <w:tcPr>
            <w:tcW w:w="4284" w:type="dxa"/>
            <w:shd w:val="clear" w:color="auto" w:fill="auto"/>
            <w:vAlign w:val="center"/>
          </w:tcPr>
          <w:p w14:paraId="25D736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其他不符合有关标准和项目管理规定的</w:t>
            </w:r>
          </w:p>
        </w:tc>
        <w:tc>
          <w:tcPr>
            <w:tcW w:w="2256" w:type="dxa"/>
            <w:gridSpan w:val="3"/>
            <w:shd w:val="clear" w:color="auto" w:fill="auto"/>
            <w:vAlign w:val="center"/>
          </w:tcPr>
          <w:p w14:paraId="67FFF0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176" w:type="dxa"/>
            <w:shd w:val="clear" w:color="auto" w:fill="auto"/>
            <w:vAlign w:val="center"/>
          </w:tcPr>
          <w:p w14:paraId="61308F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D8C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8668" w:type="dxa"/>
            <w:gridSpan w:val="6"/>
            <w:shd w:val="clear" w:color="auto" w:fill="auto"/>
            <w:vAlign w:val="center"/>
          </w:tcPr>
          <w:p w14:paraId="7664A7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电气设备管理</w:t>
            </w:r>
          </w:p>
        </w:tc>
      </w:tr>
      <w:tr w14:paraId="0139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52" w:type="dxa"/>
            <w:shd w:val="clear" w:color="auto" w:fill="auto"/>
            <w:vAlign w:val="center"/>
          </w:tcPr>
          <w:p w14:paraId="45DD7E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TE01</w:t>
            </w:r>
          </w:p>
        </w:tc>
        <w:tc>
          <w:tcPr>
            <w:tcW w:w="4284" w:type="dxa"/>
            <w:shd w:val="clear" w:color="auto" w:fill="auto"/>
            <w:vAlign w:val="center"/>
          </w:tcPr>
          <w:p w14:paraId="1D3A18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配电箱未按文明施工要求做好标识等</w:t>
            </w:r>
          </w:p>
        </w:tc>
        <w:tc>
          <w:tcPr>
            <w:tcW w:w="2230" w:type="dxa"/>
            <w:gridSpan w:val="2"/>
            <w:shd w:val="clear" w:color="auto" w:fill="auto"/>
            <w:vAlign w:val="center"/>
          </w:tcPr>
          <w:p w14:paraId="4DD5BA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1F1460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限期整改</w:t>
            </w:r>
          </w:p>
        </w:tc>
      </w:tr>
      <w:tr w14:paraId="1BDA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6B806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TE02</w:t>
            </w:r>
          </w:p>
        </w:tc>
        <w:tc>
          <w:tcPr>
            <w:tcW w:w="4284" w:type="dxa"/>
            <w:shd w:val="clear" w:color="auto" w:fill="auto"/>
            <w:vAlign w:val="center"/>
          </w:tcPr>
          <w:p w14:paraId="11A239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室外电箱未做防雨防砸装置</w:t>
            </w:r>
          </w:p>
        </w:tc>
        <w:tc>
          <w:tcPr>
            <w:tcW w:w="2230" w:type="dxa"/>
            <w:gridSpan w:val="2"/>
            <w:shd w:val="clear" w:color="auto" w:fill="auto"/>
            <w:vAlign w:val="center"/>
          </w:tcPr>
          <w:p w14:paraId="472A72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92F40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AF5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C893B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TE03</w:t>
            </w:r>
          </w:p>
        </w:tc>
        <w:tc>
          <w:tcPr>
            <w:tcW w:w="4284" w:type="dxa"/>
            <w:shd w:val="clear" w:color="auto" w:fill="auto"/>
            <w:vAlign w:val="center"/>
          </w:tcPr>
          <w:p w14:paraId="007719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室内电箱未做警示隔离</w:t>
            </w:r>
          </w:p>
        </w:tc>
        <w:tc>
          <w:tcPr>
            <w:tcW w:w="2230" w:type="dxa"/>
            <w:gridSpan w:val="2"/>
            <w:shd w:val="clear" w:color="auto" w:fill="auto"/>
            <w:vAlign w:val="center"/>
          </w:tcPr>
          <w:p w14:paraId="03A259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1E4AF7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AA1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 w:type="dxa"/>
            <w:shd w:val="clear" w:color="auto" w:fill="auto"/>
            <w:vAlign w:val="center"/>
          </w:tcPr>
          <w:p w14:paraId="2E5B54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TE04</w:t>
            </w:r>
          </w:p>
        </w:tc>
        <w:tc>
          <w:tcPr>
            <w:tcW w:w="4284" w:type="dxa"/>
            <w:shd w:val="clear" w:color="auto" w:fill="auto"/>
            <w:vAlign w:val="center"/>
          </w:tcPr>
          <w:p w14:paraId="270B21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室外配电线路未按规范要求铺设\高架\防护</w:t>
            </w:r>
          </w:p>
        </w:tc>
        <w:tc>
          <w:tcPr>
            <w:tcW w:w="2230" w:type="dxa"/>
            <w:gridSpan w:val="2"/>
            <w:shd w:val="clear" w:color="auto" w:fill="auto"/>
            <w:vAlign w:val="center"/>
          </w:tcPr>
          <w:p w14:paraId="27977B1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63A88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CFE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 w:type="dxa"/>
            <w:shd w:val="clear" w:color="auto" w:fill="auto"/>
            <w:vAlign w:val="center"/>
          </w:tcPr>
          <w:p w14:paraId="516A3AE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TE05</w:t>
            </w:r>
          </w:p>
        </w:tc>
        <w:tc>
          <w:tcPr>
            <w:tcW w:w="4284" w:type="dxa"/>
            <w:shd w:val="clear" w:color="auto" w:fill="auto"/>
            <w:vAlign w:val="center"/>
          </w:tcPr>
          <w:p w14:paraId="628A73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室内配电线路未按规范要求铺设\高挂\防护</w:t>
            </w:r>
          </w:p>
        </w:tc>
        <w:tc>
          <w:tcPr>
            <w:tcW w:w="2230" w:type="dxa"/>
            <w:gridSpan w:val="2"/>
            <w:shd w:val="clear" w:color="auto" w:fill="auto"/>
            <w:vAlign w:val="center"/>
          </w:tcPr>
          <w:p w14:paraId="66AFB2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B3015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7E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6D9F8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TE06</w:t>
            </w:r>
          </w:p>
        </w:tc>
        <w:tc>
          <w:tcPr>
            <w:tcW w:w="4284" w:type="dxa"/>
            <w:shd w:val="clear" w:color="auto" w:fill="auto"/>
            <w:vAlign w:val="center"/>
          </w:tcPr>
          <w:p w14:paraId="7D6F3A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未按规定线制配线，缺少零线或地线</w:t>
            </w:r>
          </w:p>
        </w:tc>
        <w:tc>
          <w:tcPr>
            <w:tcW w:w="2230" w:type="dxa"/>
            <w:gridSpan w:val="2"/>
            <w:shd w:val="clear" w:color="auto" w:fill="auto"/>
            <w:vAlign w:val="center"/>
          </w:tcPr>
          <w:p w14:paraId="4106DAB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0368D2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843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86027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TE07</w:t>
            </w:r>
          </w:p>
        </w:tc>
        <w:tc>
          <w:tcPr>
            <w:tcW w:w="4284" w:type="dxa"/>
            <w:shd w:val="clear" w:color="auto" w:fill="auto"/>
            <w:vAlign w:val="center"/>
          </w:tcPr>
          <w:p w14:paraId="614418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电线内各种芯线未按照规定颜色配置</w:t>
            </w:r>
          </w:p>
        </w:tc>
        <w:tc>
          <w:tcPr>
            <w:tcW w:w="2230" w:type="dxa"/>
            <w:gridSpan w:val="2"/>
            <w:shd w:val="clear" w:color="auto" w:fill="auto"/>
            <w:vAlign w:val="center"/>
          </w:tcPr>
          <w:p w14:paraId="6E4E6F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8D53C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3EA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B5CC2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TE08</w:t>
            </w:r>
          </w:p>
        </w:tc>
        <w:tc>
          <w:tcPr>
            <w:tcW w:w="4284" w:type="dxa"/>
            <w:shd w:val="clear" w:color="auto" w:fill="auto"/>
            <w:vAlign w:val="center"/>
          </w:tcPr>
          <w:p w14:paraId="5E18C3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施工用电未规定接线或未标明各相线路</w:t>
            </w:r>
          </w:p>
        </w:tc>
        <w:tc>
          <w:tcPr>
            <w:tcW w:w="2230" w:type="dxa"/>
            <w:gridSpan w:val="2"/>
            <w:shd w:val="clear" w:color="auto" w:fill="auto"/>
            <w:vAlign w:val="center"/>
          </w:tcPr>
          <w:p w14:paraId="585F28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5E545E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051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52" w:type="dxa"/>
            <w:shd w:val="clear" w:color="auto" w:fill="auto"/>
            <w:vAlign w:val="center"/>
          </w:tcPr>
          <w:p w14:paraId="7F71DF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TE09</w:t>
            </w:r>
          </w:p>
        </w:tc>
        <w:tc>
          <w:tcPr>
            <w:tcW w:w="4284" w:type="dxa"/>
            <w:shd w:val="clear" w:color="auto" w:fill="auto"/>
            <w:vAlign w:val="center"/>
          </w:tcPr>
          <w:p w14:paraId="352576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各级电箱配置不符合规范要求</w:t>
            </w:r>
          </w:p>
        </w:tc>
        <w:tc>
          <w:tcPr>
            <w:tcW w:w="2230" w:type="dxa"/>
            <w:gridSpan w:val="2"/>
            <w:shd w:val="clear" w:color="auto" w:fill="auto"/>
            <w:vAlign w:val="center"/>
          </w:tcPr>
          <w:p w14:paraId="3BC7E6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26C365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更换电箱</w:t>
            </w:r>
          </w:p>
        </w:tc>
      </w:tr>
      <w:tr w14:paraId="70C4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7C00C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TE10</w:t>
            </w:r>
          </w:p>
        </w:tc>
        <w:tc>
          <w:tcPr>
            <w:tcW w:w="4284" w:type="dxa"/>
            <w:shd w:val="clear" w:color="auto" w:fill="auto"/>
            <w:vAlign w:val="center"/>
          </w:tcPr>
          <w:p w14:paraId="3F87DC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各级用电保护不符合规范要求</w:t>
            </w:r>
          </w:p>
        </w:tc>
        <w:tc>
          <w:tcPr>
            <w:tcW w:w="2230" w:type="dxa"/>
            <w:gridSpan w:val="2"/>
            <w:shd w:val="clear" w:color="auto" w:fill="auto"/>
            <w:vAlign w:val="center"/>
          </w:tcPr>
          <w:p w14:paraId="1C54CB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102A3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A0C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14BE8D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TE11</w:t>
            </w:r>
          </w:p>
        </w:tc>
        <w:tc>
          <w:tcPr>
            <w:tcW w:w="4284" w:type="dxa"/>
            <w:shd w:val="clear" w:color="auto" w:fill="auto"/>
            <w:vAlign w:val="center"/>
          </w:tcPr>
          <w:p w14:paraId="2B2CAC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电线未做安全防护、扭结等处于危险隐患</w:t>
            </w:r>
          </w:p>
        </w:tc>
        <w:tc>
          <w:tcPr>
            <w:tcW w:w="2230" w:type="dxa"/>
            <w:gridSpan w:val="2"/>
            <w:shd w:val="clear" w:color="auto" w:fill="auto"/>
            <w:vAlign w:val="center"/>
          </w:tcPr>
          <w:p w14:paraId="2061F4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31F62D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91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2FFB5D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TE12</w:t>
            </w:r>
          </w:p>
        </w:tc>
        <w:tc>
          <w:tcPr>
            <w:tcW w:w="4284" w:type="dxa"/>
            <w:shd w:val="clear" w:color="auto" w:fill="auto"/>
            <w:vAlign w:val="center"/>
          </w:tcPr>
          <w:p w14:paraId="7552EB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非专业电工进行电气设备维修、保养、维护等</w:t>
            </w:r>
          </w:p>
        </w:tc>
        <w:tc>
          <w:tcPr>
            <w:tcW w:w="2230" w:type="dxa"/>
            <w:gridSpan w:val="2"/>
            <w:shd w:val="clear" w:color="auto" w:fill="auto"/>
            <w:vAlign w:val="center"/>
          </w:tcPr>
          <w:p w14:paraId="42FC5A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730E56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74E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10D73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TE13</w:t>
            </w:r>
          </w:p>
        </w:tc>
        <w:tc>
          <w:tcPr>
            <w:tcW w:w="4284" w:type="dxa"/>
            <w:shd w:val="clear" w:color="auto" w:fill="auto"/>
            <w:vAlign w:val="center"/>
          </w:tcPr>
          <w:p w14:paraId="3E35CF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未按规定要求停电、送电</w:t>
            </w:r>
          </w:p>
        </w:tc>
        <w:tc>
          <w:tcPr>
            <w:tcW w:w="2230" w:type="dxa"/>
            <w:gridSpan w:val="2"/>
            <w:shd w:val="clear" w:color="auto" w:fill="auto"/>
            <w:vAlign w:val="center"/>
          </w:tcPr>
          <w:p w14:paraId="76D020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A786E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538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 w:type="dxa"/>
            <w:shd w:val="clear" w:color="auto" w:fill="auto"/>
            <w:vAlign w:val="center"/>
          </w:tcPr>
          <w:p w14:paraId="5AE0DD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TE14</w:t>
            </w:r>
          </w:p>
        </w:tc>
        <w:tc>
          <w:tcPr>
            <w:tcW w:w="4284" w:type="dxa"/>
            <w:shd w:val="clear" w:color="auto" w:fill="auto"/>
            <w:vAlign w:val="center"/>
          </w:tcPr>
          <w:p w14:paraId="6DAC7B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其他不符合相关规范的情形</w:t>
            </w:r>
          </w:p>
        </w:tc>
        <w:tc>
          <w:tcPr>
            <w:tcW w:w="2230" w:type="dxa"/>
            <w:gridSpan w:val="2"/>
            <w:shd w:val="clear" w:color="auto" w:fill="auto"/>
            <w:vAlign w:val="center"/>
          </w:tcPr>
          <w:p w14:paraId="18A8F76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每处每次500-5000元</w:t>
            </w:r>
          </w:p>
        </w:tc>
        <w:tc>
          <w:tcPr>
            <w:tcW w:w="1202" w:type="dxa"/>
            <w:gridSpan w:val="2"/>
            <w:shd w:val="clear" w:color="auto" w:fill="auto"/>
            <w:vAlign w:val="center"/>
          </w:tcPr>
          <w:p w14:paraId="4D1A64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AD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668" w:type="dxa"/>
            <w:gridSpan w:val="6"/>
            <w:shd w:val="clear" w:color="auto" w:fill="auto"/>
            <w:vAlign w:val="center"/>
          </w:tcPr>
          <w:p w14:paraId="43FB644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高处作业管理</w:t>
            </w:r>
          </w:p>
        </w:tc>
      </w:tr>
      <w:tr w14:paraId="64BA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0FCFD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WH01</w:t>
            </w:r>
          </w:p>
        </w:tc>
        <w:tc>
          <w:tcPr>
            <w:tcW w:w="4284" w:type="dxa"/>
            <w:shd w:val="clear" w:color="auto" w:fill="auto"/>
            <w:vAlign w:val="center"/>
          </w:tcPr>
          <w:p w14:paraId="5835A3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临边、洞口未按规定要求做好安全防护</w:t>
            </w:r>
          </w:p>
        </w:tc>
        <w:tc>
          <w:tcPr>
            <w:tcW w:w="2230" w:type="dxa"/>
            <w:gridSpan w:val="2"/>
            <w:shd w:val="clear" w:color="auto" w:fill="auto"/>
            <w:vAlign w:val="center"/>
          </w:tcPr>
          <w:p w14:paraId="286841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每处每次1000-30000元</w:t>
            </w:r>
          </w:p>
        </w:tc>
        <w:tc>
          <w:tcPr>
            <w:tcW w:w="1202" w:type="dxa"/>
            <w:gridSpan w:val="2"/>
            <w:shd w:val="clear" w:color="auto" w:fill="auto"/>
            <w:vAlign w:val="center"/>
          </w:tcPr>
          <w:p w14:paraId="5CCA6E8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09E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8A6668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WH02</w:t>
            </w:r>
          </w:p>
        </w:tc>
        <w:tc>
          <w:tcPr>
            <w:tcW w:w="4284" w:type="dxa"/>
            <w:shd w:val="clear" w:color="auto" w:fill="auto"/>
            <w:vAlign w:val="center"/>
          </w:tcPr>
          <w:p w14:paraId="6F91A8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高处作业人员未佩戴安全带或无其他可靠措施</w:t>
            </w:r>
          </w:p>
        </w:tc>
        <w:tc>
          <w:tcPr>
            <w:tcW w:w="2230" w:type="dxa"/>
            <w:gridSpan w:val="2"/>
            <w:shd w:val="clear" w:color="auto" w:fill="auto"/>
            <w:vAlign w:val="center"/>
          </w:tcPr>
          <w:p w14:paraId="74D97C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1ABA5D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C00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28A04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WH03</w:t>
            </w:r>
          </w:p>
        </w:tc>
        <w:tc>
          <w:tcPr>
            <w:tcW w:w="4284" w:type="dxa"/>
            <w:shd w:val="clear" w:color="auto" w:fill="auto"/>
            <w:vAlign w:val="center"/>
          </w:tcPr>
          <w:p w14:paraId="16294E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临时性构筑物未规定做好安全防砸防护</w:t>
            </w:r>
          </w:p>
        </w:tc>
        <w:tc>
          <w:tcPr>
            <w:tcW w:w="2230" w:type="dxa"/>
            <w:gridSpan w:val="2"/>
            <w:shd w:val="clear" w:color="auto" w:fill="auto"/>
            <w:vAlign w:val="center"/>
          </w:tcPr>
          <w:p w14:paraId="50E08C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0A4DBF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72E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23D50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WH04</w:t>
            </w:r>
          </w:p>
        </w:tc>
        <w:tc>
          <w:tcPr>
            <w:tcW w:w="4284" w:type="dxa"/>
            <w:shd w:val="clear" w:color="auto" w:fill="auto"/>
            <w:vAlign w:val="center"/>
          </w:tcPr>
          <w:p w14:paraId="4686EF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未按照施工方案落实高坠安全防护措施</w:t>
            </w:r>
          </w:p>
        </w:tc>
        <w:tc>
          <w:tcPr>
            <w:tcW w:w="2230" w:type="dxa"/>
            <w:gridSpan w:val="2"/>
            <w:shd w:val="clear" w:color="auto" w:fill="auto"/>
            <w:vAlign w:val="center"/>
          </w:tcPr>
          <w:p w14:paraId="5B108A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每处每次10000元</w:t>
            </w:r>
          </w:p>
        </w:tc>
        <w:tc>
          <w:tcPr>
            <w:tcW w:w="1202" w:type="dxa"/>
            <w:gridSpan w:val="2"/>
            <w:shd w:val="clear" w:color="auto" w:fill="auto"/>
            <w:vAlign w:val="center"/>
          </w:tcPr>
          <w:p w14:paraId="24E17E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2080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83EB1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WH05</w:t>
            </w:r>
          </w:p>
        </w:tc>
        <w:tc>
          <w:tcPr>
            <w:tcW w:w="4284" w:type="dxa"/>
            <w:shd w:val="clear" w:color="auto" w:fill="auto"/>
            <w:vAlign w:val="center"/>
          </w:tcPr>
          <w:p w14:paraId="65F41E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私自拆除安全防护，未可靠防栌措施</w:t>
            </w:r>
          </w:p>
        </w:tc>
        <w:tc>
          <w:tcPr>
            <w:tcW w:w="2230" w:type="dxa"/>
            <w:gridSpan w:val="2"/>
            <w:shd w:val="clear" w:color="auto" w:fill="auto"/>
            <w:vAlign w:val="center"/>
          </w:tcPr>
          <w:p w14:paraId="5647BB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6621B2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A25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0C385F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WH06</w:t>
            </w:r>
          </w:p>
        </w:tc>
        <w:tc>
          <w:tcPr>
            <w:tcW w:w="4284" w:type="dxa"/>
            <w:shd w:val="clear" w:color="auto" w:fill="auto"/>
            <w:vAlign w:val="center"/>
          </w:tcPr>
          <w:p w14:paraId="07375D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各型式登高设备不符合国家相关标准要求</w:t>
            </w:r>
          </w:p>
        </w:tc>
        <w:tc>
          <w:tcPr>
            <w:tcW w:w="2230" w:type="dxa"/>
            <w:gridSpan w:val="2"/>
            <w:shd w:val="clear" w:color="auto" w:fill="auto"/>
            <w:vAlign w:val="center"/>
          </w:tcPr>
          <w:p w14:paraId="63F267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35160F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1AC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3CE1DA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WH07</w:t>
            </w:r>
          </w:p>
        </w:tc>
        <w:tc>
          <w:tcPr>
            <w:tcW w:w="4284" w:type="dxa"/>
            <w:shd w:val="clear" w:color="auto" w:fill="auto"/>
            <w:vAlign w:val="center"/>
          </w:tcPr>
          <w:p w14:paraId="57FC24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作业平面内有洞口、临边等或平台不可靠</w:t>
            </w:r>
          </w:p>
        </w:tc>
        <w:tc>
          <w:tcPr>
            <w:tcW w:w="2230" w:type="dxa"/>
            <w:gridSpan w:val="2"/>
            <w:shd w:val="clear" w:color="auto" w:fill="auto"/>
            <w:vAlign w:val="center"/>
          </w:tcPr>
          <w:p w14:paraId="2F9C80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641917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EE7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0DC29D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WH08</w:t>
            </w:r>
          </w:p>
        </w:tc>
        <w:tc>
          <w:tcPr>
            <w:tcW w:w="4284" w:type="dxa"/>
            <w:shd w:val="clear" w:color="auto" w:fill="auto"/>
            <w:vAlign w:val="center"/>
          </w:tcPr>
          <w:p w14:paraId="31C040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悬空上下未设置安全通道或可靠安全措施</w:t>
            </w:r>
          </w:p>
        </w:tc>
        <w:tc>
          <w:tcPr>
            <w:tcW w:w="2230" w:type="dxa"/>
            <w:gridSpan w:val="2"/>
            <w:shd w:val="clear" w:color="auto" w:fill="auto"/>
            <w:vAlign w:val="center"/>
          </w:tcPr>
          <w:p w14:paraId="592EAB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720B7D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5C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DE8C8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WH09</w:t>
            </w:r>
          </w:p>
        </w:tc>
        <w:tc>
          <w:tcPr>
            <w:tcW w:w="4284" w:type="dxa"/>
            <w:shd w:val="clear" w:color="auto" w:fill="auto"/>
            <w:vAlign w:val="center"/>
          </w:tcPr>
          <w:p w14:paraId="2AFB37F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开洞开孔未经申请未制作安全防护</w:t>
            </w:r>
          </w:p>
        </w:tc>
        <w:tc>
          <w:tcPr>
            <w:tcW w:w="2230" w:type="dxa"/>
            <w:gridSpan w:val="2"/>
            <w:shd w:val="clear" w:color="auto" w:fill="auto"/>
            <w:vAlign w:val="center"/>
          </w:tcPr>
          <w:p w14:paraId="64C150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06915C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F52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3D5A5B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WH10</w:t>
            </w:r>
          </w:p>
        </w:tc>
        <w:tc>
          <w:tcPr>
            <w:tcW w:w="4284" w:type="dxa"/>
            <w:shd w:val="clear" w:color="auto" w:fill="auto"/>
            <w:vAlign w:val="center"/>
          </w:tcPr>
          <w:p w14:paraId="0F40EF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高处作业平台在周边未设置围挡或警示围篱</w:t>
            </w:r>
          </w:p>
        </w:tc>
        <w:tc>
          <w:tcPr>
            <w:tcW w:w="2230" w:type="dxa"/>
            <w:gridSpan w:val="2"/>
            <w:shd w:val="clear" w:color="auto" w:fill="auto"/>
            <w:vAlign w:val="center"/>
          </w:tcPr>
          <w:p w14:paraId="55FA884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A69F6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D6B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728F7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WH11</w:t>
            </w:r>
          </w:p>
        </w:tc>
        <w:tc>
          <w:tcPr>
            <w:tcW w:w="4284" w:type="dxa"/>
            <w:shd w:val="clear" w:color="auto" w:fill="auto"/>
            <w:vAlign w:val="center"/>
          </w:tcPr>
          <w:p w14:paraId="0721BE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从高空抛物等</w:t>
            </w:r>
          </w:p>
        </w:tc>
        <w:tc>
          <w:tcPr>
            <w:tcW w:w="2230" w:type="dxa"/>
            <w:gridSpan w:val="2"/>
            <w:shd w:val="clear" w:color="auto" w:fill="auto"/>
            <w:vAlign w:val="center"/>
          </w:tcPr>
          <w:p w14:paraId="1807A6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7AA39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D21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6F1A73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WH12</w:t>
            </w:r>
          </w:p>
        </w:tc>
        <w:tc>
          <w:tcPr>
            <w:tcW w:w="4284" w:type="dxa"/>
            <w:shd w:val="clear" w:color="auto" w:fill="auto"/>
            <w:vAlign w:val="center"/>
          </w:tcPr>
          <w:p w14:paraId="2853DC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w:t>
            </w:r>
          </w:p>
        </w:tc>
        <w:tc>
          <w:tcPr>
            <w:tcW w:w="2230" w:type="dxa"/>
            <w:gridSpan w:val="2"/>
            <w:shd w:val="clear" w:color="auto" w:fill="auto"/>
            <w:vAlign w:val="center"/>
          </w:tcPr>
          <w:p w14:paraId="2CF79D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340AB0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5C4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blHeader/>
          <w:jc w:val="center"/>
        </w:trPr>
        <w:tc>
          <w:tcPr>
            <w:tcW w:w="8668" w:type="dxa"/>
            <w:gridSpan w:val="6"/>
            <w:shd w:val="clear" w:color="auto" w:fill="auto"/>
            <w:vAlign w:val="center"/>
          </w:tcPr>
          <w:p w14:paraId="24D4147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安全保卫管理</w:t>
            </w:r>
          </w:p>
        </w:tc>
      </w:tr>
      <w:tr w14:paraId="12AC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C998A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SG01</w:t>
            </w:r>
          </w:p>
        </w:tc>
        <w:tc>
          <w:tcPr>
            <w:tcW w:w="4284" w:type="dxa"/>
            <w:shd w:val="clear" w:color="auto" w:fill="auto"/>
            <w:vAlign w:val="center"/>
          </w:tcPr>
          <w:p w14:paraId="1FD5F5D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未经同意随意打开项目围墙围挡</w:t>
            </w:r>
          </w:p>
        </w:tc>
        <w:tc>
          <w:tcPr>
            <w:tcW w:w="2230" w:type="dxa"/>
            <w:gridSpan w:val="2"/>
            <w:shd w:val="clear" w:color="auto" w:fill="auto"/>
            <w:vAlign w:val="center"/>
          </w:tcPr>
          <w:p w14:paraId="32A71F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566232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立即修复</w:t>
            </w:r>
          </w:p>
        </w:tc>
      </w:tr>
      <w:tr w14:paraId="45C9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A0ACC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SG02</w:t>
            </w:r>
          </w:p>
        </w:tc>
        <w:tc>
          <w:tcPr>
            <w:tcW w:w="4284" w:type="dxa"/>
            <w:shd w:val="clear" w:color="auto" w:fill="auto"/>
            <w:vAlign w:val="center"/>
          </w:tcPr>
          <w:p w14:paraId="2B268E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违规翻越、破坏工地围墙、围挡</w:t>
            </w:r>
          </w:p>
        </w:tc>
        <w:tc>
          <w:tcPr>
            <w:tcW w:w="2230" w:type="dxa"/>
            <w:gridSpan w:val="2"/>
            <w:shd w:val="clear" w:color="auto" w:fill="auto"/>
            <w:vAlign w:val="center"/>
          </w:tcPr>
          <w:p w14:paraId="78F60B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6DF0BB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ABB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E225C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SG03</w:t>
            </w:r>
          </w:p>
        </w:tc>
        <w:tc>
          <w:tcPr>
            <w:tcW w:w="4284" w:type="dxa"/>
            <w:shd w:val="clear" w:color="auto" w:fill="auto"/>
            <w:vAlign w:val="center"/>
          </w:tcPr>
          <w:p w14:paraId="4E55B20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进出工地不配合检查，强行闯门</w:t>
            </w:r>
          </w:p>
        </w:tc>
        <w:tc>
          <w:tcPr>
            <w:tcW w:w="2230" w:type="dxa"/>
            <w:gridSpan w:val="2"/>
            <w:shd w:val="clear" w:color="auto" w:fill="auto"/>
            <w:vAlign w:val="center"/>
          </w:tcPr>
          <w:p w14:paraId="209681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63FBFD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D6D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65F9C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SG04</w:t>
            </w:r>
          </w:p>
        </w:tc>
        <w:tc>
          <w:tcPr>
            <w:tcW w:w="4284" w:type="dxa"/>
            <w:shd w:val="clear" w:color="auto" w:fill="auto"/>
            <w:vAlign w:val="center"/>
          </w:tcPr>
          <w:p w14:paraId="7A8D0F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工地内不按指挥停靠车辆、占道</w:t>
            </w:r>
          </w:p>
        </w:tc>
        <w:tc>
          <w:tcPr>
            <w:tcW w:w="2230" w:type="dxa"/>
            <w:gridSpan w:val="2"/>
            <w:shd w:val="clear" w:color="auto" w:fill="auto"/>
            <w:vAlign w:val="center"/>
          </w:tcPr>
          <w:p w14:paraId="5770BCB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36021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C28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178A7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SG05</w:t>
            </w:r>
          </w:p>
        </w:tc>
        <w:tc>
          <w:tcPr>
            <w:tcW w:w="4284" w:type="dxa"/>
            <w:shd w:val="clear" w:color="auto" w:fill="auto"/>
            <w:vAlign w:val="center"/>
          </w:tcPr>
          <w:p w14:paraId="51F73D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不服从交通调度、指挥</w:t>
            </w:r>
          </w:p>
        </w:tc>
        <w:tc>
          <w:tcPr>
            <w:tcW w:w="2230" w:type="dxa"/>
            <w:gridSpan w:val="2"/>
            <w:shd w:val="clear" w:color="auto" w:fill="auto"/>
            <w:vAlign w:val="center"/>
          </w:tcPr>
          <w:p w14:paraId="34732F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6F205F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4C7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92282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SG06</w:t>
            </w:r>
          </w:p>
        </w:tc>
        <w:tc>
          <w:tcPr>
            <w:tcW w:w="4284" w:type="dxa"/>
            <w:shd w:val="clear" w:color="auto" w:fill="auto"/>
            <w:vAlign w:val="center"/>
          </w:tcPr>
          <w:p w14:paraId="21CFD53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偷盗物品、材料等非放行单罗列物品</w:t>
            </w:r>
          </w:p>
        </w:tc>
        <w:tc>
          <w:tcPr>
            <w:tcW w:w="2230" w:type="dxa"/>
            <w:gridSpan w:val="2"/>
            <w:shd w:val="clear" w:color="auto" w:fill="auto"/>
            <w:vAlign w:val="center"/>
          </w:tcPr>
          <w:p w14:paraId="4E2502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每处每次10000元</w:t>
            </w:r>
          </w:p>
        </w:tc>
        <w:tc>
          <w:tcPr>
            <w:tcW w:w="1202" w:type="dxa"/>
            <w:gridSpan w:val="2"/>
            <w:shd w:val="clear" w:color="auto" w:fill="auto"/>
            <w:vAlign w:val="center"/>
          </w:tcPr>
          <w:p w14:paraId="440AFF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64E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C3467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SG07</w:t>
            </w:r>
          </w:p>
        </w:tc>
        <w:tc>
          <w:tcPr>
            <w:tcW w:w="4284" w:type="dxa"/>
            <w:shd w:val="clear" w:color="auto" w:fill="auto"/>
            <w:vAlign w:val="center"/>
          </w:tcPr>
          <w:p w14:paraId="4735F0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运出物品与放行单不符合</w:t>
            </w:r>
          </w:p>
        </w:tc>
        <w:tc>
          <w:tcPr>
            <w:tcW w:w="2230" w:type="dxa"/>
            <w:gridSpan w:val="2"/>
            <w:shd w:val="clear" w:color="auto" w:fill="auto"/>
            <w:vAlign w:val="center"/>
          </w:tcPr>
          <w:p w14:paraId="719841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100F39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860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51062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SG08</w:t>
            </w:r>
          </w:p>
        </w:tc>
        <w:tc>
          <w:tcPr>
            <w:tcW w:w="4284" w:type="dxa"/>
            <w:shd w:val="clear" w:color="auto" w:fill="auto"/>
            <w:vAlign w:val="center"/>
          </w:tcPr>
          <w:p w14:paraId="198FB8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必要时不配合安全引导、应急疏导等</w:t>
            </w:r>
          </w:p>
        </w:tc>
        <w:tc>
          <w:tcPr>
            <w:tcW w:w="2230" w:type="dxa"/>
            <w:gridSpan w:val="2"/>
            <w:shd w:val="clear" w:color="auto" w:fill="auto"/>
            <w:vAlign w:val="center"/>
          </w:tcPr>
          <w:p w14:paraId="316CC8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E57F2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A06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1D288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SG09</w:t>
            </w:r>
          </w:p>
        </w:tc>
        <w:tc>
          <w:tcPr>
            <w:tcW w:w="4284" w:type="dxa"/>
            <w:shd w:val="clear" w:color="auto" w:fill="auto"/>
            <w:vAlign w:val="center"/>
          </w:tcPr>
          <w:p w14:paraId="4346FE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破坏门禁、监控等设备、材料成品等</w:t>
            </w:r>
          </w:p>
        </w:tc>
        <w:tc>
          <w:tcPr>
            <w:tcW w:w="2230" w:type="dxa"/>
            <w:gridSpan w:val="2"/>
            <w:shd w:val="clear" w:color="auto" w:fill="auto"/>
            <w:vAlign w:val="center"/>
          </w:tcPr>
          <w:p w14:paraId="792575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55A813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损失另计</w:t>
            </w:r>
          </w:p>
        </w:tc>
      </w:tr>
      <w:tr w14:paraId="41DB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66B6FB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SG10</w:t>
            </w:r>
          </w:p>
        </w:tc>
        <w:tc>
          <w:tcPr>
            <w:tcW w:w="4284" w:type="dxa"/>
            <w:shd w:val="clear" w:color="auto" w:fill="auto"/>
            <w:vAlign w:val="center"/>
          </w:tcPr>
          <w:p w14:paraId="618B57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其他违反国家相关标准或项目管理规定的</w:t>
            </w:r>
          </w:p>
        </w:tc>
        <w:tc>
          <w:tcPr>
            <w:tcW w:w="2230" w:type="dxa"/>
            <w:gridSpan w:val="2"/>
            <w:shd w:val="clear" w:color="auto" w:fill="auto"/>
            <w:vAlign w:val="center"/>
          </w:tcPr>
          <w:p w14:paraId="55FC46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每处每次500-10000元</w:t>
            </w:r>
          </w:p>
        </w:tc>
        <w:tc>
          <w:tcPr>
            <w:tcW w:w="1202" w:type="dxa"/>
            <w:gridSpan w:val="2"/>
            <w:shd w:val="clear" w:color="auto" w:fill="auto"/>
            <w:vAlign w:val="center"/>
          </w:tcPr>
          <w:p w14:paraId="540052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61D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blHeader/>
          <w:jc w:val="center"/>
        </w:trPr>
        <w:tc>
          <w:tcPr>
            <w:tcW w:w="8668" w:type="dxa"/>
            <w:gridSpan w:val="6"/>
            <w:shd w:val="clear" w:color="auto" w:fill="auto"/>
            <w:vAlign w:val="center"/>
          </w:tcPr>
          <w:p w14:paraId="2C6F75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施工机械管理</w:t>
            </w:r>
          </w:p>
        </w:tc>
      </w:tr>
      <w:tr w14:paraId="4201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5BDFB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CM01</w:t>
            </w:r>
          </w:p>
        </w:tc>
        <w:tc>
          <w:tcPr>
            <w:tcW w:w="4349" w:type="dxa"/>
            <w:gridSpan w:val="2"/>
            <w:shd w:val="clear" w:color="auto" w:fill="auto"/>
            <w:vAlign w:val="center"/>
          </w:tcPr>
          <w:p w14:paraId="26A70C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进场设备、机械未进行报审验收的</w:t>
            </w:r>
          </w:p>
        </w:tc>
        <w:tc>
          <w:tcPr>
            <w:tcW w:w="2165" w:type="dxa"/>
            <w:shd w:val="clear" w:color="auto" w:fill="auto"/>
            <w:vAlign w:val="center"/>
          </w:tcPr>
          <w:p w14:paraId="59A76C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D621B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4B8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3E1CE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CM02</w:t>
            </w:r>
          </w:p>
        </w:tc>
        <w:tc>
          <w:tcPr>
            <w:tcW w:w="4349" w:type="dxa"/>
            <w:gridSpan w:val="2"/>
            <w:shd w:val="clear" w:color="auto" w:fill="auto"/>
            <w:vAlign w:val="center"/>
          </w:tcPr>
          <w:p w14:paraId="1F6915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施工机具机械危险部位缺少安全装置</w:t>
            </w:r>
          </w:p>
        </w:tc>
        <w:tc>
          <w:tcPr>
            <w:tcW w:w="2165" w:type="dxa"/>
            <w:shd w:val="clear" w:color="auto" w:fill="auto"/>
            <w:vAlign w:val="center"/>
          </w:tcPr>
          <w:p w14:paraId="1FE2F9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0C6F71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6B3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72C7E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CM03</w:t>
            </w:r>
          </w:p>
        </w:tc>
        <w:tc>
          <w:tcPr>
            <w:tcW w:w="4349" w:type="dxa"/>
            <w:gridSpan w:val="2"/>
            <w:shd w:val="clear" w:color="auto" w:fill="auto"/>
            <w:vAlign w:val="center"/>
          </w:tcPr>
          <w:p w14:paraId="175838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施工机械机具未按照规范要求接地保护</w:t>
            </w:r>
          </w:p>
        </w:tc>
        <w:tc>
          <w:tcPr>
            <w:tcW w:w="2165" w:type="dxa"/>
            <w:shd w:val="clear" w:color="auto" w:fill="auto"/>
            <w:vAlign w:val="center"/>
          </w:tcPr>
          <w:p w14:paraId="330250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18B304F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EB3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7914E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CM04</w:t>
            </w:r>
          </w:p>
        </w:tc>
        <w:tc>
          <w:tcPr>
            <w:tcW w:w="4349" w:type="dxa"/>
            <w:gridSpan w:val="2"/>
            <w:shd w:val="clear" w:color="auto" w:fill="auto"/>
            <w:vAlign w:val="center"/>
          </w:tcPr>
          <w:p w14:paraId="4FE8C5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特种设备未定期检测并购置保险</w:t>
            </w:r>
          </w:p>
        </w:tc>
        <w:tc>
          <w:tcPr>
            <w:tcW w:w="2165" w:type="dxa"/>
            <w:shd w:val="clear" w:color="auto" w:fill="auto"/>
            <w:vAlign w:val="center"/>
          </w:tcPr>
          <w:p w14:paraId="03E652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316522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6E8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0A04A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CM05</w:t>
            </w:r>
          </w:p>
        </w:tc>
        <w:tc>
          <w:tcPr>
            <w:tcW w:w="4349" w:type="dxa"/>
            <w:gridSpan w:val="2"/>
            <w:shd w:val="clear" w:color="auto" w:fill="auto"/>
            <w:vAlign w:val="center"/>
          </w:tcPr>
          <w:p w14:paraId="3BE309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私自改装机械、机具</w:t>
            </w:r>
          </w:p>
        </w:tc>
        <w:tc>
          <w:tcPr>
            <w:tcW w:w="2165" w:type="dxa"/>
            <w:shd w:val="clear" w:color="auto" w:fill="auto"/>
            <w:vAlign w:val="center"/>
          </w:tcPr>
          <w:p w14:paraId="2DEA385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FBFFE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C6A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E05C4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CM06</w:t>
            </w:r>
          </w:p>
        </w:tc>
        <w:tc>
          <w:tcPr>
            <w:tcW w:w="4349" w:type="dxa"/>
            <w:gridSpan w:val="2"/>
            <w:shd w:val="clear" w:color="auto" w:fill="auto"/>
            <w:vAlign w:val="center"/>
          </w:tcPr>
          <w:p w14:paraId="66B2CF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平刨、塔吊、吊篮等机具 机械安装完成未经过检测验收直接投入使用</w:t>
            </w:r>
          </w:p>
        </w:tc>
        <w:tc>
          <w:tcPr>
            <w:tcW w:w="2165" w:type="dxa"/>
            <w:shd w:val="clear" w:color="auto" w:fill="auto"/>
            <w:vAlign w:val="center"/>
          </w:tcPr>
          <w:p w14:paraId="086C08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53B49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A86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02973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CM07</w:t>
            </w:r>
          </w:p>
        </w:tc>
        <w:tc>
          <w:tcPr>
            <w:tcW w:w="4349" w:type="dxa"/>
            <w:gridSpan w:val="2"/>
            <w:shd w:val="clear" w:color="auto" w:fill="auto"/>
            <w:vAlign w:val="center"/>
          </w:tcPr>
          <w:p w14:paraId="57B8C6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违反操作规程操作机械、设备、机具等</w:t>
            </w:r>
          </w:p>
        </w:tc>
        <w:tc>
          <w:tcPr>
            <w:tcW w:w="2165" w:type="dxa"/>
            <w:shd w:val="clear" w:color="auto" w:fill="auto"/>
            <w:vAlign w:val="center"/>
          </w:tcPr>
          <w:p w14:paraId="1C45B7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C403C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5DB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0C188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CM08</w:t>
            </w:r>
          </w:p>
        </w:tc>
        <w:tc>
          <w:tcPr>
            <w:tcW w:w="4349" w:type="dxa"/>
            <w:gridSpan w:val="2"/>
            <w:shd w:val="clear" w:color="auto" w:fill="auto"/>
            <w:vAlign w:val="center"/>
          </w:tcPr>
          <w:p w14:paraId="0700A4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未持作业橾作证操作相关需要操作证机械设备</w:t>
            </w:r>
          </w:p>
        </w:tc>
        <w:tc>
          <w:tcPr>
            <w:tcW w:w="2165" w:type="dxa"/>
            <w:shd w:val="clear" w:color="auto" w:fill="auto"/>
            <w:vAlign w:val="center"/>
          </w:tcPr>
          <w:p w14:paraId="3A43F39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FE63C0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BF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884D5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CM09</w:t>
            </w:r>
          </w:p>
        </w:tc>
        <w:tc>
          <w:tcPr>
            <w:tcW w:w="4349" w:type="dxa"/>
            <w:gridSpan w:val="2"/>
            <w:shd w:val="clear" w:color="auto" w:fill="auto"/>
            <w:vAlign w:val="center"/>
          </w:tcPr>
          <w:p w14:paraId="11B918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设备未达电气防护要求</w:t>
            </w:r>
          </w:p>
        </w:tc>
        <w:tc>
          <w:tcPr>
            <w:tcW w:w="2165" w:type="dxa"/>
            <w:shd w:val="clear" w:color="auto" w:fill="auto"/>
            <w:vAlign w:val="center"/>
          </w:tcPr>
          <w:p w14:paraId="000D485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11A24D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C1E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F0E5D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CM10</w:t>
            </w:r>
          </w:p>
        </w:tc>
        <w:tc>
          <w:tcPr>
            <w:tcW w:w="4349" w:type="dxa"/>
            <w:gridSpan w:val="2"/>
            <w:shd w:val="clear" w:color="auto" w:fill="auto"/>
            <w:vAlign w:val="center"/>
          </w:tcPr>
          <w:p w14:paraId="3C33B4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其他违反国家相关标准或项目管理规定的</w:t>
            </w:r>
          </w:p>
        </w:tc>
        <w:tc>
          <w:tcPr>
            <w:tcW w:w="2165" w:type="dxa"/>
            <w:shd w:val="clear" w:color="auto" w:fill="auto"/>
            <w:vAlign w:val="center"/>
          </w:tcPr>
          <w:p w14:paraId="3E2344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326ED6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ED5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668" w:type="dxa"/>
            <w:gridSpan w:val="6"/>
            <w:shd w:val="clear" w:color="auto" w:fill="auto"/>
            <w:vAlign w:val="center"/>
          </w:tcPr>
          <w:p w14:paraId="0F62DE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脚手架管理</w:t>
            </w:r>
          </w:p>
        </w:tc>
      </w:tr>
      <w:tr w14:paraId="5FB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DAD74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SC01</w:t>
            </w:r>
          </w:p>
        </w:tc>
        <w:tc>
          <w:tcPr>
            <w:tcW w:w="4284" w:type="dxa"/>
            <w:shd w:val="clear" w:color="auto" w:fill="auto"/>
            <w:vAlign w:val="center"/>
          </w:tcPr>
          <w:p w14:paraId="0FCAB0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各型制脚手架未编制施工方案</w:t>
            </w:r>
          </w:p>
        </w:tc>
        <w:tc>
          <w:tcPr>
            <w:tcW w:w="2230" w:type="dxa"/>
            <w:gridSpan w:val="2"/>
            <w:shd w:val="clear" w:color="auto" w:fill="auto"/>
            <w:vAlign w:val="center"/>
          </w:tcPr>
          <w:p w14:paraId="30619F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776706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F6C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DD9A0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SC02</w:t>
            </w:r>
          </w:p>
        </w:tc>
        <w:tc>
          <w:tcPr>
            <w:tcW w:w="4284" w:type="dxa"/>
            <w:shd w:val="clear" w:color="auto" w:fill="auto"/>
            <w:vAlign w:val="center"/>
          </w:tcPr>
          <w:p w14:paraId="3826FB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架体基础不符合方案要求</w:t>
            </w:r>
          </w:p>
        </w:tc>
        <w:tc>
          <w:tcPr>
            <w:tcW w:w="2230" w:type="dxa"/>
            <w:gridSpan w:val="2"/>
            <w:shd w:val="clear" w:color="auto" w:fill="auto"/>
            <w:vAlign w:val="center"/>
          </w:tcPr>
          <w:p w14:paraId="10F58F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20A4D8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12D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21916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SC03</w:t>
            </w:r>
          </w:p>
        </w:tc>
        <w:tc>
          <w:tcPr>
            <w:tcW w:w="4284" w:type="dxa"/>
            <w:shd w:val="clear" w:color="auto" w:fill="auto"/>
            <w:vAlign w:val="center"/>
          </w:tcPr>
          <w:p w14:paraId="21C653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搭设前未进行安全技术交底和安全教育</w:t>
            </w:r>
          </w:p>
        </w:tc>
        <w:tc>
          <w:tcPr>
            <w:tcW w:w="2230" w:type="dxa"/>
            <w:gridSpan w:val="2"/>
            <w:shd w:val="clear" w:color="auto" w:fill="auto"/>
            <w:vAlign w:val="center"/>
          </w:tcPr>
          <w:p w14:paraId="2A8903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36E3BC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F7F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2B998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SC04</w:t>
            </w:r>
          </w:p>
        </w:tc>
        <w:tc>
          <w:tcPr>
            <w:tcW w:w="4284" w:type="dxa"/>
            <w:shd w:val="clear" w:color="auto" w:fill="auto"/>
            <w:vAlign w:val="center"/>
          </w:tcPr>
          <w:p w14:paraId="64D503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搭设、拆除过程中无旁站监督人员</w:t>
            </w:r>
          </w:p>
        </w:tc>
        <w:tc>
          <w:tcPr>
            <w:tcW w:w="2230" w:type="dxa"/>
            <w:gridSpan w:val="2"/>
            <w:shd w:val="clear" w:color="auto" w:fill="auto"/>
            <w:vAlign w:val="center"/>
          </w:tcPr>
          <w:p w14:paraId="1A9F9C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7A878F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07E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5B335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SC05</w:t>
            </w:r>
          </w:p>
        </w:tc>
        <w:tc>
          <w:tcPr>
            <w:tcW w:w="4284" w:type="dxa"/>
            <w:shd w:val="clear" w:color="auto" w:fill="auto"/>
            <w:vAlign w:val="center"/>
          </w:tcPr>
          <w:p w14:paraId="494810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脚手板、防护栏杆不符合安全要求</w:t>
            </w:r>
          </w:p>
        </w:tc>
        <w:tc>
          <w:tcPr>
            <w:tcW w:w="2230" w:type="dxa"/>
            <w:gridSpan w:val="2"/>
            <w:shd w:val="clear" w:color="auto" w:fill="auto"/>
            <w:vAlign w:val="center"/>
          </w:tcPr>
          <w:p w14:paraId="7BCFB3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EF91C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9F2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460A4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SC06</w:t>
            </w:r>
          </w:p>
        </w:tc>
        <w:tc>
          <w:tcPr>
            <w:tcW w:w="4284" w:type="dxa"/>
            <w:shd w:val="clear" w:color="auto" w:fill="auto"/>
            <w:vAlign w:val="center"/>
          </w:tcPr>
          <w:p w14:paraId="3B3BC0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未按方案设置拉结点或私自拆除拉结点</w:t>
            </w:r>
          </w:p>
        </w:tc>
        <w:tc>
          <w:tcPr>
            <w:tcW w:w="2230" w:type="dxa"/>
            <w:gridSpan w:val="2"/>
            <w:shd w:val="clear" w:color="auto" w:fill="auto"/>
            <w:vAlign w:val="center"/>
          </w:tcPr>
          <w:p w14:paraId="7E6CCF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177539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9D9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94312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SC07</w:t>
            </w:r>
          </w:p>
        </w:tc>
        <w:tc>
          <w:tcPr>
            <w:tcW w:w="4284" w:type="dxa"/>
            <w:shd w:val="clear" w:color="auto" w:fill="auto"/>
            <w:vAlign w:val="center"/>
          </w:tcPr>
          <w:p w14:paraId="15DE80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未按照方案要求设置剪刀撑、斜撑、斜杠等稳定支撑</w:t>
            </w:r>
          </w:p>
        </w:tc>
        <w:tc>
          <w:tcPr>
            <w:tcW w:w="2230" w:type="dxa"/>
            <w:gridSpan w:val="2"/>
            <w:shd w:val="clear" w:color="auto" w:fill="auto"/>
            <w:vAlign w:val="center"/>
          </w:tcPr>
          <w:p w14:paraId="2E4FB1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16C281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9F3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1E2CD0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SC08</w:t>
            </w:r>
          </w:p>
        </w:tc>
        <w:tc>
          <w:tcPr>
            <w:tcW w:w="4284" w:type="dxa"/>
            <w:shd w:val="clear" w:color="auto" w:fill="auto"/>
            <w:vAlign w:val="center"/>
          </w:tcPr>
          <w:p w14:paraId="31C215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架体外侧未采用密目网封闭并绑扎严密的</w:t>
            </w:r>
          </w:p>
        </w:tc>
        <w:tc>
          <w:tcPr>
            <w:tcW w:w="2230" w:type="dxa"/>
            <w:gridSpan w:val="2"/>
            <w:shd w:val="clear" w:color="auto" w:fill="auto"/>
            <w:vAlign w:val="center"/>
          </w:tcPr>
          <w:p w14:paraId="599902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65F90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01B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F75EB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SC09</w:t>
            </w:r>
          </w:p>
        </w:tc>
        <w:tc>
          <w:tcPr>
            <w:tcW w:w="4284" w:type="dxa"/>
            <w:shd w:val="clear" w:color="auto" w:fill="auto"/>
            <w:vAlign w:val="center"/>
          </w:tcPr>
          <w:p w14:paraId="7CA7E5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作业层未按规范要求设置挡脚板</w:t>
            </w:r>
          </w:p>
        </w:tc>
        <w:tc>
          <w:tcPr>
            <w:tcW w:w="2230" w:type="dxa"/>
            <w:gridSpan w:val="2"/>
            <w:shd w:val="clear" w:color="auto" w:fill="auto"/>
            <w:vAlign w:val="center"/>
          </w:tcPr>
          <w:p w14:paraId="6984DF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B6055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15E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6DA62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SC10</w:t>
            </w:r>
          </w:p>
        </w:tc>
        <w:tc>
          <w:tcPr>
            <w:tcW w:w="4284" w:type="dxa"/>
            <w:shd w:val="clear" w:color="auto" w:fill="auto"/>
            <w:vAlign w:val="center"/>
          </w:tcPr>
          <w:p w14:paraId="61CE23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脚手架作业层脚手板下未按规范采用安全兜底</w:t>
            </w:r>
          </w:p>
        </w:tc>
        <w:tc>
          <w:tcPr>
            <w:tcW w:w="2230" w:type="dxa"/>
            <w:gridSpan w:val="2"/>
            <w:shd w:val="clear" w:color="auto" w:fill="auto"/>
            <w:vAlign w:val="center"/>
          </w:tcPr>
          <w:p w14:paraId="4C97EC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718813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6FB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4BF1D8F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SC11</w:t>
            </w:r>
          </w:p>
        </w:tc>
        <w:tc>
          <w:tcPr>
            <w:tcW w:w="4284" w:type="dxa"/>
            <w:shd w:val="clear" w:color="auto" w:fill="auto"/>
            <w:vAlign w:val="center"/>
          </w:tcPr>
          <w:p w14:paraId="003EC7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未按照方案和安全措施随意拆除脚手架拆除过程中随意抛扔钢管构件等</w:t>
            </w:r>
          </w:p>
        </w:tc>
        <w:tc>
          <w:tcPr>
            <w:tcW w:w="2230" w:type="dxa"/>
            <w:gridSpan w:val="2"/>
            <w:shd w:val="clear" w:color="auto" w:fill="auto"/>
            <w:vAlign w:val="center"/>
          </w:tcPr>
          <w:p w14:paraId="22854E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0A8A4A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8F1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391F59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SC12</w:t>
            </w:r>
          </w:p>
        </w:tc>
        <w:tc>
          <w:tcPr>
            <w:tcW w:w="4284" w:type="dxa"/>
            <w:shd w:val="clear" w:color="auto" w:fill="auto"/>
            <w:vAlign w:val="center"/>
          </w:tcPr>
          <w:p w14:paraId="423C2A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搭设拆除脚手架作业人员无可靠安全防护措施</w:t>
            </w:r>
          </w:p>
        </w:tc>
        <w:tc>
          <w:tcPr>
            <w:tcW w:w="2230" w:type="dxa"/>
            <w:gridSpan w:val="2"/>
            <w:shd w:val="clear" w:color="auto" w:fill="auto"/>
            <w:vAlign w:val="center"/>
          </w:tcPr>
          <w:p w14:paraId="37DDBB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8B8B9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7C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2BCF0E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SC13</w:t>
            </w:r>
          </w:p>
        </w:tc>
        <w:tc>
          <w:tcPr>
            <w:tcW w:w="4284" w:type="dxa"/>
            <w:shd w:val="clear" w:color="auto" w:fill="auto"/>
            <w:vAlign w:val="center"/>
          </w:tcPr>
          <w:p w14:paraId="3AD3FB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未设置人员上下的专用通道</w:t>
            </w:r>
          </w:p>
        </w:tc>
        <w:tc>
          <w:tcPr>
            <w:tcW w:w="2230" w:type="dxa"/>
            <w:gridSpan w:val="2"/>
            <w:shd w:val="clear" w:color="auto" w:fill="auto"/>
            <w:vAlign w:val="center"/>
          </w:tcPr>
          <w:p w14:paraId="524750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0440B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656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EB138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SC14</w:t>
            </w:r>
          </w:p>
        </w:tc>
        <w:tc>
          <w:tcPr>
            <w:tcW w:w="4284" w:type="dxa"/>
            <w:shd w:val="clear" w:color="auto" w:fill="auto"/>
            <w:vAlign w:val="center"/>
          </w:tcPr>
          <w:p w14:paraId="1BACDA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立杆、剪刀撑的接长不符合规范要求</w:t>
            </w:r>
          </w:p>
        </w:tc>
        <w:tc>
          <w:tcPr>
            <w:tcW w:w="2230" w:type="dxa"/>
            <w:gridSpan w:val="2"/>
            <w:shd w:val="clear" w:color="auto" w:fill="auto"/>
            <w:vAlign w:val="center"/>
          </w:tcPr>
          <w:p w14:paraId="7206A4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7D291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DA4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0BD7CB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SC15</w:t>
            </w:r>
          </w:p>
        </w:tc>
        <w:tc>
          <w:tcPr>
            <w:tcW w:w="4284" w:type="dxa"/>
            <w:shd w:val="clear" w:color="auto" w:fill="auto"/>
            <w:vAlign w:val="center"/>
          </w:tcPr>
          <w:p w14:paraId="07A89A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立杆的步距、间距不符合设计和规范要求</w:t>
            </w:r>
          </w:p>
        </w:tc>
        <w:tc>
          <w:tcPr>
            <w:tcW w:w="2230" w:type="dxa"/>
            <w:gridSpan w:val="2"/>
            <w:shd w:val="clear" w:color="auto" w:fill="auto"/>
            <w:vAlign w:val="center"/>
          </w:tcPr>
          <w:p w14:paraId="24F81C3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785D59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F14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36180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SC16</w:t>
            </w:r>
          </w:p>
        </w:tc>
        <w:tc>
          <w:tcPr>
            <w:tcW w:w="4284" w:type="dxa"/>
            <w:shd w:val="clear" w:color="auto" w:fill="auto"/>
            <w:vAlign w:val="center"/>
          </w:tcPr>
          <w:p w14:paraId="368657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扣件的紧固未达规范要求</w:t>
            </w:r>
          </w:p>
        </w:tc>
        <w:tc>
          <w:tcPr>
            <w:tcW w:w="2230" w:type="dxa"/>
            <w:gridSpan w:val="2"/>
            <w:shd w:val="clear" w:color="auto" w:fill="auto"/>
            <w:vAlign w:val="center"/>
          </w:tcPr>
          <w:p w14:paraId="4EDDFF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0923FB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3C4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668" w:type="dxa"/>
            <w:gridSpan w:val="6"/>
            <w:shd w:val="clear" w:color="auto" w:fill="auto"/>
            <w:vAlign w:val="center"/>
          </w:tcPr>
          <w:p w14:paraId="430D2D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危险化学品管理</w:t>
            </w:r>
          </w:p>
        </w:tc>
      </w:tr>
      <w:tr w14:paraId="179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BCB26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序号</w:t>
            </w:r>
          </w:p>
        </w:tc>
        <w:tc>
          <w:tcPr>
            <w:tcW w:w="4284" w:type="dxa"/>
            <w:shd w:val="clear" w:color="auto" w:fill="auto"/>
            <w:vAlign w:val="center"/>
          </w:tcPr>
          <w:p w14:paraId="4F6B9D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违章内容</w:t>
            </w:r>
          </w:p>
        </w:tc>
        <w:tc>
          <w:tcPr>
            <w:tcW w:w="2230" w:type="dxa"/>
            <w:gridSpan w:val="2"/>
            <w:shd w:val="clear" w:color="auto" w:fill="auto"/>
            <w:vAlign w:val="center"/>
          </w:tcPr>
          <w:p w14:paraId="10B96C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罚款金额</w:t>
            </w:r>
          </w:p>
        </w:tc>
        <w:tc>
          <w:tcPr>
            <w:tcW w:w="1202" w:type="dxa"/>
            <w:gridSpan w:val="2"/>
            <w:shd w:val="clear" w:color="auto" w:fill="auto"/>
            <w:vAlign w:val="center"/>
          </w:tcPr>
          <w:p w14:paraId="299E20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备注</w:t>
            </w:r>
          </w:p>
        </w:tc>
      </w:tr>
      <w:tr w14:paraId="1B3C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2130F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HC01</w:t>
            </w:r>
          </w:p>
        </w:tc>
        <w:tc>
          <w:tcPr>
            <w:tcW w:w="4284" w:type="dxa"/>
            <w:shd w:val="clear" w:color="auto" w:fill="auto"/>
            <w:vAlign w:val="center"/>
          </w:tcPr>
          <w:p w14:paraId="3BCC0A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未按合法途径采购合格危化品</w:t>
            </w:r>
          </w:p>
        </w:tc>
        <w:tc>
          <w:tcPr>
            <w:tcW w:w="2230" w:type="dxa"/>
            <w:gridSpan w:val="2"/>
            <w:shd w:val="clear" w:color="auto" w:fill="auto"/>
            <w:vAlign w:val="center"/>
          </w:tcPr>
          <w:p w14:paraId="71E2A7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 5000元</w:t>
            </w:r>
          </w:p>
        </w:tc>
        <w:tc>
          <w:tcPr>
            <w:tcW w:w="1202" w:type="dxa"/>
            <w:gridSpan w:val="2"/>
            <w:shd w:val="clear" w:color="auto" w:fill="auto"/>
            <w:vAlign w:val="center"/>
          </w:tcPr>
          <w:p w14:paraId="25A99C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r w14:paraId="4E8A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2C725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HC02</w:t>
            </w:r>
          </w:p>
        </w:tc>
        <w:tc>
          <w:tcPr>
            <w:tcW w:w="4284" w:type="dxa"/>
            <w:shd w:val="clear" w:color="auto" w:fill="auto"/>
            <w:vAlign w:val="center"/>
          </w:tcPr>
          <w:p w14:paraId="4320F5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未按规范规定储存危险化学品</w:t>
            </w:r>
          </w:p>
        </w:tc>
        <w:tc>
          <w:tcPr>
            <w:tcW w:w="2230" w:type="dxa"/>
            <w:gridSpan w:val="2"/>
            <w:shd w:val="clear" w:color="auto" w:fill="auto"/>
            <w:vAlign w:val="center"/>
          </w:tcPr>
          <w:p w14:paraId="2AA7CE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1D102B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r w14:paraId="3A71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4C17C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HC03</w:t>
            </w:r>
          </w:p>
        </w:tc>
        <w:tc>
          <w:tcPr>
            <w:tcW w:w="4284" w:type="dxa"/>
            <w:shd w:val="clear" w:color="auto" w:fill="auto"/>
            <w:vAlign w:val="center"/>
          </w:tcPr>
          <w:p w14:paraId="732C4D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储存未设置相应警示、防范措施等</w:t>
            </w:r>
          </w:p>
        </w:tc>
        <w:tc>
          <w:tcPr>
            <w:tcW w:w="2230" w:type="dxa"/>
            <w:gridSpan w:val="2"/>
            <w:shd w:val="clear" w:color="auto" w:fill="auto"/>
            <w:vAlign w:val="center"/>
          </w:tcPr>
          <w:p w14:paraId="5DAA9E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4A6CBB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r w14:paraId="68E1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 w:type="dxa"/>
            <w:shd w:val="clear" w:color="auto" w:fill="auto"/>
            <w:vAlign w:val="center"/>
          </w:tcPr>
          <w:p w14:paraId="50AA50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HC04</w:t>
            </w:r>
          </w:p>
        </w:tc>
        <w:tc>
          <w:tcPr>
            <w:tcW w:w="4284" w:type="dxa"/>
            <w:shd w:val="clear" w:color="auto" w:fill="auto"/>
            <w:vAlign w:val="center"/>
          </w:tcPr>
          <w:p w14:paraId="5E3590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其他违反国家相关标准和项目管理规定</w:t>
            </w:r>
          </w:p>
        </w:tc>
        <w:tc>
          <w:tcPr>
            <w:tcW w:w="2230" w:type="dxa"/>
            <w:gridSpan w:val="2"/>
            <w:shd w:val="clear" w:color="auto" w:fill="auto"/>
            <w:vAlign w:val="center"/>
          </w:tcPr>
          <w:p w14:paraId="427CE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5C3C79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bl>
    <w:p w14:paraId="04513FBD">
      <w:pPr>
        <w:keepNext w:val="0"/>
        <w:keepLines w:val="0"/>
        <w:pageBreakBefore w:val="0"/>
        <w:kinsoku/>
        <w:wordWrap/>
        <w:overflowPunct w:val="0"/>
        <w:topLinePunct w:val="0"/>
        <w:autoSpaceDE w:val="0"/>
        <w:autoSpaceDN w:val="0"/>
        <w:bidi w:val="0"/>
        <w:adjustRightInd w:val="0"/>
        <w:snapToGrid w:val="0"/>
        <w:spacing w:line="240" w:lineRule="auto"/>
        <w:textAlignment w:val="baseline"/>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重要说明</w:t>
      </w:r>
    </w:p>
    <w:p w14:paraId="2194F4FD">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 以上罚款均为人民币；</w:t>
      </w:r>
    </w:p>
    <w:p w14:paraId="6837211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2 收到罚款单之日起5个工作内上交罚款；</w:t>
      </w:r>
    </w:p>
    <w:p w14:paraId="24CCD42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 拒不缴纳罚款的，按应罚款金额的10倍在工程款中直接扣除；</w:t>
      </w:r>
    </w:p>
    <w:p w14:paraId="662299B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 乙方对于分包单位的管理可参照本罚则，以约束其工作行为；</w:t>
      </w:r>
    </w:p>
    <w:p w14:paraId="3135472E">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 监理单位对乙方的安全处罚应按照本罚则执行，并将罚款缴纳入甲方指挥部统一管理;</w:t>
      </w:r>
    </w:p>
    <w:p w14:paraId="02D7530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6 以上处罚标准按发现情况单次计算，不同违章违规行为累加处罚。</w:t>
      </w:r>
    </w:p>
    <w:p w14:paraId="3BFF1C4A">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7 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1ACF497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8 甲方保留对本细则的最终解释权。</w:t>
      </w:r>
    </w:p>
    <w:p w14:paraId="5105BD00">
      <w:pPr>
        <w:keepNext w:val="0"/>
        <w:keepLines w:val="0"/>
        <w:pageBreakBefore w:val="0"/>
        <w:numPr>
          <w:ilvl w:val="12"/>
          <w:numId w:val="0"/>
        </w:numPr>
        <w:tabs>
          <w:tab w:val="left" w:pos="3480"/>
        </w:tabs>
        <w:kinsoku/>
        <w:wordWrap/>
        <w:topLinePunct w:val="0"/>
        <w:bidi w:val="0"/>
        <w:snapToGrid w:val="0"/>
        <w:spacing w:line="360" w:lineRule="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306DC1CB">
      <w:pPr>
        <w:keepNext w:val="0"/>
        <w:keepLines w:val="0"/>
        <w:pageBreakBefore w:val="0"/>
        <w:numPr>
          <w:ilvl w:val="12"/>
          <w:numId w:val="0"/>
        </w:numPr>
        <w:tabs>
          <w:tab w:val="left" w:pos="3480"/>
        </w:tabs>
        <w:kinsoku/>
        <w:wordWrap/>
        <w:topLinePunct w:val="0"/>
        <w:bidi w:val="0"/>
        <w:snapToGrid w:val="0"/>
        <w:spacing w:line="360" w:lineRule="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32B59E4A">
      <w:pP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pPr>
      <w: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br w:type="page"/>
      </w:r>
    </w:p>
    <w:p w14:paraId="71A9FF79">
      <w:pPr>
        <w:keepNext w:val="0"/>
        <w:keepLines w:val="0"/>
        <w:pageBreakBefore w:val="0"/>
        <w:tabs>
          <w:tab w:val="left" w:pos="6720"/>
        </w:tabs>
        <w:kinsoku/>
        <w:wordWrap/>
        <w:overflowPunct w:val="0"/>
        <w:topLinePunct w:val="0"/>
        <w:autoSpaceDE w:val="0"/>
        <w:autoSpaceDN w:val="0"/>
        <w:bidi w:val="0"/>
        <w:adjustRightInd w:val="0"/>
        <w:snapToGrid w:val="0"/>
        <w:spacing w:line="240" w:lineRule="auto"/>
        <w:ind w:left="0" w:leftChars="0" w:right="184" w:rightChars="66" w:firstLine="0" w:firstLineChars="0"/>
        <w:jc w:val="center"/>
        <w:textAlignment w:val="baseline"/>
        <w:outlineLvl w:val="9"/>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pPr>
      <w: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t xml:space="preserve">附件2   </w:t>
      </w:r>
      <w:r>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t>事故处罚实施细则</w:t>
      </w:r>
    </w:p>
    <w:p w14:paraId="67287C18">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p>
    <w:p w14:paraId="675697D7">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范围</w:t>
      </w:r>
    </w:p>
    <w:p w14:paraId="27521FC0">
      <w:pPr>
        <w:keepNext w:val="0"/>
        <w:keepLines w:val="0"/>
        <w:pageBreakBefore w:val="0"/>
        <w:kinsoku/>
        <w:wordWrap/>
        <w:topLinePunct w:val="0"/>
        <w:autoSpaceDE w:val="0"/>
        <w:autoSpaceDN w:val="0"/>
        <w:bidi w:val="0"/>
        <w:adjustRightInd w:val="0"/>
        <w:snapToGrid w:val="0"/>
        <w:spacing w:line="240" w:lineRule="auto"/>
        <w:ind w:firstLine="420" w:firstLineChars="200"/>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 本细则明确了甲方所有工程项目各类事故管理标准、管理内容、要求与方法。</w:t>
      </w:r>
    </w:p>
    <w:p w14:paraId="5CB7709C">
      <w:pPr>
        <w:keepNext w:val="0"/>
        <w:keepLines w:val="0"/>
        <w:pageBreakBefore w:val="0"/>
        <w:kinsoku/>
        <w:wordWrap/>
        <w:topLinePunct w:val="0"/>
        <w:autoSpaceDE w:val="0"/>
        <w:autoSpaceDN w:val="0"/>
        <w:bidi w:val="0"/>
        <w:adjustRightInd w:val="0"/>
        <w:snapToGrid w:val="0"/>
        <w:spacing w:line="240" w:lineRule="auto"/>
        <w:ind w:firstLine="420" w:firstLineChars="200"/>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2 本规定适用于甲方所有标段的工程项目。</w:t>
      </w:r>
    </w:p>
    <w:p w14:paraId="19B07F87">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2</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职责</w:t>
      </w:r>
    </w:p>
    <w:p w14:paraId="01367236">
      <w:pPr>
        <w:keepNext w:val="0"/>
        <w:keepLines w:val="0"/>
        <w:pageBreakBefore w:val="0"/>
        <w:kinsoku/>
        <w:wordWrap/>
        <w:topLinePunct w:val="0"/>
        <w:autoSpaceDE w:val="0"/>
        <w:autoSpaceDN w:val="0"/>
        <w:bidi w:val="0"/>
        <w:adjustRightInd w:val="0"/>
        <w:snapToGrid w:val="0"/>
        <w:spacing w:line="240" w:lineRule="auto"/>
        <w:ind w:firstLine="420" w:firstLineChars="200"/>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2</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 甲方工程相关部门、监理单位有关人员对事故单位按本细则标准执行处罚。处罚对象为乙方。</w:t>
      </w:r>
    </w:p>
    <w:p w14:paraId="658DA678">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内容</w:t>
      </w:r>
    </w:p>
    <w:p w14:paraId="01CBA81F">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 未遂事故（有险情，但未造成人员伤害、设备损害，含重物高处坠物。）</w:t>
      </w:r>
    </w:p>
    <w:p w14:paraId="16A7E2A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每次罚乙方三千元，通报批评。</w:t>
      </w:r>
    </w:p>
    <w:p w14:paraId="0AA05DE1">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2 记录事故（人员轻微伤害不构成轻伤，设备未造成永久性损坏，可以修复。）</w:t>
      </w:r>
    </w:p>
    <w:p w14:paraId="552B603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每次罚乙方五千元，通报批评。</w:t>
      </w:r>
    </w:p>
    <w:p w14:paraId="165CCFF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 轻伤事故（国家有关规定鉴定）</w:t>
      </w:r>
    </w:p>
    <w:p w14:paraId="1EFA8CE4">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发生一人次轻伤事故，罚乙方一万元，通报批评。一次事故多人轻伤，按每人次五千元累计相加达三万元终止。</w:t>
      </w:r>
    </w:p>
    <w:p w14:paraId="6D3737DD">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 重伤事故</w:t>
      </w:r>
    </w:p>
    <w:p w14:paraId="5C3A1ED1">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发生一人次重伤事故，最低罚乙方三万元，通报批评。</w:t>
      </w:r>
    </w:p>
    <w:p w14:paraId="3E37BF0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 死亡事故</w:t>
      </w:r>
    </w:p>
    <w:p w14:paraId="7B89D7F9">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 发生一人次死亡事故罚乙方十万元，通报批评，停工整顿。</w:t>
      </w:r>
    </w:p>
    <w:p w14:paraId="0F8983A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 机械设备人员重伤以上事故（按机械设备事故损失金额标准确认）最低罚款五万元，通报批评。</w:t>
      </w:r>
    </w:p>
    <w:p w14:paraId="479D9CD5">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6 火灾事故（按有关火灾损失金额标准确定）最低罚款五万元,通报批评。</w:t>
      </w:r>
    </w:p>
    <w:p w14:paraId="1FDEF371">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7人员重伤以上交通事故（以交通管理部门责任认定书为据）</w:t>
      </w:r>
    </w:p>
    <w:p w14:paraId="6AA7262C">
      <w:pPr>
        <w:keepNext w:val="0"/>
        <w:keepLines w:val="0"/>
        <w:pageBreakBefore w:val="0"/>
        <w:kinsoku/>
        <w:wordWrap/>
        <w:overflowPunct w:val="0"/>
        <w:topLinePunct w:val="0"/>
        <w:autoSpaceDE w:val="0"/>
        <w:autoSpaceDN w:val="0"/>
        <w:bidi w:val="0"/>
        <w:adjustRightInd w:val="0"/>
        <w:snapToGrid w:val="0"/>
        <w:spacing w:line="240" w:lineRule="auto"/>
        <w:ind w:firstLine="315" w:firstLineChars="15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最低罚款五万元，通报批评。</w:t>
      </w:r>
    </w:p>
    <w:p w14:paraId="7C4550D4">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8 发生射线职业卫生伤害事故，大范围中暑、食物中毒、建筑物坍塌，受考核的环境污染事故。罚款五万元，上报政府机关，停工整顿，触犯刑律的由公安机关处置。</w:t>
      </w:r>
    </w:p>
    <w:p w14:paraId="418F9A42">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9乙方轻伤负伤率超过3‰，处罚五万元。</w:t>
      </w:r>
    </w:p>
    <w:p w14:paraId="61536C1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10 乙方故意瞒报、迟报、谎报发生的各类事故，处以发生事故类型罚款的2到5倍罚款，一切随之发生的法律责任由施工单位负责，并赔偿由此给甲方带来的一切损失。</w:t>
      </w:r>
    </w:p>
    <w:p w14:paraId="33E0321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11 在政府、行业及相关行政管理、执法机构的检查中由于施工单位原因、过错所产生的一切法律、经济处罚皆由乙方负责，并赔偿由此带给甲方的损失。</w:t>
      </w:r>
    </w:p>
    <w:p w14:paraId="43F6F78F">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12乙方人员偷盗物品（物品本身加上附加价值计算）除赔偿该物品外，并处以物品价值的20%—50%。当事人移交公安机关处理。</w:t>
      </w:r>
    </w:p>
    <w:p w14:paraId="77541493">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13乙方丢失、损坏本公司委托施工单位保管的物品，除赔偿该物品外并承担由此造成的直接损失。</w:t>
      </w:r>
    </w:p>
    <w:p w14:paraId="4EE7CE2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14 由乙方及其人员原因造成群体性事件的，罚款5万元每次，乙方负责赔偿所造成的损失，当事人移交公安机关处理，甲方保留继续追究责任的权利。</w:t>
      </w:r>
    </w:p>
    <w:p w14:paraId="7BD7464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 xml:space="preserve"> 甲方保留对本细则的最终解释权。</w:t>
      </w:r>
    </w:p>
    <w:p w14:paraId="31FC9A1A">
      <w:pPr>
        <w:keepNext w:val="0"/>
        <w:keepLines w:val="0"/>
        <w:pageBreakBefore w:val="0"/>
        <w:kinsoku/>
        <w:wordWrap/>
        <w:topLinePunct w:val="0"/>
        <w:bidi w:val="0"/>
        <w:snapToGrid w:val="0"/>
        <w:spacing w:line="240" w:lineRule="auto"/>
        <w:ind w:left="0" w:leftChars="0" w:firstLine="0" w:firstLineChars="0"/>
        <w:jc w:val="both"/>
        <w:rPr>
          <w:rFonts w:hint="default" w:ascii="Times New Roman" w:hAnsi="Times New Roman" w:cs="Times New Roman" w:eastAsiaTheme="minorEastAsia"/>
          <w:b/>
          <w:color w:val="000000" w:themeColor="text1"/>
          <w:sz w:val="21"/>
          <w:szCs w:val="21"/>
          <w:highlight w:val="none"/>
          <w:u w:val="none"/>
          <w:lang w:val="en-US" w:eastAsia="zh-CN"/>
          <w14:textFill>
            <w14:solidFill>
              <w14:schemeClr w14:val="tx1"/>
            </w14:solidFill>
          </w14:textFill>
        </w:rPr>
      </w:pPr>
    </w:p>
    <w:p w14:paraId="5E65D13B">
      <w:pPr>
        <w:pStyle w:val="2"/>
        <w:keepNext w:val="0"/>
        <w:keepLines w:val="0"/>
        <w:pageBreakBefore w:val="0"/>
        <w:kinsoku/>
        <w:wordWrap/>
        <w:topLinePunct w:val="0"/>
        <w:bidi w:val="0"/>
        <w:snapToGrid w:val="0"/>
        <w:spacing w:after="0" w:line="240" w:lineRule="auto"/>
        <w:ind w:left="0" w:leftChars="0" w:firstLine="420" w:firstLineChars="200"/>
        <w:rPr>
          <w:rFonts w:hint="default" w:ascii="Times New Roman" w:hAnsi="Times New Roman" w:eastAsia="宋体" w:cs="Times New Roman"/>
          <w:b w:val="0"/>
          <w:bCs w:val="0"/>
          <w:color w:val="auto"/>
          <w:sz w:val="21"/>
          <w:szCs w:val="21"/>
          <w:highlight w:val="none"/>
          <w:lang w:val="en-US" w:eastAsia="zh-CN"/>
        </w:rPr>
      </w:pPr>
    </w:p>
    <w:sectPr>
      <w:headerReference r:id="rId5" w:type="default"/>
      <w:footerReference r:id="rId6" w:type="default"/>
      <w:pgSz w:w="11906" w:h="16838"/>
      <w:pgMar w:top="1440" w:right="1800" w:bottom="1440" w:left="1800" w:header="567" w:footer="567" w:gutter="0"/>
      <w:cols w:space="0"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E672BB-3B87-408B-A43F-E70FCE7AB77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6EDC">
    <w:pPr>
      <w:pStyle w:val="12"/>
      <w:jc w:val="center"/>
      <w:rPr>
        <w:rFonts w:hint="eastAsia"/>
      </w:rPr>
    </w:pPr>
    <w:r>
      <w:fldChar w:fldCharType="begin"/>
    </w:r>
    <w:r>
      <w:rPr>
        <w:rStyle w:val="24"/>
        <w:rFonts w:asciiTheme="minorEastAsia" w:hAnsiTheme="minorEastAsia" w:eastAsiaTheme="minorEastAsia"/>
      </w:rPr>
      <w:instrText xml:space="preserve"> PAGE </w:instrText>
    </w:r>
    <w:r>
      <w:fldChar w:fldCharType="separate"/>
    </w:r>
    <w:r>
      <w:rPr>
        <w:rStyle w:val="24"/>
        <w:rFonts w:asciiTheme="minorEastAsia" w:hAnsiTheme="minorEastAsia" w:eastAsiaTheme="minorEastAsia"/>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131F">
    <w:pPr>
      <w:pStyle w:val="14"/>
      <w:pBdr>
        <w:bottom w:val="none" w:color="auto" w:sz="0" w:space="1"/>
      </w:pBdr>
    </w:pPr>
    <w:r>
      <w:rPr>
        <w:sz w:val="18"/>
      </w:rPr>
      <w:pict>
        <v:shape id="_x0000_s3074" o:spid="_x0000_s3074" o:spt="136" type="#_x0000_t136" style="position:absolute;left:0pt;height:115.5pt;width:471.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40632f" focussize="0,0"/>
          <v:stroke on="f"/>
          <v:imagedata o:title=""/>
          <o:lock v:ext="edit" aspectratio="t"/>
          <v:textpath on="t" fitshape="t" fitpath="t" trim="t" xscale="f" string="新东湾2025" style="font-family:微软雅黑;font-size:36pt;v-same-letter-heights:f;v-text-align:center;"/>
        </v:shape>
      </w:pict>
    </w:r>
    <w:r>
      <w:rPr>
        <w:sz w:val="18"/>
      </w:rPr>
      <w:pict>
        <v:shape id="_x0000_s3076" o:spid="_x0000_s3076" o:spt="136" type="#_x0000_t136" style="position:absolute;left:0pt;height:115.5pt;width:471.7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40632f" focussize="0,0"/>
          <v:stroke on="f"/>
          <v:imagedata o:title=""/>
          <o:lock v:ext="edit" aspectratio="t"/>
          <v:textpath on="t" fitshape="t" fitpath="t" trim="t" xscale="f" string="新东湾2025"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pStyle w:val="39"/>
      <w:lvlText w:val="附件%1"/>
      <w:lvlJc w:val="left"/>
      <w:pPr>
        <w:ind w:left="168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3">
    <w:nsid w:val="674468C9"/>
    <w:multiLevelType w:val="singleLevel"/>
    <w:tmpl w:val="674468C9"/>
    <w:lvl w:ilvl="0" w:tentative="0">
      <w:start w:val="1"/>
      <w:numFmt w:val="decimal"/>
      <w:suff w:val="nothing"/>
      <w:lvlText w:val="%1、"/>
      <w:lvlJc w:val="left"/>
    </w:lvl>
  </w:abstractNum>
  <w:abstractNum w:abstractNumId="4">
    <w:nsid w:val="7A14A271"/>
    <w:multiLevelType w:val="singleLevel"/>
    <w:tmpl w:val="7A14A271"/>
    <w:lvl w:ilvl="0" w:tentative="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dit="trackedChanges" w:formatting="1"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jllZGE3Yzg2ZDI1M2M3YzE1ZTBiZDFkMzVhMTQifQ=="/>
    <w:docVar w:name="KSO_WPS_MARK_KEY" w:val="3aa528cb-e796-4d5b-a789-b0687419a4db"/>
  </w:docVars>
  <w:rsids>
    <w:rsidRoot w:val="00BD5ED0"/>
    <w:rsid w:val="000008C9"/>
    <w:rsid w:val="00002A70"/>
    <w:rsid w:val="00005B73"/>
    <w:rsid w:val="00006E28"/>
    <w:rsid w:val="00010591"/>
    <w:rsid w:val="00012BFA"/>
    <w:rsid w:val="0001750B"/>
    <w:rsid w:val="000177F5"/>
    <w:rsid w:val="00017F73"/>
    <w:rsid w:val="000200A4"/>
    <w:rsid w:val="00020110"/>
    <w:rsid w:val="00021CCC"/>
    <w:rsid w:val="000259E8"/>
    <w:rsid w:val="000357C2"/>
    <w:rsid w:val="00040C3F"/>
    <w:rsid w:val="000414F6"/>
    <w:rsid w:val="000503BE"/>
    <w:rsid w:val="00050C4D"/>
    <w:rsid w:val="00063F50"/>
    <w:rsid w:val="00064EC1"/>
    <w:rsid w:val="000651A1"/>
    <w:rsid w:val="00071D2F"/>
    <w:rsid w:val="00072FB9"/>
    <w:rsid w:val="00074244"/>
    <w:rsid w:val="000746A0"/>
    <w:rsid w:val="000843AB"/>
    <w:rsid w:val="00084EFC"/>
    <w:rsid w:val="00091C51"/>
    <w:rsid w:val="000930FE"/>
    <w:rsid w:val="00093E6B"/>
    <w:rsid w:val="000A0257"/>
    <w:rsid w:val="000A2428"/>
    <w:rsid w:val="000A3197"/>
    <w:rsid w:val="000A686B"/>
    <w:rsid w:val="000B72CC"/>
    <w:rsid w:val="000C368D"/>
    <w:rsid w:val="000C38FC"/>
    <w:rsid w:val="000C44D1"/>
    <w:rsid w:val="000D27C3"/>
    <w:rsid w:val="000D2A43"/>
    <w:rsid w:val="000D4182"/>
    <w:rsid w:val="000D4735"/>
    <w:rsid w:val="000D6353"/>
    <w:rsid w:val="000D714D"/>
    <w:rsid w:val="000E071E"/>
    <w:rsid w:val="000E22A2"/>
    <w:rsid w:val="000E4B29"/>
    <w:rsid w:val="000E50FD"/>
    <w:rsid w:val="000E5295"/>
    <w:rsid w:val="000F297E"/>
    <w:rsid w:val="000F2FC6"/>
    <w:rsid w:val="000F3D0D"/>
    <w:rsid w:val="00104EDC"/>
    <w:rsid w:val="00113B70"/>
    <w:rsid w:val="0011620C"/>
    <w:rsid w:val="00117B37"/>
    <w:rsid w:val="00120623"/>
    <w:rsid w:val="001250EF"/>
    <w:rsid w:val="001255E4"/>
    <w:rsid w:val="00130ABB"/>
    <w:rsid w:val="001319FB"/>
    <w:rsid w:val="0013496C"/>
    <w:rsid w:val="00137EBC"/>
    <w:rsid w:val="001456E7"/>
    <w:rsid w:val="00147A6F"/>
    <w:rsid w:val="00150118"/>
    <w:rsid w:val="001508ED"/>
    <w:rsid w:val="00152EDC"/>
    <w:rsid w:val="00152F22"/>
    <w:rsid w:val="0015316C"/>
    <w:rsid w:val="001535CB"/>
    <w:rsid w:val="001558C3"/>
    <w:rsid w:val="0015673C"/>
    <w:rsid w:val="00157717"/>
    <w:rsid w:val="00160E3E"/>
    <w:rsid w:val="00161E1E"/>
    <w:rsid w:val="0016352B"/>
    <w:rsid w:val="0016665E"/>
    <w:rsid w:val="001704A6"/>
    <w:rsid w:val="0017142D"/>
    <w:rsid w:val="00177923"/>
    <w:rsid w:val="0018290E"/>
    <w:rsid w:val="00183E7B"/>
    <w:rsid w:val="001844CB"/>
    <w:rsid w:val="00191009"/>
    <w:rsid w:val="00191D39"/>
    <w:rsid w:val="0019241B"/>
    <w:rsid w:val="001925E5"/>
    <w:rsid w:val="00193DE0"/>
    <w:rsid w:val="00196FE0"/>
    <w:rsid w:val="001A00E1"/>
    <w:rsid w:val="001A6B53"/>
    <w:rsid w:val="001B0050"/>
    <w:rsid w:val="001B00AC"/>
    <w:rsid w:val="001B330F"/>
    <w:rsid w:val="001C22FD"/>
    <w:rsid w:val="001C279B"/>
    <w:rsid w:val="001C38B5"/>
    <w:rsid w:val="001C6220"/>
    <w:rsid w:val="001D0EAA"/>
    <w:rsid w:val="001E03D8"/>
    <w:rsid w:val="001E2913"/>
    <w:rsid w:val="001F0E27"/>
    <w:rsid w:val="002000CE"/>
    <w:rsid w:val="002008CC"/>
    <w:rsid w:val="00202189"/>
    <w:rsid w:val="00202C7A"/>
    <w:rsid w:val="00204419"/>
    <w:rsid w:val="00204BF5"/>
    <w:rsid w:val="00205F12"/>
    <w:rsid w:val="00211AA7"/>
    <w:rsid w:val="00212781"/>
    <w:rsid w:val="002147E4"/>
    <w:rsid w:val="002156FC"/>
    <w:rsid w:val="00215784"/>
    <w:rsid w:val="00215A83"/>
    <w:rsid w:val="00215DF7"/>
    <w:rsid w:val="002178BA"/>
    <w:rsid w:val="00220762"/>
    <w:rsid w:val="00222A08"/>
    <w:rsid w:val="00231EF4"/>
    <w:rsid w:val="002412A3"/>
    <w:rsid w:val="0024435D"/>
    <w:rsid w:val="002444E3"/>
    <w:rsid w:val="00244C63"/>
    <w:rsid w:val="002470C5"/>
    <w:rsid w:val="00252B93"/>
    <w:rsid w:val="00254BE7"/>
    <w:rsid w:val="002604B3"/>
    <w:rsid w:val="002608F7"/>
    <w:rsid w:val="0026325B"/>
    <w:rsid w:val="00263549"/>
    <w:rsid w:val="00263BCB"/>
    <w:rsid w:val="00266934"/>
    <w:rsid w:val="00284465"/>
    <w:rsid w:val="0028724F"/>
    <w:rsid w:val="00294506"/>
    <w:rsid w:val="00295790"/>
    <w:rsid w:val="002A07FA"/>
    <w:rsid w:val="002A353A"/>
    <w:rsid w:val="002A6212"/>
    <w:rsid w:val="002A6F7A"/>
    <w:rsid w:val="002B11D8"/>
    <w:rsid w:val="002B1D8A"/>
    <w:rsid w:val="002B3093"/>
    <w:rsid w:val="002B3C8D"/>
    <w:rsid w:val="002B574A"/>
    <w:rsid w:val="002C156B"/>
    <w:rsid w:val="002C4A17"/>
    <w:rsid w:val="002D3799"/>
    <w:rsid w:val="002D3DA6"/>
    <w:rsid w:val="002E0F8A"/>
    <w:rsid w:val="002E2198"/>
    <w:rsid w:val="002E248E"/>
    <w:rsid w:val="002F20CC"/>
    <w:rsid w:val="002F3DE0"/>
    <w:rsid w:val="002F4F15"/>
    <w:rsid w:val="002F6B82"/>
    <w:rsid w:val="00300359"/>
    <w:rsid w:val="00301483"/>
    <w:rsid w:val="00302B14"/>
    <w:rsid w:val="003049EE"/>
    <w:rsid w:val="003058CD"/>
    <w:rsid w:val="0030741A"/>
    <w:rsid w:val="003115D5"/>
    <w:rsid w:val="0031424A"/>
    <w:rsid w:val="00315AA9"/>
    <w:rsid w:val="0031719C"/>
    <w:rsid w:val="003171C1"/>
    <w:rsid w:val="00317B43"/>
    <w:rsid w:val="00317FBB"/>
    <w:rsid w:val="00322872"/>
    <w:rsid w:val="00324D15"/>
    <w:rsid w:val="00325B8B"/>
    <w:rsid w:val="00330877"/>
    <w:rsid w:val="00331421"/>
    <w:rsid w:val="00334CF7"/>
    <w:rsid w:val="003425C3"/>
    <w:rsid w:val="0034386B"/>
    <w:rsid w:val="003440DD"/>
    <w:rsid w:val="0034626A"/>
    <w:rsid w:val="00346703"/>
    <w:rsid w:val="00347AB6"/>
    <w:rsid w:val="00356D07"/>
    <w:rsid w:val="00356FDA"/>
    <w:rsid w:val="0035767D"/>
    <w:rsid w:val="00361657"/>
    <w:rsid w:val="003636D5"/>
    <w:rsid w:val="00364351"/>
    <w:rsid w:val="003708E7"/>
    <w:rsid w:val="003743E1"/>
    <w:rsid w:val="003844FE"/>
    <w:rsid w:val="00385581"/>
    <w:rsid w:val="00386F84"/>
    <w:rsid w:val="00387680"/>
    <w:rsid w:val="00390A54"/>
    <w:rsid w:val="00391805"/>
    <w:rsid w:val="0039204D"/>
    <w:rsid w:val="00392231"/>
    <w:rsid w:val="003924CF"/>
    <w:rsid w:val="00392B90"/>
    <w:rsid w:val="00393785"/>
    <w:rsid w:val="003958FB"/>
    <w:rsid w:val="00395D6C"/>
    <w:rsid w:val="00396DB6"/>
    <w:rsid w:val="003A1211"/>
    <w:rsid w:val="003A31DC"/>
    <w:rsid w:val="003A3E14"/>
    <w:rsid w:val="003A4061"/>
    <w:rsid w:val="003B1D0A"/>
    <w:rsid w:val="003B6841"/>
    <w:rsid w:val="003C23CD"/>
    <w:rsid w:val="003C4B51"/>
    <w:rsid w:val="003C4C6F"/>
    <w:rsid w:val="003C5F72"/>
    <w:rsid w:val="003C66ED"/>
    <w:rsid w:val="003D201C"/>
    <w:rsid w:val="003D3143"/>
    <w:rsid w:val="003D3531"/>
    <w:rsid w:val="003D6146"/>
    <w:rsid w:val="003E0AA5"/>
    <w:rsid w:val="003E4DE6"/>
    <w:rsid w:val="003E5230"/>
    <w:rsid w:val="003F219B"/>
    <w:rsid w:val="003F3C37"/>
    <w:rsid w:val="003F4157"/>
    <w:rsid w:val="003F4337"/>
    <w:rsid w:val="003F778D"/>
    <w:rsid w:val="003F78F3"/>
    <w:rsid w:val="003F7E25"/>
    <w:rsid w:val="00400BC6"/>
    <w:rsid w:val="004022EC"/>
    <w:rsid w:val="00403198"/>
    <w:rsid w:val="00403829"/>
    <w:rsid w:val="00407262"/>
    <w:rsid w:val="00407D6E"/>
    <w:rsid w:val="00411D7F"/>
    <w:rsid w:val="00412ADA"/>
    <w:rsid w:val="004156E3"/>
    <w:rsid w:val="00417501"/>
    <w:rsid w:val="00430797"/>
    <w:rsid w:val="00430CCE"/>
    <w:rsid w:val="00432EAF"/>
    <w:rsid w:val="00432EF0"/>
    <w:rsid w:val="00436A45"/>
    <w:rsid w:val="00441C27"/>
    <w:rsid w:val="004537D9"/>
    <w:rsid w:val="00454DCF"/>
    <w:rsid w:val="00455511"/>
    <w:rsid w:val="00455956"/>
    <w:rsid w:val="004567F8"/>
    <w:rsid w:val="00467380"/>
    <w:rsid w:val="00471F03"/>
    <w:rsid w:val="00472665"/>
    <w:rsid w:val="00472B66"/>
    <w:rsid w:val="004837A1"/>
    <w:rsid w:val="00485610"/>
    <w:rsid w:val="00485B02"/>
    <w:rsid w:val="00485FBD"/>
    <w:rsid w:val="00486C6C"/>
    <w:rsid w:val="00491C88"/>
    <w:rsid w:val="004928FB"/>
    <w:rsid w:val="004956D1"/>
    <w:rsid w:val="004963C4"/>
    <w:rsid w:val="00496744"/>
    <w:rsid w:val="004A0CBA"/>
    <w:rsid w:val="004A3674"/>
    <w:rsid w:val="004A46B6"/>
    <w:rsid w:val="004A699E"/>
    <w:rsid w:val="004B051F"/>
    <w:rsid w:val="004B0DB5"/>
    <w:rsid w:val="004B1B5B"/>
    <w:rsid w:val="004B1D2D"/>
    <w:rsid w:val="004B2BBD"/>
    <w:rsid w:val="004B337A"/>
    <w:rsid w:val="004C05DB"/>
    <w:rsid w:val="004C1076"/>
    <w:rsid w:val="004C72D8"/>
    <w:rsid w:val="004C7E27"/>
    <w:rsid w:val="004D15F3"/>
    <w:rsid w:val="004D280B"/>
    <w:rsid w:val="004D4334"/>
    <w:rsid w:val="004D7766"/>
    <w:rsid w:val="004E4777"/>
    <w:rsid w:val="004E611C"/>
    <w:rsid w:val="004E6EDE"/>
    <w:rsid w:val="004F0FA4"/>
    <w:rsid w:val="004F2DA5"/>
    <w:rsid w:val="004F37C4"/>
    <w:rsid w:val="004F38EE"/>
    <w:rsid w:val="004F560E"/>
    <w:rsid w:val="004F5933"/>
    <w:rsid w:val="004F7290"/>
    <w:rsid w:val="004F72B7"/>
    <w:rsid w:val="005019AB"/>
    <w:rsid w:val="0050320D"/>
    <w:rsid w:val="00503226"/>
    <w:rsid w:val="00506550"/>
    <w:rsid w:val="00516AC4"/>
    <w:rsid w:val="00516DB3"/>
    <w:rsid w:val="00520138"/>
    <w:rsid w:val="00521F40"/>
    <w:rsid w:val="005224DD"/>
    <w:rsid w:val="00526279"/>
    <w:rsid w:val="0052639D"/>
    <w:rsid w:val="00534A9B"/>
    <w:rsid w:val="00540A5F"/>
    <w:rsid w:val="00545EBA"/>
    <w:rsid w:val="005470FC"/>
    <w:rsid w:val="00557CCB"/>
    <w:rsid w:val="00564CE2"/>
    <w:rsid w:val="00565371"/>
    <w:rsid w:val="00570AB2"/>
    <w:rsid w:val="00575CB9"/>
    <w:rsid w:val="0058123D"/>
    <w:rsid w:val="005A2B90"/>
    <w:rsid w:val="005A7013"/>
    <w:rsid w:val="005A74C6"/>
    <w:rsid w:val="005B48FC"/>
    <w:rsid w:val="005B5388"/>
    <w:rsid w:val="005C5D15"/>
    <w:rsid w:val="005C6A2B"/>
    <w:rsid w:val="005D690B"/>
    <w:rsid w:val="005D7CA1"/>
    <w:rsid w:val="005E1217"/>
    <w:rsid w:val="005E154E"/>
    <w:rsid w:val="005E58E4"/>
    <w:rsid w:val="005F10D9"/>
    <w:rsid w:val="005F1363"/>
    <w:rsid w:val="005F51E3"/>
    <w:rsid w:val="005F5937"/>
    <w:rsid w:val="00600FB7"/>
    <w:rsid w:val="00602834"/>
    <w:rsid w:val="00604EB7"/>
    <w:rsid w:val="00607402"/>
    <w:rsid w:val="00610E99"/>
    <w:rsid w:val="00611986"/>
    <w:rsid w:val="006122D4"/>
    <w:rsid w:val="006134D9"/>
    <w:rsid w:val="006155F4"/>
    <w:rsid w:val="0061737F"/>
    <w:rsid w:val="00620AA6"/>
    <w:rsid w:val="00620FEB"/>
    <w:rsid w:val="00621711"/>
    <w:rsid w:val="00624C60"/>
    <w:rsid w:val="00625458"/>
    <w:rsid w:val="0062713D"/>
    <w:rsid w:val="0063300F"/>
    <w:rsid w:val="00633B85"/>
    <w:rsid w:val="00636945"/>
    <w:rsid w:val="00637645"/>
    <w:rsid w:val="00641A2C"/>
    <w:rsid w:val="00642D50"/>
    <w:rsid w:val="00643E3F"/>
    <w:rsid w:val="006465B4"/>
    <w:rsid w:val="0065238D"/>
    <w:rsid w:val="00652DB0"/>
    <w:rsid w:val="006556D5"/>
    <w:rsid w:val="00655A9D"/>
    <w:rsid w:val="006571F2"/>
    <w:rsid w:val="0066377C"/>
    <w:rsid w:val="006639F2"/>
    <w:rsid w:val="00664CF3"/>
    <w:rsid w:val="00670799"/>
    <w:rsid w:val="006715D6"/>
    <w:rsid w:val="006720E0"/>
    <w:rsid w:val="0067593F"/>
    <w:rsid w:val="00681EC9"/>
    <w:rsid w:val="00686286"/>
    <w:rsid w:val="006878BB"/>
    <w:rsid w:val="00692457"/>
    <w:rsid w:val="0069444D"/>
    <w:rsid w:val="006A33C7"/>
    <w:rsid w:val="006A3E59"/>
    <w:rsid w:val="006A4E05"/>
    <w:rsid w:val="006A6668"/>
    <w:rsid w:val="006A72F6"/>
    <w:rsid w:val="006A736D"/>
    <w:rsid w:val="006B38EA"/>
    <w:rsid w:val="006B39D2"/>
    <w:rsid w:val="006B507A"/>
    <w:rsid w:val="006B7722"/>
    <w:rsid w:val="006C314B"/>
    <w:rsid w:val="006C388F"/>
    <w:rsid w:val="006C67E2"/>
    <w:rsid w:val="006D41D8"/>
    <w:rsid w:val="006D4357"/>
    <w:rsid w:val="006E0C5E"/>
    <w:rsid w:val="006E513C"/>
    <w:rsid w:val="006F6389"/>
    <w:rsid w:val="0070054D"/>
    <w:rsid w:val="00700EF5"/>
    <w:rsid w:val="00703A81"/>
    <w:rsid w:val="00705A9F"/>
    <w:rsid w:val="0071376E"/>
    <w:rsid w:val="00715CF6"/>
    <w:rsid w:val="00716B88"/>
    <w:rsid w:val="00721328"/>
    <w:rsid w:val="007214BF"/>
    <w:rsid w:val="0072333B"/>
    <w:rsid w:val="00724714"/>
    <w:rsid w:val="00730DF3"/>
    <w:rsid w:val="00736E64"/>
    <w:rsid w:val="007417B6"/>
    <w:rsid w:val="00744162"/>
    <w:rsid w:val="00744D15"/>
    <w:rsid w:val="00746BB2"/>
    <w:rsid w:val="0075179B"/>
    <w:rsid w:val="00751BF7"/>
    <w:rsid w:val="0075525F"/>
    <w:rsid w:val="00763808"/>
    <w:rsid w:val="007716A8"/>
    <w:rsid w:val="00776559"/>
    <w:rsid w:val="00777E23"/>
    <w:rsid w:val="007800E6"/>
    <w:rsid w:val="007815C8"/>
    <w:rsid w:val="0078232C"/>
    <w:rsid w:val="00782C1C"/>
    <w:rsid w:val="00783CCD"/>
    <w:rsid w:val="00785A6F"/>
    <w:rsid w:val="00786AFF"/>
    <w:rsid w:val="00786D41"/>
    <w:rsid w:val="007870C8"/>
    <w:rsid w:val="007873FC"/>
    <w:rsid w:val="00795D2B"/>
    <w:rsid w:val="007A1C9E"/>
    <w:rsid w:val="007A3C54"/>
    <w:rsid w:val="007A7052"/>
    <w:rsid w:val="007B1C06"/>
    <w:rsid w:val="007B2BE5"/>
    <w:rsid w:val="007B66AF"/>
    <w:rsid w:val="007C3658"/>
    <w:rsid w:val="007C45B9"/>
    <w:rsid w:val="007C57D0"/>
    <w:rsid w:val="007C7851"/>
    <w:rsid w:val="007D0A4A"/>
    <w:rsid w:val="007D4696"/>
    <w:rsid w:val="007D7CBF"/>
    <w:rsid w:val="007E4217"/>
    <w:rsid w:val="007F0FCF"/>
    <w:rsid w:val="007F275E"/>
    <w:rsid w:val="007F3777"/>
    <w:rsid w:val="007F3DA8"/>
    <w:rsid w:val="007F470C"/>
    <w:rsid w:val="007F6003"/>
    <w:rsid w:val="007F6626"/>
    <w:rsid w:val="007F7A6E"/>
    <w:rsid w:val="008010A7"/>
    <w:rsid w:val="008107BC"/>
    <w:rsid w:val="008111D9"/>
    <w:rsid w:val="008139B0"/>
    <w:rsid w:val="0081514B"/>
    <w:rsid w:val="008216E9"/>
    <w:rsid w:val="00821A09"/>
    <w:rsid w:val="00821AE1"/>
    <w:rsid w:val="0082553F"/>
    <w:rsid w:val="00833153"/>
    <w:rsid w:val="00834636"/>
    <w:rsid w:val="00837745"/>
    <w:rsid w:val="00837C55"/>
    <w:rsid w:val="00841877"/>
    <w:rsid w:val="00842E5F"/>
    <w:rsid w:val="00845161"/>
    <w:rsid w:val="008473F5"/>
    <w:rsid w:val="00847E4A"/>
    <w:rsid w:val="00854E40"/>
    <w:rsid w:val="008558E9"/>
    <w:rsid w:val="00855B7E"/>
    <w:rsid w:val="00856BE2"/>
    <w:rsid w:val="0086398D"/>
    <w:rsid w:val="00865C4C"/>
    <w:rsid w:val="008744DB"/>
    <w:rsid w:val="008777BE"/>
    <w:rsid w:val="00880D0D"/>
    <w:rsid w:val="0088194E"/>
    <w:rsid w:val="00882070"/>
    <w:rsid w:val="00883A6C"/>
    <w:rsid w:val="00884B3B"/>
    <w:rsid w:val="008924EB"/>
    <w:rsid w:val="00896C46"/>
    <w:rsid w:val="008A03D0"/>
    <w:rsid w:val="008A14CB"/>
    <w:rsid w:val="008A17BF"/>
    <w:rsid w:val="008A299F"/>
    <w:rsid w:val="008A3569"/>
    <w:rsid w:val="008A5EE3"/>
    <w:rsid w:val="008A60DB"/>
    <w:rsid w:val="008A642C"/>
    <w:rsid w:val="008B0C71"/>
    <w:rsid w:val="008B2368"/>
    <w:rsid w:val="008B63B0"/>
    <w:rsid w:val="008C4307"/>
    <w:rsid w:val="008D23EB"/>
    <w:rsid w:val="008D4710"/>
    <w:rsid w:val="008E206A"/>
    <w:rsid w:val="008E28F8"/>
    <w:rsid w:val="008E3556"/>
    <w:rsid w:val="008E718F"/>
    <w:rsid w:val="008E7FF7"/>
    <w:rsid w:val="008F2C99"/>
    <w:rsid w:val="008F3319"/>
    <w:rsid w:val="008F36EF"/>
    <w:rsid w:val="008F3990"/>
    <w:rsid w:val="008F4EA9"/>
    <w:rsid w:val="008F63E9"/>
    <w:rsid w:val="00902E6B"/>
    <w:rsid w:val="00903F11"/>
    <w:rsid w:val="00906EEB"/>
    <w:rsid w:val="009078ED"/>
    <w:rsid w:val="0092033D"/>
    <w:rsid w:val="0092114B"/>
    <w:rsid w:val="00921ADF"/>
    <w:rsid w:val="00926ED4"/>
    <w:rsid w:val="00927186"/>
    <w:rsid w:val="00937B99"/>
    <w:rsid w:val="009433DD"/>
    <w:rsid w:val="009473FD"/>
    <w:rsid w:val="0095209A"/>
    <w:rsid w:val="00956C3F"/>
    <w:rsid w:val="009732C3"/>
    <w:rsid w:val="00973EB4"/>
    <w:rsid w:val="00985E72"/>
    <w:rsid w:val="00991665"/>
    <w:rsid w:val="00992B1F"/>
    <w:rsid w:val="00993AA8"/>
    <w:rsid w:val="00994705"/>
    <w:rsid w:val="009973E9"/>
    <w:rsid w:val="009A0F33"/>
    <w:rsid w:val="009A3532"/>
    <w:rsid w:val="009B38A1"/>
    <w:rsid w:val="009B3D46"/>
    <w:rsid w:val="009B4760"/>
    <w:rsid w:val="009B4D9B"/>
    <w:rsid w:val="009B6030"/>
    <w:rsid w:val="009B7259"/>
    <w:rsid w:val="009C3560"/>
    <w:rsid w:val="009C4ACE"/>
    <w:rsid w:val="009C6950"/>
    <w:rsid w:val="009C6F7D"/>
    <w:rsid w:val="009C7654"/>
    <w:rsid w:val="009D21CB"/>
    <w:rsid w:val="009D3B5F"/>
    <w:rsid w:val="009D4238"/>
    <w:rsid w:val="009D4A6E"/>
    <w:rsid w:val="009D569E"/>
    <w:rsid w:val="009E1B25"/>
    <w:rsid w:val="009E2040"/>
    <w:rsid w:val="009E31D0"/>
    <w:rsid w:val="009E378D"/>
    <w:rsid w:val="009E72EE"/>
    <w:rsid w:val="009E7891"/>
    <w:rsid w:val="009E79DA"/>
    <w:rsid w:val="009F05B3"/>
    <w:rsid w:val="009F42A8"/>
    <w:rsid w:val="009F7302"/>
    <w:rsid w:val="00A0248B"/>
    <w:rsid w:val="00A0554B"/>
    <w:rsid w:val="00A071A6"/>
    <w:rsid w:val="00A07DC4"/>
    <w:rsid w:val="00A10EED"/>
    <w:rsid w:val="00A11CF1"/>
    <w:rsid w:val="00A145DE"/>
    <w:rsid w:val="00A14A4D"/>
    <w:rsid w:val="00A15074"/>
    <w:rsid w:val="00A17074"/>
    <w:rsid w:val="00A25FAB"/>
    <w:rsid w:val="00A26EE2"/>
    <w:rsid w:val="00A31649"/>
    <w:rsid w:val="00A31E39"/>
    <w:rsid w:val="00A32C29"/>
    <w:rsid w:val="00A34A4A"/>
    <w:rsid w:val="00A35DBD"/>
    <w:rsid w:val="00A40451"/>
    <w:rsid w:val="00A43B84"/>
    <w:rsid w:val="00A44E07"/>
    <w:rsid w:val="00A46A18"/>
    <w:rsid w:val="00A46C5D"/>
    <w:rsid w:val="00A5104F"/>
    <w:rsid w:val="00A533FB"/>
    <w:rsid w:val="00A5419D"/>
    <w:rsid w:val="00A609CC"/>
    <w:rsid w:val="00A63ABF"/>
    <w:rsid w:val="00A65D0C"/>
    <w:rsid w:val="00A71D8D"/>
    <w:rsid w:val="00A72C4A"/>
    <w:rsid w:val="00A73175"/>
    <w:rsid w:val="00A73BB4"/>
    <w:rsid w:val="00A82777"/>
    <w:rsid w:val="00A84118"/>
    <w:rsid w:val="00A84C86"/>
    <w:rsid w:val="00A92661"/>
    <w:rsid w:val="00A92C6B"/>
    <w:rsid w:val="00A9511E"/>
    <w:rsid w:val="00A95B2F"/>
    <w:rsid w:val="00AA11D8"/>
    <w:rsid w:val="00AA1589"/>
    <w:rsid w:val="00AA25EE"/>
    <w:rsid w:val="00AA48EC"/>
    <w:rsid w:val="00AB0D83"/>
    <w:rsid w:val="00AB24A2"/>
    <w:rsid w:val="00AB4398"/>
    <w:rsid w:val="00AB5E6B"/>
    <w:rsid w:val="00AC1638"/>
    <w:rsid w:val="00AC2A9E"/>
    <w:rsid w:val="00AC3348"/>
    <w:rsid w:val="00AC3A72"/>
    <w:rsid w:val="00AC48B7"/>
    <w:rsid w:val="00AD0D60"/>
    <w:rsid w:val="00AD2C6E"/>
    <w:rsid w:val="00AD472A"/>
    <w:rsid w:val="00AD5A3D"/>
    <w:rsid w:val="00AE0578"/>
    <w:rsid w:val="00AE1540"/>
    <w:rsid w:val="00AE2F36"/>
    <w:rsid w:val="00AE34E6"/>
    <w:rsid w:val="00AE448C"/>
    <w:rsid w:val="00AE4931"/>
    <w:rsid w:val="00AF089C"/>
    <w:rsid w:val="00AF1F7E"/>
    <w:rsid w:val="00AF74DB"/>
    <w:rsid w:val="00B027A2"/>
    <w:rsid w:val="00B04A3E"/>
    <w:rsid w:val="00B07B4F"/>
    <w:rsid w:val="00B12016"/>
    <w:rsid w:val="00B132E4"/>
    <w:rsid w:val="00B14C6E"/>
    <w:rsid w:val="00B1755B"/>
    <w:rsid w:val="00B20140"/>
    <w:rsid w:val="00B218FE"/>
    <w:rsid w:val="00B23D43"/>
    <w:rsid w:val="00B41A9A"/>
    <w:rsid w:val="00B43A78"/>
    <w:rsid w:val="00B44693"/>
    <w:rsid w:val="00B5120C"/>
    <w:rsid w:val="00B51ABA"/>
    <w:rsid w:val="00B5304A"/>
    <w:rsid w:val="00B56F07"/>
    <w:rsid w:val="00B57D70"/>
    <w:rsid w:val="00B65B0B"/>
    <w:rsid w:val="00B67883"/>
    <w:rsid w:val="00B729EF"/>
    <w:rsid w:val="00B77A0B"/>
    <w:rsid w:val="00B8113B"/>
    <w:rsid w:val="00B81C4A"/>
    <w:rsid w:val="00B8255B"/>
    <w:rsid w:val="00B833D2"/>
    <w:rsid w:val="00B86A6A"/>
    <w:rsid w:val="00B90290"/>
    <w:rsid w:val="00B9040F"/>
    <w:rsid w:val="00B9472C"/>
    <w:rsid w:val="00B96AC8"/>
    <w:rsid w:val="00B9784D"/>
    <w:rsid w:val="00BA6537"/>
    <w:rsid w:val="00BA76D0"/>
    <w:rsid w:val="00BA7DD9"/>
    <w:rsid w:val="00BB068E"/>
    <w:rsid w:val="00BB097B"/>
    <w:rsid w:val="00BB21E0"/>
    <w:rsid w:val="00BB5440"/>
    <w:rsid w:val="00BB7FCB"/>
    <w:rsid w:val="00BC3D9E"/>
    <w:rsid w:val="00BD0716"/>
    <w:rsid w:val="00BD5ED0"/>
    <w:rsid w:val="00BD7B53"/>
    <w:rsid w:val="00BD7B9B"/>
    <w:rsid w:val="00BE2C65"/>
    <w:rsid w:val="00BE4B13"/>
    <w:rsid w:val="00BE62B0"/>
    <w:rsid w:val="00BE72A8"/>
    <w:rsid w:val="00BF2792"/>
    <w:rsid w:val="00BF2C56"/>
    <w:rsid w:val="00C02180"/>
    <w:rsid w:val="00C02FBC"/>
    <w:rsid w:val="00C03049"/>
    <w:rsid w:val="00C047B6"/>
    <w:rsid w:val="00C062FA"/>
    <w:rsid w:val="00C067CE"/>
    <w:rsid w:val="00C101EF"/>
    <w:rsid w:val="00C14B06"/>
    <w:rsid w:val="00C14D3A"/>
    <w:rsid w:val="00C255DE"/>
    <w:rsid w:val="00C25827"/>
    <w:rsid w:val="00C40976"/>
    <w:rsid w:val="00C437B6"/>
    <w:rsid w:val="00C475C0"/>
    <w:rsid w:val="00C5019D"/>
    <w:rsid w:val="00C51E5B"/>
    <w:rsid w:val="00C52FAF"/>
    <w:rsid w:val="00C57AB7"/>
    <w:rsid w:val="00C57D75"/>
    <w:rsid w:val="00C57E04"/>
    <w:rsid w:val="00C61F61"/>
    <w:rsid w:val="00C621EE"/>
    <w:rsid w:val="00C66E2B"/>
    <w:rsid w:val="00C70EC4"/>
    <w:rsid w:val="00C719D2"/>
    <w:rsid w:val="00C73FEB"/>
    <w:rsid w:val="00C75750"/>
    <w:rsid w:val="00C77B26"/>
    <w:rsid w:val="00C82F93"/>
    <w:rsid w:val="00C84880"/>
    <w:rsid w:val="00C85E58"/>
    <w:rsid w:val="00C864B6"/>
    <w:rsid w:val="00C87859"/>
    <w:rsid w:val="00C9161D"/>
    <w:rsid w:val="00C91949"/>
    <w:rsid w:val="00C9344C"/>
    <w:rsid w:val="00C9393A"/>
    <w:rsid w:val="00C96272"/>
    <w:rsid w:val="00CA15F1"/>
    <w:rsid w:val="00CA65D1"/>
    <w:rsid w:val="00CA7163"/>
    <w:rsid w:val="00CA7BE7"/>
    <w:rsid w:val="00CB169A"/>
    <w:rsid w:val="00CB3DAC"/>
    <w:rsid w:val="00CC07D2"/>
    <w:rsid w:val="00CC1FBD"/>
    <w:rsid w:val="00CD057C"/>
    <w:rsid w:val="00CD31A5"/>
    <w:rsid w:val="00CD501C"/>
    <w:rsid w:val="00CE06C2"/>
    <w:rsid w:val="00CE2BF1"/>
    <w:rsid w:val="00CF166B"/>
    <w:rsid w:val="00CF3626"/>
    <w:rsid w:val="00CF5D1A"/>
    <w:rsid w:val="00D045C4"/>
    <w:rsid w:val="00D17827"/>
    <w:rsid w:val="00D2717E"/>
    <w:rsid w:val="00D3113D"/>
    <w:rsid w:val="00D314CA"/>
    <w:rsid w:val="00D320E7"/>
    <w:rsid w:val="00D35C47"/>
    <w:rsid w:val="00D37421"/>
    <w:rsid w:val="00D40054"/>
    <w:rsid w:val="00D42D3C"/>
    <w:rsid w:val="00D44638"/>
    <w:rsid w:val="00D45A27"/>
    <w:rsid w:val="00D4623E"/>
    <w:rsid w:val="00D46E62"/>
    <w:rsid w:val="00D52541"/>
    <w:rsid w:val="00D526B1"/>
    <w:rsid w:val="00D52B9E"/>
    <w:rsid w:val="00D530E9"/>
    <w:rsid w:val="00D605D9"/>
    <w:rsid w:val="00D60A8E"/>
    <w:rsid w:val="00D61BCD"/>
    <w:rsid w:val="00D634A9"/>
    <w:rsid w:val="00D64AFA"/>
    <w:rsid w:val="00D65969"/>
    <w:rsid w:val="00D671B2"/>
    <w:rsid w:val="00D71262"/>
    <w:rsid w:val="00D72938"/>
    <w:rsid w:val="00D72BB2"/>
    <w:rsid w:val="00D76930"/>
    <w:rsid w:val="00D814B6"/>
    <w:rsid w:val="00D8399F"/>
    <w:rsid w:val="00D84BF7"/>
    <w:rsid w:val="00D84FA4"/>
    <w:rsid w:val="00D85020"/>
    <w:rsid w:val="00D865A4"/>
    <w:rsid w:val="00D86B90"/>
    <w:rsid w:val="00D94173"/>
    <w:rsid w:val="00D94783"/>
    <w:rsid w:val="00D95CF6"/>
    <w:rsid w:val="00D97024"/>
    <w:rsid w:val="00DA0960"/>
    <w:rsid w:val="00DA2FCB"/>
    <w:rsid w:val="00DA3FA9"/>
    <w:rsid w:val="00DA5BE7"/>
    <w:rsid w:val="00DA5E27"/>
    <w:rsid w:val="00DA64BD"/>
    <w:rsid w:val="00DB0309"/>
    <w:rsid w:val="00DB05A0"/>
    <w:rsid w:val="00DB0BD8"/>
    <w:rsid w:val="00DB1EDF"/>
    <w:rsid w:val="00DB5AED"/>
    <w:rsid w:val="00DB6E4E"/>
    <w:rsid w:val="00DC0AD1"/>
    <w:rsid w:val="00DC5C40"/>
    <w:rsid w:val="00DC7289"/>
    <w:rsid w:val="00DD01AC"/>
    <w:rsid w:val="00DD2DB5"/>
    <w:rsid w:val="00DD2E0C"/>
    <w:rsid w:val="00DD57A3"/>
    <w:rsid w:val="00DE654E"/>
    <w:rsid w:val="00DE7199"/>
    <w:rsid w:val="00DE72B9"/>
    <w:rsid w:val="00DF4A35"/>
    <w:rsid w:val="00DF4ECA"/>
    <w:rsid w:val="00DF5183"/>
    <w:rsid w:val="00DF5984"/>
    <w:rsid w:val="00E002B8"/>
    <w:rsid w:val="00E0361E"/>
    <w:rsid w:val="00E044DB"/>
    <w:rsid w:val="00E05520"/>
    <w:rsid w:val="00E06567"/>
    <w:rsid w:val="00E10BD6"/>
    <w:rsid w:val="00E1681C"/>
    <w:rsid w:val="00E2313E"/>
    <w:rsid w:val="00E25695"/>
    <w:rsid w:val="00E34087"/>
    <w:rsid w:val="00E40438"/>
    <w:rsid w:val="00E40814"/>
    <w:rsid w:val="00E40E56"/>
    <w:rsid w:val="00E40F57"/>
    <w:rsid w:val="00E42B9A"/>
    <w:rsid w:val="00E43395"/>
    <w:rsid w:val="00E444B2"/>
    <w:rsid w:val="00E450A2"/>
    <w:rsid w:val="00E464AE"/>
    <w:rsid w:val="00E47329"/>
    <w:rsid w:val="00E50267"/>
    <w:rsid w:val="00E52B1D"/>
    <w:rsid w:val="00E53CED"/>
    <w:rsid w:val="00E55C56"/>
    <w:rsid w:val="00E60862"/>
    <w:rsid w:val="00E657FA"/>
    <w:rsid w:val="00E661FF"/>
    <w:rsid w:val="00E66B2E"/>
    <w:rsid w:val="00E678F0"/>
    <w:rsid w:val="00E67BBE"/>
    <w:rsid w:val="00E70FC7"/>
    <w:rsid w:val="00E72173"/>
    <w:rsid w:val="00E80294"/>
    <w:rsid w:val="00E80952"/>
    <w:rsid w:val="00E8297A"/>
    <w:rsid w:val="00E840EA"/>
    <w:rsid w:val="00E84A45"/>
    <w:rsid w:val="00E85A56"/>
    <w:rsid w:val="00E97FE2"/>
    <w:rsid w:val="00EA10E7"/>
    <w:rsid w:val="00EA1E27"/>
    <w:rsid w:val="00EA3A66"/>
    <w:rsid w:val="00EA5D15"/>
    <w:rsid w:val="00EA6B31"/>
    <w:rsid w:val="00EA7238"/>
    <w:rsid w:val="00EB15C1"/>
    <w:rsid w:val="00EB16E8"/>
    <w:rsid w:val="00EB1F51"/>
    <w:rsid w:val="00EB36C1"/>
    <w:rsid w:val="00EB675D"/>
    <w:rsid w:val="00EC0694"/>
    <w:rsid w:val="00EC1A7B"/>
    <w:rsid w:val="00EC40CF"/>
    <w:rsid w:val="00EC5723"/>
    <w:rsid w:val="00EC57E5"/>
    <w:rsid w:val="00EC58B9"/>
    <w:rsid w:val="00ED01F6"/>
    <w:rsid w:val="00ED401B"/>
    <w:rsid w:val="00ED4DD8"/>
    <w:rsid w:val="00ED521D"/>
    <w:rsid w:val="00ED6400"/>
    <w:rsid w:val="00EE0899"/>
    <w:rsid w:val="00EE5B35"/>
    <w:rsid w:val="00EE6F8D"/>
    <w:rsid w:val="00EF220D"/>
    <w:rsid w:val="00EF3355"/>
    <w:rsid w:val="00F0307C"/>
    <w:rsid w:val="00F036C8"/>
    <w:rsid w:val="00F13F04"/>
    <w:rsid w:val="00F15584"/>
    <w:rsid w:val="00F236A2"/>
    <w:rsid w:val="00F25B82"/>
    <w:rsid w:val="00F25F3C"/>
    <w:rsid w:val="00F30843"/>
    <w:rsid w:val="00F3313A"/>
    <w:rsid w:val="00F334F2"/>
    <w:rsid w:val="00F338A8"/>
    <w:rsid w:val="00F33DFA"/>
    <w:rsid w:val="00F35319"/>
    <w:rsid w:val="00F35D52"/>
    <w:rsid w:val="00F41EA6"/>
    <w:rsid w:val="00F46A70"/>
    <w:rsid w:val="00F46F73"/>
    <w:rsid w:val="00F50D48"/>
    <w:rsid w:val="00F5489B"/>
    <w:rsid w:val="00F54EED"/>
    <w:rsid w:val="00F61E23"/>
    <w:rsid w:val="00F63547"/>
    <w:rsid w:val="00F65F43"/>
    <w:rsid w:val="00F70604"/>
    <w:rsid w:val="00F73BE3"/>
    <w:rsid w:val="00F74224"/>
    <w:rsid w:val="00F74805"/>
    <w:rsid w:val="00F76896"/>
    <w:rsid w:val="00F80018"/>
    <w:rsid w:val="00F80F3C"/>
    <w:rsid w:val="00F825D1"/>
    <w:rsid w:val="00F827CD"/>
    <w:rsid w:val="00F85DFE"/>
    <w:rsid w:val="00F91B77"/>
    <w:rsid w:val="00F94009"/>
    <w:rsid w:val="00F94850"/>
    <w:rsid w:val="00FA00AD"/>
    <w:rsid w:val="00FA1447"/>
    <w:rsid w:val="00FB0726"/>
    <w:rsid w:val="00FB1DFB"/>
    <w:rsid w:val="00FB338A"/>
    <w:rsid w:val="00FB465F"/>
    <w:rsid w:val="00FC04BB"/>
    <w:rsid w:val="00FC4A81"/>
    <w:rsid w:val="00FC5BAA"/>
    <w:rsid w:val="00FC6AB7"/>
    <w:rsid w:val="00FC7D84"/>
    <w:rsid w:val="00FD1B5E"/>
    <w:rsid w:val="00FD50D4"/>
    <w:rsid w:val="00FE2084"/>
    <w:rsid w:val="00FE4DF1"/>
    <w:rsid w:val="00FE64F4"/>
    <w:rsid w:val="00FE6A25"/>
    <w:rsid w:val="00FE744C"/>
    <w:rsid w:val="00FE792E"/>
    <w:rsid w:val="012A1526"/>
    <w:rsid w:val="012E5FED"/>
    <w:rsid w:val="01341807"/>
    <w:rsid w:val="013A5802"/>
    <w:rsid w:val="021A2A52"/>
    <w:rsid w:val="029D518A"/>
    <w:rsid w:val="02A56B33"/>
    <w:rsid w:val="02BE598D"/>
    <w:rsid w:val="03465822"/>
    <w:rsid w:val="035945C8"/>
    <w:rsid w:val="035D4211"/>
    <w:rsid w:val="03773C2D"/>
    <w:rsid w:val="037D56E7"/>
    <w:rsid w:val="038160C9"/>
    <w:rsid w:val="03AB62E0"/>
    <w:rsid w:val="040E6340"/>
    <w:rsid w:val="04123385"/>
    <w:rsid w:val="04293602"/>
    <w:rsid w:val="04677ABA"/>
    <w:rsid w:val="047C4135"/>
    <w:rsid w:val="048E53C9"/>
    <w:rsid w:val="04A65428"/>
    <w:rsid w:val="04B66584"/>
    <w:rsid w:val="04C36C6F"/>
    <w:rsid w:val="04E4321B"/>
    <w:rsid w:val="04F064AF"/>
    <w:rsid w:val="04F85372"/>
    <w:rsid w:val="05942F5B"/>
    <w:rsid w:val="05D00163"/>
    <w:rsid w:val="05EF38A2"/>
    <w:rsid w:val="0616597F"/>
    <w:rsid w:val="067B5FB4"/>
    <w:rsid w:val="068110DD"/>
    <w:rsid w:val="06A52011"/>
    <w:rsid w:val="06B17456"/>
    <w:rsid w:val="06D67D22"/>
    <w:rsid w:val="06F72F2B"/>
    <w:rsid w:val="071F0864"/>
    <w:rsid w:val="07382210"/>
    <w:rsid w:val="074F0411"/>
    <w:rsid w:val="07564D12"/>
    <w:rsid w:val="077C34B8"/>
    <w:rsid w:val="078829C9"/>
    <w:rsid w:val="07A209C4"/>
    <w:rsid w:val="07DB25AF"/>
    <w:rsid w:val="07F9233D"/>
    <w:rsid w:val="080B2B96"/>
    <w:rsid w:val="08280C2C"/>
    <w:rsid w:val="082C148A"/>
    <w:rsid w:val="0836746C"/>
    <w:rsid w:val="0860033A"/>
    <w:rsid w:val="08644D05"/>
    <w:rsid w:val="086F1260"/>
    <w:rsid w:val="088B1CAF"/>
    <w:rsid w:val="08AA707F"/>
    <w:rsid w:val="08C37583"/>
    <w:rsid w:val="099A07E1"/>
    <w:rsid w:val="09A25BC1"/>
    <w:rsid w:val="09D81A6A"/>
    <w:rsid w:val="09DC0C8E"/>
    <w:rsid w:val="0A0B79BB"/>
    <w:rsid w:val="0A5E16A3"/>
    <w:rsid w:val="0A9B4FED"/>
    <w:rsid w:val="0AB2043C"/>
    <w:rsid w:val="0AD23C64"/>
    <w:rsid w:val="0AEA6D11"/>
    <w:rsid w:val="0B496FD9"/>
    <w:rsid w:val="0B5007AE"/>
    <w:rsid w:val="0B562CC2"/>
    <w:rsid w:val="0B6F09AD"/>
    <w:rsid w:val="0B761422"/>
    <w:rsid w:val="0B846437"/>
    <w:rsid w:val="0BD615F1"/>
    <w:rsid w:val="0BDF6160"/>
    <w:rsid w:val="0BF7179B"/>
    <w:rsid w:val="0BFC5507"/>
    <w:rsid w:val="0C4843B9"/>
    <w:rsid w:val="0CC21B9E"/>
    <w:rsid w:val="0CC7793B"/>
    <w:rsid w:val="0CC80064"/>
    <w:rsid w:val="0CD374B7"/>
    <w:rsid w:val="0CE63A90"/>
    <w:rsid w:val="0D47445F"/>
    <w:rsid w:val="0D602DCE"/>
    <w:rsid w:val="0D654380"/>
    <w:rsid w:val="0D6E7E4F"/>
    <w:rsid w:val="0D931D58"/>
    <w:rsid w:val="0DB31DEC"/>
    <w:rsid w:val="0DCC0E17"/>
    <w:rsid w:val="0DE723C8"/>
    <w:rsid w:val="0DE75043"/>
    <w:rsid w:val="0E00658D"/>
    <w:rsid w:val="0E13081C"/>
    <w:rsid w:val="0E1D6807"/>
    <w:rsid w:val="0E3073B0"/>
    <w:rsid w:val="0E362E72"/>
    <w:rsid w:val="0E5021DC"/>
    <w:rsid w:val="0E711C44"/>
    <w:rsid w:val="0E722040"/>
    <w:rsid w:val="0E792F4F"/>
    <w:rsid w:val="0E7E71C1"/>
    <w:rsid w:val="0EDC425B"/>
    <w:rsid w:val="0EDF75B5"/>
    <w:rsid w:val="0EE620C6"/>
    <w:rsid w:val="0F0353BE"/>
    <w:rsid w:val="0F122107"/>
    <w:rsid w:val="0F8B6A37"/>
    <w:rsid w:val="0FB869B1"/>
    <w:rsid w:val="0FC16159"/>
    <w:rsid w:val="0FDC1CDC"/>
    <w:rsid w:val="0FEB5458"/>
    <w:rsid w:val="10055678"/>
    <w:rsid w:val="104828A1"/>
    <w:rsid w:val="1059618A"/>
    <w:rsid w:val="106815D1"/>
    <w:rsid w:val="109F048E"/>
    <w:rsid w:val="10B54A3F"/>
    <w:rsid w:val="10BE68F6"/>
    <w:rsid w:val="10DE709A"/>
    <w:rsid w:val="11096A90"/>
    <w:rsid w:val="114A4E33"/>
    <w:rsid w:val="114E65C0"/>
    <w:rsid w:val="11944DCC"/>
    <w:rsid w:val="11B83D8F"/>
    <w:rsid w:val="11F57AD8"/>
    <w:rsid w:val="12257282"/>
    <w:rsid w:val="12332521"/>
    <w:rsid w:val="124B07D5"/>
    <w:rsid w:val="12521840"/>
    <w:rsid w:val="12A83E03"/>
    <w:rsid w:val="12B207DE"/>
    <w:rsid w:val="12C603CA"/>
    <w:rsid w:val="130A061A"/>
    <w:rsid w:val="130F172E"/>
    <w:rsid w:val="131162BD"/>
    <w:rsid w:val="13182D37"/>
    <w:rsid w:val="131B01C6"/>
    <w:rsid w:val="13214CDC"/>
    <w:rsid w:val="133360BD"/>
    <w:rsid w:val="13384F22"/>
    <w:rsid w:val="13771B13"/>
    <w:rsid w:val="137907E4"/>
    <w:rsid w:val="138E5771"/>
    <w:rsid w:val="13AD6182"/>
    <w:rsid w:val="13BF3560"/>
    <w:rsid w:val="13F77665"/>
    <w:rsid w:val="14060DE1"/>
    <w:rsid w:val="140B464A"/>
    <w:rsid w:val="140C1F37"/>
    <w:rsid w:val="140D09E8"/>
    <w:rsid w:val="142F21E3"/>
    <w:rsid w:val="142F49E7"/>
    <w:rsid w:val="14565758"/>
    <w:rsid w:val="146F2E2A"/>
    <w:rsid w:val="14ED6E95"/>
    <w:rsid w:val="14F506B3"/>
    <w:rsid w:val="14F670A8"/>
    <w:rsid w:val="15000239"/>
    <w:rsid w:val="150412EA"/>
    <w:rsid w:val="15133F59"/>
    <w:rsid w:val="152139F9"/>
    <w:rsid w:val="15323E58"/>
    <w:rsid w:val="15356810"/>
    <w:rsid w:val="15567F58"/>
    <w:rsid w:val="158869CC"/>
    <w:rsid w:val="15AA69BE"/>
    <w:rsid w:val="15BF44EA"/>
    <w:rsid w:val="15F8342C"/>
    <w:rsid w:val="16145A79"/>
    <w:rsid w:val="162347B7"/>
    <w:rsid w:val="1649740D"/>
    <w:rsid w:val="165E7164"/>
    <w:rsid w:val="167D6E2F"/>
    <w:rsid w:val="167E2958"/>
    <w:rsid w:val="168902CA"/>
    <w:rsid w:val="16A35ED2"/>
    <w:rsid w:val="16A73330"/>
    <w:rsid w:val="16A96A6B"/>
    <w:rsid w:val="16E167F9"/>
    <w:rsid w:val="16E44E89"/>
    <w:rsid w:val="16F23D82"/>
    <w:rsid w:val="16FA0EA1"/>
    <w:rsid w:val="170A1A39"/>
    <w:rsid w:val="1719182E"/>
    <w:rsid w:val="17230955"/>
    <w:rsid w:val="174C45E9"/>
    <w:rsid w:val="17A20E88"/>
    <w:rsid w:val="17AB469F"/>
    <w:rsid w:val="17D80CE7"/>
    <w:rsid w:val="18196333"/>
    <w:rsid w:val="184D2CC7"/>
    <w:rsid w:val="186151B5"/>
    <w:rsid w:val="187D363C"/>
    <w:rsid w:val="18893F19"/>
    <w:rsid w:val="189E2D7D"/>
    <w:rsid w:val="18AC6D73"/>
    <w:rsid w:val="18DA48D9"/>
    <w:rsid w:val="18FB4F3C"/>
    <w:rsid w:val="193718DF"/>
    <w:rsid w:val="199A6098"/>
    <w:rsid w:val="199D648B"/>
    <w:rsid w:val="19F42E2C"/>
    <w:rsid w:val="1A0266DA"/>
    <w:rsid w:val="1A057CBA"/>
    <w:rsid w:val="1A2C1C94"/>
    <w:rsid w:val="1A553B81"/>
    <w:rsid w:val="1ABE41B6"/>
    <w:rsid w:val="1AE155E8"/>
    <w:rsid w:val="1B20356E"/>
    <w:rsid w:val="1B2D520F"/>
    <w:rsid w:val="1B422262"/>
    <w:rsid w:val="1B4716B4"/>
    <w:rsid w:val="1B632FBD"/>
    <w:rsid w:val="1B8D7004"/>
    <w:rsid w:val="1C0340BF"/>
    <w:rsid w:val="1C08419D"/>
    <w:rsid w:val="1C2C4815"/>
    <w:rsid w:val="1C4F5FBF"/>
    <w:rsid w:val="1C5163D5"/>
    <w:rsid w:val="1C6621E0"/>
    <w:rsid w:val="1C6C40F3"/>
    <w:rsid w:val="1CE6703D"/>
    <w:rsid w:val="1CEC1124"/>
    <w:rsid w:val="1CF82405"/>
    <w:rsid w:val="1D37025D"/>
    <w:rsid w:val="1D407CAF"/>
    <w:rsid w:val="1D4D5FFD"/>
    <w:rsid w:val="1DD027FD"/>
    <w:rsid w:val="1E2A2B1C"/>
    <w:rsid w:val="1E586E00"/>
    <w:rsid w:val="1F0E1492"/>
    <w:rsid w:val="1F636358"/>
    <w:rsid w:val="1F7D61B1"/>
    <w:rsid w:val="1F9E4D3D"/>
    <w:rsid w:val="1FAE3131"/>
    <w:rsid w:val="1FC37E92"/>
    <w:rsid w:val="1FC81641"/>
    <w:rsid w:val="201A49DD"/>
    <w:rsid w:val="2020477C"/>
    <w:rsid w:val="205625B4"/>
    <w:rsid w:val="206B004A"/>
    <w:rsid w:val="20A421D6"/>
    <w:rsid w:val="21005C2C"/>
    <w:rsid w:val="21260D15"/>
    <w:rsid w:val="214D3A23"/>
    <w:rsid w:val="21551242"/>
    <w:rsid w:val="215A09BE"/>
    <w:rsid w:val="21644EC3"/>
    <w:rsid w:val="21650084"/>
    <w:rsid w:val="2176046E"/>
    <w:rsid w:val="218C02C6"/>
    <w:rsid w:val="21A659B2"/>
    <w:rsid w:val="21A67760"/>
    <w:rsid w:val="21CF0CB3"/>
    <w:rsid w:val="22124112"/>
    <w:rsid w:val="221245CC"/>
    <w:rsid w:val="222039B6"/>
    <w:rsid w:val="222E3FEA"/>
    <w:rsid w:val="224337E4"/>
    <w:rsid w:val="22507147"/>
    <w:rsid w:val="22656CEA"/>
    <w:rsid w:val="229E2CF2"/>
    <w:rsid w:val="22B1222C"/>
    <w:rsid w:val="22F61454"/>
    <w:rsid w:val="230C216C"/>
    <w:rsid w:val="238910E7"/>
    <w:rsid w:val="23905407"/>
    <w:rsid w:val="23CF6339"/>
    <w:rsid w:val="23E42B32"/>
    <w:rsid w:val="242218D8"/>
    <w:rsid w:val="24532A2A"/>
    <w:rsid w:val="245D31E9"/>
    <w:rsid w:val="249417A9"/>
    <w:rsid w:val="24AD310F"/>
    <w:rsid w:val="24AF7BE2"/>
    <w:rsid w:val="24C525F3"/>
    <w:rsid w:val="24EE0AAB"/>
    <w:rsid w:val="25212C97"/>
    <w:rsid w:val="25474582"/>
    <w:rsid w:val="254A4F00"/>
    <w:rsid w:val="257B64FC"/>
    <w:rsid w:val="25CD4EA6"/>
    <w:rsid w:val="25F413E1"/>
    <w:rsid w:val="26064193"/>
    <w:rsid w:val="267E5A75"/>
    <w:rsid w:val="268B3C2D"/>
    <w:rsid w:val="26942625"/>
    <w:rsid w:val="26BC7CBC"/>
    <w:rsid w:val="26CA288F"/>
    <w:rsid w:val="26F31198"/>
    <w:rsid w:val="26FC7CBD"/>
    <w:rsid w:val="27076C8B"/>
    <w:rsid w:val="27447ED5"/>
    <w:rsid w:val="2753635C"/>
    <w:rsid w:val="275F3A77"/>
    <w:rsid w:val="278F5344"/>
    <w:rsid w:val="27A272DD"/>
    <w:rsid w:val="27A76B3B"/>
    <w:rsid w:val="27CD5067"/>
    <w:rsid w:val="27D7207C"/>
    <w:rsid w:val="27E1436B"/>
    <w:rsid w:val="27E47FB9"/>
    <w:rsid w:val="27F175B3"/>
    <w:rsid w:val="282B31B8"/>
    <w:rsid w:val="284F796B"/>
    <w:rsid w:val="28757DFC"/>
    <w:rsid w:val="289416FB"/>
    <w:rsid w:val="2899001E"/>
    <w:rsid w:val="28AD3ACA"/>
    <w:rsid w:val="290668BB"/>
    <w:rsid w:val="290D2517"/>
    <w:rsid w:val="29575215"/>
    <w:rsid w:val="29710C73"/>
    <w:rsid w:val="29786410"/>
    <w:rsid w:val="29804B72"/>
    <w:rsid w:val="29B676EC"/>
    <w:rsid w:val="29CA2F94"/>
    <w:rsid w:val="2A297077"/>
    <w:rsid w:val="2A3C1C37"/>
    <w:rsid w:val="2A400503"/>
    <w:rsid w:val="2A4A5C73"/>
    <w:rsid w:val="2A7A21F7"/>
    <w:rsid w:val="2A957469"/>
    <w:rsid w:val="2AA950F8"/>
    <w:rsid w:val="2AB63109"/>
    <w:rsid w:val="2AE949DF"/>
    <w:rsid w:val="2B346B79"/>
    <w:rsid w:val="2B4134DF"/>
    <w:rsid w:val="2B692F53"/>
    <w:rsid w:val="2B8A7676"/>
    <w:rsid w:val="2B8D044E"/>
    <w:rsid w:val="2B941207"/>
    <w:rsid w:val="2BF83957"/>
    <w:rsid w:val="2BFE779E"/>
    <w:rsid w:val="2C016BB8"/>
    <w:rsid w:val="2C1218DE"/>
    <w:rsid w:val="2C357F16"/>
    <w:rsid w:val="2C730B4C"/>
    <w:rsid w:val="2CB11C1C"/>
    <w:rsid w:val="2CF27D33"/>
    <w:rsid w:val="2D4676CC"/>
    <w:rsid w:val="2D77461B"/>
    <w:rsid w:val="2D925395"/>
    <w:rsid w:val="2DC72F38"/>
    <w:rsid w:val="2DCF7E39"/>
    <w:rsid w:val="2DDF597E"/>
    <w:rsid w:val="2E111ED4"/>
    <w:rsid w:val="2E18137C"/>
    <w:rsid w:val="2E5209E3"/>
    <w:rsid w:val="2E5B24C3"/>
    <w:rsid w:val="2E76293E"/>
    <w:rsid w:val="2E775A44"/>
    <w:rsid w:val="2E7A6D70"/>
    <w:rsid w:val="2EB92F70"/>
    <w:rsid w:val="2EBA3897"/>
    <w:rsid w:val="2EF35FAE"/>
    <w:rsid w:val="2EFE7B1A"/>
    <w:rsid w:val="2F214170"/>
    <w:rsid w:val="2F794705"/>
    <w:rsid w:val="2F95580B"/>
    <w:rsid w:val="2FC730CE"/>
    <w:rsid w:val="2FFD51F8"/>
    <w:rsid w:val="30592C7B"/>
    <w:rsid w:val="306B12F0"/>
    <w:rsid w:val="3071362F"/>
    <w:rsid w:val="308403B5"/>
    <w:rsid w:val="30852A23"/>
    <w:rsid w:val="308629B6"/>
    <w:rsid w:val="30DE4E36"/>
    <w:rsid w:val="30E11053"/>
    <w:rsid w:val="30E7221C"/>
    <w:rsid w:val="30E91D0F"/>
    <w:rsid w:val="31027D59"/>
    <w:rsid w:val="310B4EB7"/>
    <w:rsid w:val="3115220C"/>
    <w:rsid w:val="312E4AD6"/>
    <w:rsid w:val="31332DFC"/>
    <w:rsid w:val="313D3E38"/>
    <w:rsid w:val="31434145"/>
    <w:rsid w:val="31480833"/>
    <w:rsid w:val="31555446"/>
    <w:rsid w:val="316D1BC2"/>
    <w:rsid w:val="317E6003"/>
    <w:rsid w:val="3197546C"/>
    <w:rsid w:val="319D0679"/>
    <w:rsid w:val="31AC5D40"/>
    <w:rsid w:val="31B163D9"/>
    <w:rsid w:val="31B613AF"/>
    <w:rsid w:val="31B816AE"/>
    <w:rsid w:val="31EB7732"/>
    <w:rsid w:val="31FB7473"/>
    <w:rsid w:val="3227669B"/>
    <w:rsid w:val="32926B61"/>
    <w:rsid w:val="32A73BD8"/>
    <w:rsid w:val="32D97E1A"/>
    <w:rsid w:val="32EC3440"/>
    <w:rsid w:val="32FB3A29"/>
    <w:rsid w:val="32FE03D1"/>
    <w:rsid w:val="33167AFA"/>
    <w:rsid w:val="33243B82"/>
    <w:rsid w:val="33343038"/>
    <w:rsid w:val="33A83294"/>
    <w:rsid w:val="33AC77DE"/>
    <w:rsid w:val="33B049E8"/>
    <w:rsid w:val="33E618E4"/>
    <w:rsid w:val="33F16F60"/>
    <w:rsid w:val="33F22CD8"/>
    <w:rsid w:val="33FC23F4"/>
    <w:rsid w:val="340E08F3"/>
    <w:rsid w:val="341B4D23"/>
    <w:rsid w:val="345433C0"/>
    <w:rsid w:val="347512D6"/>
    <w:rsid w:val="34790D04"/>
    <w:rsid w:val="34AB61B2"/>
    <w:rsid w:val="34DC5C71"/>
    <w:rsid w:val="34E1106A"/>
    <w:rsid w:val="34E96DAC"/>
    <w:rsid w:val="351E7D45"/>
    <w:rsid w:val="35905934"/>
    <w:rsid w:val="35A716C5"/>
    <w:rsid w:val="35B97A4F"/>
    <w:rsid w:val="35F76384"/>
    <w:rsid w:val="36184F24"/>
    <w:rsid w:val="363175BA"/>
    <w:rsid w:val="36576BE3"/>
    <w:rsid w:val="36617CA1"/>
    <w:rsid w:val="36945AC1"/>
    <w:rsid w:val="369712A0"/>
    <w:rsid w:val="36AF1C49"/>
    <w:rsid w:val="36B35958"/>
    <w:rsid w:val="36B4631F"/>
    <w:rsid w:val="37224531"/>
    <w:rsid w:val="37294C63"/>
    <w:rsid w:val="375C0B95"/>
    <w:rsid w:val="375E09FC"/>
    <w:rsid w:val="37B011AF"/>
    <w:rsid w:val="37CD13CC"/>
    <w:rsid w:val="380F6006"/>
    <w:rsid w:val="3814146F"/>
    <w:rsid w:val="3840706B"/>
    <w:rsid w:val="38431D54"/>
    <w:rsid w:val="38525FA9"/>
    <w:rsid w:val="38537267"/>
    <w:rsid w:val="3872441A"/>
    <w:rsid w:val="38AA2F76"/>
    <w:rsid w:val="38B74B11"/>
    <w:rsid w:val="38CC4973"/>
    <w:rsid w:val="38DB7C40"/>
    <w:rsid w:val="38F4736B"/>
    <w:rsid w:val="39003F1D"/>
    <w:rsid w:val="395104A1"/>
    <w:rsid w:val="395A3303"/>
    <w:rsid w:val="396D1D56"/>
    <w:rsid w:val="39995424"/>
    <w:rsid w:val="39A712C5"/>
    <w:rsid w:val="39C42A21"/>
    <w:rsid w:val="39CD1067"/>
    <w:rsid w:val="39F87A28"/>
    <w:rsid w:val="39FF7EFD"/>
    <w:rsid w:val="3A2E5E4D"/>
    <w:rsid w:val="3A3137D6"/>
    <w:rsid w:val="3AC4667F"/>
    <w:rsid w:val="3AC53E84"/>
    <w:rsid w:val="3AC853CC"/>
    <w:rsid w:val="3AD34FFD"/>
    <w:rsid w:val="3B3503B2"/>
    <w:rsid w:val="3B374E91"/>
    <w:rsid w:val="3B6333D9"/>
    <w:rsid w:val="3B68269C"/>
    <w:rsid w:val="3B983E92"/>
    <w:rsid w:val="3B9B3666"/>
    <w:rsid w:val="3BA41D97"/>
    <w:rsid w:val="3BBC3BD7"/>
    <w:rsid w:val="3BC9686C"/>
    <w:rsid w:val="3BF05D4F"/>
    <w:rsid w:val="3BF140B6"/>
    <w:rsid w:val="3BF53366"/>
    <w:rsid w:val="3C6B77D1"/>
    <w:rsid w:val="3C8D2236"/>
    <w:rsid w:val="3D0B4AEA"/>
    <w:rsid w:val="3D116319"/>
    <w:rsid w:val="3D1E7AF8"/>
    <w:rsid w:val="3D2008B6"/>
    <w:rsid w:val="3D635DAD"/>
    <w:rsid w:val="3D7F55DD"/>
    <w:rsid w:val="3D997D89"/>
    <w:rsid w:val="3DA0644D"/>
    <w:rsid w:val="3DD220B1"/>
    <w:rsid w:val="3DD64651"/>
    <w:rsid w:val="3DF915E0"/>
    <w:rsid w:val="3E094E14"/>
    <w:rsid w:val="3E101AFB"/>
    <w:rsid w:val="3EBD41DE"/>
    <w:rsid w:val="3EC2202C"/>
    <w:rsid w:val="3ECF0E12"/>
    <w:rsid w:val="3ED659D4"/>
    <w:rsid w:val="3F201206"/>
    <w:rsid w:val="3F262119"/>
    <w:rsid w:val="3F471A53"/>
    <w:rsid w:val="4031111B"/>
    <w:rsid w:val="404173E1"/>
    <w:rsid w:val="40531C58"/>
    <w:rsid w:val="406B3BF6"/>
    <w:rsid w:val="407F08B1"/>
    <w:rsid w:val="40C33A32"/>
    <w:rsid w:val="40C452B1"/>
    <w:rsid w:val="412F45CD"/>
    <w:rsid w:val="41494DD9"/>
    <w:rsid w:val="417F2403"/>
    <w:rsid w:val="419B49AF"/>
    <w:rsid w:val="41D262DE"/>
    <w:rsid w:val="420F3F6D"/>
    <w:rsid w:val="423074E9"/>
    <w:rsid w:val="423C4417"/>
    <w:rsid w:val="42443D76"/>
    <w:rsid w:val="429B3630"/>
    <w:rsid w:val="43020C9F"/>
    <w:rsid w:val="430B1EF0"/>
    <w:rsid w:val="43425F9D"/>
    <w:rsid w:val="43577787"/>
    <w:rsid w:val="439A44CB"/>
    <w:rsid w:val="43A63197"/>
    <w:rsid w:val="43F465D0"/>
    <w:rsid w:val="44026CC7"/>
    <w:rsid w:val="441F46EF"/>
    <w:rsid w:val="442A053D"/>
    <w:rsid w:val="44444908"/>
    <w:rsid w:val="44511A3A"/>
    <w:rsid w:val="448B4867"/>
    <w:rsid w:val="44B6373C"/>
    <w:rsid w:val="44C164DB"/>
    <w:rsid w:val="44C514C7"/>
    <w:rsid w:val="44D60DE6"/>
    <w:rsid w:val="44F52628"/>
    <w:rsid w:val="45682EC8"/>
    <w:rsid w:val="457D231F"/>
    <w:rsid w:val="45AA6048"/>
    <w:rsid w:val="45D1791B"/>
    <w:rsid w:val="45DB46D8"/>
    <w:rsid w:val="46130617"/>
    <w:rsid w:val="461579DD"/>
    <w:rsid w:val="46416F41"/>
    <w:rsid w:val="46522ED9"/>
    <w:rsid w:val="465A20AC"/>
    <w:rsid w:val="465B5244"/>
    <w:rsid w:val="46902123"/>
    <w:rsid w:val="46A61E2C"/>
    <w:rsid w:val="46BD0772"/>
    <w:rsid w:val="46C913B4"/>
    <w:rsid w:val="46E666CD"/>
    <w:rsid w:val="46F32219"/>
    <w:rsid w:val="46FC79C4"/>
    <w:rsid w:val="470E29AE"/>
    <w:rsid w:val="472A6579"/>
    <w:rsid w:val="473A7547"/>
    <w:rsid w:val="474A5A29"/>
    <w:rsid w:val="475957C8"/>
    <w:rsid w:val="477078D9"/>
    <w:rsid w:val="47895B8E"/>
    <w:rsid w:val="47C71436"/>
    <w:rsid w:val="47DC0C2A"/>
    <w:rsid w:val="47EC4DC6"/>
    <w:rsid w:val="47F8126D"/>
    <w:rsid w:val="482E2E4F"/>
    <w:rsid w:val="485D46A4"/>
    <w:rsid w:val="4882429C"/>
    <w:rsid w:val="48B42DF3"/>
    <w:rsid w:val="48CB4736"/>
    <w:rsid w:val="48CF0FF3"/>
    <w:rsid w:val="490045D6"/>
    <w:rsid w:val="490B241B"/>
    <w:rsid w:val="490E4F8D"/>
    <w:rsid w:val="49536846"/>
    <w:rsid w:val="49865303"/>
    <w:rsid w:val="49CB0CCD"/>
    <w:rsid w:val="49EC3FFA"/>
    <w:rsid w:val="4A0737FA"/>
    <w:rsid w:val="4A2A6918"/>
    <w:rsid w:val="4A3F0FB5"/>
    <w:rsid w:val="4A5A33C8"/>
    <w:rsid w:val="4A7F7B35"/>
    <w:rsid w:val="4AB3573B"/>
    <w:rsid w:val="4ACC7988"/>
    <w:rsid w:val="4ADE062F"/>
    <w:rsid w:val="4AE20F59"/>
    <w:rsid w:val="4AED2392"/>
    <w:rsid w:val="4B003292"/>
    <w:rsid w:val="4B016ED5"/>
    <w:rsid w:val="4B154894"/>
    <w:rsid w:val="4B252E9F"/>
    <w:rsid w:val="4B3A4826"/>
    <w:rsid w:val="4B5138EA"/>
    <w:rsid w:val="4B6770A2"/>
    <w:rsid w:val="4B8F7333"/>
    <w:rsid w:val="4BA4129A"/>
    <w:rsid w:val="4BA64DDA"/>
    <w:rsid w:val="4BE14A32"/>
    <w:rsid w:val="4C1E2B39"/>
    <w:rsid w:val="4C371778"/>
    <w:rsid w:val="4C387F6A"/>
    <w:rsid w:val="4C417F01"/>
    <w:rsid w:val="4C6266D0"/>
    <w:rsid w:val="4C6A1486"/>
    <w:rsid w:val="4C8B4A7C"/>
    <w:rsid w:val="4C980D1C"/>
    <w:rsid w:val="4C9E5354"/>
    <w:rsid w:val="4CB01ADF"/>
    <w:rsid w:val="4CFC368B"/>
    <w:rsid w:val="4D807D17"/>
    <w:rsid w:val="4DA037D6"/>
    <w:rsid w:val="4DA759DE"/>
    <w:rsid w:val="4DC931C3"/>
    <w:rsid w:val="4DCD37A8"/>
    <w:rsid w:val="4DD51249"/>
    <w:rsid w:val="4DD66210"/>
    <w:rsid w:val="4DD76A4E"/>
    <w:rsid w:val="4DEE2D39"/>
    <w:rsid w:val="4E4E7FBD"/>
    <w:rsid w:val="4E5444B1"/>
    <w:rsid w:val="4E7D412D"/>
    <w:rsid w:val="4ED53164"/>
    <w:rsid w:val="4F086AAF"/>
    <w:rsid w:val="4F5C0BB1"/>
    <w:rsid w:val="4FAB42C2"/>
    <w:rsid w:val="4FB3711A"/>
    <w:rsid w:val="4FCC09A9"/>
    <w:rsid w:val="4FF5074A"/>
    <w:rsid w:val="4FF556C1"/>
    <w:rsid w:val="506934EF"/>
    <w:rsid w:val="50834F8C"/>
    <w:rsid w:val="508E6EF2"/>
    <w:rsid w:val="50FC0749"/>
    <w:rsid w:val="510C2CEF"/>
    <w:rsid w:val="510D0B38"/>
    <w:rsid w:val="5114726B"/>
    <w:rsid w:val="5118575A"/>
    <w:rsid w:val="512A18AC"/>
    <w:rsid w:val="512B42F2"/>
    <w:rsid w:val="513815F9"/>
    <w:rsid w:val="517712E4"/>
    <w:rsid w:val="519430B1"/>
    <w:rsid w:val="521A722A"/>
    <w:rsid w:val="521B0357"/>
    <w:rsid w:val="523552C1"/>
    <w:rsid w:val="52551A61"/>
    <w:rsid w:val="528140E6"/>
    <w:rsid w:val="52831CA8"/>
    <w:rsid w:val="52852335"/>
    <w:rsid w:val="5287468F"/>
    <w:rsid w:val="52A86F2C"/>
    <w:rsid w:val="52B35977"/>
    <w:rsid w:val="52E5010A"/>
    <w:rsid w:val="530A73E8"/>
    <w:rsid w:val="53195734"/>
    <w:rsid w:val="532868B2"/>
    <w:rsid w:val="53381A26"/>
    <w:rsid w:val="535F7030"/>
    <w:rsid w:val="538E5DEC"/>
    <w:rsid w:val="53A75AE3"/>
    <w:rsid w:val="53B9332F"/>
    <w:rsid w:val="53E225A4"/>
    <w:rsid w:val="54724A3F"/>
    <w:rsid w:val="54A83213"/>
    <w:rsid w:val="54AE2ECC"/>
    <w:rsid w:val="54C15E45"/>
    <w:rsid w:val="54D71EC6"/>
    <w:rsid w:val="54D77655"/>
    <w:rsid w:val="55290C84"/>
    <w:rsid w:val="55C0779B"/>
    <w:rsid w:val="55C327B9"/>
    <w:rsid w:val="55CA0F67"/>
    <w:rsid w:val="55D0368A"/>
    <w:rsid w:val="55E95892"/>
    <w:rsid w:val="55EE10FA"/>
    <w:rsid w:val="562468CA"/>
    <w:rsid w:val="5655647D"/>
    <w:rsid w:val="56771F2B"/>
    <w:rsid w:val="56802191"/>
    <w:rsid w:val="5686123D"/>
    <w:rsid w:val="56877243"/>
    <w:rsid w:val="56A33C92"/>
    <w:rsid w:val="56FB15A3"/>
    <w:rsid w:val="570D64ED"/>
    <w:rsid w:val="57317617"/>
    <w:rsid w:val="57380623"/>
    <w:rsid w:val="5752316A"/>
    <w:rsid w:val="578810DA"/>
    <w:rsid w:val="57AE5FD0"/>
    <w:rsid w:val="57C6609F"/>
    <w:rsid w:val="57CB4B0A"/>
    <w:rsid w:val="57DC1157"/>
    <w:rsid w:val="583E2F53"/>
    <w:rsid w:val="58436291"/>
    <w:rsid w:val="5886386C"/>
    <w:rsid w:val="59034EBC"/>
    <w:rsid w:val="5907400D"/>
    <w:rsid w:val="592C3305"/>
    <w:rsid w:val="59413A5B"/>
    <w:rsid w:val="595D7376"/>
    <w:rsid w:val="597E09E7"/>
    <w:rsid w:val="59C76782"/>
    <w:rsid w:val="59EC41AF"/>
    <w:rsid w:val="59F10EA7"/>
    <w:rsid w:val="5A1153B7"/>
    <w:rsid w:val="5A2C7551"/>
    <w:rsid w:val="5A5A4FB0"/>
    <w:rsid w:val="5A6B64CF"/>
    <w:rsid w:val="5A7A2477"/>
    <w:rsid w:val="5AA61FA3"/>
    <w:rsid w:val="5AC70E0E"/>
    <w:rsid w:val="5ACC607D"/>
    <w:rsid w:val="5AE65259"/>
    <w:rsid w:val="5AED49DF"/>
    <w:rsid w:val="5B2D6686"/>
    <w:rsid w:val="5B7732BF"/>
    <w:rsid w:val="5C4066B9"/>
    <w:rsid w:val="5C5338F0"/>
    <w:rsid w:val="5C5477DD"/>
    <w:rsid w:val="5C6421FF"/>
    <w:rsid w:val="5C8B5523"/>
    <w:rsid w:val="5C966047"/>
    <w:rsid w:val="5CA307ED"/>
    <w:rsid w:val="5CE83A6D"/>
    <w:rsid w:val="5CF4139A"/>
    <w:rsid w:val="5D8E3DBF"/>
    <w:rsid w:val="5DC832AE"/>
    <w:rsid w:val="5DE7587C"/>
    <w:rsid w:val="5DE80286"/>
    <w:rsid w:val="5DE973D6"/>
    <w:rsid w:val="5E052170"/>
    <w:rsid w:val="5E0D40E7"/>
    <w:rsid w:val="5E4840F1"/>
    <w:rsid w:val="5E781EA8"/>
    <w:rsid w:val="5E911306"/>
    <w:rsid w:val="5E942969"/>
    <w:rsid w:val="5EA031AD"/>
    <w:rsid w:val="5EBD1212"/>
    <w:rsid w:val="5EBD28A3"/>
    <w:rsid w:val="5EFD6E6D"/>
    <w:rsid w:val="5F0F167C"/>
    <w:rsid w:val="5F15286B"/>
    <w:rsid w:val="5F6021D9"/>
    <w:rsid w:val="5F627033"/>
    <w:rsid w:val="5FAD5B82"/>
    <w:rsid w:val="5FCB2DC6"/>
    <w:rsid w:val="5FE41F81"/>
    <w:rsid w:val="5FFB4975"/>
    <w:rsid w:val="602E777E"/>
    <w:rsid w:val="60516779"/>
    <w:rsid w:val="607965F7"/>
    <w:rsid w:val="60B04A82"/>
    <w:rsid w:val="60CB23C4"/>
    <w:rsid w:val="60D00501"/>
    <w:rsid w:val="610B7C42"/>
    <w:rsid w:val="61354A67"/>
    <w:rsid w:val="613E6BED"/>
    <w:rsid w:val="61752E76"/>
    <w:rsid w:val="61BC02FE"/>
    <w:rsid w:val="61DA288F"/>
    <w:rsid w:val="61ED5471"/>
    <w:rsid w:val="62263E94"/>
    <w:rsid w:val="623E6F65"/>
    <w:rsid w:val="623F329A"/>
    <w:rsid w:val="624D0F56"/>
    <w:rsid w:val="6256175F"/>
    <w:rsid w:val="62650C83"/>
    <w:rsid w:val="62695E27"/>
    <w:rsid w:val="62755074"/>
    <w:rsid w:val="628242DE"/>
    <w:rsid w:val="62927957"/>
    <w:rsid w:val="62A93F4B"/>
    <w:rsid w:val="62BA4BB5"/>
    <w:rsid w:val="62C729C2"/>
    <w:rsid w:val="62CD5B35"/>
    <w:rsid w:val="62EC6AED"/>
    <w:rsid w:val="631C3D7F"/>
    <w:rsid w:val="631C5A4E"/>
    <w:rsid w:val="633E40B5"/>
    <w:rsid w:val="634B4533"/>
    <w:rsid w:val="636127C3"/>
    <w:rsid w:val="63807CD9"/>
    <w:rsid w:val="639828DC"/>
    <w:rsid w:val="63984453"/>
    <w:rsid w:val="63B51A4C"/>
    <w:rsid w:val="63C50CBA"/>
    <w:rsid w:val="63D23C8B"/>
    <w:rsid w:val="64004BFA"/>
    <w:rsid w:val="64300686"/>
    <w:rsid w:val="64300834"/>
    <w:rsid w:val="644C12F3"/>
    <w:rsid w:val="648A6E3C"/>
    <w:rsid w:val="649747C5"/>
    <w:rsid w:val="64BD6867"/>
    <w:rsid w:val="64EA282E"/>
    <w:rsid w:val="64F3369C"/>
    <w:rsid w:val="650C7919"/>
    <w:rsid w:val="6541100E"/>
    <w:rsid w:val="656520E7"/>
    <w:rsid w:val="65847385"/>
    <w:rsid w:val="65A77B75"/>
    <w:rsid w:val="65CF7529"/>
    <w:rsid w:val="65D8147F"/>
    <w:rsid w:val="65E322FD"/>
    <w:rsid w:val="65F06D57"/>
    <w:rsid w:val="66046713"/>
    <w:rsid w:val="660930A1"/>
    <w:rsid w:val="663C3853"/>
    <w:rsid w:val="663F14FE"/>
    <w:rsid w:val="6640471E"/>
    <w:rsid w:val="6645491C"/>
    <w:rsid w:val="664E1D45"/>
    <w:rsid w:val="665F26C7"/>
    <w:rsid w:val="666B77C1"/>
    <w:rsid w:val="66B25085"/>
    <w:rsid w:val="66F373F9"/>
    <w:rsid w:val="672763D0"/>
    <w:rsid w:val="6740016D"/>
    <w:rsid w:val="67477553"/>
    <w:rsid w:val="674B5E0A"/>
    <w:rsid w:val="676173C4"/>
    <w:rsid w:val="67AF3613"/>
    <w:rsid w:val="67B47556"/>
    <w:rsid w:val="67B55A3E"/>
    <w:rsid w:val="67BC6CBD"/>
    <w:rsid w:val="67CC1254"/>
    <w:rsid w:val="67D71B88"/>
    <w:rsid w:val="67E73518"/>
    <w:rsid w:val="67F13D08"/>
    <w:rsid w:val="67F26201"/>
    <w:rsid w:val="67F97C3B"/>
    <w:rsid w:val="681A7B2C"/>
    <w:rsid w:val="68353609"/>
    <w:rsid w:val="685724CF"/>
    <w:rsid w:val="686F60CA"/>
    <w:rsid w:val="68E80999"/>
    <w:rsid w:val="68E9118B"/>
    <w:rsid w:val="68FB6192"/>
    <w:rsid w:val="692D1AE1"/>
    <w:rsid w:val="69340FA2"/>
    <w:rsid w:val="694105C4"/>
    <w:rsid w:val="696610E4"/>
    <w:rsid w:val="698678A8"/>
    <w:rsid w:val="69BA15C7"/>
    <w:rsid w:val="6A4D5CA1"/>
    <w:rsid w:val="6A6E6758"/>
    <w:rsid w:val="6AA92C8E"/>
    <w:rsid w:val="6ABC136F"/>
    <w:rsid w:val="6AE02E83"/>
    <w:rsid w:val="6AE21101"/>
    <w:rsid w:val="6AEE6180"/>
    <w:rsid w:val="6AF714C6"/>
    <w:rsid w:val="6AF97ECD"/>
    <w:rsid w:val="6AFE1987"/>
    <w:rsid w:val="6B264A3A"/>
    <w:rsid w:val="6B6320BC"/>
    <w:rsid w:val="6B875177"/>
    <w:rsid w:val="6B894933"/>
    <w:rsid w:val="6B8E3528"/>
    <w:rsid w:val="6BBB5226"/>
    <w:rsid w:val="6C063FA6"/>
    <w:rsid w:val="6C5B55DC"/>
    <w:rsid w:val="6C5B59F4"/>
    <w:rsid w:val="6C971E08"/>
    <w:rsid w:val="6CDF0B06"/>
    <w:rsid w:val="6CE801F9"/>
    <w:rsid w:val="6CF81772"/>
    <w:rsid w:val="6D3B2A1F"/>
    <w:rsid w:val="6D4D08D5"/>
    <w:rsid w:val="6D76099A"/>
    <w:rsid w:val="6D811705"/>
    <w:rsid w:val="6D8426D3"/>
    <w:rsid w:val="6D8D4577"/>
    <w:rsid w:val="6DBE6B02"/>
    <w:rsid w:val="6E3B6A4F"/>
    <w:rsid w:val="6E6329C5"/>
    <w:rsid w:val="6E6879E3"/>
    <w:rsid w:val="6E982537"/>
    <w:rsid w:val="6EAB3BD4"/>
    <w:rsid w:val="6EBE727E"/>
    <w:rsid w:val="6EC66318"/>
    <w:rsid w:val="6F0E41D6"/>
    <w:rsid w:val="6F2D584E"/>
    <w:rsid w:val="6F2F0361"/>
    <w:rsid w:val="6F411E43"/>
    <w:rsid w:val="6F5953DE"/>
    <w:rsid w:val="6F5E3BDA"/>
    <w:rsid w:val="6F6632D1"/>
    <w:rsid w:val="6F8809A5"/>
    <w:rsid w:val="6F944668"/>
    <w:rsid w:val="6FA12FF3"/>
    <w:rsid w:val="6FB34A84"/>
    <w:rsid w:val="6FB4540B"/>
    <w:rsid w:val="6FE05FF7"/>
    <w:rsid w:val="7037538C"/>
    <w:rsid w:val="70470576"/>
    <w:rsid w:val="70917395"/>
    <w:rsid w:val="70A84568"/>
    <w:rsid w:val="70AD2192"/>
    <w:rsid w:val="70E17439"/>
    <w:rsid w:val="70EE4DF0"/>
    <w:rsid w:val="71704BE3"/>
    <w:rsid w:val="71DA38AC"/>
    <w:rsid w:val="71E04C6F"/>
    <w:rsid w:val="71E13D84"/>
    <w:rsid w:val="721239A3"/>
    <w:rsid w:val="722216A8"/>
    <w:rsid w:val="723C2CA8"/>
    <w:rsid w:val="725B146D"/>
    <w:rsid w:val="72921444"/>
    <w:rsid w:val="72A86ED7"/>
    <w:rsid w:val="72AC6591"/>
    <w:rsid w:val="72D8486C"/>
    <w:rsid w:val="7325243F"/>
    <w:rsid w:val="7330009D"/>
    <w:rsid w:val="734C05A3"/>
    <w:rsid w:val="73660AE4"/>
    <w:rsid w:val="736D6C6F"/>
    <w:rsid w:val="73753BD3"/>
    <w:rsid w:val="738219E9"/>
    <w:rsid w:val="743104E3"/>
    <w:rsid w:val="74335059"/>
    <w:rsid w:val="743401C8"/>
    <w:rsid w:val="74513162"/>
    <w:rsid w:val="74876E3B"/>
    <w:rsid w:val="749B62CD"/>
    <w:rsid w:val="75023C86"/>
    <w:rsid w:val="75254540"/>
    <w:rsid w:val="752A55D3"/>
    <w:rsid w:val="75462FE5"/>
    <w:rsid w:val="754C6B5F"/>
    <w:rsid w:val="7582426B"/>
    <w:rsid w:val="75A1188D"/>
    <w:rsid w:val="75B01AD0"/>
    <w:rsid w:val="75BF179A"/>
    <w:rsid w:val="75F86031"/>
    <w:rsid w:val="762A53DF"/>
    <w:rsid w:val="762F5940"/>
    <w:rsid w:val="76571584"/>
    <w:rsid w:val="765B7C8E"/>
    <w:rsid w:val="766E7A92"/>
    <w:rsid w:val="766F3D6E"/>
    <w:rsid w:val="767B40FE"/>
    <w:rsid w:val="76A665D3"/>
    <w:rsid w:val="76AF0F31"/>
    <w:rsid w:val="76C521D2"/>
    <w:rsid w:val="76C802E6"/>
    <w:rsid w:val="77427202"/>
    <w:rsid w:val="775C3CB2"/>
    <w:rsid w:val="77675853"/>
    <w:rsid w:val="779C1F9C"/>
    <w:rsid w:val="77A108CF"/>
    <w:rsid w:val="77A72D5C"/>
    <w:rsid w:val="77AA0230"/>
    <w:rsid w:val="77C72B9C"/>
    <w:rsid w:val="77CC0050"/>
    <w:rsid w:val="77E65C7D"/>
    <w:rsid w:val="78121DDE"/>
    <w:rsid w:val="781F2ABA"/>
    <w:rsid w:val="782D11B6"/>
    <w:rsid w:val="782F7348"/>
    <w:rsid w:val="783C5A6C"/>
    <w:rsid w:val="78427660"/>
    <w:rsid w:val="78453EA6"/>
    <w:rsid w:val="78482494"/>
    <w:rsid w:val="786A5152"/>
    <w:rsid w:val="78B47496"/>
    <w:rsid w:val="78B8681F"/>
    <w:rsid w:val="78C80CA1"/>
    <w:rsid w:val="78DC7BB6"/>
    <w:rsid w:val="794D1ECF"/>
    <w:rsid w:val="795D6A9C"/>
    <w:rsid w:val="796B4B1B"/>
    <w:rsid w:val="797D0DBB"/>
    <w:rsid w:val="798157DC"/>
    <w:rsid w:val="79C526E3"/>
    <w:rsid w:val="79CA0020"/>
    <w:rsid w:val="79D17D46"/>
    <w:rsid w:val="79E339F4"/>
    <w:rsid w:val="79FC7092"/>
    <w:rsid w:val="7A423F5F"/>
    <w:rsid w:val="7A6A4943"/>
    <w:rsid w:val="7A8772A3"/>
    <w:rsid w:val="7A9E2D55"/>
    <w:rsid w:val="7AD93877"/>
    <w:rsid w:val="7AE97F78"/>
    <w:rsid w:val="7B0A60A9"/>
    <w:rsid w:val="7B3E0A41"/>
    <w:rsid w:val="7B416B5E"/>
    <w:rsid w:val="7B4E6013"/>
    <w:rsid w:val="7B631931"/>
    <w:rsid w:val="7B706229"/>
    <w:rsid w:val="7B9C0788"/>
    <w:rsid w:val="7BA9166A"/>
    <w:rsid w:val="7BAA676C"/>
    <w:rsid w:val="7BB426B6"/>
    <w:rsid w:val="7BB73BB8"/>
    <w:rsid w:val="7BC47B40"/>
    <w:rsid w:val="7BE85FA8"/>
    <w:rsid w:val="7BEE4B6D"/>
    <w:rsid w:val="7BFC15CB"/>
    <w:rsid w:val="7C225344"/>
    <w:rsid w:val="7C2A08E4"/>
    <w:rsid w:val="7C461916"/>
    <w:rsid w:val="7C945CA8"/>
    <w:rsid w:val="7C95440C"/>
    <w:rsid w:val="7CB66A99"/>
    <w:rsid w:val="7CC70BC5"/>
    <w:rsid w:val="7CFD215E"/>
    <w:rsid w:val="7CFE6786"/>
    <w:rsid w:val="7D1C5177"/>
    <w:rsid w:val="7D935887"/>
    <w:rsid w:val="7DF06799"/>
    <w:rsid w:val="7E0D21BD"/>
    <w:rsid w:val="7E592820"/>
    <w:rsid w:val="7E831A25"/>
    <w:rsid w:val="7EE747B5"/>
    <w:rsid w:val="7EFB5427"/>
    <w:rsid w:val="7EFD41D5"/>
    <w:rsid w:val="7F060203"/>
    <w:rsid w:val="7F1502FE"/>
    <w:rsid w:val="7F2133B8"/>
    <w:rsid w:val="7F655D20"/>
    <w:rsid w:val="7F86416E"/>
    <w:rsid w:val="7F9F2001"/>
    <w:rsid w:val="7FBA6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560" w:firstLineChars="200"/>
    </w:pPr>
    <w:rPr>
      <w:rFonts w:ascii="Times New Roman" w:hAnsi="Times New Roman" w:eastAsia="Times New Roman" w:cs="Times New Roman"/>
      <w:kern w:val="2"/>
      <w:sz w:val="28"/>
      <w:lang w:val="en-US" w:eastAsia="zh-CN" w:bidi="ar-SA"/>
    </w:rPr>
  </w:style>
  <w:style w:type="paragraph" w:styleId="4">
    <w:name w:val="heading 1"/>
    <w:basedOn w:val="1"/>
    <w:next w:val="1"/>
    <w:link w:val="78"/>
    <w:autoRedefine/>
    <w:qFormat/>
    <w:uiPriority w:val="0"/>
    <w:pPr>
      <w:spacing w:line="360" w:lineRule="auto"/>
      <w:ind w:firstLine="880"/>
      <w:jc w:val="center"/>
      <w:outlineLvl w:val="0"/>
    </w:pPr>
    <w:rPr>
      <w:kern w:val="44"/>
      <w:sz w:val="44"/>
      <w:szCs w:val="44"/>
    </w:rPr>
  </w:style>
  <w:style w:type="paragraph" w:styleId="5">
    <w:name w:val="heading 2"/>
    <w:basedOn w:val="1"/>
    <w:next w:val="1"/>
    <w:link w:val="79"/>
    <w:autoRedefine/>
    <w:qFormat/>
    <w:uiPriority w:val="0"/>
    <w:pPr>
      <w:keepNext/>
      <w:keepLines/>
      <w:ind w:firstLine="0" w:firstLineChars="0"/>
      <w:outlineLvl w:val="1"/>
    </w:pPr>
    <w:rPr>
      <w:rFonts w:eastAsia="仿宋" w:asciiTheme="majorHAnsi" w:hAnsiTheme="majorHAnsi" w:cstheme="majorBidi"/>
      <w:b/>
      <w:bCs/>
      <w:sz w:val="30"/>
      <w:szCs w:val="32"/>
    </w:rPr>
  </w:style>
  <w:style w:type="paragraph" w:styleId="6">
    <w:name w:val="heading 3"/>
    <w:basedOn w:val="1"/>
    <w:next w:val="1"/>
    <w:link w:val="34"/>
    <w:qFormat/>
    <w:uiPriority w:val="0"/>
    <w:pPr>
      <w:keepNext/>
      <w:keepLines/>
      <w:widowControl/>
      <w:outlineLvl w:val="2"/>
    </w:pPr>
    <w:rPr>
      <w:rFonts w:ascii="Calibri" w:hAnsi="Calibri" w:cs="宋体"/>
      <w:b/>
      <w:szCs w:val="22"/>
    </w:rPr>
  </w:style>
  <w:style w:type="paragraph" w:styleId="7">
    <w:name w:val="heading 4"/>
    <w:basedOn w:val="1"/>
    <w:next w:val="1"/>
    <w:autoRedefine/>
    <w:unhideWhenUsed/>
    <w:qFormat/>
    <w:uiPriority w:val="9"/>
    <w:pPr>
      <w:keepNext/>
      <w:keepLines/>
      <w:outlineLvl w:val="3"/>
    </w:pPr>
    <w:rPr>
      <w:rFonts w:asciiTheme="majorHAnsi" w:hAnsiTheme="majorHAnsi" w:cstheme="majorBidi"/>
      <w:b/>
      <w:bCs/>
      <w:sz w:val="24"/>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240" w:lineRule="auto"/>
      <w:ind w:left="420" w:leftChars="200" w:firstLine="420"/>
    </w:pPr>
    <w:rPr>
      <w:sz w:val="21"/>
    </w:rPr>
  </w:style>
  <w:style w:type="paragraph" w:styleId="3">
    <w:name w:val="Body Text Indent"/>
    <w:basedOn w:val="1"/>
    <w:autoRedefine/>
    <w:qFormat/>
    <w:uiPriority w:val="0"/>
    <w:pPr>
      <w:spacing w:line="520" w:lineRule="exact"/>
      <w:ind w:left="570"/>
    </w:pPr>
    <w:rPr>
      <w:rFonts w:ascii="方正仿宋简体" w:hAnsi="创艺简仿宋" w:eastAsia="方正仿宋简体"/>
      <w:sz w:val="24"/>
    </w:rPr>
  </w:style>
  <w:style w:type="paragraph" w:styleId="8">
    <w:name w:val="Document Map"/>
    <w:basedOn w:val="1"/>
    <w:link w:val="40"/>
    <w:autoRedefine/>
    <w:qFormat/>
    <w:uiPriority w:val="99"/>
    <w:rPr>
      <w:rFonts w:ascii="宋体"/>
      <w:sz w:val="18"/>
      <w:szCs w:val="18"/>
    </w:rPr>
  </w:style>
  <w:style w:type="paragraph" w:styleId="9">
    <w:name w:val="annotation text"/>
    <w:basedOn w:val="1"/>
    <w:link w:val="43"/>
    <w:autoRedefine/>
    <w:qFormat/>
    <w:uiPriority w:val="99"/>
  </w:style>
  <w:style w:type="paragraph" w:styleId="10">
    <w:name w:val="Body Text"/>
    <w:basedOn w:val="1"/>
    <w:link w:val="35"/>
    <w:autoRedefine/>
    <w:qFormat/>
    <w:uiPriority w:val="99"/>
    <w:pPr>
      <w:spacing w:after="120"/>
    </w:pPr>
  </w:style>
  <w:style w:type="paragraph" w:styleId="11">
    <w:name w:val="Balloon Text"/>
    <w:basedOn w:val="1"/>
    <w:link w:val="38"/>
    <w:autoRedefine/>
    <w:qFormat/>
    <w:uiPriority w:val="99"/>
    <w:rPr>
      <w:sz w:val="18"/>
      <w:szCs w:val="18"/>
    </w:rPr>
  </w:style>
  <w:style w:type="paragraph" w:styleId="12">
    <w:name w:val="footer"/>
    <w:basedOn w:val="1"/>
    <w:link w:val="37"/>
    <w:autoRedefine/>
    <w:qFormat/>
    <w:uiPriority w:val="99"/>
    <w:pPr>
      <w:tabs>
        <w:tab w:val="center" w:pos="4153"/>
        <w:tab w:val="right" w:pos="8306"/>
      </w:tabs>
      <w:snapToGrid w:val="0"/>
    </w:pPr>
    <w:rPr>
      <w:sz w:val="18"/>
      <w:szCs w:val="18"/>
    </w:rPr>
  </w:style>
  <w:style w:type="paragraph" w:styleId="13">
    <w:name w:val="envelope return"/>
    <w:basedOn w:val="1"/>
    <w:autoRedefine/>
    <w:unhideWhenUsed/>
    <w:qFormat/>
    <w:uiPriority w:val="99"/>
    <w:rPr>
      <w:rFonts w:hint="eastAsia"/>
    </w:rPr>
  </w:style>
  <w:style w:type="paragraph" w:styleId="14">
    <w:name w:val="header"/>
    <w:basedOn w:val="1"/>
    <w:link w:val="82"/>
    <w:autoRedefine/>
    <w:qFormat/>
    <w:uiPriority w:val="99"/>
    <w:pPr>
      <w:tabs>
        <w:tab w:val="center" w:pos="4153"/>
        <w:tab w:val="right" w:pos="8306"/>
      </w:tabs>
      <w:snapToGrid w:val="0"/>
      <w:spacing w:line="240" w:lineRule="atLeast"/>
      <w:jc w:val="center"/>
    </w:pPr>
    <w:rPr>
      <w:sz w:val="18"/>
      <w:szCs w:val="18"/>
    </w:rPr>
  </w:style>
  <w:style w:type="paragraph" w:styleId="15">
    <w:name w:val="toc 1"/>
    <w:basedOn w:val="1"/>
    <w:next w:val="1"/>
    <w:autoRedefine/>
    <w:qFormat/>
    <w:uiPriority w:val="39"/>
    <w:pPr>
      <w:spacing w:line="440" w:lineRule="exact"/>
    </w:pPr>
    <w:rPr>
      <w:rFonts w:ascii="Times New Roman" w:hAnsi="Times New Roman" w:eastAsia="宋体" w:cs="Times New Roman"/>
    </w:rPr>
  </w:style>
  <w:style w:type="paragraph" w:styleId="16">
    <w:name w:val="Body Text Indent 3"/>
    <w:basedOn w:val="1"/>
    <w:autoRedefine/>
    <w:qFormat/>
    <w:uiPriority w:val="0"/>
    <w:pPr>
      <w:spacing w:line="360" w:lineRule="auto"/>
      <w:ind w:firstLine="480" w:firstLineChars="200"/>
    </w:pPr>
  </w:style>
  <w:style w:type="paragraph" w:styleId="17">
    <w:name w:val="Normal (Web)"/>
    <w:basedOn w:val="1"/>
    <w:autoRedefine/>
    <w:semiHidden/>
    <w:unhideWhenUsed/>
    <w:qFormat/>
    <w:uiPriority w:val="99"/>
    <w:rPr>
      <w:sz w:val="24"/>
    </w:rPr>
  </w:style>
  <w:style w:type="paragraph" w:styleId="18">
    <w:name w:val="annotation subject"/>
    <w:basedOn w:val="9"/>
    <w:next w:val="9"/>
    <w:link w:val="47"/>
    <w:autoRedefine/>
    <w:semiHidden/>
    <w:unhideWhenUsed/>
    <w:qFormat/>
    <w:uiPriority w:val="99"/>
    <w:rPr>
      <w:b/>
      <w:bCs/>
    </w:rPr>
  </w:style>
  <w:style w:type="paragraph" w:styleId="19">
    <w:name w:val="Body Text First Indent"/>
    <w:basedOn w:val="10"/>
    <w:link w:val="36"/>
    <w:autoRedefine/>
    <w:qFormat/>
    <w:uiPriority w:val="0"/>
    <w:pPr>
      <w:widowControl/>
      <w:ind w:firstLine="420" w:firstLineChars="100"/>
    </w:pPr>
    <w:rPr>
      <w:rFonts w:ascii="Calibri" w:hAnsi="Calibri" w:cs="宋体"/>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autoRedefine/>
    <w:qFormat/>
    <w:uiPriority w:val="0"/>
    <w:rPr>
      <w:rFonts w:ascii="Times New Roman" w:hAnsi="Times New Roman" w:eastAsia="宋体" w:cs="Times New Roman"/>
    </w:rPr>
  </w:style>
  <w:style w:type="character" w:styleId="25">
    <w:name w:val="FollowedHyperlink"/>
    <w:basedOn w:val="22"/>
    <w:autoRedefine/>
    <w:semiHidden/>
    <w:unhideWhenUsed/>
    <w:qFormat/>
    <w:uiPriority w:val="99"/>
    <w:rPr>
      <w:color w:val="2490F8"/>
      <w:u w:val="none"/>
    </w:rPr>
  </w:style>
  <w:style w:type="character" w:styleId="26">
    <w:name w:val="HTML Definition"/>
    <w:basedOn w:val="22"/>
    <w:autoRedefine/>
    <w:semiHidden/>
    <w:unhideWhenUsed/>
    <w:qFormat/>
    <w:uiPriority w:val="99"/>
    <w:rPr>
      <w:color w:val="666666"/>
      <w:sz w:val="18"/>
      <w:szCs w:val="18"/>
      <w:bdr w:val="single" w:color="D4D4D4" w:sz="6" w:space="0"/>
      <w:shd w:val="clear" w:color="auto" w:fill="FFFFFF"/>
    </w:rPr>
  </w:style>
  <w:style w:type="character" w:styleId="27">
    <w:name w:val="HTML Variable"/>
    <w:basedOn w:val="22"/>
    <w:autoRedefine/>
    <w:semiHidden/>
    <w:unhideWhenUsed/>
    <w:qFormat/>
    <w:uiPriority w:val="99"/>
  </w:style>
  <w:style w:type="character" w:styleId="28">
    <w:name w:val="Hyperlink"/>
    <w:basedOn w:val="22"/>
    <w:autoRedefine/>
    <w:unhideWhenUsed/>
    <w:qFormat/>
    <w:uiPriority w:val="99"/>
    <w:rPr>
      <w:color w:val="0000FF" w:themeColor="hyperlink"/>
      <w:u w:val="single"/>
      <w14:textFill>
        <w14:solidFill>
          <w14:schemeClr w14:val="hlink"/>
        </w14:solidFill>
      </w14:textFill>
    </w:rPr>
  </w:style>
  <w:style w:type="character" w:styleId="29">
    <w:name w:val="HTML Code"/>
    <w:basedOn w:val="22"/>
    <w:autoRedefine/>
    <w:semiHidden/>
    <w:unhideWhenUsed/>
    <w:qFormat/>
    <w:uiPriority w:val="99"/>
    <w:rPr>
      <w:rFonts w:ascii="Courier New" w:hAnsi="Courier New"/>
      <w:sz w:val="20"/>
    </w:rPr>
  </w:style>
  <w:style w:type="character" w:styleId="30">
    <w:name w:val="annotation reference"/>
    <w:basedOn w:val="22"/>
    <w:autoRedefine/>
    <w:qFormat/>
    <w:uiPriority w:val="99"/>
    <w:rPr>
      <w:sz w:val="21"/>
      <w:szCs w:val="21"/>
    </w:rPr>
  </w:style>
  <w:style w:type="character" w:styleId="31">
    <w:name w:val="HTML Cite"/>
    <w:basedOn w:val="22"/>
    <w:autoRedefine/>
    <w:semiHidden/>
    <w:unhideWhenUsed/>
    <w:qFormat/>
    <w:uiPriority w:val="99"/>
  </w:style>
  <w:style w:type="character" w:customStyle="1" w:styleId="32">
    <w:name w:val="正文缩进2格 Char"/>
    <w:link w:val="33"/>
    <w:autoRedefine/>
    <w:qFormat/>
    <w:uiPriority w:val="0"/>
    <w:rPr>
      <w:rFonts w:ascii="仿宋_GB2312" w:hAnsi="宋体" w:eastAsia="仿宋_GB2312" w:cs="仿宋_GB2312"/>
      <w:sz w:val="31"/>
      <w:szCs w:val="31"/>
    </w:rPr>
  </w:style>
  <w:style w:type="paragraph" w:customStyle="1" w:styleId="33">
    <w:name w:val="正文缩进2格"/>
    <w:basedOn w:val="1"/>
    <w:link w:val="32"/>
    <w:autoRedefine/>
    <w:qFormat/>
    <w:uiPriority w:val="0"/>
    <w:pPr>
      <w:ind w:firstLine="639" w:firstLineChars="206"/>
    </w:pPr>
    <w:rPr>
      <w:rFonts w:ascii="仿宋_GB2312" w:hAnsi="宋体" w:eastAsia="仿宋_GB2312" w:cs="仿宋_GB2312"/>
      <w:sz w:val="31"/>
      <w:szCs w:val="31"/>
    </w:rPr>
  </w:style>
  <w:style w:type="character" w:customStyle="1" w:styleId="34">
    <w:name w:val="标题 3 字符"/>
    <w:basedOn w:val="22"/>
    <w:link w:val="6"/>
    <w:qFormat/>
    <w:uiPriority w:val="0"/>
    <w:rPr>
      <w:rFonts w:ascii="Calibri" w:hAnsi="Calibri" w:eastAsia="Times New Roman" w:cs="宋体"/>
      <w:b/>
      <w:kern w:val="2"/>
      <w:sz w:val="28"/>
      <w:szCs w:val="22"/>
    </w:rPr>
  </w:style>
  <w:style w:type="character" w:customStyle="1" w:styleId="35">
    <w:name w:val="正文文本 字符"/>
    <w:basedOn w:val="22"/>
    <w:link w:val="10"/>
    <w:autoRedefine/>
    <w:qFormat/>
    <w:uiPriority w:val="99"/>
    <w:rPr>
      <w:rFonts w:eastAsia="Times New Roman"/>
      <w:kern w:val="2"/>
      <w:sz w:val="28"/>
    </w:rPr>
  </w:style>
  <w:style w:type="character" w:customStyle="1" w:styleId="36">
    <w:name w:val="正文文本首行缩进 字符"/>
    <w:basedOn w:val="35"/>
    <w:link w:val="19"/>
    <w:autoRedefine/>
    <w:qFormat/>
    <w:uiPriority w:val="0"/>
    <w:rPr>
      <w:rFonts w:ascii="Times New Roman" w:hAnsi="Times New Roman" w:eastAsia="宋体" w:cs="Times New Roman"/>
      <w:kern w:val="2"/>
      <w:sz w:val="28"/>
      <w:szCs w:val="20"/>
    </w:rPr>
  </w:style>
  <w:style w:type="character" w:customStyle="1" w:styleId="37">
    <w:name w:val="页脚 字符"/>
    <w:basedOn w:val="22"/>
    <w:link w:val="12"/>
    <w:autoRedefine/>
    <w:qFormat/>
    <w:uiPriority w:val="99"/>
    <w:rPr>
      <w:rFonts w:ascii="Times New Roman" w:hAnsi="Times New Roman" w:eastAsia="宋体" w:cs="Times New Roman"/>
      <w:sz w:val="18"/>
      <w:szCs w:val="18"/>
    </w:rPr>
  </w:style>
  <w:style w:type="character" w:customStyle="1" w:styleId="38">
    <w:name w:val="批注框文本 字符"/>
    <w:basedOn w:val="22"/>
    <w:link w:val="11"/>
    <w:autoRedefine/>
    <w:qFormat/>
    <w:uiPriority w:val="99"/>
    <w:rPr>
      <w:rFonts w:ascii="Times New Roman" w:hAnsi="Times New Roman" w:eastAsia="宋体" w:cs="Times New Roman"/>
      <w:kern w:val="2"/>
      <w:sz w:val="18"/>
      <w:szCs w:val="18"/>
    </w:rPr>
  </w:style>
  <w:style w:type="paragraph" w:customStyle="1" w:styleId="39">
    <w:name w:val="列出段落1"/>
    <w:basedOn w:val="1"/>
    <w:autoRedefine/>
    <w:qFormat/>
    <w:uiPriority w:val="1"/>
    <w:pPr>
      <w:numPr>
        <w:ilvl w:val="0"/>
        <w:numId w:val="1"/>
      </w:numPr>
      <w:ind w:left="420" w:firstLine="0" w:firstLineChars="0"/>
    </w:pPr>
  </w:style>
  <w:style w:type="character" w:customStyle="1" w:styleId="40">
    <w:name w:val="文档结构图 字符"/>
    <w:basedOn w:val="22"/>
    <w:link w:val="8"/>
    <w:autoRedefine/>
    <w:qFormat/>
    <w:uiPriority w:val="99"/>
    <w:rPr>
      <w:rFonts w:ascii="宋体" w:hAnsi="Times New Roman" w:eastAsia="宋体" w:cs="Times New Roman"/>
      <w:kern w:val="2"/>
      <w:sz w:val="18"/>
      <w:szCs w:val="18"/>
    </w:rPr>
  </w:style>
  <w:style w:type="paragraph" w:customStyle="1" w:styleId="41">
    <w:name w:val="列出段落2"/>
    <w:basedOn w:val="1"/>
    <w:autoRedefine/>
    <w:qFormat/>
    <w:uiPriority w:val="99"/>
    <w:pPr>
      <w:ind w:firstLine="420"/>
    </w:pPr>
  </w:style>
  <w:style w:type="paragraph" w:styleId="42">
    <w:name w:val="List Paragraph"/>
    <w:basedOn w:val="1"/>
    <w:autoRedefine/>
    <w:qFormat/>
    <w:uiPriority w:val="1"/>
  </w:style>
  <w:style w:type="character" w:customStyle="1" w:styleId="43">
    <w:name w:val="批注文字 字符"/>
    <w:basedOn w:val="22"/>
    <w:link w:val="9"/>
    <w:autoRedefine/>
    <w:qFormat/>
    <w:uiPriority w:val="99"/>
    <w:rPr>
      <w:rFonts w:ascii="Times New Roman" w:hAnsi="Times New Roman" w:cs="Times New Roman"/>
      <w:kern w:val="2"/>
      <w:sz w:val="21"/>
    </w:rPr>
  </w:style>
  <w:style w:type="character" w:customStyle="1" w:styleId="44">
    <w:name w:val="fontstyle01"/>
    <w:basedOn w:val="22"/>
    <w:autoRedefine/>
    <w:qFormat/>
    <w:uiPriority w:val="99"/>
    <w:rPr>
      <w:rFonts w:hint="eastAsia" w:ascii="仿宋" w:hAnsi="仿宋" w:eastAsia="仿宋"/>
      <w:color w:val="000000"/>
      <w:sz w:val="28"/>
      <w:szCs w:val="28"/>
    </w:rPr>
  </w:style>
  <w:style w:type="character" w:customStyle="1" w:styleId="45">
    <w:name w:val="font11"/>
    <w:basedOn w:val="22"/>
    <w:autoRedefine/>
    <w:qFormat/>
    <w:uiPriority w:val="99"/>
    <w:rPr>
      <w:rFonts w:hint="default" w:ascii="Times New Roman" w:hAnsi="Times New Roman" w:cs="Times New Roman"/>
      <w:color w:val="000000"/>
      <w:sz w:val="24"/>
      <w:szCs w:val="24"/>
      <w:u w:val="none"/>
    </w:rPr>
  </w:style>
  <w:style w:type="paragraph" w:customStyle="1" w:styleId="46">
    <w:name w:val="Other|1"/>
    <w:basedOn w:val="1"/>
    <w:autoRedefine/>
    <w:qFormat/>
    <w:uiPriority w:val="99"/>
    <w:pPr>
      <w:jc w:val="center"/>
    </w:pPr>
    <w:rPr>
      <w:rFonts w:ascii="宋体" w:hAnsi="宋体" w:cs="宋体"/>
      <w:kern w:val="0"/>
      <w:sz w:val="24"/>
      <w:szCs w:val="24"/>
      <w:lang w:val="zh-TW" w:eastAsia="zh-TW" w:bidi="zh-TW"/>
    </w:rPr>
  </w:style>
  <w:style w:type="character" w:customStyle="1" w:styleId="47">
    <w:name w:val="批注主题 字符"/>
    <w:basedOn w:val="43"/>
    <w:link w:val="18"/>
    <w:autoRedefine/>
    <w:semiHidden/>
    <w:qFormat/>
    <w:uiPriority w:val="99"/>
    <w:rPr>
      <w:rFonts w:ascii="Times New Roman" w:hAnsi="Times New Roman" w:eastAsia="宋体" w:cs="Times New Roman"/>
      <w:b/>
      <w:bCs/>
      <w:kern w:val="2"/>
      <w:sz w:val="21"/>
    </w:rPr>
  </w:style>
  <w:style w:type="paragraph" w:customStyle="1" w:styleId="48">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49">
    <w:name w:val="button"/>
    <w:basedOn w:val="22"/>
    <w:autoRedefine/>
    <w:qFormat/>
    <w:uiPriority w:val="99"/>
  </w:style>
  <w:style w:type="character" w:customStyle="1" w:styleId="50">
    <w:name w:val="cdropright"/>
    <w:basedOn w:val="22"/>
    <w:autoRedefine/>
    <w:qFormat/>
    <w:uiPriority w:val="99"/>
  </w:style>
  <w:style w:type="character" w:customStyle="1" w:styleId="51">
    <w:name w:val="drapbtn"/>
    <w:basedOn w:val="22"/>
    <w:autoRedefine/>
    <w:qFormat/>
    <w:uiPriority w:val="99"/>
  </w:style>
  <w:style w:type="character" w:customStyle="1" w:styleId="52">
    <w:name w:val="cdropleft"/>
    <w:basedOn w:val="22"/>
    <w:autoRedefine/>
    <w:qFormat/>
    <w:uiPriority w:val="99"/>
  </w:style>
  <w:style w:type="character" w:customStyle="1" w:styleId="53">
    <w:name w:val="hilite4"/>
    <w:basedOn w:val="22"/>
    <w:autoRedefine/>
    <w:qFormat/>
    <w:uiPriority w:val="99"/>
    <w:rPr>
      <w:color w:val="FFFFFF"/>
      <w:shd w:val="clear" w:color="auto" w:fill="666666"/>
    </w:rPr>
  </w:style>
  <w:style w:type="character" w:customStyle="1" w:styleId="54">
    <w:name w:val="active2"/>
    <w:basedOn w:val="22"/>
    <w:autoRedefine/>
    <w:qFormat/>
    <w:uiPriority w:val="99"/>
    <w:rPr>
      <w:color w:val="00FF00"/>
      <w:shd w:val="clear" w:color="auto" w:fill="111111"/>
    </w:rPr>
  </w:style>
  <w:style w:type="character" w:customStyle="1" w:styleId="55">
    <w:name w:val="active3"/>
    <w:basedOn w:val="22"/>
    <w:autoRedefine/>
    <w:qFormat/>
    <w:uiPriority w:val="99"/>
    <w:rPr>
      <w:shd w:val="clear" w:color="auto" w:fill="EC3535"/>
    </w:rPr>
  </w:style>
  <w:style w:type="character" w:customStyle="1" w:styleId="56">
    <w:name w:val="pagechatarealistclose_box"/>
    <w:basedOn w:val="22"/>
    <w:autoRedefine/>
    <w:qFormat/>
    <w:uiPriority w:val="99"/>
  </w:style>
  <w:style w:type="character" w:customStyle="1" w:styleId="57">
    <w:name w:val="pagechatarealistclose_box1"/>
    <w:basedOn w:val="22"/>
    <w:autoRedefine/>
    <w:qFormat/>
    <w:uiPriority w:val="99"/>
  </w:style>
  <w:style w:type="character" w:customStyle="1" w:styleId="58">
    <w:name w:val="icontext1"/>
    <w:basedOn w:val="22"/>
    <w:autoRedefine/>
    <w:qFormat/>
    <w:uiPriority w:val="99"/>
  </w:style>
  <w:style w:type="character" w:customStyle="1" w:styleId="59">
    <w:name w:val="icontext11"/>
    <w:basedOn w:val="22"/>
    <w:autoRedefine/>
    <w:qFormat/>
    <w:uiPriority w:val="99"/>
  </w:style>
  <w:style w:type="character" w:customStyle="1" w:styleId="60">
    <w:name w:val="associateddata"/>
    <w:basedOn w:val="22"/>
    <w:autoRedefine/>
    <w:qFormat/>
    <w:uiPriority w:val="99"/>
    <w:rPr>
      <w:shd w:val="clear" w:color="auto" w:fill="50A6F9"/>
    </w:rPr>
  </w:style>
  <w:style w:type="character" w:customStyle="1" w:styleId="61">
    <w:name w:val="ico1654"/>
    <w:basedOn w:val="22"/>
    <w:autoRedefine/>
    <w:qFormat/>
    <w:uiPriority w:val="99"/>
  </w:style>
  <w:style w:type="character" w:customStyle="1" w:styleId="62">
    <w:name w:val="ico1655"/>
    <w:basedOn w:val="22"/>
    <w:autoRedefine/>
    <w:qFormat/>
    <w:uiPriority w:val="99"/>
  </w:style>
  <w:style w:type="character" w:customStyle="1" w:styleId="63">
    <w:name w:val="design_class"/>
    <w:basedOn w:val="22"/>
    <w:autoRedefine/>
    <w:qFormat/>
    <w:uiPriority w:val="99"/>
  </w:style>
  <w:style w:type="character" w:customStyle="1" w:styleId="64">
    <w:name w:val="layui-layer-tabnow"/>
    <w:basedOn w:val="22"/>
    <w:autoRedefine/>
    <w:qFormat/>
    <w:uiPriority w:val="99"/>
    <w:rPr>
      <w:bdr w:val="single" w:color="CCCCCC" w:sz="6" w:space="0"/>
      <w:shd w:val="clear" w:color="auto" w:fill="FFFFFF"/>
    </w:rPr>
  </w:style>
  <w:style w:type="character" w:customStyle="1" w:styleId="65">
    <w:name w:val="icontext3"/>
    <w:basedOn w:val="22"/>
    <w:autoRedefine/>
    <w:qFormat/>
    <w:uiPriority w:val="99"/>
  </w:style>
  <w:style w:type="character" w:customStyle="1" w:styleId="66">
    <w:name w:val="iconline2"/>
    <w:basedOn w:val="22"/>
    <w:autoRedefine/>
    <w:qFormat/>
    <w:uiPriority w:val="99"/>
  </w:style>
  <w:style w:type="character" w:customStyle="1" w:styleId="67">
    <w:name w:val="iconline21"/>
    <w:basedOn w:val="22"/>
    <w:autoRedefine/>
    <w:qFormat/>
    <w:uiPriority w:val="99"/>
  </w:style>
  <w:style w:type="character" w:customStyle="1" w:styleId="68">
    <w:name w:val="cy"/>
    <w:basedOn w:val="22"/>
    <w:autoRedefine/>
    <w:qFormat/>
    <w:uiPriority w:val="99"/>
  </w:style>
  <w:style w:type="character" w:customStyle="1" w:styleId="69">
    <w:name w:val="icontext2"/>
    <w:basedOn w:val="22"/>
    <w:autoRedefine/>
    <w:qFormat/>
    <w:uiPriority w:val="99"/>
  </w:style>
  <w:style w:type="character" w:customStyle="1" w:styleId="70">
    <w:name w:val="after"/>
    <w:basedOn w:val="22"/>
    <w:autoRedefine/>
    <w:qFormat/>
    <w:uiPriority w:val="99"/>
    <w:rPr>
      <w:sz w:val="0"/>
      <w:szCs w:val="0"/>
    </w:rPr>
  </w:style>
  <w:style w:type="character" w:customStyle="1" w:styleId="71">
    <w:name w:val="xdrichtextbox"/>
    <w:basedOn w:val="22"/>
    <w:autoRedefine/>
    <w:qFormat/>
    <w:uiPriority w:val="99"/>
    <w:rPr>
      <w:color w:val="auto"/>
      <w:sz w:val="18"/>
      <w:szCs w:val="18"/>
      <w:u w:val="none"/>
      <w:bdr w:val="single" w:color="DCDCDC" w:sz="8" w:space="0"/>
      <w:shd w:val="clear" w:color="auto" w:fill="auto"/>
    </w:rPr>
  </w:style>
  <w:style w:type="character" w:customStyle="1" w:styleId="72">
    <w:name w:val="choosename"/>
    <w:basedOn w:val="22"/>
    <w:autoRedefine/>
    <w:qFormat/>
    <w:uiPriority w:val="99"/>
  </w:style>
  <w:style w:type="character" w:customStyle="1" w:styleId="73">
    <w:name w:val="w32"/>
    <w:basedOn w:val="22"/>
    <w:autoRedefine/>
    <w:qFormat/>
    <w:uiPriority w:val="99"/>
  </w:style>
  <w:style w:type="character" w:customStyle="1" w:styleId="74">
    <w:name w:val="first-child"/>
    <w:basedOn w:val="22"/>
    <w:autoRedefine/>
    <w:qFormat/>
    <w:uiPriority w:val="99"/>
  </w:style>
  <w:style w:type="character" w:customStyle="1" w:styleId="75">
    <w:name w:val="tmpztreemove_arrow"/>
    <w:basedOn w:val="22"/>
    <w:autoRedefine/>
    <w:qFormat/>
    <w:uiPriority w:val="99"/>
  </w:style>
  <w:style w:type="character" w:customStyle="1" w:styleId="76">
    <w:name w:val="edit_class"/>
    <w:basedOn w:val="22"/>
    <w:autoRedefine/>
    <w:qFormat/>
    <w:uiPriority w:val="99"/>
  </w:style>
  <w:style w:type="character" w:customStyle="1" w:styleId="77">
    <w:name w:val="biggerthanmax"/>
    <w:basedOn w:val="22"/>
    <w:autoRedefine/>
    <w:qFormat/>
    <w:uiPriority w:val="99"/>
    <w:rPr>
      <w:shd w:val="clear" w:color="auto" w:fill="FFFF00"/>
    </w:rPr>
  </w:style>
  <w:style w:type="character" w:customStyle="1" w:styleId="78">
    <w:name w:val="标题 1 字符"/>
    <w:basedOn w:val="22"/>
    <w:link w:val="4"/>
    <w:autoRedefine/>
    <w:qFormat/>
    <w:uiPriority w:val="0"/>
    <w:rPr>
      <w:rFonts w:eastAsia="Times New Roman"/>
      <w:kern w:val="44"/>
      <w:sz w:val="44"/>
      <w:szCs w:val="44"/>
    </w:rPr>
  </w:style>
  <w:style w:type="character" w:customStyle="1" w:styleId="79">
    <w:name w:val="标题 2 字符"/>
    <w:basedOn w:val="22"/>
    <w:link w:val="5"/>
    <w:autoRedefine/>
    <w:qFormat/>
    <w:uiPriority w:val="0"/>
    <w:rPr>
      <w:rFonts w:eastAsia="仿宋" w:asciiTheme="majorHAnsi" w:hAnsiTheme="majorHAnsi" w:cstheme="majorBidi"/>
      <w:b/>
      <w:bCs/>
      <w:kern w:val="2"/>
      <w:sz w:val="30"/>
      <w:szCs w:val="32"/>
    </w:rPr>
  </w:style>
  <w:style w:type="paragraph" w:customStyle="1" w:styleId="80">
    <w:name w:val="修订2"/>
    <w:autoRedefine/>
    <w:hidden/>
    <w:semiHidden/>
    <w:qFormat/>
    <w:uiPriority w:val="99"/>
    <w:rPr>
      <w:rFonts w:ascii="Times New Roman" w:hAnsi="Times New Roman" w:eastAsia="Times New Roman" w:cs="Times New Roman"/>
      <w:kern w:val="2"/>
      <w:sz w:val="28"/>
      <w:lang w:val="en-US" w:eastAsia="zh-CN" w:bidi="ar-SA"/>
    </w:rPr>
  </w:style>
  <w:style w:type="paragraph" w:customStyle="1" w:styleId="81">
    <w:name w:val="修订3"/>
    <w:autoRedefine/>
    <w:hidden/>
    <w:unhideWhenUsed/>
    <w:qFormat/>
    <w:uiPriority w:val="99"/>
    <w:rPr>
      <w:rFonts w:ascii="Times New Roman" w:hAnsi="Times New Roman" w:eastAsia="Times New Roman" w:cs="Times New Roman"/>
      <w:kern w:val="2"/>
      <w:sz w:val="28"/>
      <w:lang w:val="en-US" w:eastAsia="zh-CN" w:bidi="ar-SA"/>
    </w:rPr>
  </w:style>
  <w:style w:type="character" w:customStyle="1" w:styleId="82">
    <w:name w:val="页眉 字符"/>
    <w:basedOn w:val="22"/>
    <w:link w:val="14"/>
    <w:autoRedefine/>
    <w:qFormat/>
    <w:uiPriority w:val="99"/>
    <w:rPr>
      <w:rFonts w:eastAsia="Times New Roman"/>
      <w:kern w:val="2"/>
      <w:sz w:val="18"/>
      <w:szCs w:val="18"/>
    </w:rPr>
  </w:style>
  <w:style w:type="paragraph" w:customStyle="1" w:styleId="83">
    <w:name w:val="修订4"/>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4">
    <w:name w:val="修订5"/>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5">
    <w:name w:val="修订6"/>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6">
    <w:name w:val="修订7"/>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7">
    <w:name w:val="Revision"/>
    <w:autoRedefine/>
    <w:hidden/>
    <w:unhideWhenUsed/>
    <w:qFormat/>
    <w:uiPriority w:val="99"/>
    <w:rPr>
      <w:rFonts w:ascii="Times New Roman" w:hAnsi="Times New Roman" w:eastAsia="Times New Roman" w:cs="Times New Roman"/>
      <w:kern w:val="2"/>
      <w:sz w:val="28"/>
      <w:lang w:val="en-US" w:eastAsia="zh-CN" w:bidi="ar-SA"/>
    </w:rPr>
  </w:style>
  <w:style w:type="table" w:customStyle="1" w:styleId="88">
    <w:name w:val="Table Normal"/>
    <w:basedOn w:val="20"/>
    <w:autoRedefine/>
    <w:qFormat/>
    <w:uiPriority w:val="0"/>
    <w:rPr>
      <w:rFonts w:ascii="Times New Roman" w:hAnsi="Times New Roman" w:eastAsia="Times New Roman" w:cs="Times New Roman"/>
    </w:rPr>
    <w:tblPr>
      <w:tblCellMar>
        <w:left w:w="0" w:type="dxa"/>
        <w:right w:w="0" w:type="dxa"/>
      </w:tblCellMar>
    </w:tblPr>
  </w:style>
  <w:style w:type="character" w:customStyle="1" w:styleId="89">
    <w:name w:val="font21"/>
    <w:basedOn w:val="22"/>
    <w:autoRedefine/>
    <w:qFormat/>
    <w:uiPriority w:val="0"/>
    <w:rPr>
      <w:rFonts w:hint="eastAsia" w:ascii="宋体" w:hAnsi="宋体" w:eastAsia="宋体" w:cs="宋体"/>
      <w:color w:val="000000"/>
      <w:sz w:val="21"/>
      <w:szCs w:val="21"/>
      <w:u w:val="none"/>
    </w:rPr>
  </w:style>
  <w:style w:type="character" w:customStyle="1" w:styleId="90">
    <w:name w:val="font41"/>
    <w:basedOn w:val="22"/>
    <w:autoRedefine/>
    <w:qFormat/>
    <w:uiPriority w:val="0"/>
    <w:rPr>
      <w:rFonts w:hint="default" w:ascii="Times New Roman" w:hAnsi="Times New Roman" w:cs="Times New Roman"/>
      <w:color w:val="000000"/>
      <w:sz w:val="21"/>
      <w:szCs w:val="21"/>
      <w:u w:val="none"/>
    </w:rPr>
  </w:style>
  <w:style w:type="character" w:customStyle="1" w:styleId="91">
    <w:name w:val="font51"/>
    <w:basedOn w:val="22"/>
    <w:autoRedefine/>
    <w:qFormat/>
    <w:uiPriority w:val="0"/>
    <w:rPr>
      <w:rFonts w:hint="default" w:ascii="Calibri" w:hAnsi="Calibri" w:cs="Calibri"/>
      <w:color w:val="000000"/>
      <w:sz w:val="21"/>
      <w:szCs w:val="21"/>
      <w:u w:val="none"/>
    </w:rPr>
  </w:style>
  <w:style w:type="paragraph" w:customStyle="1" w:styleId="92">
    <w:name w:val="样式1"/>
    <w:basedOn w:val="1"/>
    <w:autoRedefine/>
    <w:qFormat/>
    <w:uiPriority w:val="0"/>
    <w:pPr>
      <w:spacing w:line="560" w:lineRule="exact"/>
      <w:ind w:firstLine="640" w:firstLineChars="200"/>
    </w:pPr>
    <w:rPr>
      <w:rFonts w:ascii="Times New Roman" w:hAnsi="Times New Roman" w:eastAsia="仿宋" w:cs="Times New Roman"/>
      <w:color w:val="000000" w:themeColor="text1"/>
      <w:sz w:val="32"/>
      <w:szCs w:val="32"/>
      <w14:textFill>
        <w14:solidFill>
          <w14:schemeClr w14:val="tx1"/>
        </w14:solidFill>
      </w14:textFill>
    </w:rPr>
  </w:style>
  <w:style w:type="paragraph" w:customStyle="1" w:styleId="93">
    <w:name w:val="p1"/>
    <w:basedOn w:val="1"/>
    <w:autoRedefine/>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 w:type="paragraph" w:customStyle="1" w:styleId="94">
    <w:name w:val="Table Paragraph"/>
    <w:basedOn w:val="1"/>
    <w:autoRedefine/>
    <w:qFormat/>
    <w:uiPriority w:val="1"/>
    <w:pPr>
      <w:autoSpaceDE w:val="0"/>
      <w:autoSpaceDN w:val="0"/>
      <w:adjustRightInd w:val="0"/>
    </w:pPr>
    <w:rPr>
      <w:rFonts w:ascii="Times New Roman" w:hAnsi="Times New Roman" w:eastAsia="宋体" w:cs="Times New Roman"/>
      <w:kern w:val="0"/>
      <w:sz w:val="24"/>
    </w:rPr>
  </w:style>
  <w:style w:type="paragraph" w:customStyle="1" w:styleId="95">
    <w:name w:val="文本"/>
    <w:basedOn w:val="1"/>
    <w:next w:val="1"/>
    <w:qFormat/>
    <w:uiPriority w:val="0"/>
    <w:pPr>
      <w:widowControl w:val="0"/>
      <w:kinsoku/>
      <w:autoSpaceDE/>
      <w:autoSpaceDN/>
      <w:adjustRightInd/>
      <w:snapToGrid/>
      <w:spacing w:line="360" w:lineRule="auto"/>
      <w:ind w:firstLine="200" w:firstLineChars="200"/>
      <w:textAlignment w:val="auto"/>
    </w:pPr>
    <w:rPr>
      <w:rFonts w:ascii="宋体" w:hAnsi="Times New Roman" w:eastAsia="宋体" w:cs="Times New Roman"/>
      <w:snapToGrid/>
      <w:color w:val="auto"/>
      <w:spacing w:val="4"/>
      <w:kern w:val="2"/>
      <w:sz w:val="24"/>
      <w:szCs w:val="24"/>
    </w:rPr>
  </w:style>
  <w:style w:type="paragraph" w:customStyle="1" w:styleId="96">
    <w:name w:val="Default"/>
    <w:autoRedefine/>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97">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38</Pages>
  <Words>10526</Words>
  <Characters>10893</Characters>
  <Lines>1</Lines>
  <Paragraphs>1</Paragraphs>
  <TotalTime>7</TotalTime>
  <ScaleCrop>false</ScaleCrop>
  <LinksUpToDate>false</LinksUpToDate>
  <CharactersWithSpaces>11373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2024-03-27T08:20:00Z</dcterms:created>
  <dc:creator>Jeo Xie</dc:creator>
  <cp:lastModifiedBy>邓诗雅</cp:lastModifiedBy>
  <cp:lastPrinted>2025-08-29T09:13:38Z</cp:lastPrinted>
  <dcterms:modified xsi:type="dcterms:W3CDTF">2025-08-29T09:13:45Z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CEE96DA51F9842578581369A49DC59D3_13</vt:lpwstr>
  </property>
  <property fmtid="{D5CDD505-2E9C-101B-9397-08002B2CF9AE}" pid="4" name="KSOTemplateDocerSaveRecord">
    <vt:lpwstr>eyJoZGlkIjoiZDg2YWYwMWY1ZmM2ZjgzYWI2ZjkwMmQ5YTJlYzJkMjEiLCJ1c2VySWQiOiIyNTYxMDY2MzMifQ==</vt:lpwstr>
  </property>
</Properties>
</file>