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60114">
      <w:pPr>
        <w:jc w:val="right"/>
        <w:rPr>
          <w:rFonts w:hint="eastAsia" w:ascii="宋体" w:hAnsi="宋体" w:eastAsia="宋体" w:cs="宋体"/>
          <w:color w:val="auto"/>
          <w:szCs w:val="21"/>
          <w:highlight w:val="none"/>
          <w:lang w:val="en-US" w:eastAsia="zh-CN"/>
        </w:rPr>
      </w:pPr>
    </w:p>
    <w:p w14:paraId="4928849E">
      <w:pPr>
        <w:pStyle w:val="36"/>
        <w:ind w:firstLine="400"/>
        <w:rPr>
          <w:rFonts w:hint="eastAsia" w:ascii="宋体" w:hAnsi="宋体" w:eastAsia="宋体" w:cs="宋体"/>
          <w:color w:val="auto"/>
          <w:highlight w:val="none"/>
        </w:rPr>
      </w:pPr>
    </w:p>
    <w:p w14:paraId="531A13F5">
      <w:pPr>
        <w:rPr>
          <w:rFonts w:hint="eastAsia" w:ascii="宋体" w:hAnsi="宋体" w:eastAsia="宋体" w:cs="宋体"/>
          <w:color w:val="auto"/>
          <w:highlight w:val="none"/>
        </w:rPr>
      </w:pPr>
    </w:p>
    <w:p w14:paraId="598E2E02">
      <w:pPr>
        <w:rPr>
          <w:rFonts w:hint="eastAsia" w:ascii="宋体" w:hAnsi="宋体" w:eastAsia="宋体" w:cs="宋体"/>
          <w:color w:val="auto"/>
          <w:highlight w:val="none"/>
        </w:rPr>
      </w:pPr>
    </w:p>
    <w:p w14:paraId="32042DC4">
      <w:pPr>
        <w:rPr>
          <w:rFonts w:hint="eastAsia" w:ascii="宋体" w:hAnsi="宋体" w:eastAsia="宋体" w:cs="宋体"/>
          <w:color w:val="auto"/>
          <w:highlight w:val="none"/>
        </w:rPr>
      </w:pPr>
    </w:p>
    <w:p w14:paraId="57EBD82A">
      <w:pPr>
        <w:ind w:right="-28"/>
        <w:jc w:val="center"/>
        <w:textAlignment w:val="bottom"/>
        <w:rPr>
          <w:rFonts w:hint="eastAsia" w:ascii="宋体" w:hAnsi="宋体" w:eastAsia="宋体" w:cs="宋体"/>
          <w:bCs/>
          <w:color w:val="auto"/>
          <w:spacing w:val="57"/>
          <w:sz w:val="96"/>
          <w:szCs w:val="96"/>
          <w:highlight w:val="none"/>
        </w:rPr>
      </w:pPr>
      <w:r>
        <w:rPr>
          <w:rFonts w:hint="eastAsia" w:ascii="宋体" w:hAnsi="宋体" w:eastAsia="宋体" w:cs="宋体"/>
          <w:bCs/>
          <w:color w:val="auto"/>
          <w:spacing w:val="57"/>
          <w:sz w:val="96"/>
          <w:szCs w:val="96"/>
          <w:highlight w:val="none"/>
        </w:rPr>
        <w:t>公开采购文件</w:t>
      </w:r>
    </w:p>
    <w:p w14:paraId="6128CBBA">
      <w:pPr>
        <w:rPr>
          <w:rFonts w:hint="eastAsia" w:ascii="宋体" w:hAnsi="宋体" w:eastAsia="宋体" w:cs="宋体"/>
          <w:color w:val="auto"/>
          <w:highlight w:val="none"/>
        </w:rPr>
      </w:pPr>
    </w:p>
    <w:p w14:paraId="28C39027">
      <w:pPr>
        <w:pStyle w:val="2"/>
        <w:rPr>
          <w:rFonts w:hint="eastAsia" w:ascii="宋体" w:hAnsi="宋体" w:eastAsia="宋体" w:cs="宋体"/>
          <w:color w:val="auto"/>
          <w:highlight w:val="none"/>
        </w:rPr>
      </w:pPr>
    </w:p>
    <w:p w14:paraId="6CF6A159">
      <w:pPr>
        <w:pStyle w:val="26"/>
        <w:rPr>
          <w:rFonts w:hint="eastAsia" w:ascii="宋体" w:hAnsi="宋体" w:eastAsia="宋体" w:cs="宋体"/>
          <w:color w:val="auto"/>
          <w:highlight w:val="none"/>
        </w:rPr>
      </w:pPr>
    </w:p>
    <w:tbl>
      <w:tblPr>
        <w:tblStyle w:val="28"/>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03C3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7" w:hRule="atLeast"/>
        </w:trPr>
        <w:tc>
          <w:tcPr>
            <w:tcW w:w="2613" w:type="dxa"/>
            <w:noWrap/>
            <w:vAlign w:val="center"/>
          </w:tcPr>
          <w:p w14:paraId="5D4AD9EE">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项目名称：</w:t>
            </w:r>
          </w:p>
        </w:tc>
        <w:tc>
          <w:tcPr>
            <w:tcW w:w="6203" w:type="dxa"/>
            <w:noWrap/>
            <w:vAlign w:val="center"/>
          </w:tcPr>
          <w:p w14:paraId="49202656">
            <w:pPr>
              <w:spacing w:before="200"/>
              <w:jc w:val="both"/>
              <w:rPr>
                <w:rFonts w:hint="eastAsia" w:ascii="宋体" w:hAnsi="宋体" w:eastAsia="宋体" w:cs="宋体"/>
                <w:bCs/>
                <w:color w:val="auto"/>
                <w:sz w:val="32"/>
                <w:szCs w:val="24"/>
                <w:highlight w:val="none"/>
                <w:u w:val="none"/>
                <w:lang w:eastAsia="zh-CN"/>
              </w:rPr>
            </w:pPr>
            <w:r>
              <w:rPr>
                <w:rFonts w:hint="eastAsia" w:ascii="宋体" w:hAnsi="宋体" w:cs="宋体"/>
                <w:bCs/>
                <w:color w:val="auto"/>
                <w:sz w:val="32"/>
                <w:szCs w:val="24"/>
                <w:highlight w:val="none"/>
                <w:u w:val="none"/>
                <w:lang w:eastAsia="zh-CN"/>
              </w:rPr>
              <w:t>新东粤公司2025年至2027年（三年）渗滤液外运处置项目</w:t>
            </w:r>
          </w:p>
        </w:tc>
      </w:tr>
      <w:tr w14:paraId="1E49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1EBD1108">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项目采购编号：</w:t>
            </w:r>
          </w:p>
        </w:tc>
        <w:tc>
          <w:tcPr>
            <w:tcW w:w="6203" w:type="dxa"/>
            <w:noWrap/>
            <w:vAlign w:val="center"/>
          </w:tcPr>
          <w:p w14:paraId="3CBD0A8A">
            <w:pPr>
              <w:spacing w:before="200"/>
              <w:jc w:val="both"/>
              <w:rPr>
                <w:rFonts w:hint="eastAsia" w:ascii="宋体" w:hAnsi="宋体" w:eastAsia="宋体" w:cs="宋体"/>
                <w:bCs/>
                <w:color w:val="auto"/>
                <w:sz w:val="32"/>
                <w:szCs w:val="24"/>
                <w:highlight w:val="none"/>
                <w:u w:val="none"/>
                <w:lang w:eastAsia="zh-CN"/>
              </w:rPr>
            </w:pPr>
            <w:r>
              <w:rPr>
                <w:rFonts w:hint="eastAsia" w:ascii="宋体" w:hAnsi="宋体" w:eastAsia="宋体" w:cs="宋体"/>
                <w:bCs/>
                <w:color w:val="auto"/>
                <w:sz w:val="32"/>
                <w:szCs w:val="24"/>
                <w:highlight w:val="none"/>
                <w:u w:val="none"/>
                <w:lang w:eastAsia="zh-CN"/>
              </w:rPr>
              <w:t>ZZ</w:t>
            </w:r>
            <w:r>
              <w:rPr>
                <w:rFonts w:hint="eastAsia" w:ascii="宋体" w:hAnsi="宋体" w:cs="宋体"/>
                <w:bCs/>
                <w:color w:val="auto"/>
                <w:sz w:val="32"/>
                <w:szCs w:val="24"/>
                <w:highlight w:val="none"/>
                <w:u w:val="none"/>
                <w:lang w:eastAsia="zh-CN"/>
              </w:rPr>
              <w:t>12505938</w:t>
            </w:r>
          </w:p>
        </w:tc>
      </w:tr>
      <w:tr w14:paraId="0AB7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2DD4F745">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采购人：</w:t>
            </w:r>
          </w:p>
        </w:tc>
        <w:tc>
          <w:tcPr>
            <w:tcW w:w="6203" w:type="dxa"/>
            <w:noWrap/>
            <w:vAlign w:val="center"/>
          </w:tcPr>
          <w:p w14:paraId="381B8844">
            <w:pPr>
              <w:spacing w:before="200"/>
              <w:jc w:val="both"/>
              <w:rPr>
                <w:rFonts w:hint="eastAsia" w:ascii="宋体" w:hAnsi="宋体" w:eastAsia="宋体" w:cs="宋体"/>
                <w:bCs/>
                <w:color w:val="auto"/>
                <w:sz w:val="32"/>
                <w:szCs w:val="24"/>
                <w:highlight w:val="none"/>
                <w:u w:val="none"/>
                <w:lang w:eastAsia="zh-CN"/>
              </w:rPr>
            </w:pPr>
            <w:r>
              <w:rPr>
                <w:rFonts w:hint="eastAsia" w:ascii="宋体" w:hAnsi="宋体" w:eastAsia="宋体" w:cs="宋体"/>
                <w:bCs/>
                <w:color w:val="auto"/>
                <w:sz w:val="32"/>
                <w:szCs w:val="24"/>
                <w:highlight w:val="none"/>
                <w:u w:val="none"/>
                <w:lang w:eastAsia="zh-CN"/>
              </w:rPr>
              <w:t>东莞市新东粤环保实业有限公司</w:t>
            </w:r>
          </w:p>
        </w:tc>
      </w:tr>
      <w:tr w14:paraId="468E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56A093D5">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采购代理：</w:t>
            </w:r>
          </w:p>
        </w:tc>
        <w:tc>
          <w:tcPr>
            <w:tcW w:w="6203" w:type="dxa"/>
            <w:noWrap/>
            <w:vAlign w:val="center"/>
          </w:tcPr>
          <w:p w14:paraId="43FFA346">
            <w:pPr>
              <w:spacing w:before="200"/>
              <w:jc w:val="both"/>
              <w:rPr>
                <w:rFonts w:hint="eastAsia" w:ascii="宋体" w:hAnsi="宋体" w:eastAsia="宋体" w:cs="宋体"/>
                <w:bCs/>
                <w:color w:val="auto"/>
                <w:sz w:val="32"/>
                <w:szCs w:val="24"/>
                <w:highlight w:val="none"/>
                <w:u w:val="none"/>
                <w:lang w:eastAsia="zh-CN"/>
              </w:rPr>
            </w:pPr>
            <w:r>
              <w:rPr>
                <w:rFonts w:hint="eastAsia" w:ascii="宋体" w:hAnsi="宋体" w:eastAsia="宋体" w:cs="宋体"/>
                <w:bCs/>
                <w:color w:val="auto"/>
                <w:sz w:val="32"/>
                <w:szCs w:val="24"/>
                <w:highlight w:val="none"/>
                <w:u w:val="none"/>
                <w:lang w:val="en-US" w:eastAsia="zh-CN"/>
              </w:rPr>
              <w:t>广东志正招标有限公司</w:t>
            </w:r>
            <w:r>
              <w:rPr>
                <w:rFonts w:hint="eastAsia" w:ascii="宋体" w:hAnsi="宋体" w:eastAsia="宋体" w:cs="宋体"/>
                <w:bCs/>
                <w:color w:val="auto"/>
                <w:sz w:val="32"/>
                <w:szCs w:val="24"/>
                <w:highlight w:val="none"/>
                <w:u w:val="none"/>
                <w:lang w:eastAsia="zh-CN"/>
              </w:rPr>
              <w:t>东莞分公司</w:t>
            </w:r>
          </w:p>
        </w:tc>
      </w:tr>
    </w:tbl>
    <w:p w14:paraId="325D0DCA">
      <w:pPr>
        <w:jc w:val="center"/>
        <w:rPr>
          <w:rFonts w:hint="eastAsia" w:ascii="宋体" w:hAnsi="宋体" w:eastAsia="宋体" w:cs="宋体"/>
          <w:color w:val="auto"/>
          <w:szCs w:val="21"/>
          <w:highlight w:val="none"/>
        </w:rPr>
      </w:pPr>
    </w:p>
    <w:p w14:paraId="4A09BD58">
      <w:pPr>
        <w:jc w:val="center"/>
        <w:rPr>
          <w:rFonts w:hint="eastAsia" w:ascii="宋体" w:hAnsi="宋体" w:eastAsia="宋体" w:cs="宋体"/>
          <w:color w:val="auto"/>
          <w:szCs w:val="21"/>
          <w:highlight w:val="none"/>
        </w:rPr>
      </w:pPr>
    </w:p>
    <w:p w14:paraId="3680CA4C">
      <w:pPr>
        <w:jc w:val="center"/>
        <w:rPr>
          <w:rFonts w:hint="eastAsia" w:ascii="宋体" w:hAnsi="宋体" w:eastAsia="宋体" w:cs="宋体"/>
          <w:color w:val="auto"/>
          <w:szCs w:val="21"/>
          <w:highlight w:val="none"/>
        </w:rPr>
      </w:pPr>
    </w:p>
    <w:p w14:paraId="3941E6DD">
      <w:pPr>
        <w:pStyle w:val="36"/>
        <w:ind w:firstLine="400"/>
        <w:rPr>
          <w:rFonts w:hint="eastAsia" w:ascii="宋体" w:hAnsi="宋体" w:eastAsia="宋体" w:cs="宋体"/>
          <w:color w:val="auto"/>
          <w:highlight w:val="none"/>
        </w:rPr>
      </w:pPr>
    </w:p>
    <w:p w14:paraId="543D7A43">
      <w:pPr>
        <w:jc w:val="center"/>
        <w:rPr>
          <w:rFonts w:hint="eastAsia" w:ascii="宋体" w:hAnsi="宋体" w:eastAsia="宋体" w:cs="宋体"/>
          <w:color w:val="auto"/>
          <w:szCs w:val="21"/>
          <w:highlight w:val="none"/>
        </w:rPr>
      </w:pPr>
    </w:p>
    <w:p w14:paraId="5F07F8D1">
      <w:pPr>
        <w:jc w:val="center"/>
        <w:rPr>
          <w:rFonts w:hint="eastAsia" w:ascii="宋体" w:hAnsi="宋体" w:eastAsia="宋体" w:cs="宋体"/>
          <w:color w:val="auto"/>
          <w:szCs w:val="21"/>
          <w:highlight w:val="none"/>
        </w:rPr>
      </w:pPr>
    </w:p>
    <w:p w14:paraId="2C52883A">
      <w:pPr>
        <w:spacing w:before="200"/>
        <w:jc w:val="center"/>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20</w:t>
      </w:r>
      <w:r>
        <w:rPr>
          <w:rFonts w:hint="eastAsia" w:ascii="宋体" w:hAnsi="宋体" w:eastAsia="宋体" w:cs="宋体"/>
          <w:bCs/>
          <w:color w:val="auto"/>
          <w:sz w:val="32"/>
          <w:szCs w:val="24"/>
          <w:highlight w:val="none"/>
          <w:lang w:val="en-US" w:eastAsia="zh-CN"/>
        </w:rPr>
        <w:t>25</w:t>
      </w:r>
      <w:r>
        <w:rPr>
          <w:rFonts w:hint="eastAsia" w:ascii="宋体" w:hAnsi="宋体" w:eastAsia="宋体" w:cs="宋体"/>
          <w:bCs/>
          <w:color w:val="auto"/>
          <w:sz w:val="32"/>
          <w:szCs w:val="24"/>
          <w:highlight w:val="none"/>
        </w:rPr>
        <w:t>年</w:t>
      </w:r>
      <w:r>
        <w:rPr>
          <w:rFonts w:hint="eastAsia" w:ascii="宋体" w:hAnsi="宋体" w:eastAsia="宋体" w:cs="宋体"/>
          <w:bCs/>
          <w:color w:val="auto"/>
          <w:sz w:val="32"/>
          <w:szCs w:val="24"/>
          <w:highlight w:val="none"/>
          <w:lang w:val="en-US" w:eastAsia="zh-CN"/>
        </w:rPr>
        <w:t>0</w:t>
      </w:r>
      <w:r>
        <w:rPr>
          <w:rFonts w:hint="eastAsia" w:ascii="宋体" w:hAnsi="宋体" w:cs="宋体"/>
          <w:bCs/>
          <w:color w:val="auto"/>
          <w:sz w:val="32"/>
          <w:szCs w:val="24"/>
          <w:highlight w:val="none"/>
          <w:lang w:val="en-US" w:eastAsia="zh-CN"/>
        </w:rPr>
        <w:t>9</w:t>
      </w:r>
      <w:r>
        <w:rPr>
          <w:rFonts w:hint="eastAsia" w:ascii="宋体" w:hAnsi="宋体" w:eastAsia="宋体" w:cs="宋体"/>
          <w:bCs/>
          <w:color w:val="auto"/>
          <w:sz w:val="32"/>
          <w:szCs w:val="24"/>
          <w:highlight w:val="none"/>
        </w:rPr>
        <w:t>月</w:t>
      </w:r>
    </w:p>
    <w:p w14:paraId="06529C93">
      <w:pPr>
        <w:rPr>
          <w:rFonts w:hint="eastAsia" w:ascii="宋体" w:hAnsi="宋体" w:eastAsia="宋体" w:cs="宋体"/>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pgNumType w:start="1"/>
          <w:cols w:space="708" w:num="1"/>
          <w:titlePg/>
          <w:docGrid w:type="lines" w:linePitch="360" w:charSpace="0"/>
        </w:sectPr>
      </w:pPr>
    </w:p>
    <w:p w14:paraId="104FEA4C">
      <w:pPr>
        <w:pStyle w:val="22"/>
        <w:ind w:left="0" w:leftChars="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目录</w:t>
      </w:r>
    </w:p>
    <w:p w14:paraId="0900E2FF">
      <w:pPr>
        <w:pStyle w:val="2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_Toc31091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第一部分投标邀请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_Toc31091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C67BD5E">
      <w:pPr>
        <w:pStyle w:val="1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_Toc15704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投标邀请书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_Toc15704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D2958C4">
      <w:pPr>
        <w:pStyle w:val="2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_Toc29359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第二部分相关资料表格</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_Toc29359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51FBD162">
      <w:pPr>
        <w:pStyle w:val="1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_Toc5826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附表一：投标资料表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_Toc5826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D4206C1">
      <w:pPr>
        <w:pStyle w:val="1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_Toc18610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附表二：商务技术评分及价格权重表（满分100分）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_Toc18610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B075E89">
      <w:pPr>
        <w:pStyle w:val="2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_Toc22808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第三部分用户需求书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_Toc22808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2AB88C01">
      <w:pPr>
        <w:pStyle w:val="1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_Toc29490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第一章 商务需求书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_Toc29490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5E7453F3">
      <w:pPr>
        <w:pStyle w:val="1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_Toc18737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第二章 技术需求书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_Toc18737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57ED62A9">
      <w:pPr>
        <w:pStyle w:val="2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第四部分投标人须知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_Toc1984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D7DBA31">
      <w:pPr>
        <w:pStyle w:val="1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_Toc16932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一、 </w:t>
      </w:r>
      <w:r>
        <w:rPr>
          <w:rFonts w:hint="eastAsia" w:ascii="宋体" w:hAnsi="宋体" w:eastAsia="宋体" w:cs="宋体"/>
          <w:color w:val="auto"/>
          <w:sz w:val="21"/>
          <w:szCs w:val="21"/>
          <w:highlight w:val="none"/>
        </w:rPr>
        <w:t>说明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_Toc16932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FBA8BF6">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1. </w:t>
      </w:r>
      <w:r>
        <w:rPr>
          <w:rFonts w:hint="eastAsia" w:ascii="宋体" w:hAnsi="宋体" w:eastAsia="宋体" w:cs="宋体"/>
          <w:color w:val="auto"/>
          <w:sz w:val="21"/>
          <w:szCs w:val="21"/>
          <w:highlight w:val="none"/>
        </w:rPr>
        <w:t>适用范围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_Toc18866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08DD586">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vanish/>
          <w:color w:val="auto"/>
          <w:sz w:val="21"/>
          <w:szCs w:val="21"/>
        </w:rPr>
        <w:t xml:space="preserve">2. </w:t>
      </w:r>
      <w:r>
        <w:rPr>
          <w:rFonts w:hint="eastAsia" w:ascii="宋体" w:hAnsi="宋体" w:eastAsia="宋体" w:cs="宋体"/>
          <w:color w:val="auto"/>
          <w:sz w:val="21"/>
          <w:szCs w:val="21"/>
          <w:highlight w:val="none"/>
        </w:rPr>
        <w:t>定义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_Toc1029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25E95EBC">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_Toc23889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vanish/>
          <w:color w:val="auto"/>
          <w:sz w:val="21"/>
          <w:szCs w:val="21"/>
        </w:rPr>
        <w:t xml:space="preserve">3. </w:t>
      </w:r>
      <w:r>
        <w:rPr>
          <w:rFonts w:hint="eastAsia" w:ascii="宋体" w:hAnsi="宋体" w:eastAsia="宋体" w:cs="宋体"/>
          <w:color w:val="auto"/>
          <w:sz w:val="21"/>
          <w:szCs w:val="21"/>
          <w:highlight w:val="none"/>
        </w:rPr>
        <w:t>货物和服务</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_Toc23889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31EDF17">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_Toc28159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vanish/>
          <w:color w:val="auto"/>
          <w:sz w:val="21"/>
          <w:szCs w:val="21"/>
        </w:rPr>
        <w:t xml:space="preserve">4. </w:t>
      </w:r>
      <w:r>
        <w:rPr>
          <w:rFonts w:hint="eastAsia" w:ascii="宋体" w:hAnsi="宋体" w:eastAsia="宋体" w:cs="宋体"/>
          <w:color w:val="auto"/>
          <w:sz w:val="21"/>
          <w:szCs w:val="21"/>
          <w:highlight w:val="none"/>
        </w:rPr>
        <w:t>投标费用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_Toc28159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549FE19">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_Toc11488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vanish/>
          <w:color w:val="auto"/>
          <w:sz w:val="21"/>
          <w:szCs w:val="21"/>
        </w:rPr>
        <w:t xml:space="preserve">5. </w:t>
      </w:r>
      <w:r>
        <w:rPr>
          <w:rFonts w:hint="eastAsia" w:ascii="宋体" w:hAnsi="宋体" w:eastAsia="宋体" w:cs="宋体"/>
          <w:color w:val="auto"/>
          <w:sz w:val="21"/>
          <w:szCs w:val="21"/>
          <w:highlight w:val="none"/>
        </w:rPr>
        <w:t>知识产权</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_Toc11488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F34DCA7">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_Toc8430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vanish/>
          <w:color w:val="auto"/>
          <w:sz w:val="21"/>
          <w:szCs w:val="21"/>
        </w:rPr>
        <w:t xml:space="preserve">6. </w:t>
      </w:r>
      <w:r>
        <w:rPr>
          <w:rFonts w:hint="eastAsia" w:ascii="宋体" w:hAnsi="宋体" w:eastAsia="宋体" w:cs="宋体"/>
          <w:color w:val="auto"/>
          <w:sz w:val="21"/>
          <w:szCs w:val="21"/>
          <w:highlight w:val="none"/>
        </w:rPr>
        <w:t>关于联合体投标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_Toc8430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581AA55">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_Toc26720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vanish/>
          <w:color w:val="auto"/>
          <w:sz w:val="21"/>
          <w:szCs w:val="21"/>
        </w:rPr>
        <w:t xml:space="preserve">7. </w:t>
      </w:r>
      <w:r>
        <w:rPr>
          <w:rFonts w:hint="eastAsia" w:ascii="宋体" w:hAnsi="宋体" w:eastAsia="宋体" w:cs="宋体"/>
          <w:color w:val="auto"/>
          <w:sz w:val="21"/>
          <w:szCs w:val="21"/>
          <w:highlight w:val="none"/>
        </w:rPr>
        <w:t>关于分支机构投标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_Toc26720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314B0B1">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_Toc17962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8. </w:t>
      </w:r>
      <w:r>
        <w:rPr>
          <w:rFonts w:hint="eastAsia" w:ascii="宋体" w:hAnsi="宋体" w:eastAsia="宋体" w:cs="宋体"/>
          <w:color w:val="auto"/>
          <w:sz w:val="21"/>
          <w:szCs w:val="21"/>
          <w:highlight w:val="none"/>
        </w:rPr>
        <w:t>踏勘现场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_Toc17962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7D11CE2">
      <w:pPr>
        <w:pStyle w:val="1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_Toc29598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二、 </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_Toc29598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B8E2963">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_Toc11579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vanish/>
          <w:color w:val="auto"/>
          <w:sz w:val="21"/>
          <w:szCs w:val="21"/>
        </w:rPr>
        <w:t xml:space="preserve">9. </w:t>
      </w:r>
      <w:r>
        <w:rPr>
          <w:rFonts w:hint="eastAsia" w:ascii="宋体" w:hAnsi="宋体" w:eastAsia="宋体" w:cs="宋体"/>
          <w:color w:val="auto"/>
          <w:sz w:val="21"/>
          <w:szCs w:val="21"/>
          <w:highlight w:val="none"/>
        </w:rPr>
        <w:t>采购文件的组成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_Toc11579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5F645603">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_Toc14125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vanish/>
          <w:color w:val="auto"/>
          <w:sz w:val="21"/>
          <w:szCs w:val="21"/>
        </w:rPr>
        <w:t xml:space="preserve">10. </w:t>
      </w:r>
      <w:r>
        <w:rPr>
          <w:rFonts w:hint="eastAsia" w:ascii="宋体" w:hAnsi="宋体" w:eastAsia="宋体" w:cs="宋体"/>
          <w:color w:val="auto"/>
          <w:sz w:val="21"/>
          <w:szCs w:val="21"/>
          <w:highlight w:val="none"/>
        </w:rPr>
        <w:t>采购文件的澄清或修改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_Toc14125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89309AC">
      <w:pPr>
        <w:pStyle w:val="1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_Toc16106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三、 </w:t>
      </w:r>
      <w:r>
        <w:rPr>
          <w:rFonts w:hint="eastAsia" w:ascii="宋体" w:hAnsi="宋体" w:eastAsia="宋体" w:cs="宋体"/>
          <w:color w:val="auto"/>
          <w:sz w:val="21"/>
          <w:szCs w:val="21"/>
          <w:highlight w:val="none"/>
        </w:rPr>
        <w:t>投标文件的编制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_Toc16106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E0BA38A">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_Toc6441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11. </w:t>
      </w:r>
      <w:r>
        <w:rPr>
          <w:rFonts w:hint="eastAsia" w:ascii="宋体" w:hAnsi="宋体" w:eastAsia="宋体" w:cs="宋体"/>
          <w:color w:val="auto"/>
          <w:sz w:val="21"/>
          <w:szCs w:val="21"/>
          <w:highlight w:val="none"/>
        </w:rPr>
        <w:t>投标文件的语言及度量衡单位</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_Toc6441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0A59B78">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_Toc20340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12. </w:t>
      </w:r>
      <w:r>
        <w:rPr>
          <w:rFonts w:hint="eastAsia" w:ascii="宋体" w:hAnsi="宋体" w:eastAsia="宋体" w:cs="宋体"/>
          <w:color w:val="auto"/>
          <w:sz w:val="21"/>
          <w:szCs w:val="21"/>
          <w:highlight w:val="none"/>
        </w:rPr>
        <w:t>投标文件的组成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_Toc20340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A2AF218">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_Toc20776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13. </w:t>
      </w:r>
      <w:r>
        <w:rPr>
          <w:rFonts w:hint="eastAsia" w:ascii="宋体" w:hAnsi="宋体" w:eastAsia="宋体" w:cs="宋体"/>
          <w:color w:val="auto"/>
          <w:sz w:val="21"/>
          <w:szCs w:val="21"/>
          <w:highlight w:val="none"/>
        </w:rPr>
        <w:t>投标文件编制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_Toc20776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2B130B3">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14. </w:t>
      </w:r>
      <w:r>
        <w:rPr>
          <w:rFonts w:hint="eastAsia" w:ascii="宋体" w:hAnsi="宋体" w:eastAsia="宋体" w:cs="宋体"/>
          <w:color w:val="auto"/>
          <w:sz w:val="21"/>
          <w:szCs w:val="21"/>
          <w:highlight w:val="none"/>
        </w:rPr>
        <w:t>投标报价说明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_Toc17214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DF7F1F9">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_Toc6293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vanish/>
          <w:color w:val="auto"/>
          <w:sz w:val="21"/>
          <w:szCs w:val="21"/>
        </w:rPr>
        <w:t xml:space="preserve">15. </w:t>
      </w:r>
      <w:r>
        <w:rPr>
          <w:rFonts w:hint="eastAsia" w:ascii="宋体" w:hAnsi="宋体" w:eastAsia="宋体" w:cs="宋体"/>
          <w:color w:val="auto"/>
          <w:sz w:val="21"/>
          <w:szCs w:val="21"/>
          <w:highlight w:val="none"/>
        </w:rPr>
        <w:t>投标人所提供的服务或货物的证明文件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_Toc6293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503FDA6E">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_Toc8760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16. </w:t>
      </w:r>
      <w:r>
        <w:rPr>
          <w:rFonts w:hint="eastAsia" w:ascii="宋体" w:hAnsi="宋体" w:eastAsia="宋体" w:cs="宋体"/>
          <w:color w:val="auto"/>
          <w:sz w:val="21"/>
          <w:szCs w:val="21"/>
          <w:highlight w:val="none"/>
        </w:rPr>
        <w:t>投标有效期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_Toc8760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2BB71ECB">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17. </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_Toc777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54092D79">
      <w:pPr>
        <w:pStyle w:val="1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_Toc22356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四、 </w:t>
      </w:r>
      <w:r>
        <w:rPr>
          <w:rFonts w:hint="eastAsia" w:ascii="宋体" w:hAnsi="宋体" w:eastAsia="宋体" w:cs="宋体"/>
          <w:color w:val="auto"/>
          <w:sz w:val="21"/>
          <w:szCs w:val="21"/>
          <w:highlight w:val="none"/>
        </w:rPr>
        <w:t>投标文件的递交</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_Toc22356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3F1FA00">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18. </w:t>
      </w:r>
      <w:r>
        <w:rPr>
          <w:rFonts w:hint="eastAsia" w:ascii="宋体" w:hAnsi="宋体" w:eastAsia="宋体" w:cs="宋体"/>
          <w:color w:val="auto"/>
          <w:sz w:val="21"/>
          <w:szCs w:val="21"/>
          <w:highlight w:val="none"/>
        </w:rPr>
        <w:t>投标文件的装订，签署，密封和标记</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_Toc26217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2D798E59">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19. </w:t>
      </w:r>
      <w:r>
        <w:rPr>
          <w:rFonts w:hint="eastAsia" w:ascii="宋体" w:hAnsi="宋体" w:eastAsia="宋体" w:cs="宋体"/>
          <w:color w:val="auto"/>
          <w:sz w:val="21"/>
          <w:szCs w:val="21"/>
          <w:highlight w:val="none"/>
        </w:rPr>
        <w:t>迟交的投标文件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_Toc1212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73ED7E6">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_Toc14528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20. </w:t>
      </w:r>
      <w:r>
        <w:rPr>
          <w:rFonts w:hint="eastAsia" w:ascii="宋体" w:hAnsi="宋体" w:eastAsia="宋体" w:cs="宋体"/>
          <w:color w:val="auto"/>
          <w:sz w:val="21"/>
          <w:szCs w:val="21"/>
          <w:highlight w:val="none"/>
        </w:rPr>
        <w:t>投标样品（如需提交）</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_Toc14528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B87B4DE">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_Toc23210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21. </w:t>
      </w:r>
      <w:r>
        <w:rPr>
          <w:rFonts w:hint="eastAsia" w:ascii="宋体" w:hAnsi="宋体" w:eastAsia="宋体" w:cs="宋体"/>
          <w:color w:val="auto"/>
          <w:sz w:val="21"/>
          <w:szCs w:val="21"/>
          <w:highlight w:val="none"/>
        </w:rPr>
        <w:t>投标截止期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_Toc23210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C7EA867">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_Toc14906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22. </w:t>
      </w:r>
      <w:r>
        <w:rPr>
          <w:rFonts w:hint="eastAsia" w:ascii="宋体" w:hAnsi="宋体" w:eastAsia="宋体" w:cs="宋体"/>
          <w:color w:val="auto"/>
          <w:sz w:val="21"/>
          <w:szCs w:val="21"/>
          <w:highlight w:val="none"/>
        </w:rPr>
        <w:t>投标文件的补充、修改与撤回</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_Toc14906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209950E">
      <w:pPr>
        <w:pStyle w:val="1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_Toc3600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五、 </w:t>
      </w:r>
      <w:r>
        <w:rPr>
          <w:rFonts w:hint="eastAsia" w:ascii="宋体" w:hAnsi="宋体" w:eastAsia="宋体" w:cs="宋体"/>
          <w:color w:val="auto"/>
          <w:sz w:val="21"/>
          <w:szCs w:val="21"/>
          <w:highlight w:val="none"/>
        </w:rPr>
        <w:t>开标与评标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_Toc3600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936156E">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23. </w:t>
      </w:r>
      <w:r>
        <w:rPr>
          <w:rFonts w:hint="eastAsia" w:ascii="宋体" w:hAnsi="宋体" w:eastAsia="宋体" w:cs="宋体"/>
          <w:color w:val="auto"/>
          <w:sz w:val="21"/>
          <w:szCs w:val="21"/>
          <w:highlight w:val="none"/>
        </w:rPr>
        <w:t>开标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_Toc13227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5998591B">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_Toc13683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24. </w:t>
      </w:r>
      <w:r>
        <w:rPr>
          <w:rFonts w:hint="eastAsia" w:ascii="宋体" w:hAnsi="宋体" w:eastAsia="宋体" w:cs="宋体"/>
          <w:color w:val="auto"/>
          <w:sz w:val="21"/>
          <w:szCs w:val="21"/>
          <w:highlight w:val="none"/>
        </w:rPr>
        <w:t>评标委员会及评标方法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_Toc13683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611B264">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_Toc5759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25. </w:t>
      </w:r>
      <w:r>
        <w:rPr>
          <w:rFonts w:hint="eastAsia" w:ascii="宋体" w:hAnsi="宋体" w:eastAsia="宋体" w:cs="宋体"/>
          <w:color w:val="auto"/>
          <w:sz w:val="21"/>
          <w:szCs w:val="21"/>
          <w:highlight w:val="none"/>
        </w:rPr>
        <w:t>评审原则及评标过程的保密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_Toc5759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9EF1363">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_Toc17828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26. </w:t>
      </w:r>
      <w:r>
        <w:rPr>
          <w:rFonts w:hint="eastAsia" w:ascii="宋体" w:hAnsi="宋体" w:eastAsia="宋体" w:cs="宋体"/>
          <w:color w:val="auto"/>
          <w:sz w:val="21"/>
          <w:szCs w:val="21"/>
          <w:highlight w:val="none"/>
        </w:rPr>
        <w:t>评标程序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_Toc17828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2778F13A">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_Toc28940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27. </w:t>
      </w:r>
      <w:r>
        <w:rPr>
          <w:rFonts w:hint="eastAsia" w:ascii="宋体" w:hAnsi="宋体" w:eastAsia="宋体" w:cs="宋体"/>
          <w:color w:val="auto"/>
          <w:sz w:val="21"/>
          <w:szCs w:val="21"/>
          <w:highlight w:val="none"/>
        </w:rPr>
        <w:t>商务、技术、价格评审（具体评审项目详见投标资料表）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_Toc28940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9E04468">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_Toc30012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28. </w:t>
      </w:r>
      <w:r>
        <w:rPr>
          <w:rFonts w:hint="eastAsia" w:ascii="宋体" w:hAnsi="宋体" w:eastAsia="宋体" w:cs="宋体"/>
          <w:color w:val="auto"/>
          <w:sz w:val="21"/>
          <w:szCs w:val="21"/>
          <w:highlight w:val="none"/>
        </w:rPr>
        <w:t>纪律和保密事项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_Toc30012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6764EF1">
      <w:pPr>
        <w:pStyle w:val="1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六、 </w:t>
      </w:r>
      <w:r>
        <w:rPr>
          <w:rFonts w:hint="eastAsia" w:ascii="宋体" w:hAnsi="宋体" w:eastAsia="宋体" w:cs="宋体"/>
          <w:color w:val="auto"/>
          <w:sz w:val="21"/>
          <w:szCs w:val="21"/>
          <w:highlight w:val="none"/>
        </w:rPr>
        <w:t>授予合同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_Toc672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5972FEFB">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_Toc17674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29. </w:t>
      </w:r>
      <w:r>
        <w:rPr>
          <w:rFonts w:hint="eastAsia" w:ascii="宋体" w:hAnsi="宋体" w:eastAsia="宋体" w:cs="宋体"/>
          <w:color w:val="auto"/>
          <w:sz w:val="21"/>
          <w:szCs w:val="21"/>
          <w:highlight w:val="none"/>
        </w:rPr>
        <w:t>合同授予标准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_Toc17674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888739A">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_Toc21690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30. </w:t>
      </w:r>
      <w:r>
        <w:rPr>
          <w:rFonts w:hint="eastAsia" w:ascii="宋体" w:hAnsi="宋体" w:eastAsia="宋体" w:cs="宋体"/>
          <w:color w:val="auto"/>
          <w:sz w:val="21"/>
          <w:szCs w:val="21"/>
          <w:highlight w:val="none"/>
        </w:rPr>
        <w:t>发布中标结果</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_Toc21690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EE35C91">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_Toc7375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31. </w:t>
      </w:r>
      <w:r>
        <w:rPr>
          <w:rFonts w:hint="eastAsia" w:ascii="宋体" w:hAnsi="宋体" w:eastAsia="宋体" w:cs="宋体"/>
          <w:color w:val="auto"/>
          <w:sz w:val="21"/>
          <w:szCs w:val="21"/>
          <w:highlight w:val="none"/>
        </w:rPr>
        <w:t>资格后审</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_Toc7375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E6056E7">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_Toc11088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32. </w:t>
      </w:r>
      <w:r>
        <w:rPr>
          <w:rFonts w:hint="eastAsia" w:ascii="宋体" w:hAnsi="宋体" w:eastAsia="宋体" w:cs="宋体"/>
          <w:color w:val="auto"/>
          <w:sz w:val="21"/>
          <w:szCs w:val="21"/>
          <w:highlight w:val="none"/>
        </w:rPr>
        <w:t>合同的签订与履行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_Toc11088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92C9E44">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_Toc9981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33. </w:t>
      </w:r>
      <w:r>
        <w:rPr>
          <w:rFonts w:hint="eastAsia" w:ascii="宋体" w:hAnsi="宋体" w:eastAsia="宋体" w:cs="宋体"/>
          <w:color w:val="auto"/>
          <w:sz w:val="21"/>
          <w:szCs w:val="21"/>
          <w:highlight w:val="none"/>
        </w:rPr>
        <w:t>履约担保</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_Toc9981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7CAEFB4">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_Toc27671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34. </w:t>
      </w:r>
      <w:r>
        <w:rPr>
          <w:rFonts w:hint="eastAsia" w:ascii="宋体" w:hAnsi="宋体" w:eastAsia="宋体" w:cs="宋体"/>
          <w:color w:val="auto"/>
          <w:sz w:val="21"/>
          <w:szCs w:val="21"/>
          <w:highlight w:val="none"/>
        </w:rPr>
        <w:t>预付款保函（适用于预付款支付）</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_Toc27671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5AC94A5C">
      <w:pPr>
        <w:pStyle w:val="1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_Toc11096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七、 </w:t>
      </w:r>
      <w:r>
        <w:rPr>
          <w:rFonts w:hint="eastAsia" w:ascii="宋体" w:hAnsi="宋体" w:eastAsia="宋体" w:cs="宋体"/>
          <w:color w:val="auto"/>
          <w:sz w:val="21"/>
          <w:szCs w:val="21"/>
          <w:highlight w:val="none"/>
        </w:rPr>
        <w:t>异议</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_Toc11096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B9AB5D9">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_Toc23837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35. </w:t>
      </w:r>
      <w:r>
        <w:rPr>
          <w:rFonts w:hint="eastAsia" w:ascii="宋体" w:hAnsi="宋体" w:eastAsia="宋体" w:cs="宋体"/>
          <w:color w:val="auto"/>
          <w:sz w:val="21"/>
          <w:szCs w:val="21"/>
          <w:highlight w:val="none"/>
        </w:rPr>
        <w:t>异议</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_Toc23837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4F62541">
      <w:pPr>
        <w:pStyle w:val="1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_Toc26531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八、 </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_Toc26531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800615F">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_Toc23873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rPr>
        <w:t xml:space="preserve">36. </w:t>
      </w:r>
      <w:r>
        <w:rPr>
          <w:rFonts w:hint="eastAsia" w:ascii="宋体" w:hAnsi="宋体" w:eastAsia="宋体" w:cs="宋体"/>
          <w:color w:val="auto"/>
          <w:sz w:val="21"/>
          <w:szCs w:val="21"/>
          <w:highlight w:val="none"/>
        </w:rPr>
        <w:t>采购文件的解释权</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_Toc23873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B8AB8B7">
      <w:pPr>
        <w:pStyle w:val="2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_Toc7878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第五部分  合同条款格式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_Toc7878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E0909F9">
      <w:pPr>
        <w:pStyle w:val="2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_Toc3397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第六部分附件－投标文件格式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_Toc3397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F8822A9">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_Toc6671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投标文件目录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_Toc6671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AF8B5D9">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_Toc22157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附件1.评分标准索引表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_Toc22157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2157D23">
      <w:pPr>
        <w:pStyle w:val="2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_Toc30068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价格文件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_Toc30068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331C588">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_Toc25804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附件2.开标一览表格式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_Toc25804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C0F135B">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_Toc5898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附件3.报价明细表格式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_Toc5898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548BF0E">
      <w:pPr>
        <w:pStyle w:val="2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商务文件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_Toc4657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A594121">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_Toc29449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附件4.投标书格式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_Toc29449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B1DE1D1">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附件5. 法定代表人证明书格式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_Toc459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7662A15">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附件6.法定代表人授权书格式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_Toc2323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36C0CFD">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_Toc16960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附件7.资格申明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_Toc16960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98512CB">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_Toc11421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附件8.营业执照</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_Toc11421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20BF911D">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_Toc25355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附件9.相关资质证明文件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_Toc25355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2ACFDA3">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_Toc31140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附件10.在经营活动中没有重大违法记录的书面声明格式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_Toc31140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2BA7BE4">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_Toc30940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附件11.承诺书格式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_Toc30940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5A572DA">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_Toc8221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附件12.商务需求条款偏离表格式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_Toc8221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C1436BE">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_Toc12754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附件13.业绩表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_Toc12754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8C7CE53">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_Toc17335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附件14.联合体协议书（如有）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_Toc17335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62FE585">
      <w:pPr>
        <w:pStyle w:val="2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_Toc24743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技术文件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_Toc24743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5F95E22">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_Toc23280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附件15. 技术规格偏离表格式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_Toc23280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B2B1901">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_Toc24061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附件16.项目实施方案格式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_Toc24061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88D46BD">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_Toc3977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附件17.实施本项目的有关人员资料表格式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_Toc3977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3DDDB87">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_Toc22906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附件18.投标保证金汇入情况说明格式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_Toc22906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E6A982D">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_Toc29658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附件19.不可撤销履约保函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_Toc29658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7FFB692">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_Toc16463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附件20.预付款保函（适用于预付款支付）</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_Toc16463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52D963E6">
      <w:pPr>
        <w:pStyle w:val="22"/>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_Toc15262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唱标信封</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_Toc15262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42F9B22">
      <w:pPr>
        <w:pStyle w:val="19"/>
        <w:tabs>
          <w:tab w:val="right" w:leader="dot" w:pos="9040"/>
          <w:tab w:val="clear" w:pos="829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_Toc19802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附件21.唱标信封内装（内容务必与投标文件正本一致）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_Toc19802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6DB01D76">
      <w:pPr>
        <w:pStyle w:val="22"/>
        <w:tabs>
          <w:tab w:val="right" w:leader="dot" w:pos="8306"/>
          <w:tab w:val="clear" w:pos="8296"/>
        </w:tabs>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p w14:paraId="62B9733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25BFFC0">
      <w:pPr>
        <w:pStyle w:val="5"/>
        <w:spacing w:before="0" w:after="0" w:line="240" w:lineRule="auto"/>
        <w:rPr>
          <w:rFonts w:hint="eastAsia" w:ascii="宋体" w:hAnsi="宋体" w:eastAsia="宋体" w:cs="宋体"/>
          <w:color w:val="auto"/>
          <w:sz w:val="28"/>
          <w:szCs w:val="28"/>
          <w:highlight w:val="none"/>
        </w:rPr>
      </w:pPr>
      <w:bookmarkStart w:id="0" w:name="_Toc31091"/>
      <w:r>
        <w:rPr>
          <w:rFonts w:hint="eastAsia" w:ascii="宋体" w:hAnsi="宋体" w:eastAsia="宋体" w:cs="宋体"/>
          <w:color w:val="auto"/>
          <w:sz w:val="28"/>
          <w:szCs w:val="28"/>
          <w:highlight w:val="none"/>
        </w:rPr>
        <w:t>第一部分投标邀请</w:t>
      </w:r>
      <w:bookmarkEnd w:id="0"/>
    </w:p>
    <w:p w14:paraId="36313239">
      <w:pPr>
        <w:pStyle w:val="6"/>
        <w:spacing w:before="0" w:after="0" w:line="360" w:lineRule="auto"/>
        <w:jc w:val="center"/>
        <w:rPr>
          <w:rFonts w:hint="eastAsia" w:ascii="宋体" w:hAnsi="宋体" w:eastAsia="宋体" w:cs="宋体"/>
          <w:color w:val="auto"/>
          <w:highlight w:val="none"/>
        </w:rPr>
      </w:pPr>
      <w:bookmarkStart w:id="1" w:name="_Toc15704"/>
      <w:r>
        <w:rPr>
          <w:rFonts w:hint="eastAsia" w:ascii="宋体" w:hAnsi="宋体" w:eastAsia="宋体" w:cs="宋体"/>
          <w:color w:val="auto"/>
          <w:highlight w:val="none"/>
        </w:rPr>
        <w:t>投标邀请书</w:t>
      </w:r>
      <w:bookmarkEnd w:id="1"/>
    </w:p>
    <w:p w14:paraId="1F25F00A">
      <w:pPr>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lang w:eastAsia="zh-CN"/>
        </w:rPr>
        <w:t>广东志正招标有限公司东莞分公司</w:t>
      </w:r>
      <w:r>
        <w:rPr>
          <w:rFonts w:hint="eastAsia" w:ascii="宋体" w:hAnsi="宋体" w:eastAsia="宋体" w:cs="宋体"/>
          <w:color w:val="auto"/>
          <w:szCs w:val="21"/>
          <w:highlight w:val="none"/>
        </w:rPr>
        <w:t>（以下简称“采购代理机构”）受</w:t>
      </w:r>
      <w:r>
        <w:rPr>
          <w:rFonts w:hint="eastAsia" w:ascii="宋体" w:hAnsi="宋体" w:eastAsia="宋体" w:cs="宋体"/>
          <w:b/>
          <w:color w:val="auto"/>
          <w:szCs w:val="21"/>
          <w:highlight w:val="none"/>
          <w:u w:val="single"/>
          <w:lang w:eastAsia="zh-CN"/>
        </w:rPr>
        <w:t>东莞市新东粤环保实业有限公司</w:t>
      </w:r>
      <w:r>
        <w:rPr>
          <w:rFonts w:hint="eastAsia" w:ascii="宋体" w:hAnsi="宋体" w:eastAsia="宋体" w:cs="宋体"/>
          <w:color w:val="auto"/>
          <w:szCs w:val="21"/>
          <w:highlight w:val="none"/>
        </w:rPr>
        <w:t>（以下简称“采购人”）委托，现就</w:t>
      </w:r>
      <w:r>
        <w:rPr>
          <w:rFonts w:hint="eastAsia" w:ascii="宋体" w:hAnsi="宋体" w:cs="宋体"/>
          <w:b/>
          <w:color w:val="auto"/>
          <w:szCs w:val="21"/>
          <w:highlight w:val="none"/>
          <w:u w:val="single"/>
          <w:lang w:eastAsia="zh-CN"/>
        </w:rPr>
        <w:t>新东粤公司2025年至2027年（三年）渗滤液外运处置项目</w:t>
      </w:r>
      <w:r>
        <w:rPr>
          <w:rFonts w:hint="eastAsia" w:ascii="宋体" w:hAnsi="宋体" w:eastAsia="宋体" w:cs="宋体"/>
          <w:color w:val="auto"/>
          <w:szCs w:val="21"/>
          <w:highlight w:val="none"/>
        </w:rPr>
        <w:t>（项目编号：</w:t>
      </w:r>
      <w:r>
        <w:rPr>
          <w:rFonts w:hint="eastAsia" w:ascii="宋体" w:hAnsi="宋体" w:eastAsia="宋体" w:cs="宋体"/>
          <w:b/>
          <w:bCs/>
          <w:color w:val="auto"/>
          <w:szCs w:val="21"/>
          <w:highlight w:val="none"/>
          <w:lang w:eastAsia="zh-CN"/>
        </w:rPr>
        <w:t>ZZ</w:t>
      </w:r>
      <w:r>
        <w:rPr>
          <w:rFonts w:hint="eastAsia" w:ascii="宋体" w:hAnsi="宋体" w:cs="宋体"/>
          <w:b/>
          <w:bCs/>
          <w:color w:val="auto"/>
          <w:szCs w:val="21"/>
          <w:highlight w:val="none"/>
          <w:lang w:eastAsia="zh-CN"/>
        </w:rPr>
        <w:t>12505938</w:t>
      </w:r>
      <w:r>
        <w:rPr>
          <w:rFonts w:hint="eastAsia" w:ascii="宋体" w:hAnsi="宋体" w:eastAsia="宋体" w:cs="宋体"/>
          <w:color w:val="auto"/>
          <w:szCs w:val="21"/>
          <w:highlight w:val="none"/>
        </w:rPr>
        <w:t>）进行国内公开采购，欢迎符合采购文件要求的国内投标人参加投标。有关事项如下：</w:t>
      </w:r>
    </w:p>
    <w:p w14:paraId="141B4D59">
      <w:pPr>
        <w:ind w:firstLine="413" w:firstLineChars="196"/>
        <w:rPr>
          <w:rFonts w:hint="eastAsia" w:ascii="宋体" w:hAnsi="宋体" w:eastAsia="宋体" w:cs="宋体"/>
          <w:b/>
          <w:color w:val="auto"/>
          <w:szCs w:val="21"/>
          <w:highlight w:val="none"/>
        </w:rPr>
      </w:pPr>
    </w:p>
    <w:p w14:paraId="133CEBF2">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一、采购项目概况</w:t>
      </w:r>
    </w:p>
    <w:p w14:paraId="1AB22803">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1、采购项目名称：</w:t>
      </w:r>
      <w:r>
        <w:rPr>
          <w:rFonts w:hint="eastAsia" w:ascii="宋体" w:hAnsi="宋体" w:cs="宋体"/>
          <w:b/>
          <w:color w:val="auto"/>
          <w:szCs w:val="21"/>
          <w:highlight w:val="none"/>
          <w:u w:val="single"/>
          <w:lang w:eastAsia="zh-CN"/>
        </w:rPr>
        <w:t>新东粤公司2025年至2027年（三年）渗滤液外运处置项目</w:t>
      </w:r>
    </w:p>
    <w:p w14:paraId="0503898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2、预算金额（元）：</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4,090,200</w:t>
      </w:r>
      <w:r>
        <w:rPr>
          <w:rFonts w:hint="eastAsia" w:ascii="宋体" w:hAnsi="宋体" w:eastAsia="宋体" w:cs="宋体"/>
          <w:color w:val="auto"/>
          <w:szCs w:val="21"/>
          <w:highlight w:val="none"/>
          <w:u w:val="single"/>
          <w:lang w:val="en-US" w:eastAsia="zh-CN"/>
        </w:rPr>
        <w:t>元，单价为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240</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val="en-US" w:eastAsia="zh-CN"/>
        </w:rPr>
        <w:t>元/吨</w:t>
      </w:r>
    </w:p>
    <w:p w14:paraId="02A1A949">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3、最高限价（元）：</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4,090,200</w:t>
      </w:r>
      <w:r>
        <w:rPr>
          <w:rFonts w:hint="eastAsia" w:ascii="宋体" w:hAnsi="宋体" w:eastAsia="宋体" w:cs="宋体"/>
          <w:color w:val="auto"/>
          <w:szCs w:val="21"/>
          <w:highlight w:val="none"/>
          <w:u w:val="single"/>
          <w:lang w:val="en-US" w:eastAsia="zh-CN"/>
        </w:rPr>
        <w:t>元，单价为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240</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val="en-US" w:eastAsia="zh-CN"/>
        </w:rPr>
        <w:t>元/吨</w:t>
      </w:r>
    </w:p>
    <w:p w14:paraId="1CF86681">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4、本项目</w:t>
      </w:r>
      <w:r>
        <w:rPr>
          <w:rFonts w:hint="eastAsia" w:ascii="宋体" w:hAnsi="宋体" w:eastAsia="宋体" w:cs="宋体"/>
          <w:b/>
          <w:bCs/>
          <w:color w:val="auto"/>
          <w:szCs w:val="21"/>
          <w:highlight w:val="none"/>
          <w:lang w:val="en-US" w:eastAsia="zh-CN"/>
        </w:rPr>
        <w:t>接受</w:t>
      </w:r>
      <w:r>
        <w:rPr>
          <w:rFonts w:hint="eastAsia" w:ascii="宋体" w:hAnsi="宋体" w:eastAsia="宋体" w:cs="宋体"/>
          <w:color w:val="auto"/>
          <w:szCs w:val="21"/>
          <w:highlight w:val="none"/>
          <w:lang w:val="en-US" w:eastAsia="zh-CN"/>
        </w:rPr>
        <w:t>联合体投标。</w:t>
      </w:r>
    </w:p>
    <w:p w14:paraId="59AD69D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、项目内容</w:t>
      </w:r>
    </w:p>
    <w:tbl>
      <w:tblPr>
        <w:tblStyle w:val="2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012"/>
        <w:gridCol w:w="1224"/>
        <w:gridCol w:w="3132"/>
      </w:tblGrid>
      <w:tr w14:paraId="3A8F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51" w:type="dxa"/>
            <w:vAlign w:val="center"/>
          </w:tcPr>
          <w:p w14:paraId="4F910498">
            <w:pPr>
              <w:spacing w:line="36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采购包号</w:t>
            </w:r>
          </w:p>
        </w:tc>
        <w:tc>
          <w:tcPr>
            <w:tcW w:w="3012" w:type="dxa"/>
            <w:vAlign w:val="center"/>
          </w:tcPr>
          <w:p w14:paraId="72AA1CF4">
            <w:pPr>
              <w:spacing w:line="36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项目内容</w:t>
            </w:r>
          </w:p>
        </w:tc>
        <w:tc>
          <w:tcPr>
            <w:tcW w:w="1224" w:type="dxa"/>
            <w:vAlign w:val="center"/>
          </w:tcPr>
          <w:p w14:paraId="43E5A3B6">
            <w:pPr>
              <w:spacing w:line="36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采购供货</w:t>
            </w:r>
          </w:p>
          <w:p w14:paraId="495B1A13">
            <w:pPr>
              <w:spacing w:line="36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单位数量</w:t>
            </w:r>
          </w:p>
        </w:tc>
        <w:tc>
          <w:tcPr>
            <w:tcW w:w="3132" w:type="dxa"/>
            <w:vAlign w:val="center"/>
          </w:tcPr>
          <w:p w14:paraId="5209BF19">
            <w:pPr>
              <w:spacing w:line="360" w:lineRule="auto"/>
              <w:jc w:val="center"/>
              <w:rPr>
                <w:rFonts w:hint="eastAsia" w:ascii="宋体" w:hAnsi="宋体" w:eastAsia="宋体" w:cs="宋体"/>
                <w:color w:val="auto"/>
                <w:kern w:val="28"/>
                <w:szCs w:val="21"/>
                <w:highlight w:val="none"/>
                <w:lang w:eastAsia="zh-CN"/>
              </w:rPr>
            </w:pPr>
            <w:r>
              <w:rPr>
                <w:rFonts w:hint="eastAsia" w:ascii="宋体" w:hAnsi="宋体" w:eastAsia="宋体" w:cs="宋体"/>
                <w:color w:val="auto"/>
                <w:kern w:val="28"/>
                <w:szCs w:val="21"/>
                <w:highlight w:val="none"/>
                <w:lang w:eastAsia="zh-CN"/>
              </w:rPr>
              <w:t>完工期</w:t>
            </w:r>
          </w:p>
        </w:tc>
      </w:tr>
      <w:tr w14:paraId="20FA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51" w:type="dxa"/>
            <w:vAlign w:val="center"/>
          </w:tcPr>
          <w:p w14:paraId="6A071E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p>
        </w:tc>
        <w:tc>
          <w:tcPr>
            <w:tcW w:w="3012" w:type="dxa"/>
            <w:vAlign w:val="center"/>
          </w:tcPr>
          <w:p w14:paraId="35CE092B">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28"/>
                <w:szCs w:val="21"/>
                <w:highlight w:val="none"/>
                <w:lang w:eastAsia="zh-CN"/>
              </w:rPr>
              <w:t>填埋场渗滤液外运处置</w:t>
            </w:r>
          </w:p>
        </w:tc>
        <w:tc>
          <w:tcPr>
            <w:tcW w:w="1224" w:type="dxa"/>
            <w:vAlign w:val="center"/>
          </w:tcPr>
          <w:p w14:paraId="42D7BBEE">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132" w:type="dxa"/>
            <w:vAlign w:val="center"/>
          </w:tcPr>
          <w:p w14:paraId="63CCE523">
            <w:pPr>
              <w:spacing w:line="360" w:lineRule="auto"/>
              <w:jc w:val="left"/>
              <w:rPr>
                <w:rFonts w:hint="eastAsia" w:ascii="宋体" w:hAnsi="宋体" w:eastAsia="宋体" w:cs="宋体"/>
                <w:color w:val="auto"/>
                <w:szCs w:val="21"/>
                <w:highlight w:val="none"/>
                <w:lang w:val="en-US" w:eastAsia="zh-CN"/>
              </w:rPr>
            </w:pPr>
            <w:r>
              <w:rPr>
                <w:rFonts w:hint="eastAsia"/>
                <w:color w:val="auto"/>
                <w:lang w:val="en-US" w:eastAsia="zh-CN"/>
              </w:rPr>
              <w:t>签订合同后三年服务期，</w:t>
            </w:r>
            <w:r>
              <w:rPr>
                <w:rFonts w:hint="eastAsia" w:ascii="宋体" w:hAnsi="宋体" w:eastAsia="宋体" w:cs="宋体"/>
                <w:color w:val="auto"/>
                <w:sz w:val="21"/>
                <w:szCs w:val="21"/>
                <w:highlight w:val="none"/>
                <w:lang w:val="en-US" w:eastAsia="zh-CN" w:bidi="ar-SA"/>
              </w:rPr>
              <w:t>每年年底调节池渗滤液需全部转运处置完毕，确保渗滤液不跨年储存。</w:t>
            </w:r>
          </w:p>
        </w:tc>
      </w:tr>
    </w:tbl>
    <w:p w14:paraId="122D92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、项目需求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详细内容请参阅采购文件第三部分《用户需求书》。</w:t>
      </w:r>
    </w:p>
    <w:p w14:paraId="4098D1EF">
      <w:pPr>
        <w:spacing w:line="360" w:lineRule="auto"/>
        <w:ind w:firstLine="413" w:firstLineChars="196"/>
        <w:rPr>
          <w:rFonts w:hint="eastAsia" w:ascii="宋体" w:hAnsi="宋体" w:eastAsia="宋体" w:cs="宋体"/>
          <w:b/>
          <w:color w:val="auto"/>
          <w:szCs w:val="21"/>
          <w:highlight w:val="none"/>
        </w:rPr>
      </w:pPr>
    </w:p>
    <w:p w14:paraId="3FB61D5A">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二、投标人资格要求</w:t>
      </w:r>
    </w:p>
    <w:p w14:paraId="49CAF8D2">
      <w:pPr>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1、一般要求：</w:t>
      </w:r>
    </w:p>
    <w:p w14:paraId="106FE2BB">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Cs w:val="21"/>
          <w:highlight w:val="none"/>
        </w:rPr>
        <w:t>（1）投标人须为在中华人民共和国境内登记注册的具有独立承担民事责任能力的法人</w:t>
      </w:r>
      <w:r>
        <w:rPr>
          <w:rFonts w:hint="eastAsia" w:ascii="宋体" w:hAnsi="宋体" w:eastAsia="宋体" w:cs="宋体"/>
          <w:color w:val="auto"/>
          <w:sz w:val="21"/>
          <w:szCs w:val="21"/>
          <w:lang w:eastAsia="zh-CN"/>
        </w:rPr>
        <w:t>或其他组织【提供《营业执照》复印件（加盖公章）或《事业单位法人证书》复印件（加盖公章）或其他主体证书复印件（加盖公章）】。</w:t>
      </w:r>
    </w:p>
    <w:p w14:paraId="31D27B2D">
      <w:pPr>
        <w:spacing w:line="360" w:lineRule="auto"/>
        <w:ind w:left="420" w:leftChars="200"/>
        <w:rPr>
          <w:rFonts w:ascii="宋体" w:hAnsi="宋体" w:cs="宋体"/>
          <w:color w:val="auto"/>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cs="宋体"/>
          <w:color w:val="auto"/>
          <w:szCs w:val="21"/>
        </w:rPr>
        <w:t>各</w:t>
      </w:r>
      <w:r>
        <w:rPr>
          <w:rFonts w:hint="eastAsia" w:ascii="宋体" w:hAnsi="宋体" w:eastAsia="宋体" w:cs="宋体"/>
          <w:color w:val="auto"/>
          <w:szCs w:val="21"/>
          <w:highlight w:val="none"/>
        </w:rPr>
        <w:t>投标人</w:t>
      </w:r>
      <w:r>
        <w:rPr>
          <w:rFonts w:hint="eastAsia" w:ascii="宋体" w:hAnsi="宋体" w:cs="宋体"/>
          <w:color w:val="auto"/>
          <w:szCs w:val="21"/>
        </w:rPr>
        <w:t>须提供投标截止日前6个月内任意1个月依法缴纳税收及无欠税的证明材料。如依法免税的，须提供相应证明材料。</w:t>
      </w:r>
    </w:p>
    <w:p w14:paraId="07DA7069">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投标人参加本项目采购活动前三年内，在经营活动中没有重大违法记录。（须提供书面声明，详见附件格式）</w:t>
      </w:r>
    </w:p>
    <w:p w14:paraId="3EC26DC5">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未被列入“信用中国”网站(www.creditchina.gov.cn)“记录失信被执行人或重大税收违法案件当事人名单”记录名单。（以采购代理机构于投标截止日当天在“信用中国”网站（www.creditchina.gov.cn）查询结果为准，如相关失信记录已失效，投标人需提供相关证明资料）。</w:t>
      </w:r>
    </w:p>
    <w:p w14:paraId="432B32E0">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投标人未被列入东实环境及下属企业相关领域黑名单。</w:t>
      </w:r>
    </w:p>
    <w:p w14:paraId="4CE79CAF">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本项目不接受联合体投标。</w:t>
      </w:r>
    </w:p>
    <w:p w14:paraId="19C477A7">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2、其他要求</w:t>
      </w:r>
      <w:r>
        <w:rPr>
          <w:rFonts w:hint="eastAsia" w:ascii="宋体" w:hAnsi="宋体" w:eastAsia="宋体" w:cs="宋体"/>
          <w:color w:val="auto"/>
          <w:szCs w:val="21"/>
          <w:highlight w:val="none"/>
          <w:lang w:eastAsia="zh-CN"/>
        </w:rPr>
        <w:t>：</w:t>
      </w:r>
    </w:p>
    <w:p w14:paraId="36836E24">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投标人具有环境主管部门颁布的危险废物经营许可证（核准经营方式包括但不限于: 收集、贮存、处置（焚烧、物化处理）且核准经营内容包括但不限于HW49类中的</w:t>
      </w:r>
      <w:r>
        <w:rPr>
          <w:rFonts w:hint="eastAsia" w:ascii="宋体" w:hAnsi="宋体" w:eastAsia="宋体" w:cs="宋体"/>
          <w:color w:val="auto"/>
          <w:szCs w:val="21"/>
          <w:highlight w:val="none"/>
        </w:rPr>
        <w:t>772-006-49</w:t>
      </w:r>
      <w:r>
        <w:rPr>
          <w:rFonts w:hint="eastAsia" w:ascii="宋体" w:hAnsi="宋体" w:eastAsia="宋体" w:cs="宋体"/>
          <w:color w:val="auto"/>
          <w:szCs w:val="21"/>
          <w:highlight w:val="none"/>
          <w:lang w:val="en-US" w:eastAsia="zh-CN"/>
        </w:rPr>
        <w:t>）；</w:t>
      </w:r>
    </w:p>
    <w:p w14:paraId="5C372A9D">
      <w:pPr>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（2）投标人所委托的废物运输单位须具备交通主管部门颁发的危险废物《道路运输经营许可证》，并用专用车辆运输；专用车辆的驾驶人员</w:t>
      </w:r>
      <w:r>
        <w:rPr>
          <w:rFonts w:hint="eastAsia" w:ascii="宋体" w:hAnsi="宋体" w:cs="宋体"/>
          <w:color w:val="auto"/>
          <w:szCs w:val="21"/>
          <w:highlight w:val="none"/>
          <w:lang w:val="en-US" w:eastAsia="zh-CN"/>
        </w:rPr>
        <w:t>、押运人员</w:t>
      </w:r>
      <w:r>
        <w:rPr>
          <w:rFonts w:hint="eastAsia" w:ascii="宋体" w:hAnsi="宋体" w:eastAsia="宋体" w:cs="宋体"/>
          <w:color w:val="auto"/>
          <w:szCs w:val="21"/>
          <w:highlight w:val="none"/>
          <w:lang w:val="en-US" w:eastAsia="zh-CN"/>
        </w:rPr>
        <w:t>需取得相应</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危险货物运输从业资格证。【提供委托合同复印件（加盖公章）、《道路运输经营许可证》复印件（加盖公章）、专用车辆驾驶人</w:t>
      </w:r>
      <w:r>
        <w:rPr>
          <w:rFonts w:hint="eastAsia" w:ascii="宋体" w:hAnsi="宋体" w:cs="宋体"/>
          <w:color w:val="auto"/>
          <w:szCs w:val="21"/>
          <w:highlight w:val="none"/>
          <w:lang w:val="en-US" w:eastAsia="zh-CN"/>
        </w:rPr>
        <w:t>、押运人员</w:t>
      </w:r>
      <w:r>
        <w:rPr>
          <w:rFonts w:hint="eastAsia" w:ascii="宋体" w:hAnsi="宋体" w:eastAsia="宋体" w:cs="宋体"/>
          <w:color w:val="auto"/>
          <w:szCs w:val="21"/>
          <w:highlight w:val="none"/>
          <w:lang w:val="en-US" w:eastAsia="zh-CN"/>
        </w:rPr>
        <w:t>危险货物运输从业资格证复印件（加盖公章）】</w:t>
      </w:r>
    </w:p>
    <w:p w14:paraId="419059A1">
      <w:pPr>
        <w:keepNext w:val="0"/>
        <w:keepLines w:val="0"/>
        <w:pageBreakBefore w:val="0"/>
        <w:widowControl/>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Cs w:val="21"/>
        </w:rPr>
      </w:pPr>
      <w:r>
        <w:rPr>
          <w:rFonts w:hint="eastAsia" w:ascii="宋体" w:hAnsi="宋体" w:eastAsia="宋体" w:cs="宋体"/>
          <w:b/>
          <w:color w:val="auto"/>
          <w:szCs w:val="21"/>
          <w:highlight w:val="none"/>
          <w:lang w:eastAsia="zh-CN"/>
        </w:rPr>
        <w:t>三、</w:t>
      </w:r>
      <w:r>
        <w:rPr>
          <w:rFonts w:hint="eastAsia" w:ascii="宋体" w:hAnsi="宋体" w:eastAsia="宋体" w:cs="宋体"/>
          <w:b/>
          <w:color w:val="auto"/>
          <w:szCs w:val="21"/>
          <w:highlight w:val="none"/>
        </w:rPr>
        <w:t>发布公告的媒介:</w:t>
      </w:r>
      <w:r>
        <w:rPr>
          <w:rFonts w:hint="eastAsia" w:ascii="宋体" w:hAnsi="宋体" w:eastAsia="宋体" w:cs="宋体"/>
          <w:b w:val="0"/>
          <w:bCs/>
          <w:color w:val="auto"/>
          <w:szCs w:val="21"/>
          <w:highlight w:val="none"/>
        </w:rPr>
        <w:t>本</w:t>
      </w:r>
      <w:r>
        <w:rPr>
          <w:rFonts w:hint="eastAsia" w:ascii="宋体" w:hAnsi="宋体" w:eastAsia="宋体" w:cs="宋体"/>
          <w:b w:val="0"/>
          <w:bCs/>
          <w:color w:val="auto"/>
          <w:szCs w:val="21"/>
        </w:rPr>
        <w:t>次采购公</w:t>
      </w:r>
      <w:r>
        <w:rPr>
          <w:rFonts w:hint="eastAsia" w:ascii="宋体" w:hAnsi="宋体" w:eastAsia="宋体" w:cs="宋体"/>
          <w:color w:val="auto"/>
          <w:szCs w:val="21"/>
        </w:rPr>
        <w:t>告在中国招标投标公共服务平台(http://www.cebpubservice.com)、东莞实业投资控股集团网站（http://dgsy.com.cn/www/index.jsp）</w:t>
      </w:r>
      <w:r>
        <w:rPr>
          <w:rFonts w:hint="eastAsia" w:ascii="宋体" w:hAnsi="宋体" w:eastAsia="宋体" w:cs="宋体"/>
          <w:color w:val="auto"/>
          <w:szCs w:val="21"/>
          <w:lang w:eastAsia="zh-CN"/>
        </w:rPr>
        <w:t>、东实环境公司官网（http://dshuanbao.com.cn/）</w:t>
      </w:r>
      <w:r>
        <w:rPr>
          <w:rFonts w:hint="eastAsia" w:ascii="宋体" w:hAnsi="宋体" w:eastAsia="宋体" w:cs="宋体"/>
          <w:color w:val="auto"/>
          <w:szCs w:val="21"/>
        </w:rPr>
        <w:t>及</w:t>
      </w:r>
      <w:r>
        <w:rPr>
          <w:rFonts w:hint="eastAsia" w:ascii="宋体" w:hAnsi="宋体" w:eastAsia="宋体" w:cs="宋体"/>
          <w:color w:val="auto"/>
          <w:szCs w:val="21"/>
          <w:lang w:eastAsia="zh-CN"/>
        </w:rPr>
        <w:t>广东志正招标有限公司</w:t>
      </w:r>
      <w:r>
        <w:rPr>
          <w:rFonts w:hint="eastAsia" w:ascii="宋体" w:hAnsi="宋体" w:eastAsia="宋体" w:cs="宋体"/>
          <w:color w:val="auto"/>
          <w:szCs w:val="21"/>
        </w:rPr>
        <w:t>网站（http：//www.zztender.com）发布。</w:t>
      </w:r>
    </w:p>
    <w:p w14:paraId="72C8E2D3">
      <w:pPr>
        <w:pStyle w:val="2"/>
        <w:numPr>
          <w:ilvl w:val="0"/>
          <w:numId w:val="0"/>
        </w:numPr>
        <w:rPr>
          <w:rFonts w:hint="eastAsia" w:ascii="宋体" w:hAnsi="宋体" w:eastAsia="宋体" w:cs="宋体"/>
          <w:color w:val="auto"/>
        </w:rPr>
      </w:pPr>
    </w:p>
    <w:p w14:paraId="0C9BCC44">
      <w:pPr>
        <w:keepNext w:val="0"/>
        <w:keepLines w:val="0"/>
        <w:pageBreakBefore w:val="0"/>
        <w:widowControl/>
        <w:numPr>
          <w:ilvl w:val="0"/>
          <w:numId w:val="1"/>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rPr>
      </w:pPr>
      <w:r>
        <w:rPr>
          <w:rFonts w:hint="eastAsia" w:ascii="宋体" w:hAnsi="宋体" w:eastAsia="宋体" w:cs="宋体"/>
          <w:b/>
          <w:color w:val="auto"/>
          <w:szCs w:val="21"/>
          <w:highlight w:val="none"/>
        </w:rPr>
        <w:t>获取</w:t>
      </w:r>
      <w:r>
        <w:rPr>
          <w:rFonts w:hint="eastAsia" w:ascii="宋体" w:hAnsi="宋体" w:eastAsia="宋体" w:cs="宋体"/>
          <w:b/>
          <w:color w:val="auto"/>
          <w:szCs w:val="21"/>
          <w:highlight w:val="none"/>
          <w:lang w:eastAsia="zh-CN"/>
        </w:rPr>
        <w:t>招标文件</w:t>
      </w:r>
      <w:r>
        <w:rPr>
          <w:rFonts w:hint="eastAsia" w:ascii="宋体" w:hAnsi="宋体" w:eastAsia="宋体" w:cs="宋体"/>
          <w:b/>
          <w:color w:val="auto"/>
          <w:szCs w:val="21"/>
          <w:highlight w:val="none"/>
        </w:rPr>
        <w:t>方法：</w:t>
      </w:r>
      <w:r>
        <w:rPr>
          <w:rFonts w:hint="eastAsia" w:ascii="宋体" w:hAnsi="宋体" w:eastAsia="宋体" w:cs="宋体"/>
          <w:color w:val="auto"/>
          <w:szCs w:val="21"/>
        </w:rPr>
        <w:t>不进行实名登记报名。拟参加投标的供应商可自行于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中国招标投标公共服务平台（http://www.cebpubservice.com/）东莞实业投资控股集团有限公司-招标采购栏目（http://www.dgsy.com.cn/）广东志正招标有限公司官网（https://www.zztender.com/）</w:t>
      </w:r>
      <w:r>
        <w:rPr>
          <w:rFonts w:hint="eastAsia" w:ascii="宋体" w:hAnsi="宋体" w:eastAsia="宋体" w:cs="宋体"/>
          <w:color w:val="auto"/>
          <w:szCs w:val="21"/>
        </w:rPr>
        <w:t>下载</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w:t>
      </w:r>
    </w:p>
    <w:p w14:paraId="629C429F">
      <w:pPr>
        <w:bidi w:val="0"/>
        <w:rPr>
          <w:rFonts w:hint="eastAsia"/>
          <w:color w:val="auto"/>
        </w:rPr>
      </w:pPr>
    </w:p>
    <w:p w14:paraId="65FC6D95">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五</w:t>
      </w:r>
      <w:r>
        <w:rPr>
          <w:rFonts w:hint="eastAsia" w:ascii="宋体" w:hAnsi="宋体" w:eastAsia="宋体" w:cs="宋体"/>
          <w:b/>
          <w:color w:val="auto"/>
          <w:szCs w:val="21"/>
          <w:highlight w:val="none"/>
        </w:rPr>
        <w:t>、投标文件的递交</w:t>
      </w:r>
    </w:p>
    <w:p w14:paraId="325F09A0">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1、递交投标文件时间：</w:t>
      </w:r>
      <w:r>
        <w:rPr>
          <w:rFonts w:hint="eastAsia" w:ascii="宋体" w:hAnsi="宋体" w:eastAsia="宋体" w:cs="宋体"/>
          <w:color w:val="auto"/>
          <w:szCs w:val="21"/>
          <w:highlight w:val="none"/>
          <w:u w:val="none"/>
        </w:rPr>
        <w:t>20</w:t>
      </w:r>
      <w:r>
        <w:rPr>
          <w:rFonts w:hint="eastAsia" w:ascii="宋体" w:hAnsi="宋体" w:eastAsia="宋体" w:cs="宋体"/>
          <w:color w:val="auto"/>
          <w:szCs w:val="21"/>
          <w:highlight w:val="none"/>
          <w:u w:val="none"/>
          <w:lang w:val="en-US" w:eastAsia="zh-CN"/>
        </w:rPr>
        <w:t>25</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10</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rPr>
        <w:t>日（北京时间）</w:t>
      </w:r>
      <w:r>
        <w:rPr>
          <w:rFonts w:hint="eastAsia" w:ascii="宋体" w:hAnsi="宋体" w:cs="宋体"/>
          <w:color w:val="auto"/>
          <w:szCs w:val="21"/>
          <w:highlight w:val="none"/>
          <w:u w:val="none"/>
          <w:lang w:val="en-US" w:eastAsia="zh-CN"/>
        </w:rPr>
        <w:t>09</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lang w:val="en-US" w:eastAsia="zh-CN"/>
        </w:rPr>
        <w:t>0</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10</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0</w:t>
      </w:r>
      <w:r>
        <w:rPr>
          <w:rFonts w:hint="eastAsia" w:ascii="宋体" w:hAnsi="宋体" w:eastAsia="宋体" w:cs="宋体"/>
          <w:color w:val="auto"/>
          <w:szCs w:val="21"/>
          <w:highlight w:val="none"/>
          <w:u w:val="none"/>
          <w:lang w:val="en-US" w:eastAsia="zh-CN"/>
        </w:rPr>
        <w:t>0</w:t>
      </w:r>
      <w:r>
        <w:rPr>
          <w:rFonts w:hint="eastAsia" w:ascii="宋体" w:hAnsi="宋体" w:eastAsia="宋体" w:cs="宋体"/>
          <w:color w:val="auto"/>
          <w:szCs w:val="21"/>
          <w:highlight w:val="none"/>
          <w:u w:val="none"/>
        </w:rPr>
        <w:t>。</w:t>
      </w:r>
    </w:p>
    <w:p w14:paraId="65E63E44">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none"/>
        </w:rPr>
        <w:t>2、递交投标文件截止及开标时间：20</w:t>
      </w:r>
      <w:r>
        <w:rPr>
          <w:rFonts w:hint="eastAsia" w:ascii="宋体" w:hAnsi="宋体" w:eastAsia="宋体" w:cs="宋体"/>
          <w:color w:val="auto"/>
          <w:szCs w:val="21"/>
          <w:highlight w:val="none"/>
          <w:u w:val="none"/>
          <w:lang w:val="en-US" w:eastAsia="zh-CN"/>
        </w:rPr>
        <w:t>25</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10</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rPr>
        <w:t>日</w:t>
      </w:r>
      <w:r>
        <w:rPr>
          <w:rFonts w:hint="eastAsia" w:ascii="宋体" w:hAnsi="宋体" w:cs="宋体"/>
          <w:color w:val="auto"/>
          <w:szCs w:val="21"/>
          <w:highlight w:val="none"/>
          <w:u w:val="none"/>
          <w:lang w:val="en-US" w:eastAsia="zh-CN"/>
        </w:rPr>
        <w:t>10</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0</w:t>
      </w:r>
      <w:r>
        <w:rPr>
          <w:rFonts w:hint="eastAsia" w:ascii="宋体" w:hAnsi="宋体" w:eastAsia="宋体" w:cs="宋体"/>
          <w:color w:val="auto"/>
          <w:szCs w:val="21"/>
          <w:highlight w:val="none"/>
          <w:u w:val="none"/>
          <w:lang w:val="en-US" w:eastAsia="zh-CN"/>
        </w:rPr>
        <w:t>0</w:t>
      </w:r>
      <w:r>
        <w:rPr>
          <w:rFonts w:hint="eastAsia" w:ascii="宋体" w:hAnsi="宋体" w:eastAsia="宋体" w:cs="宋体"/>
          <w:color w:val="auto"/>
          <w:szCs w:val="21"/>
          <w:highlight w:val="none"/>
          <w:u w:val="none"/>
        </w:rPr>
        <w:t>（北京时间）</w:t>
      </w:r>
      <w:r>
        <w:rPr>
          <w:rFonts w:hint="eastAsia" w:ascii="宋体" w:hAnsi="宋体" w:eastAsia="宋体" w:cs="宋体"/>
          <w:color w:val="auto"/>
          <w:szCs w:val="21"/>
          <w:highlight w:val="none"/>
        </w:rPr>
        <w:t>，所有投标文件应于截止时间之前递交，迟交或以电报、传真形式的投标文件将拒绝接收。</w:t>
      </w:r>
    </w:p>
    <w:p w14:paraId="7FF2A63E">
      <w:pPr>
        <w:keepNext w:val="0"/>
        <w:keepLines w:val="0"/>
        <w:pageBreakBefore w:val="0"/>
        <w:widowControl/>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3、开标地点：广东省东莞市旗峰路190号城市花园商贸中心903室</w:t>
      </w:r>
      <w:r>
        <w:rPr>
          <w:rFonts w:hint="eastAsia" w:ascii="宋体" w:hAnsi="宋体" w:eastAsia="宋体" w:cs="宋体"/>
          <w:color w:val="auto"/>
          <w:szCs w:val="21"/>
          <w:highlight w:val="none"/>
          <w:lang w:eastAsia="zh-CN"/>
        </w:rPr>
        <w:t>。</w:t>
      </w:r>
    </w:p>
    <w:p w14:paraId="01D6A09A">
      <w:pPr>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4、开标事宜：</w:t>
      </w:r>
      <w:r>
        <w:rPr>
          <w:rFonts w:hint="eastAsia" w:ascii="宋体" w:hAnsi="宋体" w:eastAsia="宋体" w:cs="宋体"/>
          <w:b/>
          <w:bCs/>
          <w:color w:val="auto"/>
          <w:szCs w:val="21"/>
          <w:highlight w:val="none"/>
        </w:rPr>
        <w:t>届时请投标人的法定代表人或其授权代表务必携带有效身份证明出席开标</w:t>
      </w:r>
      <w:r>
        <w:rPr>
          <w:rFonts w:hint="eastAsia" w:ascii="宋体" w:hAnsi="宋体" w:eastAsia="宋体" w:cs="宋体"/>
          <w:b/>
          <w:bCs/>
          <w:color w:val="auto"/>
          <w:szCs w:val="21"/>
          <w:highlight w:val="none"/>
          <w:lang w:val="en-US" w:eastAsia="zh-CN"/>
        </w:rPr>
        <w:t>会</w:t>
      </w:r>
      <w:r>
        <w:rPr>
          <w:rFonts w:hint="eastAsia" w:ascii="宋体" w:hAnsi="宋体" w:eastAsia="宋体" w:cs="宋体"/>
          <w:bCs/>
          <w:color w:val="auto"/>
          <w:szCs w:val="21"/>
          <w:highlight w:val="none"/>
        </w:rPr>
        <w:t>。</w:t>
      </w:r>
    </w:p>
    <w:p w14:paraId="60584A41">
      <w:pPr>
        <w:pStyle w:val="3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110A2472">
      <w:pPr>
        <w:pStyle w:val="3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3B109C4C">
      <w:pPr>
        <w:pStyle w:val="3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3C99C093">
      <w:pPr>
        <w:rPr>
          <w:rFonts w:hint="eastAsia" w:ascii="宋体" w:hAnsi="宋体" w:eastAsia="宋体" w:cs="宋体"/>
          <w:b/>
          <w:color w:val="auto"/>
          <w:szCs w:val="21"/>
          <w:highlight w:val="none"/>
        </w:rPr>
      </w:pPr>
    </w:p>
    <w:p w14:paraId="602C00DF">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六、采购人及采购代理机构的名称、地址和联系方法</w:t>
      </w:r>
    </w:p>
    <w:p w14:paraId="18B724E6">
      <w:pPr>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采购人名称：</w:t>
      </w:r>
      <w:r>
        <w:rPr>
          <w:rFonts w:hint="eastAsia" w:ascii="宋体" w:hAnsi="宋体" w:eastAsia="宋体" w:cs="宋体"/>
          <w:bCs/>
          <w:color w:val="auto"/>
          <w:szCs w:val="21"/>
          <w:highlight w:val="none"/>
          <w:lang w:eastAsia="zh-CN"/>
        </w:rPr>
        <w:t>东莞市新东粤环保实业有限公司</w:t>
      </w:r>
    </w:p>
    <w:p w14:paraId="2509FEDF">
      <w:pPr>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采购人联系人：</w:t>
      </w:r>
      <w:r>
        <w:rPr>
          <w:rFonts w:hint="eastAsia" w:ascii="宋体" w:hAnsi="宋体" w:eastAsia="宋体" w:cs="宋体"/>
          <w:bCs/>
          <w:color w:val="auto"/>
          <w:szCs w:val="21"/>
          <w:highlight w:val="none"/>
          <w:lang w:val="en-US" w:eastAsia="zh-CN"/>
        </w:rPr>
        <w:t>梁小姐</w:t>
      </w:r>
    </w:p>
    <w:p w14:paraId="601BD993">
      <w:pPr>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采购人地址：东莞市谢岗镇曹乐村同心路西200米</w:t>
      </w:r>
    </w:p>
    <w:p w14:paraId="68E11579">
      <w:pPr>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采购人联系电话：0769-87639821</w:t>
      </w:r>
      <w:r>
        <w:rPr>
          <w:rFonts w:hint="eastAsia" w:ascii="宋体" w:hAnsi="宋体" w:eastAsia="宋体" w:cs="宋体"/>
          <w:color w:val="auto"/>
          <w:sz w:val="22"/>
          <w:highlight w:val="none"/>
        </w:rPr>
        <w:t xml:space="preserve"> </w:t>
      </w:r>
    </w:p>
    <w:p w14:paraId="63901801">
      <w:pPr>
        <w:ind w:firstLine="420" w:firstLineChars="200"/>
        <w:rPr>
          <w:rFonts w:hint="eastAsia" w:ascii="宋体" w:hAnsi="宋体" w:eastAsia="宋体" w:cs="宋体"/>
          <w:color w:val="auto"/>
          <w:szCs w:val="21"/>
          <w:highlight w:val="none"/>
        </w:rPr>
      </w:pPr>
    </w:p>
    <w:p w14:paraId="6838ECF8">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采购代理机构名称：</w:t>
      </w:r>
      <w:r>
        <w:rPr>
          <w:rFonts w:hint="eastAsia" w:ascii="宋体" w:hAnsi="宋体" w:eastAsia="宋体" w:cs="宋体"/>
          <w:color w:val="auto"/>
          <w:szCs w:val="21"/>
          <w:highlight w:val="none"/>
          <w:lang w:eastAsia="zh-CN"/>
        </w:rPr>
        <w:t>广东志正招标有限公司东莞分公司</w:t>
      </w:r>
    </w:p>
    <w:p w14:paraId="2F9DABD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采购代理机构地址：广东省东莞市旗峰路190号城市花园商贸中心903室</w:t>
      </w:r>
    </w:p>
    <w:p w14:paraId="60D5E964">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采购代理机构联系人：</w:t>
      </w:r>
      <w:r>
        <w:rPr>
          <w:rFonts w:hint="eastAsia" w:ascii="宋体" w:hAnsi="宋体" w:eastAsia="宋体" w:cs="宋体"/>
          <w:color w:val="auto"/>
          <w:szCs w:val="21"/>
          <w:highlight w:val="none"/>
          <w:lang w:val="en-US" w:eastAsia="zh-CN"/>
        </w:rPr>
        <w:t>黎伟峰</w:t>
      </w:r>
    </w:p>
    <w:p w14:paraId="4E6F9300">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采购代理机构联系电话：0769-</w:t>
      </w:r>
      <w:r>
        <w:rPr>
          <w:rFonts w:hint="eastAsia" w:ascii="宋体" w:hAnsi="宋体" w:eastAsia="宋体" w:cs="宋体"/>
          <w:color w:val="auto"/>
          <w:szCs w:val="21"/>
          <w:highlight w:val="none"/>
          <w:lang w:val="en-US" w:eastAsia="zh-CN"/>
        </w:rPr>
        <w:t>22306832</w:t>
      </w:r>
    </w:p>
    <w:p w14:paraId="78C83719">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采购代理机构邮箱：546797358@qq.com</w:t>
      </w:r>
    </w:p>
    <w:p w14:paraId="52ED6066">
      <w:pPr>
        <w:ind w:firstLine="420" w:firstLineChars="200"/>
        <w:rPr>
          <w:rFonts w:hint="eastAsia" w:ascii="宋体" w:hAnsi="宋体" w:eastAsia="宋体" w:cs="宋体"/>
          <w:color w:val="auto"/>
          <w:highlight w:val="none"/>
        </w:rPr>
      </w:pPr>
    </w:p>
    <w:p w14:paraId="1D9DFC20">
      <w:pPr>
        <w:pStyle w:val="2"/>
        <w:rPr>
          <w:rFonts w:hint="eastAsia"/>
        </w:rPr>
      </w:pPr>
    </w:p>
    <w:p w14:paraId="5F8DBBC8">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cs="宋体"/>
          <w:color w:val="auto"/>
          <w:szCs w:val="21"/>
        </w:rPr>
      </w:pPr>
      <w:r>
        <w:rPr>
          <w:rFonts w:hint="eastAsia" w:ascii="宋体" w:hAnsi="宋体" w:cs="宋体"/>
          <w:color w:val="auto"/>
          <w:szCs w:val="21"/>
        </w:rPr>
        <w:t>东莞市新东粤环保实业有限公司</w:t>
      </w:r>
    </w:p>
    <w:p w14:paraId="6209D357">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eastAsia="宋体" w:cs="宋体"/>
          <w:color w:val="auto"/>
          <w:sz w:val="21"/>
          <w:szCs w:val="21"/>
          <w:highlight w:val="none"/>
          <w:lang w:eastAsia="zh-CN"/>
        </w:rPr>
      </w:pPr>
    </w:p>
    <w:p w14:paraId="6D7B20AC">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广东志正招标有限公司东莞分公司</w:t>
      </w:r>
    </w:p>
    <w:p w14:paraId="01E410D5">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eastAsia="宋体" w:cs="宋体"/>
          <w:color w:val="auto"/>
          <w:sz w:val="21"/>
          <w:szCs w:val="21"/>
          <w:highlight w:val="none"/>
          <w:lang w:val="en-US" w:eastAsia="zh-CN"/>
        </w:rPr>
      </w:pPr>
    </w:p>
    <w:p w14:paraId="0A055382">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2025年</w:t>
      </w:r>
      <w:r>
        <w:rPr>
          <w:rFonts w:hint="eastAsia" w:ascii="宋体" w:hAnsi="宋体" w:cs="宋体"/>
          <w:color w:val="auto"/>
          <w:sz w:val="21"/>
          <w:szCs w:val="21"/>
          <w:highlight w:val="none"/>
          <w:lang w:val="en-US" w:eastAsia="zh-CN"/>
        </w:rPr>
        <w:t>09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17</w:t>
      </w:r>
      <w:bookmarkStart w:id="172" w:name="_GoBack"/>
      <w:bookmarkEnd w:id="172"/>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Cs w:val="21"/>
          <w:highlight w:val="none"/>
        </w:rPr>
        <w:br w:type="page"/>
      </w:r>
    </w:p>
    <w:p w14:paraId="0DAA3CE6">
      <w:pPr>
        <w:pStyle w:val="5"/>
        <w:spacing w:before="0" w:after="0" w:line="240" w:lineRule="auto"/>
        <w:rPr>
          <w:rFonts w:hint="eastAsia" w:ascii="宋体" w:hAnsi="宋体" w:eastAsia="宋体" w:cs="宋体"/>
          <w:color w:val="auto"/>
          <w:sz w:val="28"/>
          <w:szCs w:val="28"/>
          <w:highlight w:val="none"/>
        </w:rPr>
      </w:pPr>
      <w:bookmarkStart w:id="2" w:name="_Toc29359"/>
      <w:r>
        <w:rPr>
          <w:rFonts w:hint="eastAsia" w:ascii="宋体" w:hAnsi="宋体" w:eastAsia="宋体" w:cs="宋体"/>
          <w:color w:val="auto"/>
          <w:sz w:val="28"/>
          <w:szCs w:val="28"/>
          <w:highlight w:val="none"/>
        </w:rPr>
        <w:t>第二部分相关资料表格</w:t>
      </w:r>
      <w:bookmarkEnd w:id="2"/>
    </w:p>
    <w:p w14:paraId="2C914DE9">
      <w:pPr>
        <w:pStyle w:val="6"/>
        <w:spacing w:before="0" w:after="0" w:line="240" w:lineRule="auto"/>
        <w:jc w:val="center"/>
        <w:rPr>
          <w:rFonts w:hint="eastAsia" w:ascii="宋体" w:hAnsi="宋体" w:eastAsia="宋体" w:cs="宋体"/>
          <w:color w:val="auto"/>
          <w:sz w:val="24"/>
          <w:szCs w:val="24"/>
          <w:highlight w:val="none"/>
        </w:rPr>
      </w:pPr>
      <w:bookmarkStart w:id="3" w:name="_Toc5826"/>
      <w:r>
        <w:rPr>
          <w:rFonts w:hint="eastAsia" w:ascii="宋体" w:hAnsi="宋体" w:eastAsia="宋体" w:cs="宋体"/>
          <w:color w:val="auto"/>
          <w:sz w:val="24"/>
          <w:szCs w:val="24"/>
          <w:highlight w:val="none"/>
        </w:rPr>
        <w:t>附表一：投标资料表</w:t>
      </w:r>
      <w:bookmarkEnd w:id="3"/>
    </w:p>
    <w:tbl>
      <w:tblPr>
        <w:tblStyle w:val="27"/>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1"/>
        <w:gridCol w:w="2250"/>
        <w:gridCol w:w="5359"/>
      </w:tblGrid>
      <w:tr w14:paraId="69B70E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01" w:type="dxa"/>
            <w:tcBorders>
              <w:tl2br w:val="nil"/>
              <w:tr2bl w:val="nil"/>
            </w:tcBorders>
            <w:vAlign w:val="center"/>
          </w:tcPr>
          <w:p w14:paraId="5FAD8A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609" w:type="dxa"/>
            <w:gridSpan w:val="2"/>
            <w:tcBorders>
              <w:tl2br w:val="nil"/>
              <w:tr2bl w:val="nil"/>
            </w:tcBorders>
            <w:vAlign w:val="center"/>
          </w:tcPr>
          <w:p w14:paraId="3CB0695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r>
      <w:tr w14:paraId="518E36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09B8B95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一、说明</w:t>
            </w:r>
          </w:p>
        </w:tc>
      </w:tr>
      <w:tr w14:paraId="007898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6EA0CA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609" w:type="dxa"/>
            <w:gridSpan w:val="2"/>
            <w:tcBorders>
              <w:tl2br w:val="nil"/>
              <w:tr2bl w:val="nil"/>
            </w:tcBorders>
            <w:vAlign w:val="center"/>
          </w:tcPr>
          <w:p w14:paraId="0F59AA3B">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项目最高限价（</w:t>
            </w:r>
            <w:r>
              <w:rPr>
                <w:rFonts w:hint="eastAsia" w:ascii="宋体" w:hAnsi="宋体" w:eastAsia="宋体" w:cs="宋体"/>
                <w:b/>
                <w:bCs/>
                <w:color w:val="auto"/>
                <w:szCs w:val="21"/>
                <w:highlight w:val="none"/>
                <w:u w:val="single"/>
              </w:rPr>
              <w:t>单位：元</w:t>
            </w:r>
            <w:r>
              <w:rPr>
                <w:rFonts w:hint="eastAsia" w:ascii="宋体" w:hAnsi="宋体" w:eastAsia="宋体" w:cs="宋体"/>
                <w:b/>
                <w:bCs/>
                <w:color w:val="auto"/>
                <w:szCs w:val="21"/>
                <w:highlight w:val="none"/>
              </w:rPr>
              <w:t>）</w:t>
            </w:r>
          </w:p>
        </w:tc>
      </w:tr>
      <w:tr w14:paraId="1E5826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325784A4">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3ACBF567">
            <w:pPr>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rPr>
              <w:t>与项目预算一致</w:t>
            </w:r>
            <w:r>
              <w:rPr>
                <w:rFonts w:hint="eastAsia" w:ascii="宋体" w:hAnsi="宋体" w:eastAsia="宋体" w:cs="宋体"/>
                <w:b w:val="0"/>
                <w:bCs w:val="0"/>
                <w:color w:val="auto"/>
                <w:szCs w:val="21"/>
                <w:highlight w:val="none"/>
                <w:lang w:eastAsia="zh-CN"/>
              </w:rPr>
              <w:t>。</w:t>
            </w:r>
          </w:p>
        </w:tc>
      </w:tr>
      <w:tr w14:paraId="4E78B1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14:paraId="1F9FBDD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609" w:type="dxa"/>
            <w:gridSpan w:val="2"/>
            <w:tcBorders>
              <w:tl2br w:val="nil"/>
              <w:tr2bl w:val="nil"/>
            </w:tcBorders>
            <w:vAlign w:val="center"/>
          </w:tcPr>
          <w:p w14:paraId="0B305292">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发包方式</w:t>
            </w:r>
          </w:p>
        </w:tc>
      </w:tr>
      <w:tr w14:paraId="2A223B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32EFD681">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20571C27">
            <w:pPr>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
                <w:bCs/>
                <w:color w:val="auto"/>
                <w:szCs w:val="21"/>
                <w:highlight w:val="none"/>
              </w:rPr>
              <w:t>固定总价包干；</w:t>
            </w:r>
          </w:p>
          <w:p w14:paraId="7DC9A768">
            <w:pPr>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
                <w:bCs/>
                <w:color w:val="auto"/>
                <w:szCs w:val="21"/>
                <w:highlight w:val="none"/>
              </w:rPr>
              <w:t>固定单价暂定总价包干；</w:t>
            </w:r>
          </w:p>
          <w:p w14:paraId="1D513D81">
            <w:pPr>
              <w:rPr>
                <w:rFonts w:hint="eastAsia" w:ascii="宋体" w:hAnsi="宋体" w:eastAsia="宋体" w:cs="宋体"/>
                <w:b/>
                <w:bCs/>
                <w:color w:val="auto"/>
                <w:szCs w:val="21"/>
                <w:highlight w:val="none"/>
                <w:u w:val="single"/>
              </w:rPr>
            </w:pPr>
            <w:r>
              <w:rPr>
                <w:rFonts w:hint="eastAsia" w:ascii="宋体" w:hAnsi="宋体" w:eastAsia="宋体" w:cs="宋体"/>
                <w:bCs/>
                <w:color w:val="auto"/>
                <w:szCs w:val="21"/>
                <w:highlight w:val="none"/>
              </w:rPr>
              <w:t>□</w:t>
            </w:r>
            <w:r>
              <w:rPr>
                <w:rFonts w:hint="eastAsia" w:ascii="宋体" w:hAnsi="宋体" w:eastAsia="宋体" w:cs="宋体"/>
                <w:b/>
                <w:bCs/>
                <w:color w:val="auto"/>
                <w:szCs w:val="21"/>
                <w:highlight w:val="none"/>
              </w:rPr>
              <w:t>费率</w:t>
            </w:r>
            <w:r>
              <w:rPr>
                <w:rFonts w:hint="eastAsia" w:ascii="宋体" w:hAnsi="宋体" w:eastAsia="宋体" w:cs="宋体"/>
                <w:b/>
                <w:bCs/>
                <w:color w:val="auto"/>
                <w:szCs w:val="21"/>
                <w:highlight w:val="none"/>
                <w:u w:val="single"/>
              </w:rPr>
              <w:t xml:space="preserve">         ；</w:t>
            </w:r>
          </w:p>
          <w:p w14:paraId="6B45164B">
            <w:pPr>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
                <w:bCs/>
                <w:color w:val="auto"/>
                <w:szCs w:val="21"/>
                <w:highlight w:val="none"/>
              </w:rPr>
              <w:t>其他</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p>
        </w:tc>
      </w:tr>
      <w:tr w14:paraId="2671BF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3BA030D3">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7609" w:type="dxa"/>
            <w:gridSpan w:val="2"/>
            <w:tcBorders>
              <w:tl2br w:val="nil"/>
              <w:tr2bl w:val="nil"/>
            </w:tcBorders>
            <w:vAlign w:val="center"/>
          </w:tcPr>
          <w:p w14:paraId="714274B0">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资金来源</w:t>
            </w:r>
          </w:p>
        </w:tc>
      </w:tr>
      <w:tr w14:paraId="5F883C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6ABCCA18">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5C71BAB9">
            <w:pP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u w:val="single"/>
              </w:rPr>
              <w:t>自筹资金。</w:t>
            </w:r>
          </w:p>
        </w:tc>
      </w:tr>
      <w:tr w14:paraId="2F131B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1D190363">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7609" w:type="dxa"/>
            <w:gridSpan w:val="2"/>
            <w:tcBorders>
              <w:tl2br w:val="nil"/>
              <w:tr2bl w:val="nil"/>
            </w:tcBorders>
            <w:vAlign w:val="center"/>
          </w:tcPr>
          <w:p w14:paraId="3B9A9A22">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踏勘现场</w:t>
            </w:r>
          </w:p>
        </w:tc>
      </w:tr>
      <w:tr w14:paraId="143D84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5D00EB10">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106805B3">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不组织 。</w:t>
            </w:r>
          </w:p>
          <w:p w14:paraId="4DC8C58E">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□组织，踏勘现场时间、地点：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tc>
      </w:tr>
      <w:tr w14:paraId="2F770A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6DC3967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二、投标文件的编制</w:t>
            </w:r>
          </w:p>
        </w:tc>
      </w:tr>
      <w:tr w14:paraId="0EAD49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0CA846AF">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7609" w:type="dxa"/>
            <w:gridSpan w:val="2"/>
            <w:tcBorders>
              <w:tl2br w:val="nil"/>
              <w:tr2bl w:val="nil"/>
            </w:tcBorders>
            <w:vAlign w:val="center"/>
          </w:tcPr>
          <w:p w14:paraId="3BB0F388">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投标语言</w:t>
            </w:r>
          </w:p>
        </w:tc>
      </w:tr>
      <w:tr w14:paraId="64FC58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7A7803CA">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798E390C">
            <w:pP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中文。</w:t>
            </w:r>
          </w:p>
        </w:tc>
      </w:tr>
      <w:tr w14:paraId="680C65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64781FDA">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7609" w:type="dxa"/>
            <w:gridSpan w:val="2"/>
            <w:tcBorders>
              <w:tl2br w:val="nil"/>
              <w:tr2bl w:val="nil"/>
            </w:tcBorders>
            <w:vAlign w:val="center"/>
          </w:tcPr>
          <w:p w14:paraId="534020AD">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投标报价</w:t>
            </w:r>
          </w:p>
        </w:tc>
      </w:tr>
      <w:tr w14:paraId="442692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3EF73AEB">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4529F742">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详见投标人须知。</w:t>
            </w:r>
          </w:p>
        </w:tc>
      </w:tr>
      <w:tr w14:paraId="20DE6C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01" w:type="dxa"/>
            <w:vMerge w:val="restart"/>
            <w:tcBorders>
              <w:tl2br w:val="nil"/>
              <w:tr2bl w:val="nil"/>
            </w:tcBorders>
            <w:vAlign w:val="center"/>
          </w:tcPr>
          <w:p w14:paraId="5AF47926">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7609" w:type="dxa"/>
            <w:gridSpan w:val="2"/>
            <w:tcBorders>
              <w:tl2br w:val="nil"/>
              <w:tr2bl w:val="nil"/>
            </w:tcBorders>
            <w:vAlign w:val="center"/>
          </w:tcPr>
          <w:p w14:paraId="2D692931">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投标保证金</w:t>
            </w:r>
          </w:p>
        </w:tc>
      </w:tr>
      <w:tr w14:paraId="088691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01" w:type="dxa"/>
            <w:vMerge w:val="continue"/>
            <w:tcBorders>
              <w:tl2br w:val="nil"/>
              <w:tr2bl w:val="nil"/>
            </w:tcBorders>
            <w:vAlign w:val="center"/>
          </w:tcPr>
          <w:p w14:paraId="1F67EB25">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77A9C9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rPr>
            </w:pPr>
            <w:r>
              <w:rPr>
                <w:rFonts w:hint="eastAsia" w:ascii="宋体" w:hAnsi="宋体" w:eastAsia="宋体" w:cs="宋体"/>
                <w:color w:val="auto"/>
                <w:szCs w:val="21"/>
                <w:highlight w:val="none"/>
              </w:rPr>
              <w:t>（1）投标保证金金额：</w:t>
            </w:r>
            <w:r>
              <w:rPr>
                <w:rFonts w:hint="eastAsia" w:ascii="宋体" w:hAnsi="宋体" w:eastAsia="宋体" w:cs="宋体"/>
                <w:b/>
                <w:bCs/>
                <w:color w:val="auto"/>
                <w:sz w:val="21"/>
                <w:szCs w:val="21"/>
                <w:highlight w:val="none"/>
                <w:lang w:val="en-US" w:eastAsia="zh-CN"/>
              </w:rPr>
              <w:t>人民币</w:t>
            </w:r>
            <w:r>
              <w:rPr>
                <w:rFonts w:hint="eastAsia" w:ascii="宋体" w:hAnsi="宋体" w:cs="宋体"/>
                <w:b/>
                <w:bCs/>
                <w:color w:val="auto"/>
                <w:sz w:val="21"/>
                <w:szCs w:val="21"/>
                <w:highlight w:val="none"/>
                <w:lang w:val="en-US" w:eastAsia="zh-CN"/>
              </w:rPr>
              <w:t>肆</w:t>
            </w:r>
            <w:r>
              <w:rPr>
                <w:rFonts w:hint="eastAsia" w:ascii="宋体" w:hAnsi="宋体" w:eastAsia="宋体" w:cs="宋体"/>
                <w:b/>
                <w:bCs/>
                <w:color w:val="auto"/>
                <w:sz w:val="21"/>
                <w:szCs w:val="21"/>
                <w:highlight w:val="none"/>
                <w:lang w:val="en-US" w:eastAsia="zh-CN"/>
              </w:rPr>
              <w:t>万</w:t>
            </w:r>
            <w:r>
              <w:rPr>
                <w:rFonts w:hint="eastAsia" w:ascii="宋体" w:hAnsi="宋体" w:cs="宋体"/>
                <w:b/>
                <w:bCs/>
                <w:color w:val="auto"/>
                <w:sz w:val="21"/>
                <w:szCs w:val="21"/>
                <w:highlight w:val="none"/>
                <w:lang w:val="en-US" w:eastAsia="zh-CN"/>
              </w:rPr>
              <w:t>叁仟</w:t>
            </w:r>
            <w:r>
              <w:rPr>
                <w:rFonts w:hint="eastAsia" w:ascii="宋体" w:hAnsi="宋体" w:eastAsia="宋体" w:cs="宋体"/>
                <w:b/>
                <w:bCs/>
                <w:color w:val="auto"/>
                <w:sz w:val="21"/>
                <w:szCs w:val="21"/>
                <w:highlight w:val="none"/>
                <w:lang w:val="en-US" w:eastAsia="zh-CN"/>
              </w:rPr>
              <w:t>元整（</w:t>
            </w:r>
            <w:r>
              <w:rPr>
                <w:rFonts w:hint="eastAsia" w:ascii="宋体" w:hAnsi="宋体" w:eastAsia="宋体" w:cs="宋体"/>
                <w:b/>
                <w:bCs/>
                <w:color w:val="auto"/>
                <w:sz w:val="21"/>
                <w:szCs w:val="21"/>
                <w:highlight w:val="none"/>
                <w:u w:val="none"/>
                <w:lang w:val="en-US" w:eastAsia="zh-CN"/>
              </w:rPr>
              <w:t>¥</w:t>
            </w:r>
            <w:r>
              <w:rPr>
                <w:rFonts w:hint="eastAsia" w:ascii="宋体" w:hAnsi="宋体" w:cs="宋体"/>
                <w:b/>
                <w:bCs/>
                <w:color w:val="auto"/>
                <w:sz w:val="21"/>
                <w:szCs w:val="21"/>
                <w:highlight w:val="none"/>
                <w:u w:val="none"/>
                <w:lang w:val="en-US" w:eastAsia="zh-CN"/>
              </w:rPr>
              <w:t>43,000</w:t>
            </w:r>
            <w:r>
              <w:rPr>
                <w:rFonts w:hint="eastAsia" w:ascii="宋体" w:hAnsi="宋体" w:eastAsia="宋体" w:cs="宋体"/>
                <w:b/>
                <w:bCs/>
                <w:color w:val="auto"/>
                <w:szCs w:val="21"/>
                <w:highlight w:val="none"/>
                <w:u w:val="none"/>
                <w:lang w:val="en-US" w:eastAsia="zh-CN"/>
              </w:rPr>
              <w:t>元</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w:t>
            </w:r>
          </w:p>
        </w:tc>
      </w:tr>
      <w:tr w14:paraId="715D49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01" w:type="dxa"/>
            <w:vMerge w:val="continue"/>
            <w:tcBorders>
              <w:tl2br w:val="nil"/>
              <w:tr2bl w:val="nil"/>
            </w:tcBorders>
            <w:vAlign w:val="center"/>
          </w:tcPr>
          <w:p w14:paraId="6140A81F">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07058CF9">
            <w:pPr>
              <w:tabs>
                <w:tab w:val="left" w:pos="567"/>
              </w:tabs>
              <w:jc w:val="both"/>
              <w:rPr>
                <w:rFonts w:hint="eastAsia" w:ascii="宋体" w:hAnsi="宋体" w:eastAsia="宋体" w:cs="宋体"/>
                <w:color w:val="auto"/>
                <w:kern w:val="2"/>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kern w:val="2"/>
                <w:szCs w:val="21"/>
                <w:highlight w:val="none"/>
                <w:lang w:val="zh-CN"/>
              </w:rPr>
              <w:t>投标保证金采用</w:t>
            </w:r>
            <w:r>
              <w:rPr>
                <w:rFonts w:hint="eastAsia" w:ascii="宋体" w:hAnsi="宋体" w:cs="宋体"/>
                <w:color w:val="auto"/>
                <w:kern w:val="2"/>
                <w:szCs w:val="21"/>
                <w:highlight w:val="none"/>
                <w:lang w:val="zh-CN"/>
              </w:rPr>
              <w:t>转账</w:t>
            </w:r>
            <w:r>
              <w:rPr>
                <w:rFonts w:hint="eastAsia" w:ascii="宋体" w:hAnsi="宋体" w:eastAsia="宋体" w:cs="宋体"/>
                <w:color w:val="auto"/>
                <w:kern w:val="2"/>
                <w:szCs w:val="21"/>
                <w:highlight w:val="none"/>
                <w:lang w:val="zh-CN"/>
              </w:rPr>
              <w:t>、保函形式</w:t>
            </w:r>
            <w:r>
              <w:rPr>
                <w:rFonts w:hint="eastAsia" w:ascii="宋体" w:hAnsi="宋体" w:cs="宋体"/>
                <w:color w:val="auto"/>
                <w:kern w:val="2"/>
                <w:szCs w:val="21"/>
                <w:highlight w:val="none"/>
                <w:lang w:val="zh-CN"/>
              </w:rPr>
              <w:t>、</w:t>
            </w:r>
            <w:r>
              <w:rPr>
                <w:rFonts w:hint="eastAsia" w:ascii="宋体" w:hAnsi="宋体" w:eastAsia="宋体" w:cs="宋体"/>
                <w:color w:val="auto"/>
                <w:kern w:val="2"/>
                <w:szCs w:val="21"/>
                <w:highlight w:val="none"/>
                <w:lang w:val="zh-CN"/>
              </w:rPr>
              <w:t>电汇方式提交，应符合以下要求：采用银行转账、电汇方式提交的，保证金汇入以下投标保证金专用账户，不接收由以投标人分支机构、</w:t>
            </w:r>
            <w:r>
              <w:rPr>
                <w:rFonts w:hint="eastAsia" w:ascii="宋体" w:hAnsi="宋体" w:cs="宋体"/>
                <w:color w:val="auto"/>
                <w:kern w:val="2"/>
                <w:szCs w:val="21"/>
                <w:highlight w:val="none"/>
                <w:lang w:val="zh-CN"/>
              </w:rPr>
              <w:t>私人账户</w:t>
            </w:r>
            <w:r>
              <w:rPr>
                <w:rFonts w:hint="eastAsia" w:ascii="宋体" w:hAnsi="宋体" w:eastAsia="宋体" w:cs="宋体"/>
                <w:color w:val="auto"/>
                <w:kern w:val="2"/>
                <w:szCs w:val="21"/>
                <w:highlight w:val="none"/>
                <w:lang w:val="zh-CN"/>
              </w:rPr>
              <w:t>和其他单位转入的保证金。投标保证金必须在投标文件递交截止前到账，投标保证金未按规定时间到达指定账户或提交金额不足的，将被视为无效投标。且在备注或用途中注明本项目的项目编号。</w:t>
            </w:r>
          </w:p>
          <w:p w14:paraId="031F9BD4">
            <w:pPr>
              <w:tabs>
                <w:tab w:val="left" w:pos="567"/>
              </w:tabs>
              <w:ind w:left="567" w:hanging="567"/>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投标保证金专用账户如下：</w:t>
            </w:r>
          </w:p>
          <w:p w14:paraId="3CCF84A0">
            <w:pP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ascii="宋体" w:hAnsi="宋体" w:cs="宋体"/>
                <w:color w:val="auto"/>
                <w:kern w:val="2"/>
                <w:szCs w:val="21"/>
                <w:highlight w:val="none"/>
                <w:lang w:val="zh-CN"/>
              </w:rPr>
              <w:t>账户名称</w:t>
            </w:r>
            <w:r>
              <w:rPr>
                <w:rFonts w:hint="eastAsia" w:ascii="宋体" w:hAnsi="宋体" w:eastAsia="宋体" w:cs="宋体"/>
                <w:color w:val="auto"/>
                <w:kern w:val="2"/>
                <w:szCs w:val="21"/>
                <w:highlight w:val="none"/>
                <w:lang w:val="zh-CN"/>
              </w:rPr>
              <w:t xml:space="preserve">： </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u w:val="single"/>
                <w:lang w:eastAsia="zh-CN"/>
              </w:rPr>
              <w:t>广东志正招标有限公司东莞分公司</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lang w:val="zh-CN"/>
              </w:rPr>
              <w:t>；</w:t>
            </w:r>
          </w:p>
          <w:p w14:paraId="11FFD1C7">
            <w:pP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 xml:space="preserve">开户银行： </w:t>
            </w:r>
            <w:r>
              <w:rPr>
                <w:rFonts w:hint="eastAsia" w:ascii="宋体" w:hAnsi="宋体" w:eastAsia="宋体" w:cs="宋体"/>
                <w:color w:val="auto"/>
                <w:kern w:val="2"/>
                <w:szCs w:val="21"/>
                <w:highlight w:val="none"/>
                <w:u w:val="single"/>
              </w:rPr>
              <w:t xml:space="preserve">  招商银行东莞分行东城支行  </w:t>
            </w:r>
            <w:r>
              <w:rPr>
                <w:rFonts w:hint="eastAsia" w:ascii="宋体" w:hAnsi="宋体" w:eastAsia="宋体" w:cs="宋体"/>
                <w:color w:val="auto"/>
                <w:kern w:val="2"/>
                <w:szCs w:val="21"/>
                <w:highlight w:val="none"/>
                <w:lang w:val="zh-CN"/>
              </w:rPr>
              <w:t>；</w:t>
            </w:r>
          </w:p>
          <w:p w14:paraId="5E9C260B">
            <w:pP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ascii="宋体" w:hAnsi="宋体" w:cs="宋体"/>
                <w:color w:val="auto"/>
                <w:kern w:val="2"/>
                <w:szCs w:val="21"/>
                <w:highlight w:val="none"/>
                <w:lang w:val="zh-CN"/>
              </w:rPr>
              <w:t>银行账号</w:t>
            </w:r>
            <w:r>
              <w:rPr>
                <w:rFonts w:hint="eastAsia" w:ascii="宋体" w:hAnsi="宋体" w:eastAsia="宋体" w:cs="宋体"/>
                <w:color w:val="auto"/>
                <w:kern w:val="2"/>
                <w:szCs w:val="21"/>
                <w:highlight w:val="none"/>
                <w:lang w:val="zh-CN"/>
              </w:rPr>
              <w:t xml:space="preserve">： </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u w:val="single"/>
                <w:lang w:val="en-US" w:eastAsia="zh-CN"/>
              </w:rPr>
              <w:t xml:space="preserve"> 769904271810788  </w:t>
            </w:r>
            <w:r>
              <w:rPr>
                <w:rFonts w:hint="eastAsia" w:ascii="宋体" w:hAnsi="宋体" w:eastAsia="宋体" w:cs="宋体"/>
                <w:color w:val="auto"/>
                <w:kern w:val="2"/>
                <w:szCs w:val="21"/>
                <w:highlight w:val="none"/>
                <w:lang w:val="zh-CN"/>
              </w:rPr>
              <w:t>；</w:t>
            </w:r>
          </w:p>
          <w:p w14:paraId="045283CF">
            <w:pP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u w:val="single"/>
              </w:rPr>
              <w:t>保证金相关事宜联系人：彭小姐     联系电话：0769-22306832</w:t>
            </w:r>
          </w:p>
          <w:p w14:paraId="1C653441">
            <w:pPr>
              <w:tabs>
                <w:tab w:val="left" w:pos="567"/>
              </w:tabs>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（注：各投标人在</w:t>
            </w:r>
            <w:r>
              <w:rPr>
                <w:rFonts w:hint="eastAsia" w:ascii="宋体" w:hAnsi="宋体" w:cs="宋体"/>
                <w:b/>
                <w:color w:val="auto"/>
                <w:szCs w:val="21"/>
                <w:highlight w:val="none"/>
                <w:lang w:eastAsia="zh-CN"/>
              </w:rPr>
              <w:t>转账</w:t>
            </w:r>
            <w:r>
              <w:rPr>
                <w:rFonts w:hint="eastAsia" w:ascii="宋体" w:hAnsi="宋体" w:eastAsia="宋体" w:cs="宋体"/>
                <w:b/>
                <w:color w:val="auto"/>
                <w:szCs w:val="21"/>
                <w:highlight w:val="none"/>
              </w:rPr>
              <w:t>或电汇时须在用途栏上备注项目编号，及项目名称，如有字数限制项目名称可简写。）</w:t>
            </w:r>
          </w:p>
        </w:tc>
      </w:tr>
      <w:tr w14:paraId="3C33B9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01" w:type="dxa"/>
            <w:vMerge w:val="restart"/>
            <w:tcBorders>
              <w:tl2br w:val="nil"/>
              <w:tr2bl w:val="nil"/>
            </w:tcBorders>
            <w:vAlign w:val="center"/>
          </w:tcPr>
          <w:p w14:paraId="2A9855A7">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7609" w:type="dxa"/>
            <w:gridSpan w:val="2"/>
            <w:tcBorders>
              <w:tl2br w:val="nil"/>
              <w:tr2bl w:val="nil"/>
            </w:tcBorders>
            <w:vAlign w:val="center"/>
          </w:tcPr>
          <w:p w14:paraId="6E192D81">
            <w:pPr>
              <w:jc w:val="both"/>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投标保证金退还</w:t>
            </w:r>
          </w:p>
        </w:tc>
      </w:tr>
      <w:tr w14:paraId="4B413E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04" w:hRule="atLeast"/>
        </w:trPr>
        <w:tc>
          <w:tcPr>
            <w:tcW w:w="801" w:type="dxa"/>
            <w:vMerge w:val="continue"/>
            <w:tcBorders>
              <w:tl2br w:val="nil"/>
              <w:tr2bl w:val="nil"/>
            </w:tcBorders>
            <w:vAlign w:val="center"/>
          </w:tcPr>
          <w:p w14:paraId="36E92128">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28196DB8">
            <w:pPr>
              <w:jc w:val="both"/>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）未中标的投标人的保证金应当在中标通知书发出后</w:t>
            </w:r>
            <w:r>
              <w:rPr>
                <w:rFonts w:hint="eastAsia" w:ascii="宋体" w:hAnsi="宋体" w:cs="宋体"/>
                <w:color w:val="auto"/>
                <w:szCs w:val="21"/>
                <w:highlight w:val="none"/>
                <w:lang w:val="en-US" w:eastAsia="zh-CN"/>
              </w:rPr>
              <w:t>无息</w:t>
            </w:r>
            <w:r>
              <w:rPr>
                <w:rFonts w:hint="eastAsia" w:ascii="宋体" w:hAnsi="宋体" w:eastAsia="宋体" w:cs="宋体"/>
                <w:color w:val="auto"/>
                <w:szCs w:val="21"/>
                <w:highlight w:val="none"/>
                <w:lang w:val="zh-CN"/>
              </w:rPr>
              <w:t>退还，中标</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投标人的保证金应当在采购合同签订</w:t>
            </w:r>
            <w:r>
              <w:rPr>
                <w:rFonts w:hint="eastAsia" w:ascii="宋体" w:hAnsi="宋体" w:eastAsia="宋体" w:cs="宋体"/>
                <w:color w:val="auto"/>
                <w:szCs w:val="21"/>
                <w:highlight w:val="none"/>
              </w:rPr>
              <w:t>并缴纳履约保证金</w:t>
            </w:r>
            <w:r>
              <w:rPr>
                <w:rFonts w:hint="eastAsia" w:ascii="宋体" w:hAnsi="宋体" w:eastAsia="宋体" w:cs="宋体"/>
                <w:color w:val="auto"/>
                <w:szCs w:val="21"/>
                <w:highlight w:val="none"/>
                <w:lang w:val="zh-CN"/>
              </w:rPr>
              <w:t>后</w:t>
            </w:r>
            <w:r>
              <w:rPr>
                <w:rFonts w:hint="eastAsia" w:ascii="宋体" w:hAnsi="宋体" w:cs="宋体"/>
                <w:color w:val="auto"/>
                <w:szCs w:val="21"/>
                <w:highlight w:val="none"/>
                <w:lang w:val="en-US" w:eastAsia="zh-CN"/>
              </w:rPr>
              <w:t>无息</w:t>
            </w:r>
            <w:r>
              <w:rPr>
                <w:rFonts w:hint="eastAsia" w:ascii="宋体" w:hAnsi="宋体" w:eastAsia="宋体" w:cs="宋体"/>
                <w:color w:val="auto"/>
                <w:szCs w:val="21"/>
                <w:highlight w:val="none"/>
                <w:lang w:val="zh-CN"/>
              </w:rPr>
              <w:t>退还。</w:t>
            </w:r>
          </w:p>
          <w:p w14:paraId="5ABD0C30">
            <w:pPr>
              <w:jc w:val="both"/>
              <w:rPr>
                <w:rFonts w:hint="eastAsia" w:ascii="宋体" w:hAnsi="宋体" w:eastAsia="宋体" w:cs="宋体"/>
                <w:color w:val="auto"/>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）为方便退还未中标的投标人的保证金，投标人应制作《投标保证金汇入情况说明》随唱标信封一并递交。</w:t>
            </w:r>
          </w:p>
        </w:tc>
      </w:tr>
      <w:tr w14:paraId="4B77B6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3F6C16F1">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p>
        </w:tc>
        <w:tc>
          <w:tcPr>
            <w:tcW w:w="7609" w:type="dxa"/>
            <w:gridSpan w:val="2"/>
            <w:tcBorders>
              <w:tl2br w:val="nil"/>
              <w:tr2bl w:val="nil"/>
            </w:tcBorders>
            <w:vAlign w:val="center"/>
          </w:tcPr>
          <w:p w14:paraId="61E6D382">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投标有效期</w:t>
            </w:r>
          </w:p>
        </w:tc>
      </w:tr>
      <w:tr w14:paraId="68A634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159756FA">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4DCBE10D">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九十天。</w:t>
            </w:r>
          </w:p>
        </w:tc>
      </w:tr>
      <w:tr w14:paraId="17F61C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restart"/>
            <w:tcBorders>
              <w:tl2br w:val="nil"/>
              <w:tr2bl w:val="nil"/>
            </w:tcBorders>
            <w:vAlign w:val="center"/>
          </w:tcPr>
          <w:p w14:paraId="53035318">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7609" w:type="dxa"/>
            <w:gridSpan w:val="2"/>
            <w:tcBorders>
              <w:tl2br w:val="nil"/>
              <w:tr2bl w:val="nil"/>
            </w:tcBorders>
            <w:vAlign w:val="center"/>
          </w:tcPr>
          <w:p w14:paraId="1199DB6D">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3868B6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4FBCB94E">
            <w:pPr>
              <w:jc w:val="center"/>
              <w:rPr>
                <w:rFonts w:hint="eastAsia" w:ascii="宋体" w:hAnsi="宋体" w:eastAsia="宋体" w:cs="宋体"/>
                <w:color w:val="auto"/>
                <w:szCs w:val="21"/>
                <w:highlight w:val="none"/>
              </w:rPr>
            </w:pPr>
          </w:p>
        </w:tc>
        <w:tc>
          <w:tcPr>
            <w:tcW w:w="2250" w:type="dxa"/>
            <w:tcBorders>
              <w:tl2br w:val="nil"/>
              <w:tr2bl w:val="nil"/>
            </w:tcBorders>
            <w:vAlign w:val="center"/>
          </w:tcPr>
          <w:p w14:paraId="5B07036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投标文件类型</w:t>
            </w:r>
          </w:p>
        </w:tc>
        <w:tc>
          <w:tcPr>
            <w:tcW w:w="5359" w:type="dxa"/>
            <w:tcBorders>
              <w:tl2br w:val="nil"/>
              <w:tr2bl w:val="nil"/>
            </w:tcBorders>
            <w:vAlign w:val="center"/>
          </w:tcPr>
          <w:p w14:paraId="12D7BAD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份数</w:t>
            </w:r>
          </w:p>
        </w:tc>
      </w:tr>
      <w:tr w14:paraId="1F4DEA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570CAC11">
            <w:pPr>
              <w:jc w:val="center"/>
              <w:rPr>
                <w:rFonts w:hint="eastAsia" w:ascii="宋体" w:hAnsi="宋体" w:eastAsia="宋体" w:cs="宋体"/>
                <w:color w:val="auto"/>
                <w:szCs w:val="21"/>
                <w:highlight w:val="none"/>
              </w:rPr>
            </w:pPr>
          </w:p>
        </w:tc>
        <w:tc>
          <w:tcPr>
            <w:tcW w:w="2250" w:type="dxa"/>
            <w:tcBorders>
              <w:tl2br w:val="nil"/>
              <w:tr2bl w:val="nil"/>
            </w:tcBorders>
            <w:vAlign w:val="center"/>
          </w:tcPr>
          <w:p w14:paraId="098AA36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唱标信封</w:t>
            </w:r>
          </w:p>
        </w:tc>
        <w:tc>
          <w:tcPr>
            <w:tcW w:w="5359" w:type="dxa"/>
            <w:tcBorders>
              <w:tl2br w:val="nil"/>
              <w:tr2bl w:val="nil"/>
            </w:tcBorders>
            <w:vAlign w:val="center"/>
          </w:tcPr>
          <w:p w14:paraId="1DF5D3BF">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14:paraId="361315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2E53EA6B">
            <w:pPr>
              <w:jc w:val="center"/>
              <w:rPr>
                <w:rFonts w:hint="eastAsia" w:ascii="宋体" w:hAnsi="宋体" w:eastAsia="宋体" w:cs="宋体"/>
                <w:color w:val="auto"/>
                <w:szCs w:val="21"/>
                <w:highlight w:val="none"/>
              </w:rPr>
            </w:pPr>
          </w:p>
        </w:tc>
        <w:tc>
          <w:tcPr>
            <w:tcW w:w="2250" w:type="dxa"/>
            <w:tcBorders>
              <w:tl2br w:val="nil"/>
              <w:tr2bl w:val="nil"/>
            </w:tcBorders>
            <w:vAlign w:val="center"/>
          </w:tcPr>
          <w:p w14:paraId="1562AAE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投标文件正本</w:t>
            </w:r>
          </w:p>
        </w:tc>
        <w:tc>
          <w:tcPr>
            <w:tcW w:w="5359" w:type="dxa"/>
            <w:tcBorders>
              <w:tl2br w:val="nil"/>
              <w:tr2bl w:val="nil"/>
            </w:tcBorders>
            <w:vAlign w:val="center"/>
          </w:tcPr>
          <w:p w14:paraId="31FCF5E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14:paraId="2EB2E7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01" w:type="dxa"/>
            <w:vMerge w:val="continue"/>
            <w:tcBorders>
              <w:tl2br w:val="nil"/>
              <w:tr2bl w:val="nil"/>
            </w:tcBorders>
            <w:vAlign w:val="center"/>
          </w:tcPr>
          <w:p w14:paraId="038D9544">
            <w:pPr>
              <w:jc w:val="center"/>
              <w:rPr>
                <w:rFonts w:hint="eastAsia" w:ascii="宋体" w:hAnsi="宋体" w:eastAsia="宋体" w:cs="宋体"/>
                <w:color w:val="auto"/>
                <w:szCs w:val="21"/>
                <w:highlight w:val="none"/>
              </w:rPr>
            </w:pPr>
          </w:p>
        </w:tc>
        <w:tc>
          <w:tcPr>
            <w:tcW w:w="2250" w:type="dxa"/>
            <w:tcBorders>
              <w:tl2br w:val="nil"/>
              <w:tr2bl w:val="nil"/>
            </w:tcBorders>
            <w:vAlign w:val="center"/>
          </w:tcPr>
          <w:p w14:paraId="743C0C5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投标文件副本</w:t>
            </w:r>
          </w:p>
        </w:tc>
        <w:tc>
          <w:tcPr>
            <w:tcW w:w="5359" w:type="dxa"/>
            <w:tcBorders>
              <w:tl2br w:val="nil"/>
              <w:tr2bl w:val="nil"/>
            </w:tcBorders>
            <w:vAlign w:val="center"/>
          </w:tcPr>
          <w:p w14:paraId="302861BC">
            <w:pPr>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
                <w:color w:val="auto"/>
                <w:szCs w:val="21"/>
                <w:highlight w:val="none"/>
              </w:rPr>
              <w:t xml:space="preserve">5 </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7</w:t>
            </w:r>
          </w:p>
        </w:tc>
      </w:tr>
      <w:tr w14:paraId="53DD1D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65C75C05">
            <w:pPr>
              <w:jc w:val="center"/>
              <w:rPr>
                <w:rFonts w:hint="eastAsia" w:ascii="宋体" w:hAnsi="宋体" w:eastAsia="宋体" w:cs="宋体"/>
                <w:color w:val="auto"/>
                <w:szCs w:val="21"/>
                <w:highlight w:val="none"/>
              </w:rPr>
            </w:pPr>
          </w:p>
        </w:tc>
        <w:tc>
          <w:tcPr>
            <w:tcW w:w="2250" w:type="dxa"/>
            <w:vMerge w:val="restart"/>
            <w:tcBorders>
              <w:tl2br w:val="nil"/>
              <w:tr2bl w:val="nil"/>
            </w:tcBorders>
            <w:vAlign w:val="center"/>
          </w:tcPr>
          <w:p w14:paraId="51F6F254">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电子文档</w:t>
            </w:r>
          </w:p>
        </w:tc>
        <w:tc>
          <w:tcPr>
            <w:tcW w:w="5359" w:type="dxa"/>
            <w:tcBorders>
              <w:tl2br w:val="nil"/>
              <w:tr2bl w:val="nil"/>
            </w:tcBorders>
            <w:vAlign w:val="center"/>
          </w:tcPr>
          <w:p w14:paraId="17505F6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14:paraId="699085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14:paraId="1B54EE5C">
            <w:pPr>
              <w:jc w:val="center"/>
              <w:rPr>
                <w:rFonts w:hint="eastAsia" w:ascii="宋体" w:hAnsi="宋体" w:eastAsia="宋体" w:cs="宋体"/>
                <w:color w:val="auto"/>
                <w:szCs w:val="21"/>
                <w:highlight w:val="none"/>
              </w:rPr>
            </w:pPr>
          </w:p>
        </w:tc>
        <w:tc>
          <w:tcPr>
            <w:tcW w:w="2250" w:type="dxa"/>
            <w:vMerge w:val="continue"/>
            <w:tcBorders>
              <w:tl2br w:val="nil"/>
              <w:tr2bl w:val="nil"/>
            </w:tcBorders>
            <w:vAlign w:val="center"/>
          </w:tcPr>
          <w:p w14:paraId="489E3CC4">
            <w:pPr>
              <w:jc w:val="center"/>
              <w:rPr>
                <w:rFonts w:hint="eastAsia" w:ascii="宋体" w:hAnsi="宋体" w:eastAsia="宋体" w:cs="宋体"/>
                <w:b/>
                <w:color w:val="auto"/>
                <w:szCs w:val="21"/>
                <w:highlight w:val="none"/>
              </w:rPr>
            </w:pPr>
          </w:p>
        </w:tc>
        <w:tc>
          <w:tcPr>
            <w:tcW w:w="5359" w:type="dxa"/>
            <w:tcBorders>
              <w:tl2br w:val="nil"/>
              <w:tr2bl w:val="nil"/>
            </w:tcBorders>
            <w:vAlign w:val="center"/>
          </w:tcPr>
          <w:p w14:paraId="3C8C796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U盘，须含盖章版PDF投标文件和WORD版投标文件各一版，文字采用WORD文档，计算表格采用 EXCEL文档。</w:t>
            </w:r>
          </w:p>
        </w:tc>
      </w:tr>
      <w:tr w14:paraId="285BD5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19" w:hRule="atLeast"/>
        </w:trPr>
        <w:tc>
          <w:tcPr>
            <w:tcW w:w="8410" w:type="dxa"/>
            <w:gridSpan w:val="3"/>
            <w:tcBorders>
              <w:tl2br w:val="nil"/>
              <w:tr2bl w:val="nil"/>
            </w:tcBorders>
            <w:vAlign w:val="center"/>
          </w:tcPr>
          <w:p w14:paraId="512065F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三、开标与评标</w:t>
            </w:r>
          </w:p>
        </w:tc>
      </w:tr>
      <w:tr w14:paraId="39DAED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427D76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7609" w:type="dxa"/>
            <w:gridSpan w:val="2"/>
            <w:tcBorders>
              <w:tl2br w:val="nil"/>
              <w:tr2bl w:val="nil"/>
            </w:tcBorders>
            <w:vAlign w:val="center"/>
          </w:tcPr>
          <w:p w14:paraId="48184A33">
            <w:pPr>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本项目评标方法</w:t>
            </w:r>
          </w:p>
        </w:tc>
      </w:tr>
      <w:tr w14:paraId="5CC64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306CED35">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15EA83B6">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综合评分法。</w:t>
            </w:r>
          </w:p>
        </w:tc>
      </w:tr>
      <w:tr w14:paraId="2AB8B6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14:paraId="0AE3DD3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7609" w:type="dxa"/>
            <w:gridSpan w:val="2"/>
            <w:tcBorders>
              <w:tl2br w:val="nil"/>
              <w:tr2bl w:val="nil"/>
            </w:tcBorders>
            <w:vAlign w:val="center"/>
          </w:tcPr>
          <w:p w14:paraId="5553F0D7">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综合评分法评分因素和权重分值</w:t>
            </w:r>
          </w:p>
        </w:tc>
      </w:tr>
      <w:tr w14:paraId="09012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77970C5A">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5CD41E1E">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见附表二。</w:t>
            </w:r>
          </w:p>
        </w:tc>
      </w:tr>
      <w:tr w14:paraId="52E21A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14:paraId="723CF65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7609" w:type="dxa"/>
            <w:gridSpan w:val="2"/>
            <w:tcBorders>
              <w:tl2br w:val="nil"/>
              <w:tr2bl w:val="nil"/>
            </w:tcBorders>
            <w:vAlign w:val="center"/>
          </w:tcPr>
          <w:p w14:paraId="59F3E5CE">
            <w:pPr>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评标委员会</w:t>
            </w:r>
          </w:p>
        </w:tc>
      </w:tr>
      <w:tr w14:paraId="06F50D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14:paraId="6C468AE1">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46130B9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五</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评标委员会由采购人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代表和</w:t>
            </w:r>
            <w:r>
              <w:rPr>
                <w:rFonts w:hint="eastAsia" w:ascii="宋体" w:hAnsi="宋体" w:eastAsia="宋体" w:cs="宋体"/>
                <w:color w:val="auto"/>
                <w:szCs w:val="21"/>
                <w:highlight w:val="none"/>
              </w:rPr>
              <w:t>有关方面的</w:t>
            </w:r>
            <w:r>
              <w:rPr>
                <w:rFonts w:hint="eastAsia" w:ascii="宋体" w:hAnsi="宋体" w:eastAsia="宋体" w:cs="宋体"/>
                <w:color w:val="auto"/>
                <w:szCs w:val="21"/>
                <w:highlight w:val="none"/>
                <w:lang w:val="zh-CN"/>
              </w:rPr>
              <w:t>专家组成，</w:t>
            </w:r>
            <w:r>
              <w:rPr>
                <w:rFonts w:hint="eastAsia" w:ascii="宋体" w:hAnsi="宋体" w:eastAsia="宋体" w:cs="宋体"/>
                <w:color w:val="auto"/>
                <w:szCs w:val="21"/>
                <w:highlight w:val="none"/>
              </w:rPr>
              <w:t>成员人数为五人或五人以上单数</w:t>
            </w:r>
            <w:r>
              <w:rPr>
                <w:rFonts w:hint="eastAsia" w:ascii="宋体" w:hAnsi="宋体" w:eastAsia="宋体" w:cs="宋体"/>
                <w:color w:val="auto"/>
                <w:szCs w:val="21"/>
                <w:highlight w:val="none"/>
                <w:lang w:val="zh-CN"/>
              </w:rPr>
              <w:t>，其中专家不得少于成员总数的三分之二。</w:t>
            </w:r>
          </w:p>
        </w:tc>
      </w:tr>
      <w:tr w14:paraId="563DA2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8410" w:type="dxa"/>
            <w:gridSpan w:val="3"/>
            <w:tcBorders>
              <w:tl2br w:val="nil"/>
              <w:tr2bl w:val="nil"/>
            </w:tcBorders>
            <w:vAlign w:val="center"/>
          </w:tcPr>
          <w:p w14:paraId="17FA673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四、授予合同</w:t>
            </w:r>
          </w:p>
        </w:tc>
      </w:tr>
      <w:tr w14:paraId="4FBF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01" w:type="dxa"/>
            <w:vMerge w:val="restart"/>
            <w:tcBorders>
              <w:tl2br w:val="nil"/>
              <w:tr2bl w:val="nil"/>
            </w:tcBorders>
            <w:vAlign w:val="center"/>
          </w:tcPr>
          <w:p w14:paraId="46A299B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7609" w:type="dxa"/>
            <w:gridSpan w:val="2"/>
            <w:tcBorders>
              <w:tl2br w:val="nil"/>
              <w:tr2bl w:val="nil"/>
            </w:tcBorders>
            <w:shd w:val="clear" w:color="auto" w:fill="auto"/>
            <w:vAlign w:val="center"/>
          </w:tcPr>
          <w:p w14:paraId="23990586">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履约担保</w:t>
            </w:r>
          </w:p>
        </w:tc>
      </w:tr>
      <w:tr w14:paraId="52C813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01" w:type="dxa"/>
            <w:vMerge w:val="continue"/>
            <w:tcBorders>
              <w:tl2br w:val="nil"/>
              <w:tr2bl w:val="nil"/>
            </w:tcBorders>
            <w:vAlign w:val="center"/>
          </w:tcPr>
          <w:p w14:paraId="53DFC5FA">
            <w:pPr>
              <w:jc w:val="center"/>
              <w:rPr>
                <w:rFonts w:hint="eastAsia" w:ascii="宋体" w:hAnsi="宋体" w:eastAsia="宋体" w:cs="宋体"/>
                <w:color w:val="auto"/>
                <w:szCs w:val="21"/>
                <w:highlight w:val="none"/>
              </w:rPr>
            </w:pPr>
          </w:p>
        </w:tc>
        <w:tc>
          <w:tcPr>
            <w:tcW w:w="7609" w:type="dxa"/>
            <w:gridSpan w:val="2"/>
            <w:tcBorders>
              <w:tl2br w:val="nil"/>
              <w:tr2bl w:val="nil"/>
            </w:tcBorders>
            <w:shd w:val="clear" w:color="auto" w:fill="auto"/>
            <w:vAlign w:val="center"/>
          </w:tcPr>
          <w:p w14:paraId="19C18DAB">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1.履约担保金额为：</w:t>
            </w:r>
            <w:r>
              <w:rPr>
                <w:rFonts w:hint="eastAsia" w:ascii="宋体" w:hAnsi="宋体" w:eastAsia="宋体" w:cs="宋体"/>
                <w:color w:val="auto"/>
                <w:szCs w:val="21"/>
                <w:highlight w:val="none"/>
                <w:u w:val="single"/>
              </w:rPr>
              <w:t xml:space="preserve"> 合同金额的10% 。</w:t>
            </w:r>
          </w:p>
          <w:p w14:paraId="7DBD9661">
            <w:pPr>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2.履约保证金账户信息</w:t>
            </w:r>
            <w:r>
              <w:rPr>
                <w:rFonts w:hint="eastAsia" w:ascii="宋体" w:hAnsi="宋体" w:eastAsia="宋体" w:cs="宋体"/>
                <w:color w:val="auto"/>
                <w:szCs w:val="21"/>
                <w:highlight w:val="none"/>
                <w:lang w:eastAsia="zh-CN"/>
              </w:rPr>
              <w:t>（中标结果公示后待中标单位与采购人协商确认）</w:t>
            </w:r>
          </w:p>
          <w:p w14:paraId="1FA017A5">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w:t>
            </w:r>
            <w:r>
              <w:rPr>
                <w:rFonts w:hint="eastAsia" w:ascii="宋体" w:hAnsi="宋体" w:cs="宋体"/>
                <w:color w:val="auto"/>
                <w:szCs w:val="21"/>
                <w:highlight w:val="none"/>
                <w:lang w:eastAsia="zh-CN"/>
              </w:rPr>
              <w:t>账户</w:t>
            </w:r>
            <w:r>
              <w:rPr>
                <w:rFonts w:hint="eastAsia" w:ascii="宋体" w:hAnsi="宋体" w:eastAsia="宋体" w:cs="宋体"/>
                <w:color w:val="auto"/>
                <w:szCs w:val="21"/>
                <w:highlight w:val="none"/>
              </w:rPr>
              <w:t>。</w:t>
            </w:r>
          </w:p>
          <w:p w14:paraId="6305ED99">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4.履约担保期限从合同签订之日起至项目完工验收合格并结算完毕后，经双方签字</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天内保持有效。</w:t>
            </w:r>
          </w:p>
          <w:p w14:paraId="6CEF61E9">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5、履约担保要求：</w:t>
            </w:r>
          </w:p>
          <w:p w14:paraId="184CFAFE">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（1）履约保函。如果中标人的履约担保是以银行保函形式提供的，则该银行保函应：</w:t>
            </w:r>
          </w:p>
          <w:p w14:paraId="74861C05">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①保函应由银行支行或以上银行机构开具，非东莞市行政区内的银行开具的保函要由银行所在地公证部门出具的公证书。</w:t>
            </w:r>
          </w:p>
          <w:p w14:paraId="398F2776">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40C20F0E">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14:paraId="098C896C">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w:t>
            </w:r>
            <w:r>
              <w:rPr>
                <w:rFonts w:hint="eastAsia" w:ascii="宋体" w:hAnsi="宋体" w:cs="宋体"/>
                <w:color w:val="auto"/>
                <w:szCs w:val="21"/>
                <w:highlight w:val="none"/>
                <w:lang w:eastAsia="zh-CN"/>
              </w:rPr>
              <w:t>银行转账</w:t>
            </w:r>
            <w:r>
              <w:rPr>
                <w:rFonts w:hint="eastAsia" w:ascii="宋体" w:hAnsi="宋体" w:eastAsia="宋体" w:cs="宋体"/>
                <w:color w:val="auto"/>
                <w:szCs w:val="21"/>
                <w:highlight w:val="none"/>
              </w:rPr>
              <w:t>方式提交，但不可以采用现金方式提交。中标人必须保证履约保证金以中标人名称在签订合同前提交至采购人指定账户。</w:t>
            </w:r>
          </w:p>
          <w:p w14:paraId="2EF2D3C6">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（3）若中标人不能按本采购文件的规定提交履约</w:t>
            </w:r>
            <w:r>
              <w:rPr>
                <w:rFonts w:hint="eastAsia" w:ascii="宋体" w:hAnsi="宋体" w:cs="宋体"/>
                <w:color w:val="auto"/>
                <w:szCs w:val="21"/>
                <w:highlight w:val="none"/>
                <w:lang w:val="en-US" w:eastAsia="zh-CN"/>
              </w:rPr>
              <w:t>担保</w:t>
            </w:r>
            <w:r>
              <w:rPr>
                <w:rFonts w:hint="eastAsia" w:ascii="宋体" w:hAnsi="宋体" w:eastAsia="宋体" w:cs="宋体"/>
                <w:color w:val="auto"/>
                <w:szCs w:val="21"/>
                <w:highlight w:val="none"/>
              </w:rPr>
              <w:t>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502F2CE3">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（4）为取得履约担保所需的费用，由中标人承担；若工期延误，履约担保时间延长，延长费用由中标人承担。</w:t>
            </w:r>
          </w:p>
          <w:p w14:paraId="779E92B5">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57BB307D">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（6）下列任何情况发生时，采购人有权立即没收其履约担保：</w:t>
            </w:r>
          </w:p>
          <w:p w14:paraId="6D669DA2">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①中标人将本项目转让给他人，或者在投标文件中未说明，且未经采购人</w:t>
            </w:r>
            <w:r>
              <w:rPr>
                <w:rFonts w:hint="eastAsia" w:ascii="宋体" w:hAnsi="宋体" w:cs="宋体"/>
                <w:color w:val="auto"/>
                <w:szCs w:val="21"/>
                <w:highlight w:val="none"/>
                <w:lang w:val="en-US" w:eastAsia="zh-CN"/>
              </w:rPr>
              <w:t>书面</w:t>
            </w:r>
            <w:r>
              <w:rPr>
                <w:rFonts w:hint="eastAsia" w:ascii="宋体" w:hAnsi="宋体" w:eastAsia="宋体" w:cs="宋体"/>
                <w:color w:val="auto"/>
                <w:szCs w:val="21"/>
                <w:highlight w:val="none"/>
              </w:rPr>
              <w:t>同意，将中标项目分包给他人的；</w:t>
            </w:r>
          </w:p>
          <w:p w14:paraId="42696021">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②中标人在履行采购合同期间，违反有关法律法规的规定及合同约定的条款，损害了采购人的利益。</w:t>
            </w:r>
          </w:p>
          <w:p w14:paraId="3D24D69B">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（7）在整个项目验收合格后，中标人向采购人提交退回履约担保的申请，采购人办理履约担保退还手续。</w:t>
            </w:r>
          </w:p>
        </w:tc>
      </w:tr>
      <w:tr w14:paraId="0BE706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801" w:type="dxa"/>
            <w:vMerge w:val="restart"/>
            <w:tcBorders>
              <w:tl2br w:val="nil"/>
              <w:tr2bl w:val="nil"/>
            </w:tcBorders>
            <w:vAlign w:val="center"/>
          </w:tcPr>
          <w:p w14:paraId="0A81A37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7609" w:type="dxa"/>
            <w:gridSpan w:val="2"/>
            <w:tcBorders>
              <w:tl2br w:val="nil"/>
              <w:tr2bl w:val="nil"/>
            </w:tcBorders>
            <w:vAlign w:val="center"/>
          </w:tcPr>
          <w:p w14:paraId="43A0C8CD">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tc>
      </w:tr>
      <w:tr w14:paraId="25FD52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80" w:hRule="atLeast"/>
        </w:trPr>
        <w:tc>
          <w:tcPr>
            <w:tcW w:w="801" w:type="dxa"/>
            <w:vMerge w:val="continue"/>
            <w:tcBorders>
              <w:tl2br w:val="nil"/>
              <w:tr2bl w:val="nil"/>
            </w:tcBorders>
            <w:vAlign w:val="center"/>
          </w:tcPr>
          <w:p w14:paraId="1C54EB0A">
            <w:pPr>
              <w:jc w:val="center"/>
              <w:rPr>
                <w:rFonts w:hint="eastAsia" w:ascii="宋体" w:hAnsi="宋体" w:eastAsia="宋体" w:cs="宋体"/>
                <w:color w:val="auto"/>
                <w:szCs w:val="21"/>
                <w:highlight w:val="none"/>
              </w:rPr>
            </w:pPr>
          </w:p>
        </w:tc>
        <w:tc>
          <w:tcPr>
            <w:tcW w:w="7609" w:type="dxa"/>
            <w:gridSpan w:val="2"/>
            <w:tcBorders>
              <w:tl2br w:val="nil"/>
              <w:tr2bl w:val="nil"/>
            </w:tcBorders>
            <w:vAlign w:val="center"/>
          </w:tcPr>
          <w:p w14:paraId="1D1B7C5A">
            <w:pPr>
              <w:keepNext w:val="0"/>
              <w:keepLines w:val="0"/>
              <w:pageBreakBefore w:val="0"/>
              <w:widowControl w:val="0"/>
              <w:tabs>
                <w:tab w:val="left" w:pos="907"/>
              </w:tabs>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（1）中标服务费</w:t>
            </w:r>
            <w:r>
              <w:rPr>
                <w:rFonts w:hint="eastAsia" w:ascii="宋体" w:hAnsi="宋体" w:eastAsia="宋体" w:cs="宋体"/>
                <w:color w:val="auto"/>
                <w:szCs w:val="21"/>
                <w:highlight w:val="none"/>
                <w:lang w:eastAsia="zh-CN"/>
              </w:rPr>
              <w:t>参照</w:t>
            </w:r>
            <w:r>
              <w:rPr>
                <w:rFonts w:hint="eastAsia" w:ascii="宋体" w:hAnsi="宋体" w:eastAsia="宋体" w:cs="宋体"/>
                <w:color w:val="auto"/>
                <w:szCs w:val="21"/>
                <w:highlight w:val="none"/>
              </w:rPr>
              <w:t>国家计委[计价格[2002]1980号]文和国家发改委[发改价格[2011]534号]文及相关规定</w:t>
            </w:r>
            <w:r>
              <w:rPr>
                <w:rFonts w:hint="eastAsia" w:ascii="宋体" w:hAnsi="宋体" w:eastAsia="宋体" w:cs="宋体"/>
                <w:color w:val="auto"/>
                <w:szCs w:val="21"/>
                <w:highlight w:val="none"/>
                <w:lang w:eastAsia="zh-CN"/>
              </w:rPr>
              <w:t>并下浮</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向中标单位收取，按差额定率累进法计算，以中标通知书中确定的中标总金额作为收费的计算</w:t>
            </w:r>
            <w:r>
              <w:rPr>
                <w:rFonts w:hint="eastAsia" w:ascii="宋体" w:hAnsi="宋体" w:eastAsia="宋体" w:cs="宋体"/>
                <w:color w:val="auto"/>
                <w:szCs w:val="21"/>
                <w:highlight w:val="none"/>
                <w:lang w:eastAsia="zh-CN"/>
              </w:rPr>
              <w:t>参照</w:t>
            </w:r>
            <w:r>
              <w:rPr>
                <w:rFonts w:hint="eastAsia" w:ascii="宋体" w:hAnsi="宋体" w:eastAsia="宋体" w:cs="宋体"/>
                <w:color w:val="auto"/>
                <w:szCs w:val="21"/>
                <w:highlight w:val="none"/>
              </w:rPr>
              <w:t>；中标服务费最低收费标准为</w:t>
            </w:r>
            <w:r>
              <w:rPr>
                <w:rFonts w:hint="eastAsia" w:ascii="宋体" w:hAnsi="宋体" w:eastAsia="宋体" w:cs="宋体"/>
                <w:color w:val="auto"/>
                <w:szCs w:val="21"/>
                <w:highlight w:val="none"/>
                <w:lang w:eastAsia="zh-CN"/>
              </w:rPr>
              <w:t>陆</w:t>
            </w:r>
            <w:r>
              <w:rPr>
                <w:rFonts w:hint="eastAsia" w:ascii="宋体" w:hAnsi="宋体" w:eastAsia="宋体" w:cs="宋体"/>
                <w:color w:val="auto"/>
                <w:szCs w:val="21"/>
                <w:highlight w:val="none"/>
              </w:rPr>
              <w:t>仟元整。</w:t>
            </w:r>
          </w:p>
        </w:tc>
      </w:tr>
      <w:tr w14:paraId="2E3696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431" w:hRule="atLeast"/>
        </w:trPr>
        <w:tc>
          <w:tcPr>
            <w:tcW w:w="801" w:type="dxa"/>
            <w:vMerge w:val="continue"/>
            <w:tcBorders>
              <w:tl2br w:val="nil"/>
              <w:tr2bl w:val="nil"/>
            </w:tcBorders>
            <w:vAlign w:val="center"/>
          </w:tcPr>
          <w:p w14:paraId="244F1010">
            <w:pPr>
              <w:jc w:val="center"/>
              <w:rPr>
                <w:rFonts w:hint="eastAsia" w:ascii="宋体" w:hAnsi="宋体" w:eastAsia="宋体" w:cs="宋体"/>
                <w:color w:val="auto"/>
                <w:szCs w:val="21"/>
                <w:highlight w:val="none"/>
                <w:lang w:val="en-US" w:eastAsia="zh-CN"/>
              </w:rPr>
            </w:pPr>
          </w:p>
        </w:tc>
        <w:tc>
          <w:tcPr>
            <w:tcW w:w="7609" w:type="dxa"/>
            <w:gridSpan w:val="2"/>
            <w:tcBorders>
              <w:tl2br w:val="nil"/>
              <w:tr2bl w:val="nil"/>
            </w:tcBorders>
            <w:vAlign w:val="center"/>
          </w:tcPr>
          <w:p w14:paraId="710C8E20">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（2）中标服务费以转账或现金的形式支付。</w:t>
            </w:r>
            <w:r>
              <w:rPr>
                <w:rFonts w:hint="eastAsia" w:ascii="宋体" w:hAnsi="宋体" w:eastAsia="宋体" w:cs="宋体"/>
                <w:color w:val="auto"/>
                <w:szCs w:val="21"/>
                <w:highlight w:val="none"/>
                <w:lang w:eastAsia="zh-CN"/>
              </w:rPr>
              <w:t>招标代理机构</w:t>
            </w:r>
            <w:r>
              <w:rPr>
                <w:rFonts w:hint="eastAsia" w:ascii="宋体" w:hAnsi="宋体" w:eastAsia="宋体" w:cs="宋体"/>
                <w:color w:val="auto"/>
                <w:szCs w:val="21"/>
                <w:highlight w:val="none"/>
              </w:rPr>
              <w:t>服务费汇入账号：</w:t>
            </w:r>
          </w:p>
          <w:p w14:paraId="600B67FF">
            <w:pPr>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收 款 人：</w:t>
            </w:r>
            <w:r>
              <w:rPr>
                <w:rFonts w:hint="eastAsia" w:ascii="宋体" w:hAnsi="宋体" w:eastAsia="宋体" w:cs="宋体"/>
                <w:color w:val="auto"/>
                <w:szCs w:val="21"/>
                <w:highlight w:val="none"/>
                <w:lang w:eastAsia="zh-CN"/>
              </w:rPr>
              <w:t>广东志正招标有限公司东莞分公司</w:t>
            </w:r>
          </w:p>
          <w:p w14:paraId="373F83A0">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val="en-US" w:eastAsia="zh-CN"/>
              </w:rPr>
              <w:t>广发银行股份有限公司</w:t>
            </w:r>
            <w:r>
              <w:rPr>
                <w:rFonts w:hint="eastAsia" w:ascii="宋体" w:hAnsi="宋体" w:eastAsia="宋体" w:cs="宋体"/>
                <w:color w:val="auto"/>
                <w:szCs w:val="21"/>
                <w:highlight w:val="none"/>
              </w:rPr>
              <w:t>东莞城</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支行</w:t>
            </w:r>
          </w:p>
          <w:p w14:paraId="6CF0ADA5">
            <w:pPr>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lang w:val="en-US" w:eastAsia="zh-CN"/>
              </w:rPr>
              <w:t>106004516010002561</w:t>
            </w:r>
          </w:p>
        </w:tc>
      </w:tr>
      <w:tr w14:paraId="73BAD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8410" w:type="dxa"/>
            <w:gridSpan w:val="3"/>
            <w:tcBorders>
              <w:tl2br w:val="nil"/>
              <w:tr2bl w:val="nil"/>
            </w:tcBorders>
            <w:vAlign w:val="center"/>
          </w:tcPr>
          <w:p w14:paraId="34B06CEE">
            <w:pPr>
              <w:widowControl w:val="0"/>
              <w:tabs>
                <w:tab w:val="left" w:pos="907"/>
              </w:tabs>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14:paraId="4D0A9EF2">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C4FE5B">
      <w:pPr>
        <w:pStyle w:val="6"/>
        <w:spacing w:before="0" w:after="0" w:line="240" w:lineRule="auto"/>
        <w:jc w:val="center"/>
        <w:rPr>
          <w:rFonts w:hint="eastAsia" w:ascii="宋体" w:hAnsi="宋体" w:eastAsia="宋体" w:cs="宋体"/>
          <w:color w:val="auto"/>
          <w:sz w:val="21"/>
          <w:szCs w:val="21"/>
          <w:highlight w:val="none"/>
        </w:rPr>
      </w:pPr>
      <w:bookmarkStart w:id="4" w:name="_Toc18610"/>
      <w:bookmarkStart w:id="5" w:name="_Toc31223"/>
      <w:r>
        <w:rPr>
          <w:rFonts w:hint="eastAsia" w:ascii="宋体" w:hAnsi="宋体" w:eastAsia="宋体" w:cs="宋体"/>
          <w:color w:val="auto"/>
          <w:sz w:val="24"/>
          <w:szCs w:val="24"/>
          <w:highlight w:val="none"/>
        </w:rPr>
        <w:t>附表二：商务技术评分及价格权重表（满分100分）</w:t>
      </w:r>
      <w:bookmarkEnd w:id="4"/>
      <w:bookmarkEnd w:id="5"/>
    </w:p>
    <w:p w14:paraId="56FC0373">
      <w:pPr>
        <w:ind w:firstLine="420" w:firstLineChars="200"/>
        <w:rPr>
          <w:rFonts w:hint="eastAsia" w:ascii="宋体" w:hAnsi="宋体" w:eastAsia="宋体" w:cs="宋体"/>
          <w:color w:val="auto"/>
          <w:highlight w:val="none"/>
        </w:rPr>
      </w:pPr>
    </w:p>
    <w:tbl>
      <w:tblPr>
        <w:tblStyle w:val="27"/>
        <w:tblW w:w="886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1809"/>
        <w:gridCol w:w="6132"/>
      </w:tblGrid>
      <w:tr w14:paraId="6B58F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14:paraId="01A83763">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评审</w:t>
            </w:r>
          </w:p>
          <w:p w14:paraId="7086ADBB">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因素</w:t>
            </w:r>
          </w:p>
        </w:tc>
        <w:tc>
          <w:tcPr>
            <w:tcW w:w="7941" w:type="dxa"/>
            <w:gridSpan w:val="2"/>
            <w:vAlign w:val="center"/>
          </w:tcPr>
          <w:p w14:paraId="551B1A38">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评审标准</w:t>
            </w:r>
          </w:p>
        </w:tc>
      </w:tr>
      <w:tr w14:paraId="5B93D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vAlign w:val="center"/>
          </w:tcPr>
          <w:p w14:paraId="1BD05C27">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技术</w:t>
            </w:r>
          </w:p>
          <w:p w14:paraId="1AC0F0E2">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部分</w:t>
            </w:r>
          </w:p>
        </w:tc>
        <w:tc>
          <w:tcPr>
            <w:tcW w:w="1809" w:type="dxa"/>
            <w:vAlign w:val="center"/>
          </w:tcPr>
          <w:p w14:paraId="4974BC51">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项目理解程度</w:t>
            </w:r>
          </w:p>
          <w:p w14:paraId="06AB0E6F">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 xml:space="preserve"> (8.0分)</w:t>
            </w:r>
          </w:p>
        </w:tc>
        <w:tc>
          <w:tcPr>
            <w:tcW w:w="6132" w:type="dxa"/>
          </w:tcPr>
          <w:p w14:paraId="7109B6B0">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根据各</w:t>
            </w:r>
            <w:r>
              <w:rPr>
                <w:rFonts w:hint="eastAsia" w:ascii="宋体" w:hAnsi="宋体" w:eastAsia="宋体" w:cs="宋体"/>
                <w:color w:val="auto"/>
                <w:kern w:val="2"/>
                <w:sz w:val="21"/>
                <w:szCs w:val="21"/>
                <w:lang w:eastAsia="zh-CN"/>
              </w:rPr>
              <w:t>投标人</w:t>
            </w:r>
            <w:r>
              <w:rPr>
                <w:rFonts w:hint="eastAsia" w:ascii="宋体" w:hAnsi="宋体" w:eastAsia="宋体" w:cs="宋体"/>
                <w:color w:val="auto"/>
                <w:kern w:val="2"/>
                <w:sz w:val="21"/>
                <w:szCs w:val="21"/>
              </w:rPr>
              <w:t>对技术响应程度进行评审：</w:t>
            </w:r>
          </w:p>
          <w:p w14:paraId="3B2BF9B2">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投标人</w:t>
            </w:r>
            <w:r>
              <w:rPr>
                <w:rFonts w:hint="eastAsia" w:ascii="宋体" w:hAnsi="宋体" w:eastAsia="宋体" w:cs="宋体"/>
                <w:color w:val="auto"/>
                <w:kern w:val="2"/>
                <w:sz w:val="21"/>
                <w:szCs w:val="21"/>
              </w:rPr>
              <w:t>对本项目服务内容理解程度高，对项目重点难点分析到位，对项目实施提出建设性意见详细完善、科学合理、可行性高且有利于项目实施，完全符合采购人需求的，得 8 分；</w:t>
            </w:r>
          </w:p>
          <w:p w14:paraId="787FB454">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投标人</w:t>
            </w:r>
            <w:r>
              <w:rPr>
                <w:rFonts w:hint="eastAsia" w:ascii="宋体" w:hAnsi="宋体" w:eastAsia="宋体" w:cs="宋体"/>
                <w:color w:val="auto"/>
                <w:kern w:val="2"/>
                <w:sz w:val="21"/>
                <w:szCs w:val="21"/>
              </w:rPr>
              <w:t>对本项目服务内容理解程度较高，对项目重点难点分析较到位，对项目实施提出建设性意见较详细完善、较科学合理、可行性较高且较有利于项目实施，得 6分；</w:t>
            </w:r>
          </w:p>
          <w:p w14:paraId="6D62D188">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投标人</w:t>
            </w:r>
            <w:r>
              <w:rPr>
                <w:rFonts w:hint="eastAsia" w:ascii="宋体" w:hAnsi="宋体" w:eastAsia="宋体" w:cs="宋体"/>
                <w:color w:val="auto"/>
                <w:kern w:val="2"/>
                <w:sz w:val="21"/>
                <w:szCs w:val="21"/>
              </w:rPr>
              <w:t>对本项目服务内容理解程度一般，对项目重点难点分析基本到位，对项目实施提出建设性意见基本详细完善、基本科学合理、可行性基本可行且基本利于项目实施，得 4 分；</w:t>
            </w:r>
          </w:p>
          <w:p w14:paraId="3A5EFEF0">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投标人</w:t>
            </w:r>
            <w:r>
              <w:rPr>
                <w:rFonts w:hint="eastAsia" w:ascii="宋体" w:hAnsi="宋体" w:eastAsia="宋体" w:cs="宋体"/>
                <w:color w:val="auto"/>
                <w:kern w:val="2"/>
                <w:sz w:val="21"/>
                <w:szCs w:val="21"/>
              </w:rPr>
              <w:t>对本项目服务内容理解程度差，对项目重点难点分析不到位，对项目实施提出建设性意见不详细完善、不科学合理、可行性差且不利于项目实施，不符合采购人需求的，得 2 分。</w:t>
            </w:r>
          </w:p>
          <w:p w14:paraId="22F4F815">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未提供的不得分。</w:t>
            </w:r>
          </w:p>
        </w:tc>
      </w:tr>
      <w:tr w14:paraId="7D9E4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14:paraId="0E70FB79">
            <w:pPr>
              <w:widowControl w:val="0"/>
              <w:adjustRightInd/>
              <w:snapToGrid/>
              <w:spacing w:line="360" w:lineRule="auto"/>
              <w:jc w:val="center"/>
              <w:rPr>
                <w:rFonts w:hint="eastAsia" w:ascii="宋体" w:hAnsi="宋体" w:eastAsia="宋体" w:cs="宋体"/>
                <w:color w:val="auto"/>
                <w:kern w:val="2"/>
                <w:sz w:val="21"/>
                <w:szCs w:val="21"/>
              </w:rPr>
            </w:pPr>
          </w:p>
        </w:tc>
        <w:tc>
          <w:tcPr>
            <w:tcW w:w="1809" w:type="dxa"/>
            <w:vAlign w:val="center"/>
          </w:tcPr>
          <w:p w14:paraId="280D2104">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合理化建议</w:t>
            </w:r>
          </w:p>
          <w:p w14:paraId="68390F37">
            <w:pPr>
              <w:widowControl w:val="0"/>
              <w:adjustRightInd/>
              <w:snapToGrid/>
              <w:spacing w:line="360" w:lineRule="auto"/>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 xml:space="preserve"> (8.0分</w:t>
            </w:r>
            <w:r>
              <w:rPr>
                <w:rFonts w:hint="eastAsia" w:ascii="宋体" w:hAnsi="宋体" w:eastAsia="宋体" w:cs="宋体"/>
                <w:color w:val="auto"/>
                <w:kern w:val="2"/>
                <w:sz w:val="21"/>
                <w:szCs w:val="21"/>
                <w:lang w:eastAsia="zh-CN"/>
              </w:rPr>
              <w:t>）</w:t>
            </w:r>
          </w:p>
        </w:tc>
        <w:tc>
          <w:tcPr>
            <w:tcW w:w="6132" w:type="dxa"/>
          </w:tcPr>
          <w:p w14:paraId="4CA2312A">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根据投标人对本项目重点、难点所提出的合理化建议及实施方案情况进行评审：</w:t>
            </w:r>
          </w:p>
          <w:p w14:paraId="7604DFD6">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提出的合理化建议及实施方案的科学性、合理性、可行性程度高，得8分。</w:t>
            </w:r>
          </w:p>
          <w:p w14:paraId="72020368">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提出的合理化建议及实施方案具有一定的科学性、合理性、可行性的，得4分。</w:t>
            </w:r>
          </w:p>
          <w:p w14:paraId="6BC20DD4">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提出的合理化建议及实施方案不具备科学性、合理性、可行性的，得1分。</w:t>
            </w:r>
          </w:p>
          <w:p w14:paraId="060DA23E">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未提供不得分。</w:t>
            </w:r>
          </w:p>
        </w:tc>
      </w:tr>
      <w:tr w14:paraId="45B7C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14:paraId="2D4D464B">
            <w:pPr>
              <w:widowControl w:val="0"/>
              <w:adjustRightInd/>
              <w:snapToGrid/>
              <w:spacing w:line="360" w:lineRule="auto"/>
              <w:jc w:val="center"/>
              <w:rPr>
                <w:rFonts w:hint="eastAsia" w:ascii="宋体" w:hAnsi="宋体" w:eastAsia="宋体" w:cs="宋体"/>
                <w:color w:val="auto"/>
                <w:kern w:val="2"/>
                <w:sz w:val="21"/>
                <w:szCs w:val="21"/>
              </w:rPr>
            </w:pPr>
          </w:p>
        </w:tc>
        <w:tc>
          <w:tcPr>
            <w:tcW w:w="1809" w:type="dxa"/>
            <w:vAlign w:val="center"/>
          </w:tcPr>
          <w:p w14:paraId="5BE28191">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 xml:space="preserve">运维处置方案 </w:t>
            </w:r>
          </w:p>
          <w:p w14:paraId="6EDF3A80">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8</w:t>
            </w:r>
            <w:r>
              <w:rPr>
                <w:rFonts w:hint="eastAsia" w:ascii="宋体" w:hAnsi="宋体" w:eastAsia="宋体" w:cs="宋体"/>
                <w:color w:val="auto"/>
                <w:kern w:val="2"/>
                <w:sz w:val="21"/>
                <w:szCs w:val="21"/>
              </w:rPr>
              <w:t>.0分)</w:t>
            </w:r>
          </w:p>
        </w:tc>
        <w:tc>
          <w:tcPr>
            <w:tcW w:w="6132" w:type="dxa"/>
            <w:vAlign w:val="top"/>
          </w:tcPr>
          <w:p w14:paraId="255098E8">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根据投标人所提供的运维方案完整性、科学性和合理性进行评审：</w:t>
            </w:r>
          </w:p>
          <w:p w14:paraId="0CB7D767">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运维方案非常完整可行，且详尽合理具体，得</w:t>
            </w:r>
            <w:r>
              <w:rPr>
                <w:rFonts w:hint="eastAsia" w:ascii="宋体" w:hAnsi="宋体" w:eastAsia="宋体" w:cs="宋体"/>
                <w:color w:val="auto"/>
                <w:kern w:val="2"/>
                <w:sz w:val="21"/>
                <w:szCs w:val="21"/>
                <w:lang w:val="en-US" w:eastAsia="zh-CN"/>
              </w:rPr>
              <w:t>8</w:t>
            </w:r>
            <w:r>
              <w:rPr>
                <w:rFonts w:hint="eastAsia" w:ascii="宋体" w:hAnsi="宋体" w:eastAsia="宋体" w:cs="宋体"/>
                <w:color w:val="auto"/>
                <w:kern w:val="2"/>
                <w:sz w:val="21"/>
                <w:szCs w:val="21"/>
              </w:rPr>
              <w:t>分；</w:t>
            </w:r>
          </w:p>
          <w:p w14:paraId="20B97DC7">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运维方案完整可行，且较合理，得</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rPr>
              <w:t>分；</w:t>
            </w:r>
          </w:p>
          <w:p w14:paraId="2444BC51">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运维方案可行，且基本</w:t>
            </w:r>
            <w:r>
              <w:rPr>
                <w:rFonts w:hint="eastAsia" w:ascii="宋体" w:hAnsi="宋体" w:cs="宋体"/>
                <w:color w:val="auto"/>
                <w:kern w:val="2"/>
                <w:sz w:val="21"/>
                <w:szCs w:val="21"/>
                <w:lang w:eastAsia="zh-CN"/>
              </w:rPr>
              <w:t>满足条件</w:t>
            </w:r>
            <w:r>
              <w:rPr>
                <w:rFonts w:hint="eastAsia" w:ascii="宋体" w:hAnsi="宋体" w:eastAsia="宋体" w:cs="宋体"/>
                <w:color w:val="auto"/>
                <w:kern w:val="2"/>
                <w:sz w:val="21"/>
                <w:szCs w:val="21"/>
              </w:rPr>
              <w:t>，得4分；</w:t>
            </w:r>
          </w:p>
          <w:p w14:paraId="086F4719">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运维方案简单，有简单的方案，得1分；</w:t>
            </w:r>
          </w:p>
          <w:p w14:paraId="1A9F8006">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未提供不得分。</w:t>
            </w:r>
          </w:p>
        </w:tc>
      </w:tr>
      <w:tr w14:paraId="2F9E6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14:paraId="34C661D1">
            <w:pPr>
              <w:widowControl w:val="0"/>
              <w:adjustRightInd/>
              <w:snapToGrid/>
              <w:spacing w:line="360" w:lineRule="auto"/>
              <w:jc w:val="center"/>
              <w:rPr>
                <w:rFonts w:hint="eastAsia" w:ascii="宋体" w:hAnsi="宋体" w:eastAsia="宋体" w:cs="宋体"/>
                <w:color w:val="auto"/>
                <w:kern w:val="2"/>
                <w:sz w:val="21"/>
                <w:szCs w:val="21"/>
              </w:rPr>
            </w:pPr>
          </w:p>
        </w:tc>
        <w:tc>
          <w:tcPr>
            <w:tcW w:w="1809" w:type="dxa"/>
            <w:vAlign w:val="center"/>
          </w:tcPr>
          <w:p w14:paraId="292397F9">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安全保障与应急处理能力 (</w:t>
            </w:r>
            <w:r>
              <w:rPr>
                <w:rFonts w:hint="eastAsia" w:ascii="宋体" w:hAnsi="宋体" w:eastAsia="宋体" w:cs="宋体"/>
                <w:color w:val="auto"/>
                <w:kern w:val="2"/>
                <w:sz w:val="21"/>
                <w:szCs w:val="21"/>
                <w:lang w:val="en-US" w:eastAsia="zh-CN"/>
              </w:rPr>
              <w:t>8</w:t>
            </w:r>
            <w:r>
              <w:rPr>
                <w:rFonts w:hint="eastAsia" w:ascii="宋体" w:hAnsi="宋体" w:eastAsia="宋体" w:cs="宋体"/>
                <w:color w:val="auto"/>
                <w:kern w:val="2"/>
                <w:sz w:val="21"/>
                <w:szCs w:val="21"/>
              </w:rPr>
              <w:t>.0分)</w:t>
            </w:r>
          </w:p>
        </w:tc>
        <w:tc>
          <w:tcPr>
            <w:tcW w:w="6132" w:type="dxa"/>
            <w:vAlign w:val="top"/>
          </w:tcPr>
          <w:p w14:paraId="6576540F">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根据投标人制定的各项安全保障措施，包括但不限于针对设备设施故障抢修、意外情况处置能力（如：台风、暴雨等恶劣天气；化学品泄漏、调节池溢流或溃坝、渗沥液输送管线泄露等突发事件紧急情况）制定应急处理方案和具体实施方案进行评审：</w:t>
            </w:r>
          </w:p>
          <w:p w14:paraId="1E3C11EA">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制定的各项安全保障措施合理，针对设备设施故障抢修、意外情况处置能力（如：台风、暴雨等恶劣天气；化学品泄漏、调节池溢流或溃坝、水质变化、渗沥液输送管线泄露等突发事件紧急情况）制定应急处理方案和具体实施方案可行的，得</w:t>
            </w:r>
            <w:r>
              <w:rPr>
                <w:rFonts w:hint="eastAsia" w:ascii="宋体" w:hAnsi="宋体" w:eastAsia="宋体" w:cs="宋体"/>
                <w:color w:val="auto"/>
                <w:kern w:val="2"/>
                <w:sz w:val="21"/>
                <w:szCs w:val="21"/>
                <w:lang w:val="en-US" w:eastAsia="zh-CN"/>
              </w:rPr>
              <w:t>8</w:t>
            </w:r>
            <w:r>
              <w:rPr>
                <w:rFonts w:hint="eastAsia" w:ascii="宋体" w:hAnsi="宋体" w:eastAsia="宋体" w:cs="宋体"/>
                <w:color w:val="auto"/>
                <w:kern w:val="2"/>
                <w:sz w:val="21"/>
                <w:szCs w:val="21"/>
              </w:rPr>
              <w:t>分；</w:t>
            </w:r>
          </w:p>
          <w:p w14:paraId="397D98C6">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制定的各项安全保障措施较合理，针对设备设施故障抢修、意外情况处置能力（如：台风、暴雨等恶劣天气；化学品泄漏、调节池溢流或溃坝、水质变化、渗沥液输送管线泄露等突发事件紧急情况）制定应急处理方案和具体实施方案较可行的，得</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rPr>
              <w:t>分；</w:t>
            </w:r>
          </w:p>
          <w:p w14:paraId="086511DB">
            <w:pPr>
              <w:widowControl w:val="0"/>
              <w:adjustRightInd/>
              <w:snapToGrid/>
              <w:spacing w:line="36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制定的各项安全保障措施基本合理，针对设备设施故障抢修、意外情况处置能力（如：台风、暴雨等恶劣天气；化学品泄漏、调节池溢流或溃坝、水质变化、渗沥液输送管线泄露等突发事件紧急情况）制定应急处理方案和具体实施方案基本可行的，得4分</w:t>
            </w:r>
            <w:r>
              <w:rPr>
                <w:rFonts w:hint="eastAsia" w:ascii="宋体" w:hAnsi="宋体" w:eastAsia="宋体" w:cs="宋体"/>
                <w:color w:val="auto"/>
                <w:kern w:val="2"/>
                <w:sz w:val="21"/>
                <w:szCs w:val="21"/>
                <w:lang w:eastAsia="zh-CN"/>
              </w:rPr>
              <w:t>；</w:t>
            </w:r>
          </w:p>
          <w:p w14:paraId="30E2C1B5">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制定的各项安全保障措施合理性较差，针对设备设施故障抢修、意外情况处置能力（如：台风、暴雨等恶劣天气；化学品泄漏、调节池溢流或溃坝、渗沥液输送管线泄露等突发事件紧急情况）制定应急处理方案和具体实施方案可行性较差的，得1分；</w:t>
            </w:r>
          </w:p>
          <w:p w14:paraId="397DC9C9">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未提供不得分。</w:t>
            </w:r>
          </w:p>
        </w:tc>
      </w:tr>
      <w:tr w14:paraId="44E11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14:paraId="0270F9A3">
            <w:pPr>
              <w:widowControl w:val="0"/>
              <w:adjustRightInd/>
              <w:snapToGrid/>
              <w:spacing w:line="360" w:lineRule="auto"/>
              <w:jc w:val="center"/>
              <w:rPr>
                <w:rFonts w:hint="eastAsia" w:ascii="宋体" w:hAnsi="宋体" w:eastAsia="宋体" w:cs="宋体"/>
                <w:color w:val="auto"/>
                <w:kern w:val="2"/>
                <w:sz w:val="21"/>
                <w:szCs w:val="21"/>
              </w:rPr>
            </w:pPr>
          </w:p>
        </w:tc>
        <w:tc>
          <w:tcPr>
            <w:tcW w:w="1809" w:type="dxa"/>
            <w:vAlign w:val="center"/>
          </w:tcPr>
          <w:p w14:paraId="5E7FA042">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环境保护管理措施 (8.0分)</w:t>
            </w:r>
          </w:p>
        </w:tc>
        <w:tc>
          <w:tcPr>
            <w:tcW w:w="6132" w:type="dxa"/>
            <w:vAlign w:val="top"/>
          </w:tcPr>
          <w:p w14:paraId="1A437B6F">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根据投标人提供环境保护管理措施进行评审：</w:t>
            </w:r>
          </w:p>
          <w:p w14:paraId="092542A6">
            <w:pPr>
              <w:widowControl w:val="0"/>
              <w:adjustRightInd/>
              <w:snapToGrid/>
              <w:spacing w:line="36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具备完善的环境保护方案，且方案科学性、合理性、可行性程度高，得8分</w:t>
            </w:r>
            <w:r>
              <w:rPr>
                <w:rFonts w:hint="eastAsia" w:ascii="宋体" w:hAnsi="宋体" w:eastAsia="宋体" w:cs="宋体"/>
                <w:color w:val="auto"/>
                <w:kern w:val="2"/>
                <w:sz w:val="21"/>
                <w:szCs w:val="21"/>
                <w:lang w:eastAsia="zh-CN"/>
              </w:rPr>
              <w:t>；</w:t>
            </w:r>
          </w:p>
          <w:p w14:paraId="1DFCCAC4">
            <w:pPr>
              <w:widowControl w:val="0"/>
              <w:adjustRightInd/>
              <w:snapToGrid/>
              <w:spacing w:line="36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具备较完善的环境保护方案，且方案具有一定的科学性、合理性、可行性的，得4分</w:t>
            </w:r>
            <w:r>
              <w:rPr>
                <w:rFonts w:hint="eastAsia" w:ascii="宋体" w:hAnsi="宋体" w:eastAsia="宋体" w:cs="宋体"/>
                <w:color w:val="auto"/>
                <w:kern w:val="2"/>
                <w:sz w:val="21"/>
                <w:szCs w:val="21"/>
                <w:lang w:eastAsia="zh-CN"/>
              </w:rPr>
              <w:t>；</w:t>
            </w:r>
          </w:p>
          <w:p w14:paraId="07941D56">
            <w:pPr>
              <w:widowControl w:val="0"/>
              <w:adjustRightInd/>
              <w:snapToGrid/>
              <w:spacing w:line="360" w:lineRule="auto"/>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具备环境保护方案但不完善，且方案不具备科学性、合理性、可行性的，得1分</w:t>
            </w:r>
            <w:r>
              <w:rPr>
                <w:rFonts w:hint="eastAsia" w:ascii="宋体" w:hAnsi="宋体" w:eastAsia="宋体" w:cs="宋体"/>
                <w:color w:val="auto"/>
                <w:kern w:val="2"/>
                <w:sz w:val="21"/>
                <w:szCs w:val="21"/>
                <w:lang w:eastAsia="zh-CN"/>
              </w:rPr>
              <w:t>；</w:t>
            </w:r>
          </w:p>
          <w:p w14:paraId="361EDFE0">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未提供不得分。</w:t>
            </w:r>
          </w:p>
        </w:tc>
      </w:tr>
      <w:tr w14:paraId="392AC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vAlign w:val="center"/>
          </w:tcPr>
          <w:p w14:paraId="1BE7EA9D">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商务</w:t>
            </w:r>
          </w:p>
          <w:p w14:paraId="37A9ED96">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部分</w:t>
            </w:r>
          </w:p>
        </w:tc>
        <w:tc>
          <w:tcPr>
            <w:tcW w:w="1809" w:type="dxa"/>
            <w:vAlign w:val="center"/>
          </w:tcPr>
          <w:p w14:paraId="3948F0E0">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体系认证</w:t>
            </w:r>
          </w:p>
          <w:p w14:paraId="6F3ECC77">
            <w:pPr>
              <w:widowControl w:val="0"/>
              <w:adjustRightInd/>
              <w:snapToGrid/>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 xml:space="preserve"> (</w:t>
            </w:r>
            <w:r>
              <w:rPr>
                <w:rFonts w:hint="eastAsia" w:ascii="宋体" w:hAnsi="宋体" w:eastAsia="宋体" w:cs="宋体"/>
                <w:color w:val="auto"/>
                <w:kern w:val="2"/>
                <w:sz w:val="21"/>
                <w:szCs w:val="21"/>
                <w:lang w:val="en-US" w:eastAsia="zh-CN"/>
              </w:rPr>
              <w:t>12</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0</w:t>
            </w:r>
            <w:r>
              <w:rPr>
                <w:rFonts w:hint="eastAsia" w:ascii="宋体" w:hAnsi="宋体" w:eastAsia="宋体" w:cs="宋体"/>
                <w:color w:val="auto"/>
                <w:kern w:val="2"/>
                <w:sz w:val="21"/>
                <w:szCs w:val="21"/>
              </w:rPr>
              <w:t>分)</w:t>
            </w:r>
          </w:p>
        </w:tc>
        <w:tc>
          <w:tcPr>
            <w:tcW w:w="6132" w:type="dxa"/>
            <w:vAlign w:val="top"/>
          </w:tcPr>
          <w:p w14:paraId="515FFEBF">
            <w:pPr>
              <w:widowControl w:val="0"/>
              <w:adjustRightInd/>
              <w:snapToGrid/>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投标人具有由国家认监委批准设立的认证机构颁发并在有效期内的质量管理体系认证、环境管理体系认证、职业健康安全管理体系认证的，每个得</w:t>
            </w: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rPr>
              <w:t>分，本项最高得</w:t>
            </w:r>
            <w:r>
              <w:rPr>
                <w:rFonts w:hint="eastAsia" w:ascii="宋体" w:hAnsi="宋体" w:eastAsia="宋体" w:cs="宋体"/>
                <w:color w:val="auto"/>
                <w:kern w:val="2"/>
                <w:sz w:val="21"/>
                <w:szCs w:val="21"/>
                <w:lang w:val="en-US" w:eastAsia="zh-CN"/>
              </w:rPr>
              <w:t>12</w:t>
            </w:r>
            <w:r>
              <w:rPr>
                <w:rFonts w:hint="eastAsia" w:ascii="宋体" w:hAnsi="宋体" w:eastAsia="宋体" w:cs="宋体"/>
                <w:color w:val="auto"/>
                <w:kern w:val="2"/>
                <w:sz w:val="21"/>
                <w:szCs w:val="21"/>
              </w:rPr>
              <w:t>分。 注：须提供有效证书复印件并加盖投标人公章，不符合以上要求的不得分。</w:t>
            </w:r>
          </w:p>
        </w:tc>
      </w:tr>
      <w:tr w14:paraId="4B7F2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45" w:hRule="atLeast"/>
        </w:trPr>
        <w:tc>
          <w:tcPr>
            <w:tcW w:w="922" w:type="dxa"/>
            <w:vMerge w:val="continue"/>
            <w:vAlign w:val="center"/>
          </w:tcPr>
          <w:p w14:paraId="5D90E12D">
            <w:pPr>
              <w:widowControl w:val="0"/>
              <w:adjustRightInd/>
              <w:snapToGrid/>
              <w:spacing w:line="360" w:lineRule="auto"/>
              <w:jc w:val="center"/>
              <w:rPr>
                <w:rFonts w:hint="eastAsia" w:ascii="宋体" w:hAnsi="宋体" w:eastAsia="宋体" w:cs="宋体"/>
                <w:color w:val="auto"/>
                <w:kern w:val="2"/>
                <w:sz w:val="21"/>
                <w:szCs w:val="21"/>
              </w:rPr>
            </w:pPr>
          </w:p>
        </w:tc>
        <w:tc>
          <w:tcPr>
            <w:tcW w:w="1809" w:type="dxa"/>
            <w:vAlign w:val="center"/>
          </w:tcPr>
          <w:p w14:paraId="6121BCA2">
            <w:pPr>
              <w:widowControl w:val="0"/>
              <w:adjustRightInd/>
              <w:snapToGrid/>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拟投入本项目的人员情况 (</w:t>
            </w:r>
            <w:r>
              <w:rPr>
                <w:rFonts w:hint="eastAsia" w:ascii="宋体" w:hAnsi="宋体" w:eastAsia="宋体" w:cs="宋体"/>
                <w:color w:val="auto"/>
                <w:kern w:val="2"/>
                <w:sz w:val="21"/>
                <w:szCs w:val="21"/>
                <w:lang w:val="en-US" w:eastAsia="zh-CN"/>
              </w:rPr>
              <w:t>12.0</w:t>
            </w:r>
            <w:r>
              <w:rPr>
                <w:rFonts w:hint="eastAsia" w:ascii="宋体" w:hAnsi="宋体" w:eastAsia="宋体" w:cs="宋体"/>
                <w:color w:val="auto"/>
                <w:kern w:val="2"/>
                <w:sz w:val="21"/>
                <w:szCs w:val="21"/>
              </w:rPr>
              <w:t>分)</w:t>
            </w:r>
          </w:p>
        </w:tc>
        <w:tc>
          <w:tcPr>
            <w:tcW w:w="6132" w:type="dxa"/>
            <w:vAlign w:val="top"/>
          </w:tcPr>
          <w:p w14:paraId="38525164">
            <w:pPr>
              <w:keepNext w:val="0"/>
              <w:keepLines w:val="0"/>
              <w:widowControl/>
              <w:numPr>
                <w:ilvl w:val="0"/>
                <w:numId w:val="0"/>
              </w:numPr>
              <w:suppressLineNumbers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投标人拟投入本项目的</w:t>
            </w:r>
            <w:r>
              <w:rPr>
                <w:rFonts w:hint="eastAsia" w:ascii="宋体" w:hAnsi="宋体" w:cs="宋体"/>
                <w:color w:val="auto"/>
                <w:kern w:val="2"/>
                <w:sz w:val="21"/>
                <w:szCs w:val="21"/>
                <w:lang w:val="en-US" w:eastAsia="zh-CN"/>
              </w:rPr>
              <w:t>项目</w:t>
            </w:r>
            <w:r>
              <w:rPr>
                <w:rFonts w:hint="eastAsia" w:ascii="宋体" w:hAnsi="宋体" w:eastAsia="宋体" w:cs="宋体"/>
                <w:color w:val="auto"/>
                <w:kern w:val="2"/>
                <w:sz w:val="21"/>
                <w:szCs w:val="21"/>
              </w:rPr>
              <w:t>负责人具有</w:t>
            </w:r>
            <w:r>
              <w:rPr>
                <w:rFonts w:hint="eastAsia" w:ascii="宋体" w:hAnsi="宋体" w:eastAsia="宋体" w:cs="宋体"/>
                <w:color w:val="auto"/>
                <w:kern w:val="2"/>
                <w:sz w:val="21"/>
                <w:szCs w:val="21"/>
                <w:lang w:val="en-US" w:eastAsia="zh-CN"/>
              </w:rPr>
              <w:t>人社部门或职改办 （即职称改革工作领导小组办公室）颁发</w:t>
            </w:r>
            <w:r>
              <w:rPr>
                <w:rFonts w:hint="eastAsia" w:ascii="宋体" w:hAnsi="宋体" w:eastAsia="宋体" w:cs="宋体"/>
                <w:color w:val="auto"/>
                <w:kern w:val="2"/>
                <w:sz w:val="21"/>
                <w:szCs w:val="21"/>
              </w:rPr>
              <w:t>环境工程类或化工类</w:t>
            </w:r>
            <w:r>
              <w:rPr>
                <w:rFonts w:hint="eastAsia" w:ascii="宋体" w:hAnsi="宋体" w:eastAsia="宋体" w:cs="宋体"/>
                <w:color w:val="auto"/>
                <w:kern w:val="2"/>
                <w:sz w:val="21"/>
                <w:szCs w:val="21"/>
                <w:lang w:val="en-US" w:eastAsia="zh-CN"/>
              </w:rPr>
              <w:t>中</w:t>
            </w:r>
            <w:r>
              <w:rPr>
                <w:rFonts w:hint="eastAsia" w:ascii="宋体" w:hAnsi="宋体" w:eastAsia="宋体" w:cs="宋体"/>
                <w:color w:val="auto"/>
                <w:kern w:val="2"/>
                <w:sz w:val="21"/>
                <w:szCs w:val="21"/>
              </w:rPr>
              <w:t>级</w:t>
            </w:r>
            <w:r>
              <w:rPr>
                <w:rFonts w:hint="eastAsia" w:ascii="宋体" w:hAnsi="宋体" w:eastAsia="宋体" w:cs="宋体"/>
                <w:color w:val="auto"/>
                <w:kern w:val="2"/>
                <w:sz w:val="21"/>
                <w:szCs w:val="21"/>
                <w:lang w:val="en-US" w:eastAsia="zh-CN"/>
              </w:rPr>
              <w:t>以上</w:t>
            </w:r>
            <w:r>
              <w:rPr>
                <w:rFonts w:hint="eastAsia" w:ascii="宋体" w:hAnsi="宋体" w:eastAsia="宋体" w:cs="宋体"/>
                <w:color w:val="auto"/>
                <w:kern w:val="2"/>
                <w:sz w:val="21"/>
                <w:szCs w:val="21"/>
              </w:rPr>
              <w:t>职称证书的，得</w:t>
            </w:r>
            <w:r>
              <w:rPr>
                <w:rFonts w:hint="eastAsia" w:ascii="宋体" w:hAnsi="宋体" w:cs="宋体"/>
                <w:color w:val="auto"/>
                <w:kern w:val="2"/>
                <w:sz w:val="21"/>
                <w:szCs w:val="21"/>
                <w:lang w:val="en-US" w:eastAsia="zh-CN"/>
              </w:rPr>
              <w:t>3</w:t>
            </w:r>
            <w:r>
              <w:rPr>
                <w:rFonts w:hint="eastAsia" w:ascii="宋体" w:hAnsi="宋体" w:eastAsia="宋体" w:cs="宋体"/>
                <w:color w:val="auto"/>
                <w:kern w:val="2"/>
                <w:sz w:val="21"/>
                <w:szCs w:val="21"/>
              </w:rPr>
              <w:t>分，本项最高得</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分。</w:t>
            </w:r>
          </w:p>
          <w:p w14:paraId="58766092">
            <w:pPr>
              <w:keepNext w:val="0"/>
              <w:keepLines w:val="0"/>
              <w:widowControl/>
              <w:numPr>
                <w:ilvl w:val="0"/>
                <w:numId w:val="0"/>
              </w:numPr>
              <w:suppressLineNumbers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2、投标人拟投入本项目的服务人员（</w:t>
            </w:r>
            <w:r>
              <w:rPr>
                <w:rFonts w:hint="eastAsia" w:ascii="宋体" w:hAnsi="宋体" w:cs="宋体"/>
                <w:color w:val="auto"/>
                <w:kern w:val="2"/>
                <w:sz w:val="21"/>
                <w:szCs w:val="21"/>
                <w:lang w:val="en-US" w:eastAsia="zh-CN"/>
              </w:rPr>
              <w:t>项目</w:t>
            </w:r>
            <w:r>
              <w:rPr>
                <w:rFonts w:hint="eastAsia" w:ascii="宋体" w:hAnsi="宋体" w:eastAsia="宋体" w:cs="宋体"/>
                <w:color w:val="auto"/>
                <w:kern w:val="2"/>
                <w:sz w:val="21"/>
                <w:szCs w:val="21"/>
              </w:rPr>
              <w:t>负责人除外）具有</w:t>
            </w:r>
            <w:r>
              <w:rPr>
                <w:rFonts w:hint="eastAsia" w:ascii="宋体" w:hAnsi="宋体" w:eastAsia="宋体" w:cs="宋体"/>
                <w:color w:val="auto"/>
                <w:kern w:val="2"/>
                <w:sz w:val="21"/>
                <w:szCs w:val="21"/>
                <w:lang w:val="en-US" w:eastAsia="zh-CN"/>
              </w:rPr>
              <w:t>人社部门或职改办（即职称改革工作领导小组办公室）颁发</w:t>
            </w:r>
            <w:r>
              <w:rPr>
                <w:rFonts w:hint="eastAsia" w:ascii="宋体" w:hAnsi="宋体" w:eastAsia="宋体" w:cs="宋体"/>
                <w:color w:val="auto"/>
                <w:kern w:val="2"/>
                <w:sz w:val="21"/>
                <w:szCs w:val="21"/>
              </w:rPr>
              <w:t>环境工程类或化工类中级（或以上）职称的，每个得</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分，本项最高得</w:t>
            </w:r>
            <w:r>
              <w:rPr>
                <w:rFonts w:hint="eastAsia" w:ascii="宋体" w:hAnsi="宋体" w:eastAsia="宋体" w:cs="宋体"/>
                <w:color w:val="auto"/>
                <w:kern w:val="2"/>
                <w:sz w:val="21"/>
                <w:szCs w:val="21"/>
                <w:lang w:val="en-US" w:eastAsia="zh-CN"/>
              </w:rPr>
              <w:t>9</w:t>
            </w:r>
            <w:r>
              <w:rPr>
                <w:rFonts w:hint="eastAsia" w:ascii="宋体" w:hAnsi="宋体" w:eastAsia="宋体" w:cs="宋体"/>
                <w:color w:val="auto"/>
                <w:kern w:val="2"/>
                <w:sz w:val="21"/>
                <w:szCs w:val="21"/>
              </w:rPr>
              <w:t>分。</w:t>
            </w:r>
          </w:p>
          <w:p w14:paraId="604AA2F9">
            <w:pPr>
              <w:keepNext w:val="0"/>
              <w:keepLines w:val="0"/>
              <w:widowControl/>
              <w:numPr>
                <w:ilvl w:val="0"/>
                <w:numId w:val="0"/>
              </w:numPr>
              <w:suppressLineNumbers w:val="0"/>
              <w:adjustRightInd/>
              <w:snapToGrid/>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备注：须提供人员职称证书复印件及投标人为其购买的距开标前6个月（不含开标当月）内任意一个月社保证明复印件加盖投标人公章。（同一个人具有多个职称证的按一人一证计分，不重复得分。）</w:t>
            </w:r>
          </w:p>
        </w:tc>
      </w:tr>
      <w:tr w14:paraId="35CB6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14:paraId="71AA243D">
            <w:pPr>
              <w:widowControl w:val="0"/>
              <w:adjustRightInd/>
              <w:snapToGrid/>
              <w:spacing w:line="360" w:lineRule="auto"/>
              <w:jc w:val="center"/>
              <w:rPr>
                <w:rFonts w:hint="eastAsia" w:ascii="宋体" w:hAnsi="宋体" w:eastAsia="宋体" w:cs="宋体"/>
                <w:color w:val="auto"/>
                <w:kern w:val="2"/>
                <w:sz w:val="21"/>
                <w:szCs w:val="21"/>
              </w:rPr>
            </w:pPr>
          </w:p>
        </w:tc>
        <w:tc>
          <w:tcPr>
            <w:tcW w:w="1809" w:type="dxa"/>
            <w:vAlign w:val="center"/>
          </w:tcPr>
          <w:p w14:paraId="0B7F430A">
            <w:pPr>
              <w:widowControl w:val="0"/>
              <w:adjustRightInd/>
              <w:snapToGrid/>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业绩 (1</w:t>
            </w: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rPr>
              <w:t>.0分)</w:t>
            </w:r>
          </w:p>
        </w:tc>
        <w:tc>
          <w:tcPr>
            <w:tcW w:w="6132" w:type="dxa"/>
            <w:vAlign w:val="top"/>
          </w:tcPr>
          <w:p w14:paraId="47F35589">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投标人具有</w:t>
            </w:r>
            <w:r>
              <w:rPr>
                <w:rFonts w:hint="eastAsia" w:ascii="宋体" w:hAnsi="宋体" w:eastAsia="宋体" w:cs="宋体"/>
                <w:color w:val="auto"/>
                <w:kern w:val="2"/>
                <w:sz w:val="21"/>
                <w:szCs w:val="21"/>
                <w:highlight w:val="none"/>
                <w:lang w:val="en-US" w:eastAsia="zh-CN"/>
              </w:rPr>
              <w:t>填埋场</w:t>
            </w:r>
            <w:r>
              <w:rPr>
                <w:rFonts w:hint="eastAsia" w:ascii="宋体" w:hAnsi="宋体" w:eastAsia="宋体" w:cs="宋体"/>
                <w:color w:val="auto"/>
                <w:kern w:val="2"/>
                <w:sz w:val="21"/>
                <w:szCs w:val="21"/>
              </w:rPr>
              <w:t>渗滤液（或浓缩液）的处置（或运营）业绩的，每提供一个得</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分，本项最高得</w:t>
            </w:r>
            <w:r>
              <w:rPr>
                <w:rFonts w:hint="eastAsia" w:ascii="宋体" w:hAnsi="宋体" w:eastAsia="宋体" w:cs="宋体"/>
                <w:color w:val="auto"/>
                <w:kern w:val="2"/>
                <w:sz w:val="21"/>
                <w:szCs w:val="21"/>
                <w:lang w:val="en-US" w:eastAsia="zh-CN"/>
              </w:rPr>
              <w:t>15</w:t>
            </w:r>
            <w:r>
              <w:rPr>
                <w:rFonts w:hint="eastAsia" w:ascii="宋体" w:hAnsi="宋体" w:eastAsia="宋体" w:cs="宋体"/>
                <w:color w:val="auto"/>
                <w:kern w:val="2"/>
                <w:sz w:val="21"/>
                <w:szCs w:val="21"/>
              </w:rPr>
              <w:t xml:space="preserve">分。 </w:t>
            </w:r>
          </w:p>
          <w:p w14:paraId="1A17D6F8">
            <w:pPr>
              <w:widowControl w:val="0"/>
              <w:adjustRightInd/>
              <w:snapToGrid/>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注：须提供合同复印件并加盖投标人公章，否则不得分。</w:t>
            </w:r>
          </w:p>
        </w:tc>
      </w:tr>
      <w:tr w14:paraId="3A8AD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14:paraId="1E69CB1F">
            <w:pPr>
              <w:widowControl w:val="0"/>
              <w:adjustRightInd/>
              <w:snapToGrid/>
              <w:spacing w:line="360" w:lineRule="auto"/>
              <w:jc w:val="center"/>
              <w:rPr>
                <w:rFonts w:hint="eastAsia" w:ascii="宋体" w:hAnsi="宋体" w:eastAsia="宋体" w:cs="宋体"/>
                <w:color w:val="auto"/>
                <w:kern w:val="2"/>
                <w:sz w:val="21"/>
                <w:szCs w:val="21"/>
              </w:rPr>
            </w:pPr>
          </w:p>
        </w:tc>
        <w:tc>
          <w:tcPr>
            <w:tcW w:w="1809" w:type="dxa"/>
            <w:tcBorders>
              <w:top w:val="single" w:color="auto" w:sz="4" w:space="0"/>
            </w:tcBorders>
            <w:vAlign w:val="center"/>
          </w:tcPr>
          <w:p w14:paraId="160D49A1">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服务便利性</w:t>
            </w:r>
            <w:r>
              <w:rPr>
                <w:rFonts w:hint="eastAsia" w:ascii="宋体" w:hAnsi="宋体" w:eastAsia="宋体" w:cs="宋体"/>
                <w:color w:val="auto"/>
                <w:kern w:val="2"/>
                <w:sz w:val="21"/>
                <w:szCs w:val="21"/>
              </w:rPr>
              <w:t xml:space="preserve"> </w:t>
            </w:r>
          </w:p>
          <w:p w14:paraId="5E848854">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rPr>
              <w:t>.0分)</w:t>
            </w:r>
          </w:p>
        </w:tc>
        <w:tc>
          <w:tcPr>
            <w:tcW w:w="6132" w:type="dxa"/>
          </w:tcPr>
          <w:p w14:paraId="7A8F9950">
            <w:pPr>
              <w:widowControl w:val="0"/>
              <w:adjustRightInd/>
              <w:snapToGrid/>
              <w:spacing w:line="360" w:lineRule="auto"/>
              <w:jc w:val="left"/>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投标人承诺接到采购人通知后小于等于2个小时到达并处理问题，得6分；投标人承诺接到采购人通知后2（不含）～4（含）个小时到达并处理问题，得3分；投标人承诺接到采购人通知后超过4个小时到达并处理问题，得1分</w:t>
            </w:r>
            <w:r>
              <w:rPr>
                <w:rFonts w:hint="eastAsia" w:ascii="宋体" w:hAnsi="宋体" w:cs="宋体"/>
                <w:color w:val="auto"/>
                <w:kern w:val="2"/>
                <w:sz w:val="21"/>
                <w:szCs w:val="21"/>
                <w:lang w:val="en-US" w:eastAsia="zh-CN"/>
              </w:rPr>
              <w:t>。无提供相应承诺及证明的不得分。</w:t>
            </w:r>
          </w:p>
          <w:p w14:paraId="47461509">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注：需提供投标人所在地至“</w:t>
            </w:r>
            <w:r>
              <w:rPr>
                <w:rFonts w:hint="eastAsia" w:ascii="宋体" w:hAnsi="宋体" w:eastAsia="宋体" w:cs="宋体"/>
                <w:color w:val="auto"/>
                <w:kern w:val="2"/>
                <w:sz w:val="21"/>
                <w:szCs w:val="21"/>
                <w:lang w:val="en-US" w:eastAsia="zh-CN"/>
              </w:rPr>
              <w:t>东莞市新东粤环保实业有限公司</w:t>
            </w:r>
            <w:r>
              <w:rPr>
                <w:rFonts w:hint="eastAsia" w:ascii="宋体" w:hAnsi="宋体" w:eastAsia="宋体" w:cs="宋体"/>
                <w:color w:val="auto"/>
                <w:kern w:val="2"/>
                <w:sz w:val="21"/>
                <w:szCs w:val="21"/>
              </w:rPr>
              <w:t>”驾车导航的百度地图截图、营业执照及场地证明（租赁合同或产权证明）</w:t>
            </w:r>
            <w:r>
              <w:rPr>
                <w:rFonts w:hint="eastAsia" w:ascii="宋体" w:hAnsi="宋体" w:eastAsia="宋体" w:cs="宋体"/>
                <w:color w:val="auto"/>
                <w:kern w:val="2"/>
                <w:sz w:val="21"/>
                <w:szCs w:val="21"/>
                <w:lang w:val="en-US" w:eastAsia="zh-CN"/>
              </w:rPr>
              <w:t>。</w:t>
            </w:r>
          </w:p>
        </w:tc>
      </w:tr>
      <w:tr w14:paraId="3C68F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14:paraId="3CC0352E">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w:t>
            </w:r>
          </w:p>
          <w:p w14:paraId="0F898A14">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报价</w:t>
            </w:r>
          </w:p>
        </w:tc>
        <w:tc>
          <w:tcPr>
            <w:tcW w:w="1809" w:type="dxa"/>
            <w:vAlign w:val="center"/>
          </w:tcPr>
          <w:p w14:paraId="4D2C71CC">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投标报价得分</w:t>
            </w:r>
          </w:p>
          <w:p w14:paraId="7D6D12CA">
            <w:pPr>
              <w:widowControl w:val="0"/>
              <w:adjustRightInd/>
              <w:snapToGrid/>
              <w:spacing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5.0分)</w:t>
            </w:r>
          </w:p>
        </w:tc>
        <w:tc>
          <w:tcPr>
            <w:tcW w:w="6132" w:type="dxa"/>
            <w:vAlign w:val="top"/>
          </w:tcPr>
          <w:p w14:paraId="1C440842">
            <w:pPr>
              <w:widowControl w:val="0"/>
              <w:adjustRightInd/>
              <w:snapToGrid/>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7536F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BC0F5E6">
      <w:pPr>
        <w:pStyle w:val="5"/>
        <w:spacing w:before="0" w:after="0" w:line="240" w:lineRule="auto"/>
        <w:rPr>
          <w:rFonts w:hint="eastAsia" w:ascii="宋体" w:hAnsi="宋体" w:eastAsia="宋体" w:cs="宋体"/>
          <w:color w:val="auto"/>
          <w:sz w:val="36"/>
          <w:szCs w:val="36"/>
          <w:highlight w:val="none"/>
        </w:rPr>
      </w:pPr>
      <w:bookmarkStart w:id="6" w:name="_Toc22808"/>
      <w:r>
        <w:rPr>
          <w:rFonts w:hint="eastAsia" w:ascii="宋体" w:hAnsi="宋体" w:eastAsia="宋体" w:cs="宋体"/>
          <w:color w:val="auto"/>
          <w:sz w:val="28"/>
          <w:szCs w:val="28"/>
          <w:highlight w:val="none"/>
        </w:rPr>
        <w:t>第三部分用户需求书</w:t>
      </w:r>
      <w:bookmarkEnd w:id="6"/>
    </w:p>
    <w:p w14:paraId="2792F877">
      <w:pPr>
        <w:pStyle w:val="6"/>
        <w:spacing w:before="0" w:after="0" w:line="360" w:lineRule="auto"/>
        <w:jc w:val="center"/>
        <w:rPr>
          <w:rFonts w:hint="eastAsia" w:ascii="宋体" w:hAnsi="宋体" w:eastAsia="宋体" w:cs="宋体"/>
          <w:color w:val="auto"/>
          <w:highlight w:val="none"/>
        </w:rPr>
      </w:pPr>
      <w:bookmarkStart w:id="7" w:name="_Toc1593"/>
      <w:bookmarkStart w:id="8" w:name="_Toc29490"/>
      <w:bookmarkStart w:id="9" w:name="_Toc308786492"/>
      <w:bookmarkStart w:id="10" w:name="_Toc24679"/>
      <w:bookmarkStart w:id="11" w:name="_Toc31278"/>
      <w:bookmarkStart w:id="12" w:name="_Toc13112"/>
      <w:bookmarkStart w:id="13" w:name="_Toc14462"/>
      <w:r>
        <w:rPr>
          <w:rFonts w:hint="eastAsia" w:ascii="宋体" w:hAnsi="宋体" w:eastAsia="宋体" w:cs="宋体"/>
          <w:color w:val="auto"/>
          <w:highlight w:val="none"/>
        </w:rPr>
        <w:t>第一章 商务需求书</w:t>
      </w:r>
      <w:bookmarkEnd w:id="7"/>
      <w:bookmarkEnd w:id="8"/>
    </w:p>
    <w:tbl>
      <w:tblPr>
        <w:tblStyle w:val="27"/>
        <w:tblW w:w="90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499"/>
        <w:gridCol w:w="6821"/>
      </w:tblGrid>
      <w:tr w14:paraId="7F6BE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738" w:type="dxa"/>
            <w:vAlign w:val="center"/>
          </w:tcPr>
          <w:p w14:paraId="37D084B1">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99" w:type="dxa"/>
            <w:vAlign w:val="center"/>
          </w:tcPr>
          <w:p w14:paraId="2300E27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6821" w:type="dxa"/>
            <w:vAlign w:val="center"/>
          </w:tcPr>
          <w:p w14:paraId="304637D4">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  明</w:t>
            </w:r>
          </w:p>
        </w:tc>
      </w:tr>
      <w:tr w14:paraId="509D6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738" w:type="dxa"/>
            <w:vAlign w:val="center"/>
          </w:tcPr>
          <w:p w14:paraId="242F7273">
            <w:pPr>
              <w:numPr>
                <w:ilvl w:val="0"/>
                <w:numId w:val="2"/>
              </w:numPr>
              <w:ind w:left="635" w:leftChars="0" w:hanging="425" w:firstLineChars="0"/>
              <w:jc w:val="center"/>
              <w:rPr>
                <w:rFonts w:hint="eastAsia" w:ascii="宋体" w:hAnsi="宋体" w:eastAsia="宋体" w:cs="宋体"/>
                <w:color w:val="auto"/>
                <w:sz w:val="21"/>
                <w:szCs w:val="21"/>
                <w:highlight w:val="none"/>
              </w:rPr>
            </w:pPr>
          </w:p>
        </w:tc>
        <w:tc>
          <w:tcPr>
            <w:tcW w:w="1499" w:type="dxa"/>
            <w:vAlign w:val="center"/>
          </w:tcPr>
          <w:p w14:paraId="4D007D99">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完工期</w:t>
            </w:r>
          </w:p>
        </w:tc>
        <w:tc>
          <w:tcPr>
            <w:tcW w:w="6821" w:type="dxa"/>
            <w:vAlign w:val="center"/>
          </w:tcPr>
          <w:p w14:paraId="609549E4">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bidi="ar-SA"/>
              </w:rPr>
            </w:pPr>
            <w:r>
              <w:rPr>
                <w:rFonts w:hint="eastAsia"/>
                <w:color w:val="auto"/>
                <w:lang w:val="en-US" w:eastAsia="zh-CN"/>
              </w:rPr>
              <w:t>签订合同后三年服务期，</w:t>
            </w:r>
            <w:r>
              <w:rPr>
                <w:rFonts w:hint="eastAsia" w:ascii="宋体" w:hAnsi="宋体" w:eastAsia="宋体" w:cs="宋体"/>
                <w:color w:val="auto"/>
                <w:sz w:val="21"/>
                <w:szCs w:val="21"/>
                <w:highlight w:val="none"/>
                <w:lang w:val="en-US" w:eastAsia="zh-CN" w:bidi="ar-SA"/>
              </w:rPr>
              <w:t>每年年底调节池渗滤液需全部转运处置完毕，确保渗滤液不跨年储存。</w:t>
            </w:r>
          </w:p>
        </w:tc>
      </w:tr>
      <w:tr w14:paraId="3107A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trPr>
        <w:tc>
          <w:tcPr>
            <w:tcW w:w="738" w:type="dxa"/>
            <w:vAlign w:val="center"/>
          </w:tcPr>
          <w:p w14:paraId="7DD571D5">
            <w:pPr>
              <w:numPr>
                <w:ilvl w:val="0"/>
                <w:numId w:val="2"/>
              </w:numPr>
              <w:ind w:left="635" w:leftChars="0" w:hanging="425" w:firstLineChars="0"/>
              <w:jc w:val="center"/>
              <w:rPr>
                <w:rFonts w:hint="eastAsia" w:ascii="宋体" w:hAnsi="宋体" w:eastAsia="宋体" w:cs="宋体"/>
                <w:color w:val="auto"/>
                <w:sz w:val="21"/>
                <w:szCs w:val="21"/>
                <w:highlight w:val="none"/>
                <w:lang w:val="en-US" w:eastAsia="zh-CN"/>
              </w:rPr>
            </w:pPr>
          </w:p>
        </w:tc>
        <w:tc>
          <w:tcPr>
            <w:tcW w:w="1499" w:type="dxa"/>
            <w:vAlign w:val="center"/>
          </w:tcPr>
          <w:p w14:paraId="4F96AAB6">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项目地点</w:t>
            </w:r>
          </w:p>
        </w:tc>
        <w:tc>
          <w:tcPr>
            <w:tcW w:w="6821" w:type="dxa"/>
            <w:vAlign w:val="center"/>
          </w:tcPr>
          <w:p w14:paraId="02642368">
            <w:pP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采购人指定地点。</w:t>
            </w:r>
          </w:p>
        </w:tc>
      </w:tr>
      <w:tr w14:paraId="643E2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6" w:hRule="atLeast"/>
        </w:trPr>
        <w:tc>
          <w:tcPr>
            <w:tcW w:w="738" w:type="dxa"/>
            <w:vAlign w:val="center"/>
          </w:tcPr>
          <w:p w14:paraId="6BABCD3B">
            <w:pPr>
              <w:numPr>
                <w:ilvl w:val="0"/>
                <w:numId w:val="2"/>
              </w:numPr>
              <w:ind w:left="635" w:leftChars="0" w:hanging="425" w:firstLineChars="0"/>
              <w:jc w:val="center"/>
              <w:rPr>
                <w:rFonts w:hint="eastAsia" w:ascii="宋体" w:hAnsi="宋体" w:eastAsia="宋体" w:cs="宋体"/>
                <w:color w:val="auto"/>
                <w:sz w:val="21"/>
                <w:szCs w:val="21"/>
                <w:highlight w:val="none"/>
                <w:lang w:eastAsia="zh-CN"/>
              </w:rPr>
            </w:pPr>
          </w:p>
        </w:tc>
        <w:tc>
          <w:tcPr>
            <w:tcW w:w="1499" w:type="dxa"/>
            <w:vAlign w:val="center"/>
          </w:tcPr>
          <w:p w14:paraId="30980913">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6821" w:type="dxa"/>
            <w:vAlign w:val="center"/>
          </w:tcPr>
          <w:p w14:paraId="0C79C896">
            <w:pPr>
              <w:widowControl w:val="0"/>
              <w:adjustRightInd/>
              <w:snapToGrid/>
              <w:spacing w:line="360" w:lineRule="auto"/>
              <w:jc w:val="left"/>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1、每完成约300吨渗滤液运输后，十五个工作日内支付处置费用，按实际处置量结算；</w:t>
            </w:r>
          </w:p>
          <w:p w14:paraId="01F13C94">
            <w:pPr>
              <w:widowControl w:val="0"/>
              <w:adjustRightInd/>
              <w:snapToGrid/>
              <w:spacing w:line="360" w:lineRule="auto"/>
              <w:jc w:val="left"/>
              <w:rPr>
                <w:rFonts w:hint="eastAsia"/>
                <w:color w:val="auto"/>
                <w:lang w:val="en-US" w:eastAsia="zh-CN"/>
              </w:rPr>
            </w:pPr>
            <w:r>
              <w:rPr>
                <w:rFonts w:hint="eastAsia" w:ascii="宋体" w:hAnsi="宋体" w:eastAsia="宋体" w:cs="宋体"/>
                <w:color w:val="auto"/>
                <w:kern w:val="2"/>
                <w:sz w:val="21"/>
                <w:szCs w:val="21"/>
                <w:lang w:val="en-US" w:eastAsia="zh-CN"/>
              </w:rPr>
              <w:t>2、以上实际数量均以省固废平台联单为准，中标人请款前应向采购人提供请款材料和等额的增值税专用发票，否则采购人有权拒绝付款并且无需承担任何责任。</w:t>
            </w:r>
          </w:p>
        </w:tc>
      </w:tr>
      <w:tr w14:paraId="653DA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738" w:type="dxa"/>
            <w:vAlign w:val="center"/>
          </w:tcPr>
          <w:p w14:paraId="1A508030">
            <w:pPr>
              <w:numPr>
                <w:ilvl w:val="0"/>
                <w:numId w:val="2"/>
              </w:numPr>
              <w:ind w:left="635" w:leftChars="0" w:hanging="425" w:firstLineChars="0"/>
              <w:jc w:val="center"/>
              <w:rPr>
                <w:rFonts w:hint="eastAsia" w:ascii="宋体" w:hAnsi="宋体" w:eastAsia="宋体" w:cs="宋体"/>
                <w:color w:val="auto"/>
                <w:sz w:val="21"/>
                <w:szCs w:val="21"/>
                <w:highlight w:val="none"/>
                <w:lang w:eastAsia="zh-CN"/>
              </w:rPr>
            </w:pPr>
          </w:p>
        </w:tc>
        <w:tc>
          <w:tcPr>
            <w:tcW w:w="1499" w:type="dxa"/>
            <w:vAlign w:val="center"/>
          </w:tcPr>
          <w:p w14:paraId="75D2BFBE">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投标有效期</w:t>
            </w:r>
          </w:p>
        </w:tc>
        <w:tc>
          <w:tcPr>
            <w:tcW w:w="6821" w:type="dxa"/>
            <w:vAlign w:val="center"/>
          </w:tcPr>
          <w:p w14:paraId="77DE99AA">
            <w:pPr>
              <w:tabs>
                <w:tab w:val="center" w:pos="3125"/>
              </w:tabs>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自开标之日起90天。</w:t>
            </w:r>
          </w:p>
        </w:tc>
      </w:tr>
      <w:tr w14:paraId="4CD36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trPr>
        <w:tc>
          <w:tcPr>
            <w:tcW w:w="738" w:type="dxa"/>
            <w:vAlign w:val="center"/>
          </w:tcPr>
          <w:p w14:paraId="39FA1789">
            <w:pPr>
              <w:numPr>
                <w:ilvl w:val="0"/>
                <w:numId w:val="2"/>
              </w:numPr>
              <w:ind w:left="635" w:leftChars="0" w:hanging="425" w:firstLineChars="0"/>
              <w:jc w:val="center"/>
              <w:rPr>
                <w:rFonts w:hint="eastAsia" w:ascii="宋体" w:hAnsi="宋体" w:eastAsia="宋体" w:cs="宋体"/>
                <w:color w:val="auto"/>
                <w:sz w:val="21"/>
                <w:szCs w:val="21"/>
                <w:highlight w:val="none"/>
                <w:lang w:eastAsia="zh-CN"/>
              </w:rPr>
            </w:pPr>
          </w:p>
        </w:tc>
        <w:tc>
          <w:tcPr>
            <w:tcW w:w="1499" w:type="dxa"/>
            <w:vAlign w:val="center"/>
          </w:tcPr>
          <w:p w14:paraId="6AEF26DC">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合同条款</w:t>
            </w:r>
          </w:p>
        </w:tc>
        <w:tc>
          <w:tcPr>
            <w:tcW w:w="6821" w:type="dxa"/>
            <w:vAlign w:val="center"/>
          </w:tcPr>
          <w:p w14:paraId="29B919AA">
            <w:pP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投标人实质响应合同各条款。</w:t>
            </w:r>
          </w:p>
        </w:tc>
      </w:tr>
    </w:tbl>
    <w:p w14:paraId="36CEA02B">
      <w:pPr>
        <w:rPr>
          <w:rFonts w:hint="eastAsia" w:ascii="宋体" w:hAnsi="宋体" w:eastAsia="宋体" w:cs="宋体"/>
          <w:color w:val="auto"/>
          <w:highlight w:val="none"/>
        </w:rPr>
      </w:pPr>
      <w:bookmarkStart w:id="14" w:name="_Toc19316"/>
      <w:r>
        <w:rPr>
          <w:rFonts w:hint="eastAsia" w:ascii="宋体" w:hAnsi="宋体" w:eastAsia="宋体" w:cs="宋体"/>
          <w:color w:val="auto"/>
          <w:highlight w:val="none"/>
        </w:rPr>
        <w:br w:type="page"/>
      </w:r>
    </w:p>
    <w:p w14:paraId="245CA023">
      <w:pPr>
        <w:pStyle w:val="6"/>
        <w:spacing w:before="0" w:after="0" w:line="360" w:lineRule="auto"/>
        <w:jc w:val="center"/>
        <w:rPr>
          <w:rFonts w:hint="eastAsia" w:ascii="宋体" w:hAnsi="宋体" w:eastAsia="宋体" w:cs="宋体"/>
          <w:color w:val="auto"/>
          <w:highlight w:val="none"/>
        </w:rPr>
      </w:pPr>
      <w:bookmarkStart w:id="15" w:name="_Toc18737"/>
      <w:r>
        <w:rPr>
          <w:rFonts w:hint="eastAsia" w:ascii="宋体" w:hAnsi="宋体" w:eastAsia="宋体" w:cs="宋体"/>
          <w:color w:val="auto"/>
          <w:highlight w:val="none"/>
        </w:rPr>
        <w:t>第二章 技术需求书</w:t>
      </w:r>
      <w:bookmarkEnd w:id="14"/>
      <w:bookmarkEnd w:id="15"/>
    </w:p>
    <w:bookmarkEnd w:id="9"/>
    <w:p w14:paraId="1FC06566">
      <w:pPr>
        <w:ind w:firstLine="420" w:firstLineChars="200"/>
        <w:rPr>
          <w:rFonts w:hint="eastAsia" w:ascii="宋体" w:hAnsi="宋体" w:eastAsia="宋体" w:cs="宋体"/>
          <w:color w:val="auto"/>
          <w:szCs w:val="21"/>
          <w:highlight w:val="none"/>
        </w:rPr>
      </w:pPr>
    </w:p>
    <w:bookmarkEnd w:id="10"/>
    <w:bookmarkEnd w:id="11"/>
    <w:bookmarkEnd w:id="12"/>
    <w:bookmarkEnd w:id="13"/>
    <w:p w14:paraId="1F6E397B">
      <w:pPr>
        <w:widowControl w:val="0"/>
        <w:numPr>
          <w:ilvl w:val="0"/>
          <w:numId w:val="3"/>
        </w:numPr>
        <w:adjustRightInd/>
        <w:snapToGrid/>
        <w:spacing w:line="360" w:lineRule="auto"/>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项目名称及内容</w:t>
      </w:r>
    </w:p>
    <w:p w14:paraId="4500AF69">
      <w:pPr>
        <w:widowControl w:val="0"/>
        <w:adjustRightInd/>
        <w:snapToGrid/>
        <w:spacing w:line="360" w:lineRule="auto"/>
        <w:ind w:firstLine="420" w:firstLineChars="200"/>
        <w:jc w:val="both"/>
        <w:rPr>
          <w:rFonts w:hint="eastAsia" w:ascii="宋体" w:hAnsi="宋体" w:eastAsia="宋体" w:cs="宋体"/>
          <w:color w:val="auto"/>
          <w:kern w:val="2"/>
          <w:sz w:val="21"/>
          <w:szCs w:val="21"/>
          <w:highlight w:val="none"/>
          <w:u w:val="none"/>
        </w:rPr>
      </w:pPr>
      <w:r>
        <w:rPr>
          <w:rFonts w:hint="eastAsia" w:ascii="宋体" w:hAnsi="宋体" w:cs="宋体"/>
          <w:color w:val="auto"/>
          <w:kern w:val="2"/>
          <w:sz w:val="21"/>
          <w:szCs w:val="21"/>
          <w:highlight w:val="none"/>
          <w:u w:val="none"/>
          <w:lang w:val="en-US" w:eastAsia="zh-CN"/>
        </w:rPr>
        <w:t>新东粤公司2025年至2027年（三年）渗滤液外运处置项目</w:t>
      </w:r>
    </w:p>
    <w:p w14:paraId="56374FD6">
      <w:pPr>
        <w:widowControl w:val="0"/>
        <w:numPr>
          <w:ilvl w:val="0"/>
          <w:numId w:val="3"/>
        </w:numPr>
        <w:adjustRightInd/>
        <w:snapToGrid/>
        <w:spacing w:line="360" w:lineRule="auto"/>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项目概况</w:t>
      </w:r>
    </w:p>
    <w:p w14:paraId="21BE445D">
      <w:pPr>
        <w:widowControl w:val="0"/>
        <w:adjustRightInd/>
        <w:snapToGrid/>
        <w:spacing w:line="360" w:lineRule="auto"/>
        <w:ind w:firstLine="420" w:firstLineChars="20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东莞市东南部卫生填埋场项目运营期间，实行严格的作业制度，实施高标准的作业流程，坚持库区全覆盖、作业小开口、雨天不作业原则，有效控制了渗滤液的产生。</w:t>
      </w:r>
    </w:p>
    <w:p w14:paraId="2A774BDA">
      <w:pPr>
        <w:widowControl w:val="0"/>
        <w:adjustRightInd/>
        <w:snapToGrid/>
        <w:spacing w:line="360" w:lineRule="auto"/>
        <w:ind w:firstLine="420" w:firstLineChars="20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2025-</w:t>
      </w:r>
      <w:r>
        <w:rPr>
          <w:rFonts w:hint="eastAsia" w:ascii="宋体" w:hAnsi="宋体" w:cs="宋体"/>
          <w:color w:val="auto"/>
          <w:kern w:val="2"/>
          <w:sz w:val="21"/>
          <w:szCs w:val="21"/>
          <w:lang w:val="en-US" w:eastAsia="zh-CN"/>
        </w:rPr>
        <w:t>2027</w:t>
      </w:r>
      <w:r>
        <w:rPr>
          <w:rFonts w:hint="eastAsia" w:ascii="宋体" w:hAnsi="宋体" w:eastAsia="宋体" w:cs="宋体"/>
          <w:color w:val="auto"/>
          <w:kern w:val="2"/>
          <w:sz w:val="21"/>
          <w:szCs w:val="21"/>
          <w:lang w:val="en-US" w:eastAsia="zh-CN"/>
        </w:rPr>
        <w:t>年度合同期内计划外运处</w:t>
      </w:r>
      <w:r>
        <w:rPr>
          <w:rFonts w:hint="eastAsia" w:ascii="宋体" w:hAnsi="宋体" w:eastAsia="宋体" w:cs="宋体"/>
          <w:color w:val="auto"/>
          <w:kern w:val="2"/>
          <w:sz w:val="21"/>
          <w:szCs w:val="21"/>
          <w:highlight w:val="none"/>
          <w:lang w:val="en-US" w:eastAsia="zh-CN"/>
        </w:rPr>
        <w:t>置1</w:t>
      </w:r>
      <w:r>
        <w:rPr>
          <w:rFonts w:hint="eastAsia" w:ascii="宋体" w:hAnsi="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en-US" w:eastAsia="zh-CN"/>
        </w:rPr>
        <w:t>00吨渗滤液</w:t>
      </w:r>
      <w:r>
        <w:rPr>
          <w:rFonts w:hint="eastAsia" w:ascii="宋体" w:hAnsi="宋体" w:eastAsia="宋体" w:cs="宋体"/>
          <w:color w:val="auto"/>
          <w:kern w:val="2"/>
          <w:sz w:val="21"/>
          <w:szCs w:val="21"/>
          <w:lang w:val="en-US" w:eastAsia="zh-CN"/>
        </w:rPr>
        <w:t>，具体</w:t>
      </w:r>
      <w:r>
        <w:rPr>
          <w:rFonts w:hint="eastAsia" w:ascii="宋体" w:hAnsi="宋体" w:cs="宋体"/>
          <w:color w:val="auto"/>
          <w:kern w:val="2"/>
          <w:sz w:val="21"/>
          <w:szCs w:val="21"/>
          <w:lang w:val="en-US" w:eastAsia="zh-CN"/>
        </w:rPr>
        <w:t>根据采购人的需求，以实际转运量为准</w:t>
      </w:r>
      <w:r>
        <w:rPr>
          <w:rFonts w:hint="eastAsia" w:ascii="宋体" w:hAnsi="宋体" w:eastAsia="宋体" w:cs="宋体"/>
          <w:color w:val="auto"/>
          <w:kern w:val="2"/>
          <w:sz w:val="21"/>
          <w:szCs w:val="21"/>
          <w:lang w:val="en-US" w:eastAsia="zh-CN"/>
        </w:rPr>
        <w:t>。每年年底调节池渗滤液需全部转运处置完毕，确保渗滤液不跨年储存。拟计划按危险废物HW49(772-006-49)外运处置。</w:t>
      </w:r>
      <w:r>
        <w:rPr>
          <w:rFonts w:hint="eastAsia" w:ascii="宋体" w:hAnsi="宋体" w:eastAsia="宋体" w:cs="宋体"/>
          <w:color w:val="auto"/>
          <w:kern w:val="2"/>
          <w:sz w:val="21"/>
          <w:szCs w:val="21"/>
        </w:rPr>
        <w:t xml:space="preserve"> </w:t>
      </w:r>
    </w:p>
    <w:p w14:paraId="687B8FC9">
      <w:pPr>
        <w:widowControl w:val="0"/>
        <w:numPr>
          <w:ilvl w:val="0"/>
          <w:numId w:val="3"/>
        </w:numPr>
        <w:adjustRightInd/>
        <w:snapToGrid/>
        <w:spacing w:line="360" w:lineRule="auto"/>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采购内容及要求</w:t>
      </w:r>
    </w:p>
    <w:p w14:paraId="14F3D902">
      <w:pPr>
        <w:widowControl w:val="0"/>
        <w:adjustRightInd/>
        <w:snapToGrid/>
        <w:spacing w:line="360" w:lineRule="auto"/>
        <w:ind w:firstLine="420" w:firstLineChars="200"/>
        <w:jc w:val="both"/>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1、</w:t>
      </w:r>
      <w:r>
        <w:rPr>
          <w:rFonts w:hint="eastAsia" w:ascii="宋体" w:hAnsi="宋体" w:eastAsia="宋体" w:cs="宋体"/>
          <w:color w:val="auto"/>
          <w:kern w:val="2"/>
          <w:sz w:val="21"/>
          <w:szCs w:val="21"/>
          <w:lang w:val="en-US" w:eastAsia="zh-CN"/>
        </w:rPr>
        <w:t>中标人保证各项处理处置条件和设施符合国家法律、法规对处理处置危险废物的技术要求，并且在运输和处理处置过程中，不产生对环境的二次污染。</w:t>
      </w:r>
    </w:p>
    <w:p w14:paraId="7E9227E7">
      <w:pPr>
        <w:widowControl w:val="0"/>
        <w:adjustRightInd/>
        <w:snapToGrid/>
        <w:spacing w:line="360" w:lineRule="auto"/>
        <w:ind w:firstLine="420" w:firstLineChars="200"/>
        <w:jc w:val="both"/>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2、</w:t>
      </w:r>
      <w:r>
        <w:rPr>
          <w:rFonts w:hint="eastAsia" w:ascii="宋体" w:hAnsi="宋体" w:eastAsia="宋体" w:cs="宋体"/>
          <w:color w:val="auto"/>
          <w:kern w:val="2"/>
          <w:sz w:val="21"/>
          <w:szCs w:val="21"/>
          <w:lang w:val="en-US" w:eastAsia="zh-CN"/>
        </w:rPr>
        <w:t>中标人应确保已依法制定危险废物意外事故防范措施和应急预案，并报生态环境局备案。</w:t>
      </w:r>
    </w:p>
    <w:p w14:paraId="0D96CB93">
      <w:pPr>
        <w:widowControl w:val="0"/>
        <w:adjustRightInd/>
        <w:snapToGrid/>
        <w:spacing w:line="360" w:lineRule="auto"/>
        <w:ind w:firstLine="420" w:firstLineChars="200"/>
        <w:jc w:val="both"/>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3、</w:t>
      </w:r>
      <w:r>
        <w:rPr>
          <w:rFonts w:hint="eastAsia" w:ascii="宋体" w:hAnsi="宋体" w:eastAsia="宋体" w:cs="宋体"/>
          <w:color w:val="auto"/>
          <w:kern w:val="2"/>
          <w:sz w:val="21"/>
          <w:szCs w:val="21"/>
          <w:lang w:val="en-US" w:eastAsia="zh-CN"/>
        </w:rPr>
        <w:t>中标人应协助甲方办理备案手续，在合同生效后30个工作日内完成危险废物管理计划备案并通过审核。</w:t>
      </w:r>
    </w:p>
    <w:p w14:paraId="0911FC07">
      <w:pPr>
        <w:widowControl w:val="0"/>
        <w:adjustRightInd/>
        <w:snapToGrid/>
        <w:spacing w:line="360" w:lineRule="auto"/>
        <w:ind w:firstLine="420" w:firstLineChars="200"/>
        <w:jc w:val="both"/>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4、</w:t>
      </w:r>
      <w:r>
        <w:rPr>
          <w:rFonts w:hint="eastAsia" w:ascii="宋体" w:hAnsi="宋体" w:eastAsia="宋体" w:cs="宋体"/>
          <w:color w:val="auto"/>
          <w:kern w:val="2"/>
          <w:sz w:val="21"/>
          <w:szCs w:val="21"/>
          <w:lang w:val="en-US" w:eastAsia="zh-CN"/>
        </w:rPr>
        <w:t>中标人应确保约定的危险废物处置合法合规，符合政府相关部门的要求，保证采购人不因本合同约定的危险废物处置而受到处罚或者通报。</w:t>
      </w:r>
    </w:p>
    <w:p w14:paraId="5CD6A014">
      <w:pPr>
        <w:widowControl w:val="0"/>
        <w:adjustRightInd/>
        <w:snapToGrid/>
        <w:spacing w:line="360" w:lineRule="auto"/>
        <w:ind w:firstLine="420" w:firstLineChars="200"/>
        <w:jc w:val="both"/>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5、</w:t>
      </w:r>
      <w:r>
        <w:rPr>
          <w:rFonts w:hint="eastAsia" w:ascii="宋体" w:hAnsi="宋体" w:eastAsia="宋体" w:cs="宋体"/>
          <w:color w:val="auto"/>
          <w:kern w:val="2"/>
          <w:sz w:val="21"/>
          <w:szCs w:val="21"/>
          <w:lang w:val="en-US" w:eastAsia="zh-CN"/>
        </w:rPr>
        <w:t>中标人应协助采购人检查废物包装物是否结实并封口紧密、完成危险废物储存标识标志设置等规范管理工作，确保符合收运要求。</w:t>
      </w:r>
    </w:p>
    <w:p w14:paraId="01A8EC5B">
      <w:pPr>
        <w:widowControl w:val="0"/>
        <w:adjustRightInd/>
        <w:snapToGrid/>
        <w:spacing w:line="360" w:lineRule="auto"/>
        <w:ind w:firstLine="420" w:firstLineChars="200"/>
        <w:jc w:val="both"/>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6、</w:t>
      </w:r>
      <w:r>
        <w:rPr>
          <w:rFonts w:hint="eastAsia" w:ascii="宋体" w:hAnsi="宋体" w:eastAsia="宋体" w:cs="宋体"/>
          <w:color w:val="auto"/>
          <w:kern w:val="2"/>
          <w:sz w:val="21"/>
          <w:szCs w:val="21"/>
          <w:lang w:val="en-US" w:eastAsia="zh-CN"/>
        </w:rPr>
        <w:t xml:space="preserve">中标人负责合同约定危险废物的运输，根据采购人的现场条件安排运输车辆/提供必要的包装物。由于采购人现场有3.5m限高问题，中标人提供的车辆必须满足现场要求，如采用罐车运输，需满足限高问题，如采用其他运输车辆，则除满足限高问题外还需提供必要的容器和危险废物标签。中标人应保证提供的废物包装物完好、结实并封口紧密，防止所盛装的危险废物在存储、装卸及运输过程发生泄露、渗漏、发生物理或化学反应等异常。 </w:t>
      </w:r>
    </w:p>
    <w:p w14:paraId="274AFFBB">
      <w:pPr>
        <w:widowControl w:val="0"/>
        <w:adjustRightInd/>
        <w:snapToGrid/>
        <w:spacing w:line="360" w:lineRule="auto"/>
        <w:ind w:firstLine="420" w:firstLineChars="200"/>
        <w:jc w:val="both"/>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7、</w:t>
      </w:r>
      <w:r>
        <w:rPr>
          <w:rFonts w:hint="eastAsia" w:ascii="宋体" w:hAnsi="宋体" w:eastAsia="宋体" w:cs="宋体"/>
          <w:color w:val="auto"/>
          <w:kern w:val="2"/>
          <w:sz w:val="21"/>
          <w:szCs w:val="21"/>
          <w:lang w:val="en-US" w:eastAsia="zh-CN"/>
        </w:rPr>
        <w:t>废物运输之前采购人的废物名称及响应人的包装须得到双方认可；任何一方对“广东省固体废物环境监管信息平台”填写信息有异议，双方须根据实际发生收运情况（承运单、磅单等凭据）重新确认并修正平台信息，直至完成提交。</w:t>
      </w:r>
    </w:p>
    <w:p w14:paraId="7CD1ED54">
      <w:pPr>
        <w:widowControl w:val="0"/>
        <w:adjustRightInd/>
        <w:snapToGrid/>
        <w:spacing w:line="360" w:lineRule="auto"/>
        <w:ind w:firstLine="420" w:firstLineChars="200"/>
        <w:jc w:val="both"/>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8、</w:t>
      </w:r>
      <w:r>
        <w:rPr>
          <w:rFonts w:hint="eastAsia" w:ascii="宋体" w:hAnsi="宋体" w:eastAsia="宋体" w:cs="宋体"/>
          <w:color w:val="auto"/>
          <w:kern w:val="2"/>
          <w:sz w:val="21"/>
          <w:szCs w:val="21"/>
          <w:lang w:val="en-US" w:eastAsia="zh-CN"/>
        </w:rPr>
        <w:t>本项目约定处置的危险废物，在运出采购人2号门岗之前，其相关责任由采购人负责，在运出采购人2号门岗之后，其相关责任由中标人负责。</w:t>
      </w:r>
    </w:p>
    <w:p w14:paraId="3A2D7A0F">
      <w:pPr>
        <w:widowControl w:val="0"/>
        <w:adjustRightInd/>
        <w:snapToGrid/>
        <w:spacing w:line="360" w:lineRule="auto"/>
        <w:ind w:firstLine="420" w:firstLineChars="200"/>
        <w:jc w:val="both"/>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9、</w:t>
      </w:r>
      <w:r>
        <w:rPr>
          <w:rFonts w:hint="eastAsia" w:ascii="宋体" w:hAnsi="宋体" w:eastAsia="宋体" w:cs="宋体"/>
          <w:color w:val="auto"/>
          <w:kern w:val="2"/>
          <w:sz w:val="21"/>
          <w:szCs w:val="21"/>
          <w:lang w:val="en-US" w:eastAsia="zh-CN"/>
        </w:rPr>
        <w:t>合同签订之前，采购人到中标人项目处进行实地考察，核实处理工艺，后续实际转运也会安排专人跟进危废转运车辆到处置现场，确保严格按照有关规定及合同约定处置，如中标人项目现场处理工艺等技术条件与投标情况不符，采购人有权解除合同并追究相关责任。</w:t>
      </w:r>
    </w:p>
    <w:p w14:paraId="6B4727AA">
      <w:pPr>
        <w:widowControl w:val="0"/>
        <w:adjustRightInd/>
        <w:snapToGrid/>
        <w:spacing w:line="360" w:lineRule="auto"/>
        <w:ind w:firstLine="420" w:firstLineChars="200"/>
        <w:jc w:val="both"/>
        <w:rPr>
          <w:rFonts w:hint="eastAsia" w:ascii="宋体" w:hAnsi="宋体" w:eastAsia="宋体" w:cs="宋体"/>
          <w:color w:val="auto"/>
          <w:sz w:val="28"/>
          <w:szCs w:val="28"/>
          <w:highlight w:val="none"/>
          <w:lang w:val="en-US" w:eastAsia="zh-CN"/>
        </w:rPr>
      </w:pPr>
      <w:r>
        <w:rPr>
          <w:rFonts w:hint="eastAsia" w:ascii="宋体" w:hAnsi="宋体" w:cs="宋体"/>
          <w:color w:val="auto"/>
          <w:kern w:val="2"/>
          <w:sz w:val="21"/>
          <w:szCs w:val="21"/>
          <w:lang w:val="en-US" w:eastAsia="zh-CN"/>
        </w:rPr>
        <w:t>10、</w:t>
      </w:r>
      <w:r>
        <w:rPr>
          <w:rFonts w:hint="eastAsia" w:ascii="宋体" w:hAnsi="宋体" w:eastAsia="宋体" w:cs="宋体"/>
          <w:color w:val="auto"/>
          <w:kern w:val="2"/>
          <w:sz w:val="21"/>
          <w:szCs w:val="21"/>
          <w:lang w:val="en-US" w:eastAsia="zh-CN"/>
        </w:rPr>
        <w:t>中标人所委托的废物运输单位须用专用车辆运输；专用车辆应当悬挂危险货物运输许可标志；押运人须具备相关法律法规要求的证照。</w:t>
      </w:r>
    </w:p>
    <w:p w14:paraId="20C20DB3">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5E95B1C">
      <w:pPr>
        <w:pStyle w:val="5"/>
        <w:spacing w:before="0" w:after="0" w:line="240" w:lineRule="auto"/>
        <w:rPr>
          <w:rFonts w:hint="eastAsia" w:ascii="宋体" w:hAnsi="宋体" w:eastAsia="宋体" w:cs="宋体"/>
          <w:color w:val="auto"/>
          <w:sz w:val="24"/>
          <w:szCs w:val="24"/>
          <w:highlight w:val="none"/>
        </w:rPr>
      </w:pPr>
      <w:bookmarkStart w:id="16" w:name="_Toc1984"/>
      <w:r>
        <w:rPr>
          <w:rFonts w:hint="eastAsia" w:ascii="宋体" w:hAnsi="宋体" w:eastAsia="宋体" w:cs="宋体"/>
          <w:color w:val="auto"/>
          <w:sz w:val="28"/>
          <w:szCs w:val="28"/>
          <w:highlight w:val="none"/>
        </w:rPr>
        <w:t>第四部分投标人须知</w:t>
      </w:r>
      <w:bookmarkEnd w:id="16"/>
    </w:p>
    <w:p w14:paraId="1AB6C1E6">
      <w:pPr>
        <w:pStyle w:val="6"/>
        <w:numPr>
          <w:ilvl w:val="0"/>
          <w:numId w:val="4"/>
        </w:numPr>
        <w:spacing w:before="0" w:after="0" w:line="480" w:lineRule="auto"/>
        <w:jc w:val="center"/>
        <w:rPr>
          <w:rFonts w:hint="eastAsia" w:ascii="宋体" w:hAnsi="宋体" w:eastAsia="宋体" w:cs="宋体"/>
          <w:color w:val="auto"/>
          <w:highlight w:val="none"/>
        </w:rPr>
      </w:pPr>
      <w:bookmarkStart w:id="17" w:name="_Toc16932"/>
      <w:r>
        <w:rPr>
          <w:rFonts w:hint="eastAsia" w:ascii="宋体" w:hAnsi="宋体" w:eastAsia="宋体" w:cs="宋体"/>
          <w:color w:val="auto"/>
          <w:highlight w:val="none"/>
        </w:rPr>
        <w:t>说明</w:t>
      </w:r>
      <w:bookmarkEnd w:id="17"/>
    </w:p>
    <w:p w14:paraId="32BE6559">
      <w:pPr>
        <w:pStyle w:val="7"/>
        <w:widowControl w:val="0"/>
        <w:numPr>
          <w:ilvl w:val="0"/>
          <w:numId w:val="5"/>
        </w:numPr>
        <w:overflowPunct w:val="0"/>
        <w:rPr>
          <w:rFonts w:hint="eastAsia" w:ascii="宋体" w:hAnsi="宋体" w:eastAsia="宋体" w:cs="宋体"/>
          <w:color w:val="auto"/>
          <w:sz w:val="21"/>
          <w:szCs w:val="21"/>
          <w:highlight w:val="none"/>
        </w:rPr>
      </w:pPr>
      <w:bookmarkStart w:id="18" w:name="_Toc18866"/>
      <w:r>
        <w:rPr>
          <w:rFonts w:hint="eastAsia" w:ascii="宋体" w:hAnsi="宋体" w:eastAsia="宋体" w:cs="宋体"/>
          <w:color w:val="auto"/>
          <w:sz w:val="21"/>
          <w:szCs w:val="21"/>
          <w:highlight w:val="none"/>
        </w:rPr>
        <w:t>适用范围</w:t>
      </w:r>
      <w:bookmarkEnd w:id="18"/>
    </w:p>
    <w:p w14:paraId="779E95D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采购范围：见本文件《用户需求书》</w:t>
      </w:r>
    </w:p>
    <w:p w14:paraId="404F797E">
      <w:pPr>
        <w:rPr>
          <w:rFonts w:hint="eastAsia" w:ascii="宋体" w:hAnsi="宋体" w:eastAsia="宋体" w:cs="宋体"/>
          <w:color w:val="auto"/>
          <w:highlight w:val="none"/>
        </w:rPr>
      </w:pPr>
    </w:p>
    <w:p w14:paraId="20D52FFC">
      <w:pPr>
        <w:pStyle w:val="7"/>
        <w:widowControl w:val="0"/>
        <w:numPr>
          <w:ilvl w:val="0"/>
          <w:numId w:val="5"/>
        </w:numPr>
        <w:overflowPunct w:val="0"/>
        <w:rPr>
          <w:rFonts w:hint="eastAsia" w:ascii="宋体" w:hAnsi="宋体" w:eastAsia="宋体" w:cs="宋体"/>
          <w:vanish/>
          <w:color w:val="auto"/>
          <w:szCs w:val="21"/>
          <w:highlight w:val="none"/>
        </w:rPr>
      </w:pPr>
      <w:bookmarkStart w:id="19" w:name="_Toc1029"/>
      <w:bookmarkStart w:id="20" w:name="_Toc298847174"/>
      <w:bookmarkStart w:id="21" w:name="_Toc382049092"/>
      <w:bookmarkStart w:id="22" w:name="_Toc1530"/>
      <w:bookmarkStart w:id="23" w:name="_Toc303084246"/>
      <w:r>
        <w:rPr>
          <w:rFonts w:hint="eastAsia" w:ascii="宋体" w:hAnsi="宋体" w:eastAsia="宋体" w:cs="宋体"/>
          <w:color w:val="auto"/>
          <w:sz w:val="21"/>
          <w:szCs w:val="21"/>
          <w:highlight w:val="none"/>
        </w:rPr>
        <w:t>定义</w:t>
      </w:r>
      <w:bookmarkEnd w:id="19"/>
      <w:bookmarkEnd w:id="20"/>
      <w:bookmarkEnd w:id="21"/>
      <w:bookmarkEnd w:id="22"/>
      <w:bookmarkEnd w:id="23"/>
    </w:p>
    <w:p w14:paraId="7191BEA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采购人：见投标邀请书。</w:t>
      </w:r>
    </w:p>
    <w:p w14:paraId="0F6ACD41">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投标人：响应采购并且符合采购文件规定资格条件和参加投标竞争的法人、其他组织或者自然人。</w:t>
      </w:r>
    </w:p>
    <w:p w14:paraId="684BBBE1">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法人：法人是依法在国内进行注册并具有民事权利能力和民事行为能力，依法独立享有民事权利和承担民事义务的组织。</w:t>
      </w:r>
    </w:p>
    <w:p w14:paraId="63AE0A4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中标人：指经评标委员会评审推荐、采购人确认的获得本项目中标资格的投标人。</w:t>
      </w:r>
    </w:p>
    <w:p w14:paraId="65F2D48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采购代理机构：见投标邀请书。</w:t>
      </w:r>
    </w:p>
    <w:p w14:paraId="0BCDF8C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评标委员会：评标委员会是依据相关规定组建的专门负责本次采购其评标工作的临时性机构。</w:t>
      </w:r>
    </w:p>
    <w:p w14:paraId="1BE1B341">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合同：指由本次采购所产生的合同或合约文件。</w:t>
      </w:r>
    </w:p>
    <w:p w14:paraId="776CAFC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2B00592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6A1E77E9">
      <w:pPr>
        <w:rPr>
          <w:rFonts w:hint="eastAsia" w:ascii="宋体" w:hAnsi="宋体" w:eastAsia="宋体" w:cs="宋体"/>
          <w:color w:val="auto"/>
          <w:highlight w:val="none"/>
        </w:rPr>
      </w:pPr>
    </w:p>
    <w:p w14:paraId="6CF0B87E">
      <w:pPr>
        <w:pStyle w:val="7"/>
        <w:widowControl w:val="0"/>
        <w:numPr>
          <w:ilvl w:val="0"/>
          <w:numId w:val="5"/>
        </w:numPr>
        <w:overflowPunct w:val="0"/>
        <w:rPr>
          <w:rFonts w:hint="eastAsia" w:ascii="宋体" w:hAnsi="宋体" w:eastAsia="宋体" w:cs="宋体"/>
          <w:vanish/>
          <w:color w:val="auto"/>
          <w:szCs w:val="21"/>
          <w:highlight w:val="none"/>
        </w:rPr>
      </w:pPr>
      <w:bookmarkStart w:id="24" w:name="_Toc23889"/>
      <w:r>
        <w:rPr>
          <w:rFonts w:hint="eastAsia" w:ascii="宋体" w:hAnsi="宋体" w:eastAsia="宋体" w:cs="宋体"/>
          <w:color w:val="auto"/>
          <w:sz w:val="21"/>
          <w:szCs w:val="21"/>
          <w:highlight w:val="none"/>
        </w:rPr>
        <w:t>货物和服务</w:t>
      </w:r>
      <w:bookmarkEnd w:id="24"/>
    </w:p>
    <w:p w14:paraId="0481581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货物是指各种形态和种类的物品，包括原材料、燃料、设备、产品等。</w:t>
      </w:r>
    </w:p>
    <w:p w14:paraId="6829695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服务是指除货物和工程以外的其他采购对象。</w:t>
      </w:r>
    </w:p>
    <w:p w14:paraId="273F6A0E">
      <w:pPr>
        <w:rPr>
          <w:rFonts w:hint="eastAsia" w:ascii="宋体" w:hAnsi="宋体" w:eastAsia="宋体" w:cs="宋体"/>
          <w:color w:val="auto"/>
          <w:highlight w:val="none"/>
        </w:rPr>
      </w:pPr>
    </w:p>
    <w:p w14:paraId="42A892E5">
      <w:pPr>
        <w:pStyle w:val="7"/>
        <w:widowControl w:val="0"/>
        <w:numPr>
          <w:ilvl w:val="0"/>
          <w:numId w:val="5"/>
        </w:numPr>
        <w:overflowPunct w:val="0"/>
        <w:rPr>
          <w:rFonts w:hint="eastAsia" w:ascii="宋体" w:hAnsi="宋体" w:eastAsia="宋体" w:cs="宋体"/>
          <w:vanish/>
          <w:color w:val="auto"/>
          <w:szCs w:val="21"/>
          <w:highlight w:val="none"/>
        </w:rPr>
      </w:pPr>
      <w:bookmarkStart w:id="25" w:name="_Toc28159"/>
      <w:r>
        <w:rPr>
          <w:rFonts w:hint="eastAsia" w:ascii="宋体" w:hAnsi="宋体" w:eastAsia="宋体" w:cs="宋体"/>
          <w:color w:val="auto"/>
          <w:sz w:val="21"/>
          <w:szCs w:val="21"/>
          <w:highlight w:val="none"/>
        </w:rPr>
        <w:t>投标费用</w:t>
      </w:r>
      <w:bookmarkEnd w:id="25"/>
    </w:p>
    <w:p w14:paraId="7DC1571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6776DF09">
      <w:pPr>
        <w:widowControl w:val="0"/>
        <w:adjustRightInd/>
        <w:snapToGrid/>
        <w:jc w:val="both"/>
        <w:rPr>
          <w:rFonts w:hint="eastAsia" w:ascii="宋体" w:hAnsi="宋体" w:eastAsia="宋体" w:cs="宋体"/>
          <w:color w:val="auto"/>
          <w:szCs w:val="21"/>
          <w:highlight w:val="none"/>
        </w:rPr>
      </w:pPr>
    </w:p>
    <w:p w14:paraId="1CE22748">
      <w:pPr>
        <w:pStyle w:val="7"/>
        <w:widowControl w:val="0"/>
        <w:numPr>
          <w:ilvl w:val="0"/>
          <w:numId w:val="5"/>
        </w:numPr>
        <w:overflowPunct w:val="0"/>
        <w:rPr>
          <w:rFonts w:hint="eastAsia" w:ascii="宋体" w:hAnsi="宋体" w:eastAsia="宋体" w:cs="宋体"/>
          <w:vanish/>
          <w:color w:val="auto"/>
          <w:szCs w:val="21"/>
          <w:highlight w:val="none"/>
        </w:rPr>
      </w:pPr>
      <w:bookmarkStart w:id="26" w:name="_Toc11488"/>
      <w:r>
        <w:rPr>
          <w:rFonts w:hint="eastAsia" w:ascii="宋体" w:hAnsi="宋体" w:eastAsia="宋体" w:cs="宋体"/>
          <w:color w:val="auto"/>
          <w:sz w:val="21"/>
          <w:szCs w:val="21"/>
          <w:highlight w:val="none"/>
        </w:rPr>
        <w:t>知识产权</w:t>
      </w:r>
      <w:bookmarkEnd w:id="26"/>
    </w:p>
    <w:p w14:paraId="5CFB3F3C">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2E82281C">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采购人享有本项目实施过程中产生的知识成果及知识产权。</w:t>
      </w:r>
    </w:p>
    <w:p w14:paraId="4BE0210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3571803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采购货物为计算机办公设备时，投标人提供的产品必须是预装正版操作系统软件的计算机产品。</w:t>
      </w:r>
    </w:p>
    <w:p w14:paraId="35611F5A">
      <w:pPr>
        <w:widowControl w:val="0"/>
        <w:adjustRightInd/>
        <w:snapToGrid/>
        <w:ind w:left="567"/>
        <w:jc w:val="both"/>
        <w:rPr>
          <w:rFonts w:hint="eastAsia" w:ascii="宋体" w:hAnsi="宋体" w:eastAsia="宋体" w:cs="宋体"/>
          <w:color w:val="auto"/>
          <w:szCs w:val="21"/>
          <w:highlight w:val="none"/>
        </w:rPr>
      </w:pPr>
    </w:p>
    <w:p w14:paraId="124384A6">
      <w:pPr>
        <w:pStyle w:val="7"/>
        <w:widowControl w:val="0"/>
        <w:numPr>
          <w:ilvl w:val="0"/>
          <w:numId w:val="5"/>
        </w:numPr>
        <w:overflowPunct w:val="0"/>
        <w:rPr>
          <w:rFonts w:hint="eastAsia" w:ascii="宋体" w:hAnsi="宋体" w:eastAsia="宋体" w:cs="宋体"/>
          <w:vanish/>
          <w:color w:val="auto"/>
          <w:szCs w:val="21"/>
          <w:highlight w:val="none"/>
        </w:rPr>
      </w:pPr>
      <w:bookmarkStart w:id="27" w:name="_Toc8430"/>
      <w:r>
        <w:rPr>
          <w:rFonts w:hint="eastAsia" w:ascii="宋体" w:hAnsi="宋体" w:eastAsia="宋体" w:cs="宋体"/>
          <w:color w:val="auto"/>
          <w:sz w:val="21"/>
          <w:szCs w:val="21"/>
          <w:highlight w:val="none"/>
        </w:rPr>
        <w:t>关于联合体投标</w:t>
      </w:r>
      <w:bookmarkEnd w:id="27"/>
    </w:p>
    <w:p w14:paraId="4815B36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对接受联合体投标的项目：两个以上的自然人、法人或者其他组织可以组成一个联合体，以一个投标人的身份共同参加采购活动。</w:t>
      </w:r>
    </w:p>
    <w:p w14:paraId="42315B6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以联合体形式参与项目的供应商在领购采购文件时，应提供所有联合体组成成员的营业执照复印件，并加盖各联合体组成成员的公章。</w:t>
      </w:r>
    </w:p>
    <w:p w14:paraId="147275C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联合体各方均应具有独立承担民事责任能力的法人或其他组织。</w:t>
      </w:r>
    </w:p>
    <w:p w14:paraId="04CACEC5">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73E14B4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63CAE0F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21A62A25">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供应商为联合体的，可以由联合体中的任意一方交纳保证金，其交纳的保证金对联合体各方均具有约束力。</w:t>
      </w:r>
    </w:p>
    <w:p w14:paraId="599C6B3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除联合体协议明确授权盖章单位外，联合体投标时投标文件中所有要求盖章的地方均须加盖联合体所有组成成员的公章，否则该处盖章无效。</w:t>
      </w:r>
    </w:p>
    <w:p w14:paraId="1A4F9791">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1064F9A7">
      <w:pPr>
        <w:widowControl w:val="0"/>
        <w:adjustRightInd/>
        <w:snapToGrid/>
        <w:ind w:left="567"/>
        <w:jc w:val="both"/>
        <w:rPr>
          <w:rFonts w:hint="eastAsia" w:ascii="宋体" w:hAnsi="宋体" w:eastAsia="宋体" w:cs="宋体"/>
          <w:color w:val="auto"/>
          <w:szCs w:val="21"/>
          <w:highlight w:val="none"/>
        </w:rPr>
      </w:pPr>
    </w:p>
    <w:p w14:paraId="46891634">
      <w:pPr>
        <w:pStyle w:val="7"/>
        <w:widowControl w:val="0"/>
        <w:numPr>
          <w:ilvl w:val="0"/>
          <w:numId w:val="5"/>
        </w:numPr>
        <w:overflowPunct w:val="0"/>
        <w:rPr>
          <w:rFonts w:hint="eastAsia" w:ascii="宋体" w:hAnsi="宋体" w:eastAsia="宋体" w:cs="宋体"/>
          <w:vanish/>
          <w:color w:val="auto"/>
          <w:szCs w:val="21"/>
          <w:highlight w:val="none"/>
        </w:rPr>
      </w:pPr>
      <w:bookmarkStart w:id="28" w:name="_Toc26720"/>
      <w:r>
        <w:rPr>
          <w:rFonts w:hint="eastAsia" w:ascii="宋体" w:hAnsi="宋体" w:eastAsia="宋体" w:cs="宋体"/>
          <w:color w:val="auto"/>
          <w:sz w:val="21"/>
          <w:szCs w:val="21"/>
          <w:highlight w:val="none"/>
        </w:rPr>
        <w:t>关于分支机构投标</w:t>
      </w:r>
      <w:bookmarkEnd w:id="28"/>
      <w:bookmarkStart w:id="29" w:name="EB389f116341dd4693875bc7987e7327f3"/>
    </w:p>
    <w:p w14:paraId="29156EC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29"/>
    </w:p>
    <w:p w14:paraId="723D9685">
      <w:pPr>
        <w:widowControl w:val="0"/>
        <w:adjustRightInd/>
        <w:snapToGrid/>
        <w:ind w:left="567"/>
        <w:jc w:val="both"/>
        <w:rPr>
          <w:rFonts w:hint="eastAsia" w:ascii="宋体" w:hAnsi="宋体" w:eastAsia="宋体" w:cs="宋体"/>
          <w:color w:val="auto"/>
          <w:szCs w:val="21"/>
          <w:highlight w:val="none"/>
        </w:rPr>
      </w:pPr>
    </w:p>
    <w:p w14:paraId="4D508F60">
      <w:pPr>
        <w:pStyle w:val="7"/>
        <w:widowControl w:val="0"/>
        <w:numPr>
          <w:ilvl w:val="0"/>
          <w:numId w:val="5"/>
        </w:numPr>
        <w:overflowPunct w:val="0"/>
        <w:rPr>
          <w:rFonts w:hint="eastAsia" w:ascii="宋体" w:hAnsi="宋体" w:eastAsia="宋体" w:cs="宋体"/>
          <w:color w:val="auto"/>
          <w:sz w:val="21"/>
          <w:szCs w:val="21"/>
          <w:highlight w:val="none"/>
        </w:rPr>
      </w:pPr>
      <w:bookmarkStart w:id="30" w:name="_Toc17962"/>
      <w:r>
        <w:rPr>
          <w:rFonts w:hint="eastAsia" w:ascii="宋体" w:hAnsi="宋体" w:eastAsia="宋体" w:cs="宋体"/>
          <w:color w:val="auto"/>
          <w:sz w:val="21"/>
          <w:szCs w:val="21"/>
          <w:highlight w:val="none"/>
        </w:rPr>
        <w:t>踏勘现场</w:t>
      </w:r>
      <w:bookmarkEnd w:id="30"/>
    </w:p>
    <w:p w14:paraId="734470D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《投标资料表》规定组织踏勘现场的，采购人按《投标资料表》规定的时间、地点组织响应人踏勘项目现场；</w:t>
      </w:r>
    </w:p>
    <w:p w14:paraId="008055B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响应人踏勘现场发生的费用自理；</w:t>
      </w:r>
    </w:p>
    <w:p w14:paraId="40FFCF5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除采购人的原因外，响应人自行负责在踏勘现场中所发生的人员伤亡和财产损失；</w:t>
      </w:r>
    </w:p>
    <w:p w14:paraId="0C4917D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采购人在踏勘现场中介绍的实施地点和相关的周边环境情况，供响应人在编制响应文件时参考，采购人不对响应人据此作出的判断和决策负责；</w:t>
      </w:r>
    </w:p>
    <w:p w14:paraId="6C0C9599">
      <w:pPr>
        <w:rPr>
          <w:rFonts w:hint="eastAsia" w:ascii="宋体" w:hAnsi="宋体" w:eastAsia="宋体" w:cs="宋体"/>
          <w:color w:val="auto"/>
          <w:highlight w:val="none"/>
        </w:rPr>
      </w:pPr>
    </w:p>
    <w:p w14:paraId="004AF030">
      <w:pPr>
        <w:pStyle w:val="6"/>
        <w:numPr>
          <w:ilvl w:val="0"/>
          <w:numId w:val="4"/>
        </w:numPr>
        <w:spacing w:before="0" w:after="0" w:line="360" w:lineRule="auto"/>
        <w:jc w:val="center"/>
        <w:rPr>
          <w:rFonts w:hint="eastAsia" w:ascii="宋体" w:hAnsi="宋体" w:eastAsia="宋体" w:cs="宋体"/>
          <w:color w:val="auto"/>
          <w:highlight w:val="none"/>
        </w:rPr>
      </w:pPr>
      <w:bookmarkStart w:id="31" w:name="_Toc29598"/>
      <w:r>
        <w:rPr>
          <w:rFonts w:hint="eastAsia" w:ascii="宋体" w:hAnsi="宋体" w:eastAsia="宋体" w:cs="宋体"/>
          <w:color w:val="auto"/>
          <w:highlight w:val="none"/>
        </w:rPr>
        <w:t>采购文件</w:t>
      </w:r>
      <w:bookmarkEnd w:id="31"/>
    </w:p>
    <w:p w14:paraId="0E697C79">
      <w:pPr>
        <w:pStyle w:val="7"/>
        <w:widowControl w:val="0"/>
        <w:numPr>
          <w:ilvl w:val="0"/>
          <w:numId w:val="5"/>
        </w:numPr>
        <w:overflowPunct w:val="0"/>
        <w:rPr>
          <w:rFonts w:hint="eastAsia" w:ascii="宋体" w:hAnsi="宋体" w:eastAsia="宋体" w:cs="宋体"/>
          <w:vanish/>
          <w:color w:val="auto"/>
          <w:szCs w:val="21"/>
          <w:highlight w:val="none"/>
        </w:rPr>
      </w:pPr>
      <w:bookmarkStart w:id="32" w:name="_Toc11579"/>
      <w:r>
        <w:rPr>
          <w:rFonts w:hint="eastAsia" w:ascii="宋体" w:hAnsi="宋体" w:eastAsia="宋体" w:cs="宋体"/>
          <w:color w:val="auto"/>
          <w:sz w:val="21"/>
          <w:szCs w:val="21"/>
          <w:highlight w:val="none"/>
        </w:rPr>
        <w:t>采购文件的组成</w:t>
      </w:r>
      <w:bookmarkEnd w:id="32"/>
    </w:p>
    <w:p w14:paraId="3B767F0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采购文件包括：</w:t>
      </w:r>
    </w:p>
    <w:p w14:paraId="2D121B87">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（1）投标邀请书；</w:t>
      </w:r>
    </w:p>
    <w:p w14:paraId="4AF07288">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（2）投标资料表；</w:t>
      </w:r>
    </w:p>
    <w:p w14:paraId="0C02BED9">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（3）用户需求书；</w:t>
      </w:r>
    </w:p>
    <w:p w14:paraId="5DFE9F5D">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（4）投标人须知；</w:t>
      </w:r>
    </w:p>
    <w:p w14:paraId="40707518">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（5）拟签订的合同文本；</w:t>
      </w:r>
    </w:p>
    <w:p w14:paraId="63CD9959">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62E18294">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（7）在采购过程中由采购代理机构发出的澄清更正文件等。</w:t>
      </w:r>
    </w:p>
    <w:p w14:paraId="39403649">
      <w:pPr>
        <w:rPr>
          <w:rFonts w:hint="eastAsia" w:ascii="宋体" w:hAnsi="宋体" w:eastAsia="宋体" w:cs="宋体"/>
          <w:color w:val="auto"/>
          <w:highlight w:val="none"/>
        </w:rPr>
      </w:pPr>
    </w:p>
    <w:p w14:paraId="6DCF972A">
      <w:pPr>
        <w:pStyle w:val="7"/>
        <w:widowControl w:val="0"/>
        <w:numPr>
          <w:ilvl w:val="0"/>
          <w:numId w:val="5"/>
        </w:numPr>
        <w:overflowPunct w:val="0"/>
        <w:rPr>
          <w:rFonts w:hint="eastAsia" w:ascii="宋体" w:hAnsi="宋体" w:eastAsia="宋体" w:cs="宋体"/>
          <w:vanish/>
          <w:color w:val="auto"/>
          <w:szCs w:val="21"/>
          <w:highlight w:val="none"/>
        </w:rPr>
      </w:pPr>
      <w:bookmarkStart w:id="33" w:name="_Toc14125"/>
      <w:r>
        <w:rPr>
          <w:rFonts w:hint="eastAsia" w:ascii="宋体" w:hAnsi="宋体" w:eastAsia="宋体" w:cs="宋体"/>
          <w:color w:val="auto"/>
          <w:sz w:val="21"/>
          <w:szCs w:val="21"/>
          <w:highlight w:val="none"/>
        </w:rPr>
        <w:t>采购文件的澄清或修改</w:t>
      </w:r>
      <w:bookmarkEnd w:id="33"/>
    </w:p>
    <w:p w14:paraId="67D92D9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3686E2D7">
      <w:pPr>
        <w:widowControl w:val="0"/>
        <w:numPr>
          <w:ilvl w:val="1"/>
          <w:numId w:val="5"/>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采购期间，投标人有义务上网查看，公告一经上网发布，即视为送达。因投标人未及时上网查看而造成的所有后果，由投标人自行承担。</w:t>
      </w:r>
    </w:p>
    <w:p w14:paraId="25005EF5">
      <w:pPr>
        <w:widowControl w:val="0"/>
        <w:adjustRightInd/>
        <w:snapToGrid/>
        <w:ind w:left="567"/>
        <w:jc w:val="both"/>
        <w:rPr>
          <w:rFonts w:hint="eastAsia" w:ascii="宋体" w:hAnsi="宋体" w:eastAsia="宋体" w:cs="宋体"/>
          <w:color w:val="auto"/>
          <w:szCs w:val="21"/>
          <w:highlight w:val="none"/>
        </w:rPr>
      </w:pPr>
    </w:p>
    <w:p w14:paraId="1353BF34">
      <w:pPr>
        <w:pStyle w:val="6"/>
        <w:numPr>
          <w:ilvl w:val="0"/>
          <w:numId w:val="4"/>
        </w:numPr>
        <w:spacing w:before="0" w:after="0" w:line="360" w:lineRule="auto"/>
        <w:jc w:val="center"/>
        <w:rPr>
          <w:rFonts w:hint="eastAsia" w:ascii="宋体" w:hAnsi="宋体" w:eastAsia="宋体" w:cs="宋体"/>
          <w:color w:val="auto"/>
          <w:highlight w:val="none"/>
        </w:rPr>
      </w:pPr>
      <w:bookmarkStart w:id="34" w:name="_Toc16106"/>
      <w:r>
        <w:rPr>
          <w:rFonts w:hint="eastAsia" w:ascii="宋体" w:hAnsi="宋体" w:eastAsia="宋体" w:cs="宋体"/>
          <w:color w:val="auto"/>
          <w:highlight w:val="none"/>
        </w:rPr>
        <w:t>投标文件的编制</w:t>
      </w:r>
      <w:bookmarkEnd w:id="34"/>
    </w:p>
    <w:p w14:paraId="77FC8577">
      <w:pPr>
        <w:pStyle w:val="7"/>
        <w:widowControl w:val="0"/>
        <w:numPr>
          <w:ilvl w:val="0"/>
          <w:numId w:val="5"/>
        </w:numPr>
        <w:overflowPunct w:val="0"/>
        <w:rPr>
          <w:rFonts w:hint="eastAsia" w:ascii="宋体" w:hAnsi="宋体" w:eastAsia="宋体" w:cs="宋体"/>
          <w:color w:val="auto"/>
          <w:sz w:val="21"/>
          <w:szCs w:val="21"/>
          <w:highlight w:val="none"/>
        </w:rPr>
      </w:pPr>
      <w:bookmarkStart w:id="35" w:name="_Toc6441"/>
      <w:r>
        <w:rPr>
          <w:rFonts w:hint="eastAsia" w:ascii="宋体" w:hAnsi="宋体" w:eastAsia="宋体" w:cs="宋体"/>
          <w:color w:val="auto"/>
          <w:sz w:val="21"/>
          <w:szCs w:val="21"/>
          <w:highlight w:val="none"/>
        </w:rPr>
        <w:t>投标文件的语言及度量衡单位</w:t>
      </w:r>
      <w:bookmarkEnd w:id="35"/>
    </w:p>
    <w:p w14:paraId="20C332F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5DC59D1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344421A7">
      <w:pPr>
        <w:widowControl w:val="0"/>
        <w:adjustRightInd/>
        <w:snapToGrid/>
        <w:ind w:left="567"/>
        <w:jc w:val="both"/>
        <w:rPr>
          <w:rFonts w:hint="eastAsia" w:ascii="宋体" w:hAnsi="宋体" w:eastAsia="宋体" w:cs="宋体"/>
          <w:color w:val="auto"/>
          <w:szCs w:val="21"/>
          <w:highlight w:val="none"/>
        </w:rPr>
      </w:pPr>
    </w:p>
    <w:p w14:paraId="0CA7B33E">
      <w:pPr>
        <w:pStyle w:val="7"/>
        <w:widowControl w:val="0"/>
        <w:numPr>
          <w:ilvl w:val="0"/>
          <w:numId w:val="5"/>
        </w:numPr>
        <w:overflowPunct w:val="0"/>
        <w:rPr>
          <w:rFonts w:hint="eastAsia" w:ascii="宋体" w:hAnsi="宋体" w:eastAsia="宋体" w:cs="宋体"/>
          <w:color w:val="auto"/>
          <w:sz w:val="21"/>
          <w:szCs w:val="21"/>
          <w:highlight w:val="none"/>
        </w:rPr>
      </w:pPr>
      <w:bookmarkStart w:id="36" w:name="_Toc28866"/>
      <w:bookmarkStart w:id="37" w:name="_Toc303084256"/>
      <w:bookmarkStart w:id="38" w:name="_Toc382049103"/>
      <w:bookmarkStart w:id="39" w:name="_Toc20340"/>
      <w:bookmarkStart w:id="40" w:name="_Toc307934854"/>
      <w:r>
        <w:rPr>
          <w:rFonts w:hint="eastAsia" w:ascii="宋体" w:hAnsi="宋体" w:eastAsia="宋体" w:cs="宋体"/>
          <w:color w:val="auto"/>
          <w:sz w:val="21"/>
          <w:szCs w:val="21"/>
          <w:highlight w:val="none"/>
        </w:rPr>
        <w:t>投标文件的组成</w:t>
      </w:r>
      <w:bookmarkEnd w:id="36"/>
      <w:bookmarkEnd w:id="37"/>
      <w:bookmarkEnd w:id="38"/>
      <w:bookmarkEnd w:id="39"/>
      <w:bookmarkEnd w:id="40"/>
    </w:p>
    <w:p w14:paraId="31A7C93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包括但不限于采购文件附件格式中要求提供的表格。</w:t>
      </w:r>
    </w:p>
    <w:p w14:paraId="00C06CA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14:paraId="6601C763">
      <w:pPr>
        <w:rPr>
          <w:rFonts w:hint="eastAsia" w:ascii="宋体" w:hAnsi="宋体" w:eastAsia="宋体" w:cs="宋体"/>
          <w:color w:val="auto"/>
          <w:highlight w:val="none"/>
        </w:rPr>
      </w:pPr>
    </w:p>
    <w:p w14:paraId="522D9AE7">
      <w:pPr>
        <w:pStyle w:val="7"/>
        <w:widowControl w:val="0"/>
        <w:numPr>
          <w:ilvl w:val="0"/>
          <w:numId w:val="5"/>
        </w:numPr>
        <w:overflowPunct w:val="0"/>
        <w:rPr>
          <w:rFonts w:hint="eastAsia" w:ascii="宋体" w:hAnsi="宋体" w:eastAsia="宋体" w:cs="宋体"/>
          <w:color w:val="auto"/>
          <w:sz w:val="21"/>
          <w:szCs w:val="21"/>
          <w:highlight w:val="none"/>
        </w:rPr>
      </w:pPr>
      <w:bookmarkStart w:id="41" w:name="_Toc20776"/>
      <w:r>
        <w:rPr>
          <w:rFonts w:hint="eastAsia" w:ascii="宋体" w:hAnsi="宋体" w:eastAsia="宋体" w:cs="宋体"/>
          <w:color w:val="auto"/>
          <w:sz w:val="21"/>
          <w:szCs w:val="21"/>
          <w:highlight w:val="none"/>
        </w:rPr>
        <w:t>投标文件编制</w:t>
      </w:r>
      <w:bookmarkEnd w:id="41"/>
    </w:p>
    <w:p w14:paraId="29C0043E">
      <w:pPr>
        <w:widowControl w:val="0"/>
        <w:numPr>
          <w:ilvl w:val="1"/>
          <w:numId w:val="5"/>
        </w:numPr>
        <w:overflowPunct w:val="0"/>
        <w:rPr>
          <w:rFonts w:hint="eastAsia" w:ascii="宋体" w:hAnsi="宋体" w:eastAsia="宋体" w:cs="宋体"/>
          <w:color w:val="auto"/>
          <w:szCs w:val="21"/>
          <w:highlight w:val="none"/>
        </w:rPr>
      </w:pPr>
      <w:bookmarkStart w:id="42" w:name="_Toc303084258"/>
      <w:r>
        <w:rPr>
          <w:rFonts w:hint="eastAsia" w:ascii="宋体" w:hAnsi="宋体" w:eastAsia="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4D6203E1">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因投标文件编制存在歧义对投标人产生负面影响的，投标人自行承担后果。</w:t>
      </w:r>
    </w:p>
    <w:p w14:paraId="28DADE6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投标单位名称与投标人公章不一致，若投标单位名称已进行变更，应在投标文件中提供相应的证明材料并加盖公章，否则投标文件无效。</w:t>
      </w:r>
    </w:p>
    <w:p w14:paraId="162686E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投标文件密封、标记及内容与本项目采购信息不符，导致无法分辨所投项目为本项目的，投标文件无效。</w:t>
      </w:r>
    </w:p>
    <w:p w14:paraId="00BFED9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投标人须客观撰写投标人简介（格式自理，并提供相关证明）以及所投的产品或服务说明。</w:t>
      </w:r>
    </w:p>
    <w:p w14:paraId="72C2B96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投标文件若出现以下内容，经评标委员会认定有可能间接影响评审秩序，作废标处理。</w:t>
      </w:r>
    </w:p>
    <w:p w14:paraId="23E645C7">
      <w:pPr>
        <w:keepNext w:val="0"/>
        <w:keepLines w:val="0"/>
        <w:pageBreakBefore w:val="0"/>
        <w:widowControl w:val="0"/>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（1）投标文件内出现无官方证明文件的行业地域排名或使用“国家级”、“最高级”、“最佳”等用语字眼的。</w:t>
      </w:r>
    </w:p>
    <w:p w14:paraId="0C16DE31">
      <w:pPr>
        <w:keepNext w:val="0"/>
        <w:keepLines w:val="0"/>
        <w:pageBreakBefore w:val="0"/>
        <w:widowControl w:val="0"/>
        <w:kinsoku/>
        <w:wordWrap/>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）投标文件内出现恶意诋毁、贬低其他生产经营者的商品或者服务的内容。</w:t>
      </w:r>
    </w:p>
    <w:p w14:paraId="3440073D">
      <w:pPr>
        <w:keepNext w:val="0"/>
        <w:keepLines w:val="0"/>
        <w:pageBreakBefore w:val="0"/>
        <w:widowControl w:val="0"/>
        <w:numPr>
          <w:ilvl w:val="1"/>
          <w:numId w:val="5"/>
        </w:numPr>
        <w:kinsoku/>
        <w:wordWrap/>
        <w:overflowPunct w:val="0"/>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有下列情形之一的，视为投标人串通投标，其投标无效：</w:t>
      </w:r>
    </w:p>
    <w:p w14:paraId="53A3BC03">
      <w:pPr>
        <w:keepNext w:val="0"/>
        <w:keepLines w:val="0"/>
        <w:pageBreakBefore w:val="0"/>
        <w:widowControl w:val="0"/>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w:t>
      </w:r>
    </w:p>
    <w:p w14:paraId="50AFAD1F">
      <w:pPr>
        <w:keepNext w:val="0"/>
        <w:keepLines w:val="0"/>
        <w:pageBreakBefore w:val="0"/>
        <w:widowControl w:val="0"/>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0E8B1AA9">
      <w:pPr>
        <w:keepNext w:val="0"/>
        <w:keepLines w:val="0"/>
        <w:pageBreakBefore w:val="0"/>
        <w:widowControl w:val="0"/>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（3）不同投标人的投标文件载明的项目管理成员或者联系人员为同一人；</w:t>
      </w:r>
    </w:p>
    <w:p w14:paraId="43778913">
      <w:pPr>
        <w:keepNext w:val="0"/>
        <w:keepLines w:val="0"/>
        <w:pageBreakBefore w:val="0"/>
        <w:widowControl w:val="0"/>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2CDB0F60">
      <w:pPr>
        <w:keepNext w:val="0"/>
        <w:keepLines w:val="0"/>
        <w:pageBreakBefore w:val="0"/>
        <w:widowControl w:val="0"/>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7FD7426D">
      <w:pPr>
        <w:keepNext w:val="0"/>
        <w:keepLines w:val="0"/>
        <w:pageBreakBefore w:val="0"/>
        <w:widowControl w:val="0"/>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（6）不同投标人的投标保证金从同一单位或者个人的账户转出。</w:t>
      </w:r>
    </w:p>
    <w:bookmarkEnd w:id="42"/>
    <w:p w14:paraId="393018AA">
      <w:pPr>
        <w:rPr>
          <w:rFonts w:hint="eastAsia" w:ascii="宋体" w:hAnsi="宋体" w:eastAsia="宋体" w:cs="宋体"/>
          <w:color w:val="auto"/>
          <w:highlight w:val="none"/>
        </w:rPr>
      </w:pPr>
    </w:p>
    <w:p w14:paraId="6336DEFB">
      <w:pPr>
        <w:pStyle w:val="7"/>
        <w:widowControl w:val="0"/>
        <w:numPr>
          <w:ilvl w:val="0"/>
          <w:numId w:val="5"/>
        </w:numPr>
        <w:overflowPunct w:val="0"/>
        <w:rPr>
          <w:rFonts w:hint="eastAsia" w:ascii="宋体" w:hAnsi="宋体" w:eastAsia="宋体" w:cs="宋体"/>
          <w:color w:val="auto"/>
          <w:sz w:val="21"/>
          <w:szCs w:val="21"/>
          <w:highlight w:val="none"/>
        </w:rPr>
      </w:pPr>
      <w:bookmarkStart w:id="43" w:name="_Toc17214"/>
      <w:r>
        <w:rPr>
          <w:rFonts w:hint="eastAsia" w:ascii="宋体" w:hAnsi="宋体" w:eastAsia="宋体" w:cs="宋体"/>
          <w:color w:val="auto"/>
          <w:sz w:val="21"/>
          <w:szCs w:val="21"/>
          <w:highlight w:val="none"/>
        </w:rPr>
        <w:t>投标报价说明</w:t>
      </w:r>
      <w:bookmarkEnd w:id="43"/>
    </w:p>
    <w:p w14:paraId="6D6DD3C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本次采购，投标人应按用户需求中的要求进行投标报价，少报无效。</w:t>
      </w:r>
    </w:p>
    <w:p w14:paraId="66D1BDB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投标人所提供的货物或服务均以人民币（或相关费率）报价。</w:t>
      </w:r>
    </w:p>
    <w:p w14:paraId="42832C5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投标报价应包含完成本次采购所有服务内容的费用，包含各种税务费及合同实施过程中的全部费用和售后服务费等。</w:t>
      </w:r>
    </w:p>
    <w:p w14:paraId="7790E21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5F17B1">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中标后开出的所有发票必须与中标人的名称一致。</w:t>
      </w:r>
    </w:p>
    <w:p w14:paraId="498D139F">
      <w:pPr>
        <w:rPr>
          <w:rFonts w:hint="eastAsia" w:ascii="宋体" w:hAnsi="宋体" w:eastAsia="宋体" w:cs="宋体"/>
          <w:color w:val="auto"/>
          <w:highlight w:val="none"/>
        </w:rPr>
      </w:pPr>
    </w:p>
    <w:p w14:paraId="573B28C4">
      <w:pPr>
        <w:pStyle w:val="7"/>
        <w:widowControl w:val="0"/>
        <w:numPr>
          <w:ilvl w:val="0"/>
          <w:numId w:val="5"/>
        </w:numPr>
        <w:overflowPunct w:val="0"/>
        <w:rPr>
          <w:rFonts w:hint="eastAsia" w:ascii="宋体" w:hAnsi="宋体" w:eastAsia="宋体" w:cs="宋体"/>
          <w:vanish/>
          <w:color w:val="auto"/>
          <w:szCs w:val="21"/>
          <w:highlight w:val="none"/>
        </w:rPr>
      </w:pPr>
      <w:bookmarkStart w:id="44" w:name="_Toc6293"/>
      <w:r>
        <w:rPr>
          <w:rFonts w:hint="eastAsia" w:ascii="宋体" w:hAnsi="宋体" w:eastAsia="宋体" w:cs="宋体"/>
          <w:color w:val="auto"/>
          <w:sz w:val="21"/>
          <w:szCs w:val="21"/>
          <w:highlight w:val="none"/>
        </w:rPr>
        <w:t>投标人所提供的服务或货物的证明文件</w:t>
      </w:r>
      <w:bookmarkEnd w:id="44"/>
    </w:p>
    <w:p w14:paraId="268A385D">
      <w:pPr>
        <w:widowControl w:val="0"/>
        <w:numPr>
          <w:ilvl w:val="1"/>
          <w:numId w:val="5"/>
        </w:numPr>
        <w:overflowPunct w:val="0"/>
        <w:rPr>
          <w:rFonts w:hint="eastAsia" w:ascii="宋体" w:hAnsi="宋体" w:eastAsia="宋体" w:cs="宋体"/>
          <w:color w:val="auto"/>
          <w:szCs w:val="21"/>
          <w:highlight w:val="none"/>
        </w:rPr>
      </w:pPr>
      <w:bookmarkStart w:id="45" w:name="_Hlt107925638"/>
      <w:bookmarkEnd w:id="45"/>
      <w:bookmarkStart w:id="46" w:name="_Hlt107925668"/>
      <w:bookmarkEnd w:id="46"/>
      <w:r>
        <w:rPr>
          <w:rFonts w:hint="eastAsia" w:ascii="宋体" w:hAnsi="宋体" w:eastAsia="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1F130DDC">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有下列情形之一的，视为投标人弄虚作假，其投标无效：</w:t>
      </w:r>
    </w:p>
    <w:p w14:paraId="5AF6BF23">
      <w:pPr>
        <w:pStyle w:val="39"/>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1、使用通过受让或者租借等方式获取的资格、资质证书投标的，属于以他人名义投标。</w:t>
      </w:r>
    </w:p>
    <w:p w14:paraId="224F308A">
      <w:pPr>
        <w:pStyle w:val="39"/>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2、投标人有下列情形之一的，属于以其他方式弄虚作假的行为：</w:t>
      </w:r>
    </w:p>
    <w:p w14:paraId="72F77753">
      <w:pPr>
        <w:pStyle w:val="39"/>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（1）使用伪造、变造的许可证件；</w:t>
      </w:r>
    </w:p>
    <w:p w14:paraId="3D67CB1D">
      <w:pPr>
        <w:pStyle w:val="39"/>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（2）提供虚假的财务状况或者业绩；</w:t>
      </w:r>
    </w:p>
    <w:p w14:paraId="3E028446">
      <w:pPr>
        <w:pStyle w:val="39"/>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（3）提供虚假的项目负责人或者主要技术人员简历、劳动关系证明；</w:t>
      </w:r>
    </w:p>
    <w:p w14:paraId="3575CD2E">
      <w:pPr>
        <w:pStyle w:val="39"/>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（4）提供虚假的信用状况；</w:t>
      </w:r>
    </w:p>
    <w:p w14:paraId="3FE48553">
      <w:pPr>
        <w:pStyle w:val="39"/>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（5）其他弄虚作假的行为。</w:t>
      </w:r>
    </w:p>
    <w:p w14:paraId="530F41D2">
      <w:pPr>
        <w:pStyle w:val="7"/>
        <w:widowControl w:val="0"/>
        <w:numPr>
          <w:ilvl w:val="0"/>
          <w:numId w:val="5"/>
        </w:numPr>
        <w:overflowPunct w:val="0"/>
        <w:rPr>
          <w:rFonts w:hint="eastAsia" w:ascii="宋体" w:hAnsi="宋体" w:eastAsia="宋体" w:cs="宋体"/>
          <w:color w:val="auto"/>
          <w:sz w:val="21"/>
          <w:szCs w:val="21"/>
          <w:highlight w:val="none"/>
        </w:rPr>
      </w:pPr>
      <w:bookmarkStart w:id="47" w:name="_Toc8760"/>
      <w:r>
        <w:rPr>
          <w:rFonts w:hint="eastAsia" w:ascii="宋体" w:hAnsi="宋体" w:eastAsia="宋体" w:cs="宋体"/>
          <w:color w:val="auto"/>
          <w:sz w:val="21"/>
          <w:szCs w:val="21"/>
          <w:highlight w:val="none"/>
        </w:rPr>
        <w:t>投标有效期</w:t>
      </w:r>
      <w:bookmarkEnd w:id="47"/>
    </w:p>
    <w:p w14:paraId="1D743C6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投标文件应根据投标人须知的规定在投标截止日后的90天内保持有效。</w:t>
      </w:r>
    </w:p>
    <w:p w14:paraId="17AFF5FD">
      <w:pPr>
        <w:widowControl w:val="0"/>
        <w:adjustRightInd/>
        <w:snapToGrid/>
        <w:ind w:left="567"/>
        <w:jc w:val="both"/>
        <w:rPr>
          <w:rFonts w:hint="eastAsia" w:ascii="宋体" w:hAnsi="宋体" w:eastAsia="宋体" w:cs="宋体"/>
          <w:color w:val="auto"/>
          <w:highlight w:val="none"/>
        </w:rPr>
      </w:pPr>
    </w:p>
    <w:p w14:paraId="273DE869">
      <w:pPr>
        <w:pStyle w:val="7"/>
        <w:widowControl w:val="0"/>
        <w:numPr>
          <w:ilvl w:val="0"/>
          <w:numId w:val="5"/>
        </w:numPr>
        <w:overflowPunct w:val="0"/>
        <w:rPr>
          <w:rFonts w:hint="eastAsia" w:ascii="宋体" w:hAnsi="宋体" w:eastAsia="宋体" w:cs="宋体"/>
          <w:color w:val="auto"/>
          <w:sz w:val="21"/>
          <w:szCs w:val="21"/>
          <w:highlight w:val="none"/>
        </w:rPr>
      </w:pPr>
      <w:bookmarkStart w:id="48" w:name="_Toc777"/>
      <w:r>
        <w:rPr>
          <w:rFonts w:hint="eastAsia" w:ascii="宋体" w:hAnsi="宋体" w:eastAsia="宋体" w:cs="宋体"/>
          <w:color w:val="auto"/>
          <w:sz w:val="21"/>
          <w:szCs w:val="21"/>
          <w:highlight w:val="none"/>
        </w:rPr>
        <w:t>投标保证金</w:t>
      </w:r>
      <w:bookmarkEnd w:id="48"/>
    </w:p>
    <w:p w14:paraId="57D1A4EA">
      <w:pPr>
        <w:widowControl w:val="0"/>
        <w:numPr>
          <w:ilvl w:val="1"/>
          <w:numId w:val="5"/>
        </w:numPr>
        <w:overflowPunct w:val="0"/>
        <w:rPr>
          <w:rFonts w:hint="eastAsia" w:ascii="宋体" w:hAnsi="宋体" w:eastAsia="宋体" w:cs="宋体"/>
          <w:color w:val="auto"/>
          <w:szCs w:val="21"/>
          <w:highlight w:val="none"/>
        </w:rPr>
      </w:pPr>
      <w:bookmarkStart w:id="49" w:name="_Ref179619405"/>
      <w:r>
        <w:rPr>
          <w:rFonts w:hint="eastAsia" w:ascii="宋体" w:hAnsi="宋体" w:eastAsia="宋体" w:cs="宋体"/>
          <w:color w:val="auto"/>
          <w:szCs w:val="21"/>
          <w:highlight w:val="none"/>
        </w:rPr>
        <w:t>投标人应在投标文件递交截止前提交相应的投标保证金，并作为其投标的一部分。</w:t>
      </w:r>
      <w:bookmarkEnd w:id="49"/>
    </w:p>
    <w:p w14:paraId="607CE131">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71994151">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投标保证金采用转账、电汇</w:t>
      </w:r>
      <w:r>
        <w:rPr>
          <w:rFonts w:hint="eastAsia" w:ascii="宋体" w:hAnsi="宋体" w:cs="宋体"/>
          <w:color w:val="auto"/>
          <w:szCs w:val="21"/>
          <w:highlight w:val="none"/>
          <w:lang w:eastAsia="zh-CN"/>
        </w:rPr>
        <w:t>方式</w:t>
      </w:r>
      <w:r>
        <w:rPr>
          <w:rFonts w:hint="eastAsia" w:ascii="宋体" w:hAnsi="宋体" w:eastAsia="宋体" w:cs="宋体"/>
          <w:color w:val="auto"/>
          <w:szCs w:val="21"/>
          <w:highlight w:val="none"/>
        </w:rPr>
        <w:t>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5111892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凡没有根据本须知（17.1和17.3）的规定随附有效的投标保证金的投标，将被视为非响应性投标予以拒绝。</w:t>
      </w:r>
    </w:p>
    <w:p w14:paraId="7000F81F">
      <w:pPr>
        <w:widowControl w:val="0"/>
        <w:numPr>
          <w:ilvl w:val="1"/>
          <w:numId w:val="5"/>
        </w:num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投标保证金有效期应当与投标有效期一致。采购人如果按照采购文件另外规定延长了投标文件有效期，则投标担保的有效期也相应延长。</w:t>
      </w:r>
    </w:p>
    <w:p w14:paraId="1C4B7F51">
      <w:pPr>
        <w:widowControl w:val="0"/>
        <w:numPr>
          <w:ilvl w:val="1"/>
          <w:numId w:val="5"/>
        </w:num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14:paraId="345BBCC1">
      <w:pPr>
        <w:widowControl w:val="0"/>
        <w:numPr>
          <w:ilvl w:val="1"/>
          <w:numId w:val="5"/>
        </w:num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下列任何情况发生时，投标保证金将不予退还：</w:t>
      </w:r>
    </w:p>
    <w:p w14:paraId="75061B87">
      <w:pPr>
        <w:widowControl w:val="0"/>
        <w:adjustRightInd/>
        <w:snapToGrid/>
        <w:spacing w:line="360" w:lineRule="auto"/>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（1）投标人在采购文件中规定的投标有效期内撤回其投标；</w:t>
      </w:r>
    </w:p>
    <w:p w14:paraId="4580D499">
      <w:pPr>
        <w:widowControl w:val="0"/>
        <w:adjustRightInd/>
        <w:snapToGrid/>
        <w:spacing w:line="360" w:lineRule="auto"/>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（2）中标人无正当理由不与采购人订立合同，在签订合同时向采购人提出附加条件，或者不按照采购文件要求提交履约保证金的；</w:t>
      </w:r>
    </w:p>
    <w:p w14:paraId="35871292">
      <w:pPr>
        <w:widowControl w:val="0"/>
        <w:adjustRightInd/>
        <w:snapToGrid/>
        <w:spacing w:line="360" w:lineRule="auto"/>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（3）中标人将本项目转让给他人，或者在投标文件中未说明，且未经采购人同意，将中标项目分包给他人的；</w:t>
      </w:r>
    </w:p>
    <w:p w14:paraId="471CF123">
      <w:pPr>
        <w:widowControl w:val="0"/>
        <w:adjustRightInd/>
        <w:snapToGrid/>
        <w:spacing w:line="360" w:lineRule="auto"/>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（4）投标人提供虚假投标文件或虚假补充文件的。</w:t>
      </w:r>
    </w:p>
    <w:p w14:paraId="0B8395BC">
      <w:pPr>
        <w:widowControl w:val="0"/>
        <w:numPr>
          <w:ilvl w:val="1"/>
          <w:numId w:val="5"/>
        </w:num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在中标通知书发出后，未中标投标人的投标保证金，由采购人自行返还至投标人的原转出账户。</w:t>
      </w:r>
    </w:p>
    <w:p w14:paraId="203F37AD">
      <w:pPr>
        <w:rPr>
          <w:rFonts w:hint="eastAsia" w:ascii="宋体" w:hAnsi="宋体" w:eastAsia="宋体" w:cs="宋体"/>
          <w:color w:val="auto"/>
          <w:highlight w:val="none"/>
        </w:rPr>
      </w:pPr>
    </w:p>
    <w:p w14:paraId="3ADF3078">
      <w:pPr>
        <w:pStyle w:val="6"/>
        <w:numPr>
          <w:ilvl w:val="0"/>
          <w:numId w:val="4"/>
        </w:numPr>
        <w:spacing w:before="0" w:after="0" w:line="360" w:lineRule="auto"/>
        <w:jc w:val="center"/>
        <w:rPr>
          <w:rFonts w:hint="eastAsia" w:ascii="宋体" w:hAnsi="宋体" w:eastAsia="宋体" w:cs="宋体"/>
          <w:color w:val="auto"/>
          <w:highlight w:val="none"/>
        </w:rPr>
      </w:pPr>
      <w:bookmarkStart w:id="50" w:name="_Toc22356"/>
      <w:r>
        <w:rPr>
          <w:rFonts w:hint="eastAsia" w:ascii="宋体" w:hAnsi="宋体" w:eastAsia="宋体" w:cs="宋体"/>
          <w:color w:val="auto"/>
          <w:highlight w:val="none"/>
        </w:rPr>
        <w:t>投标文件的递交</w:t>
      </w:r>
      <w:bookmarkEnd w:id="50"/>
    </w:p>
    <w:p w14:paraId="6DD6D24C">
      <w:pPr>
        <w:pStyle w:val="7"/>
        <w:widowControl w:val="0"/>
        <w:numPr>
          <w:ilvl w:val="0"/>
          <w:numId w:val="5"/>
        </w:numPr>
        <w:overflowPunct w:val="0"/>
        <w:rPr>
          <w:rFonts w:hint="eastAsia" w:ascii="宋体" w:hAnsi="宋体" w:eastAsia="宋体" w:cs="宋体"/>
          <w:color w:val="auto"/>
          <w:sz w:val="21"/>
          <w:szCs w:val="21"/>
          <w:highlight w:val="none"/>
        </w:rPr>
      </w:pPr>
      <w:bookmarkStart w:id="51" w:name="_Toc382049111"/>
      <w:bookmarkStart w:id="52" w:name="_Toc24997"/>
      <w:bookmarkStart w:id="53" w:name="_Toc26217"/>
      <w:bookmarkStart w:id="54" w:name="_Toc303084264"/>
      <w:r>
        <w:rPr>
          <w:rFonts w:hint="eastAsia" w:ascii="宋体" w:hAnsi="宋体" w:eastAsia="宋体" w:cs="宋体"/>
          <w:color w:val="auto"/>
          <w:sz w:val="21"/>
          <w:szCs w:val="21"/>
          <w:highlight w:val="none"/>
        </w:rPr>
        <w:t>投标文件的装订，签署，密封和标记</w:t>
      </w:r>
      <w:bookmarkEnd w:id="51"/>
      <w:bookmarkEnd w:id="52"/>
      <w:bookmarkEnd w:id="53"/>
      <w:bookmarkEnd w:id="54"/>
    </w:p>
    <w:p w14:paraId="5C68450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投标人应按《投标资料表》的份数准备价格文件、商务文件、技术文件、唱标信封和电子文件（</w:t>
      </w:r>
      <w:r>
        <w:rPr>
          <w:rFonts w:hint="eastAsia" w:ascii="宋体" w:hAnsi="宋体" w:eastAsia="宋体" w:cs="宋体"/>
          <w:b/>
          <w:color w:val="auto"/>
          <w:szCs w:val="21"/>
          <w:highlight w:val="none"/>
        </w:rPr>
        <w:t>价格文件、商务文件、技术文件分别单独装订成册</w:t>
      </w:r>
      <w:r>
        <w:rPr>
          <w:rFonts w:hint="eastAsia" w:ascii="宋体" w:hAnsi="宋体" w:eastAsia="宋体" w:cs="宋体"/>
          <w:color w:val="auto"/>
          <w:szCs w:val="21"/>
          <w:highlight w:val="none"/>
        </w:rPr>
        <w:t>），每一份投标文件均需编上页次，装订成册（不允许使用活页夹，否则由此产生的风险由投标人自行承担）。所有投标文件必须封入密封完好的信封或包装，封口加盖公章。</w:t>
      </w:r>
    </w:p>
    <w:p w14:paraId="07224A5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78BDB6CC">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联合体投标文件的【正本】及【副本】的封面及骑缝均须加盖所有联合体组成成员的公章。（文件每页盖章等同于盖骑缝章）</w:t>
      </w:r>
    </w:p>
    <w:p w14:paraId="19F5281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24E5FA6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除投标人对错误处修改外，全套投标文件应无涂改或行间插字和增删。如有修改，修改处须由法定代表人或其正式授权代表在旁边签字及盖章。</w:t>
      </w:r>
    </w:p>
    <w:p w14:paraId="3C341F6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投标人应将投标文件进行非透明的封装，以防止投标文件内容的泄露。采购代理机构将拒绝接收采用透明包装进行密封的投标文件。</w:t>
      </w:r>
    </w:p>
    <w:p w14:paraId="2A52734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密封破损导致投标文件内容直接或间接泄露的投标文件，采购代理机构将拒绝接收。</w:t>
      </w:r>
    </w:p>
    <w:p w14:paraId="54F4A291">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1E0E3AF2">
      <w:pPr>
        <w:widowControl w:val="0"/>
        <w:numPr>
          <w:ilvl w:val="1"/>
          <w:numId w:val="5"/>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未单独提交唱标信封的投标人投标文件不进行唱标，投标文件作无效处理。</w:t>
      </w:r>
    </w:p>
    <w:p w14:paraId="7C02D245">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所有的信封均应注明： </w:t>
      </w:r>
    </w:p>
    <w:p w14:paraId="374459D5">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收件人： </w:t>
      </w:r>
    </w:p>
    <w:p w14:paraId="32228319">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w:t>
      </w:r>
    </w:p>
    <w:p w14:paraId="1E7BE6D1">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75B3719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项目采购项目编号：</w:t>
      </w:r>
    </w:p>
    <w:p w14:paraId="6D0D049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密封信封上的项目编号错误或项目名称出现严重歧义的（包括采购内容不符），采购代理机构将拒绝接收。</w:t>
      </w:r>
    </w:p>
    <w:p w14:paraId="27DC88B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采购代理机构对所有投标文件的误投或提前启封概不负责。</w:t>
      </w:r>
    </w:p>
    <w:p w14:paraId="6693122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投标人同时参加几个包投标时必须按采购文件要求按包号分别制作投标文件，分别密封递交。</w:t>
      </w:r>
    </w:p>
    <w:p w14:paraId="27C458E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传真、电传的投标文件将被拒绝。</w:t>
      </w:r>
    </w:p>
    <w:p w14:paraId="6A83E7D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递交的投标文件中所提供的通讯方式应保持联络畅通，因联系不上而导致的所有后果由投标人自行承担。</w:t>
      </w:r>
    </w:p>
    <w:p w14:paraId="663B990B">
      <w:pPr>
        <w:rPr>
          <w:rFonts w:hint="eastAsia" w:ascii="宋体" w:hAnsi="宋体" w:eastAsia="宋体" w:cs="宋体"/>
          <w:color w:val="auto"/>
          <w:highlight w:val="none"/>
        </w:rPr>
      </w:pPr>
    </w:p>
    <w:p w14:paraId="4F36B167">
      <w:pPr>
        <w:pStyle w:val="7"/>
        <w:widowControl w:val="0"/>
        <w:numPr>
          <w:ilvl w:val="0"/>
          <w:numId w:val="5"/>
        </w:numPr>
        <w:overflowPunct w:val="0"/>
        <w:rPr>
          <w:rFonts w:hint="eastAsia" w:ascii="宋体" w:hAnsi="宋体" w:eastAsia="宋体" w:cs="宋体"/>
          <w:color w:val="auto"/>
          <w:sz w:val="21"/>
          <w:szCs w:val="21"/>
          <w:highlight w:val="none"/>
        </w:rPr>
      </w:pPr>
      <w:bookmarkStart w:id="55" w:name="_Toc1212"/>
      <w:r>
        <w:rPr>
          <w:rFonts w:hint="eastAsia" w:ascii="宋体" w:hAnsi="宋体" w:eastAsia="宋体" w:cs="宋体"/>
          <w:color w:val="auto"/>
          <w:sz w:val="21"/>
          <w:szCs w:val="21"/>
          <w:highlight w:val="none"/>
        </w:rPr>
        <w:t>迟交的投标文件</w:t>
      </w:r>
      <w:bookmarkEnd w:id="55"/>
    </w:p>
    <w:p w14:paraId="6EACB0A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投标人在投标截止时间之后提交的投标文件，采购代理机构将拒绝接收。</w:t>
      </w:r>
    </w:p>
    <w:p w14:paraId="2695A68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有违反其他法律规定情形的，采购代理机构将拒绝接收。</w:t>
      </w:r>
    </w:p>
    <w:p w14:paraId="5B89C88D">
      <w:pPr>
        <w:rPr>
          <w:rFonts w:hint="eastAsia" w:ascii="宋体" w:hAnsi="宋体" w:eastAsia="宋体" w:cs="宋体"/>
          <w:color w:val="auto"/>
          <w:highlight w:val="none"/>
        </w:rPr>
      </w:pPr>
    </w:p>
    <w:p w14:paraId="2AE14C93">
      <w:pPr>
        <w:pStyle w:val="7"/>
        <w:widowControl w:val="0"/>
        <w:numPr>
          <w:ilvl w:val="0"/>
          <w:numId w:val="5"/>
        </w:numPr>
        <w:overflowPunct w:val="0"/>
        <w:rPr>
          <w:rFonts w:hint="eastAsia" w:ascii="宋体" w:hAnsi="宋体" w:eastAsia="宋体" w:cs="宋体"/>
          <w:color w:val="auto"/>
          <w:sz w:val="21"/>
          <w:szCs w:val="21"/>
          <w:highlight w:val="none"/>
        </w:rPr>
      </w:pPr>
      <w:bookmarkStart w:id="56" w:name="_Toc14528"/>
      <w:r>
        <w:rPr>
          <w:rFonts w:hint="eastAsia" w:ascii="宋体" w:hAnsi="宋体" w:eastAsia="宋体" w:cs="宋体"/>
          <w:color w:val="auto"/>
          <w:sz w:val="21"/>
          <w:szCs w:val="21"/>
          <w:highlight w:val="none"/>
        </w:rPr>
        <w:t>投标样品（如需提交）</w:t>
      </w:r>
      <w:bookmarkEnd w:id="56"/>
    </w:p>
    <w:p w14:paraId="35F86015">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如有必要，采购代理机构可以要求投标人提供本服务项目涉及的部分设备或产品样品，投标人在投标时应提交《样品清单》。</w:t>
      </w:r>
    </w:p>
    <w:p w14:paraId="6E07767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为方便评标，投标人在提供样品时，应在所提供的样品表面显著位置标注投标人的名称、包号、样品名称、采购文件规定的服务或货物编号。</w:t>
      </w:r>
    </w:p>
    <w:p w14:paraId="626BB84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62341A84">
      <w:pPr>
        <w:rPr>
          <w:rFonts w:hint="eastAsia" w:ascii="宋体" w:hAnsi="宋体" w:eastAsia="宋体" w:cs="宋体"/>
          <w:color w:val="auto"/>
          <w:highlight w:val="none"/>
        </w:rPr>
      </w:pPr>
    </w:p>
    <w:p w14:paraId="08D9F893">
      <w:pPr>
        <w:pStyle w:val="7"/>
        <w:widowControl w:val="0"/>
        <w:numPr>
          <w:ilvl w:val="0"/>
          <w:numId w:val="5"/>
        </w:numPr>
        <w:overflowPunct w:val="0"/>
        <w:rPr>
          <w:rFonts w:hint="eastAsia" w:ascii="宋体" w:hAnsi="宋体" w:eastAsia="宋体" w:cs="宋体"/>
          <w:color w:val="auto"/>
          <w:sz w:val="21"/>
          <w:szCs w:val="21"/>
          <w:highlight w:val="none"/>
        </w:rPr>
      </w:pPr>
      <w:bookmarkStart w:id="57" w:name="_Toc23210"/>
      <w:bookmarkStart w:id="58" w:name="_Toc303084265"/>
      <w:bookmarkStart w:id="59" w:name="_Toc382049112"/>
      <w:bookmarkStart w:id="60" w:name="_Toc9777"/>
      <w:r>
        <w:rPr>
          <w:rFonts w:hint="eastAsia" w:ascii="宋体" w:hAnsi="宋体" w:eastAsia="宋体" w:cs="宋体"/>
          <w:color w:val="auto"/>
          <w:sz w:val="21"/>
          <w:szCs w:val="21"/>
          <w:highlight w:val="none"/>
        </w:rPr>
        <w:t>投标截止期</w:t>
      </w:r>
      <w:bookmarkEnd w:id="57"/>
      <w:bookmarkEnd w:id="58"/>
      <w:bookmarkEnd w:id="59"/>
      <w:bookmarkEnd w:id="60"/>
    </w:p>
    <w:p w14:paraId="797F601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投标人应在采购文件规定的截止日期和时间内，将投标文件送达到指定地点。</w:t>
      </w:r>
    </w:p>
    <w:p w14:paraId="45FBDAF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0E8D803F">
      <w:pPr>
        <w:rPr>
          <w:rFonts w:hint="eastAsia" w:ascii="宋体" w:hAnsi="宋体" w:eastAsia="宋体" w:cs="宋体"/>
          <w:color w:val="auto"/>
          <w:highlight w:val="none"/>
        </w:rPr>
      </w:pPr>
    </w:p>
    <w:p w14:paraId="0EFBF6F8">
      <w:pPr>
        <w:pStyle w:val="7"/>
        <w:widowControl w:val="0"/>
        <w:numPr>
          <w:ilvl w:val="0"/>
          <w:numId w:val="5"/>
        </w:numPr>
        <w:overflowPunct w:val="0"/>
        <w:rPr>
          <w:rFonts w:hint="eastAsia" w:ascii="宋体" w:hAnsi="宋体" w:eastAsia="宋体" w:cs="宋体"/>
          <w:color w:val="auto"/>
          <w:sz w:val="21"/>
          <w:szCs w:val="21"/>
          <w:highlight w:val="none"/>
        </w:rPr>
      </w:pPr>
      <w:bookmarkStart w:id="61" w:name="_Toc14906"/>
      <w:r>
        <w:rPr>
          <w:rFonts w:hint="eastAsia" w:ascii="宋体" w:hAnsi="宋体" w:eastAsia="宋体" w:cs="宋体"/>
          <w:color w:val="auto"/>
          <w:sz w:val="21"/>
          <w:szCs w:val="21"/>
          <w:highlight w:val="none"/>
        </w:rPr>
        <w:t>投标文件的补充、修改与撤回</w:t>
      </w:r>
      <w:bookmarkEnd w:id="61"/>
    </w:p>
    <w:p w14:paraId="7326AE1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7F13497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5089614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投标文件一经递交不予退还。</w:t>
      </w:r>
    </w:p>
    <w:p w14:paraId="19A342B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在提交投标文件截止时间至投标有效期满之前，投标人不得撤回其投标，否则其投标保证金将不予退还。</w:t>
      </w:r>
    </w:p>
    <w:p w14:paraId="5F870078">
      <w:pPr>
        <w:pStyle w:val="2"/>
        <w:rPr>
          <w:rFonts w:hint="eastAsia" w:ascii="宋体" w:hAnsi="宋体" w:eastAsia="宋体" w:cs="宋体"/>
          <w:color w:val="auto"/>
          <w:highlight w:val="none"/>
        </w:rPr>
      </w:pPr>
    </w:p>
    <w:p w14:paraId="05FAB4E7">
      <w:pPr>
        <w:pStyle w:val="6"/>
        <w:numPr>
          <w:ilvl w:val="0"/>
          <w:numId w:val="4"/>
        </w:numPr>
        <w:spacing w:before="0" w:after="0" w:line="360" w:lineRule="auto"/>
        <w:jc w:val="center"/>
        <w:rPr>
          <w:rFonts w:hint="eastAsia" w:ascii="宋体" w:hAnsi="宋体" w:eastAsia="宋体" w:cs="宋体"/>
          <w:color w:val="auto"/>
          <w:highlight w:val="none"/>
        </w:rPr>
      </w:pPr>
      <w:bookmarkStart w:id="62" w:name="_Toc3600"/>
      <w:r>
        <w:rPr>
          <w:rFonts w:hint="eastAsia" w:ascii="宋体" w:hAnsi="宋体" w:eastAsia="宋体" w:cs="宋体"/>
          <w:color w:val="auto"/>
          <w:highlight w:val="none"/>
        </w:rPr>
        <w:t>开标与评标</w:t>
      </w:r>
      <w:bookmarkEnd w:id="62"/>
    </w:p>
    <w:p w14:paraId="369EA9D8">
      <w:pPr>
        <w:pStyle w:val="7"/>
        <w:widowControl w:val="0"/>
        <w:numPr>
          <w:ilvl w:val="0"/>
          <w:numId w:val="5"/>
        </w:numPr>
        <w:overflowPunct w:val="0"/>
        <w:rPr>
          <w:rFonts w:hint="eastAsia" w:ascii="宋体" w:hAnsi="宋体" w:eastAsia="宋体" w:cs="宋体"/>
          <w:color w:val="auto"/>
          <w:sz w:val="21"/>
          <w:szCs w:val="21"/>
          <w:highlight w:val="none"/>
        </w:rPr>
      </w:pPr>
      <w:bookmarkStart w:id="63" w:name="_Toc13227"/>
      <w:r>
        <w:rPr>
          <w:rFonts w:hint="eastAsia" w:ascii="宋体" w:hAnsi="宋体" w:eastAsia="宋体" w:cs="宋体"/>
          <w:color w:val="auto"/>
          <w:sz w:val="21"/>
          <w:szCs w:val="21"/>
          <w:highlight w:val="none"/>
        </w:rPr>
        <w:t>开标</w:t>
      </w:r>
      <w:bookmarkEnd w:id="63"/>
    </w:p>
    <w:p w14:paraId="4140AED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采购代理机构按本采购文件所规定的时间和地点公开开标，并邀请所有投标人代表参加。</w:t>
      </w:r>
    </w:p>
    <w:p w14:paraId="4ABFF29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p w14:paraId="21E2AD78">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开标会由采购代理机构主持，投标人的法定代表人或其授权代表携带有效身份证明准时参加开标会并签名报到。</w:t>
      </w:r>
    </w:p>
    <w:p w14:paraId="10760F1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14:paraId="3627724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21615B1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投标人未参加开标的，视同认可开标结果。</w:t>
      </w:r>
    </w:p>
    <w:p w14:paraId="11A80A8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合格投标人不足3家的，不得开标；</w:t>
      </w:r>
    </w:p>
    <w:p w14:paraId="7F4F410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开标过程应当由采购人或者采购代理机构负责记录，由参加开标的各投标人代表和相关工作人员签字确认。</w:t>
      </w:r>
    </w:p>
    <w:p w14:paraId="1869EA3D">
      <w:pPr>
        <w:widowControl w:val="0"/>
        <w:adjustRightInd/>
        <w:snapToGrid/>
        <w:ind w:left="567"/>
        <w:jc w:val="both"/>
        <w:rPr>
          <w:rFonts w:hint="eastAsia" w:ascii="宋体" w:hAnsi="宋体" w:eastAsia="宋体" w:cs="宋体"/>
          <w:color w:val="auto"/>
          <w:highlight w:val="none"/>
        </w:rPr>
      </w:pPr>
    </w:p>
    <w:p w14:paraId="09ED468B">
      <w:pPr>
        <w:pStyle w:val="7"/>
        <w:widowControl w:val="0"/>
        <w:numPr>
          <w:ilvl w:val="0"/>
          <w:numId w:val="5"/>
        </w:numPr>
        <w:overflowPunct w:val="0"/>
        <w:rPr>
          <w:rFonts w:hint="eastAsia" w:ascii="宋体" w:hAnsi="宋体" w:eastAsia="宋体" w:cs="宋体"/>
          <w:color w:val="auto"/>
          <w:sz w:val="21"/>
          <w:szCs w:val="21"/>
          <w:highlight w:val="none"/>
        </w:rPr>
      </w:pPr>
      <w:bookmarkStart w:id="64" w:name="_Toc13683"/>
      <w:r>
        <w:rPr>
          <w:rFonts w:hint="eastAsia" w:ascii="宋体" w:hAnsi="宋体" w:eastAsia="宋体" w:cs="宋体"/>
          <w:color w:val="auto"/>
          <w:sz w:val="21"/>
          <w:szCs w:val="21"/>
          <w:highlight w:val="none"/>
        </w:rPr>
        <w:t>评标委员会及评标方法</w:t>
      </w:r>
      <w:bookmarkEnd w:id="64"/>
    </w:p>
    <w:p w14:paraId="65C2EF8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6C27B7A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评审方法：本次采购的评审方法采用综合评分法。</w:t>
      </w:r>
    </w:p>
    <w:p w14:paraId="424C74C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14:paraId="2E343FC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00032021">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4580C07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评标委员会和采购人在评审过程中有权核对投标文件中相关材料的原件，投标人在接到通知后应在评标委员会规定的时间内提交原件核查。</w:t>
      </w:r>
    </w:p>
    <w:p w14:paraId="139C10A4">
      <w:pPr>
        <w:rPr>
          <w:rFonts w:hint="eastAsia" w:ascii="宋体" w:hAnsi="宋体" w:eastAsia="宋体" w:cs="宋体"/>
          <w:color w:val="auto"/>
          <w:highlight w:val="none"/>
        </w:rPr>
      </w:pPr>
    </w:p>
    <w:p w14:paraId="4F70A474">
      <w:pPr>
        <w:pStyle w:val="7"/>
        <w:widowControl w:val="0"/>
        <w:numPr>
          <w:ilvl w:val="0"/>
          <w:numId w:val="5"/>
        </w:numPr>
        <w:overflowPunct w:val="0"/>
        <w:rPr>
          <w:rFonts w:hint="eastAsia" w:ascii="宋体" w:hAnsi="宋体" w:eastAsia="宋体" w:cs="宋体"/>
          <w:color w:val="auto"/>
          <w:sz w:val="21"/>
          <w:szCs w:val="21"/>
          <w:highlight w:val="none"/>
        </w:rPr>
      </w:pPr>
      <w:bookmarkStart w:id="65" w:name="_Toc5759"/>
      <w:r>
        <w:rPr>
          <w:rFonts w:hint="eastAsia" w:ascii="宋体" w:hAnsi="宋体" w:eastAsia="宋体" w:cs="宋体"/>
          <w:color w:val="auto"/>
          <w:sz w:val="21"/>
          <w:szCs w:val="21"/>
          <w:highlight w:val="none"/>
        </w:rPr>
        <w:t>评审原则及评标过程的保密</w:t>
      </w:r>
      <w:bookmarkEnd w:id="65"/>
    </w:p>
    <w:p w14:paraId="081BD49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评审的基本原则：评标委员会将依据采购文件的规定，遵循“公开、公平、公正、择优、信用”的原则进行评审工作。</w:t>
      </w:r>
    </w:p>
    <w:p w14:paraId="3E074D4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从公开开标到签订合同，凡与审查、澄清、评审和投标有关的资料以及定标意见相关的事项，均不得向投标人及与评标无关的其他人透露。</w:t>
      </w:r>
    </w:p>
    <w:p w14:paraId="05CC211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任何单位和个人不得非法干预、影响评标的过程和结果。</w:t>
      </w:r>
    </w:p>
    <w:p w14:paraId="25365EC6">
      <w:pPr>
        <w:rPr>
          <w:rFonts w:hint="eastAsia" w:ascii="宋体" w:hAnsi="宋体" w:eastAsia="宋体" w:cs="宋体"/>
          <w:color w:val="auto"/>
          <w:highlight w:val="none"/>
        </w:rPr>
      </w:pPr>
    </w:p>
    <w:p w14:paraId="227A2B70">
      <w:pPr>
        <w:pStyle w:val="7"/>
        <w:widowControl w:val="0"/>
        <w:numPr>
          <w:ilvl w:val="0"/>
          <w:numId w:val="5"/>
        </w:numPr>
        <w:overflowPunct w:val="0"/>
        <w:rPr>
          <w:rFonts w:hint="eastAsia" w:ascii="宋体" w:hAnsi="宋体" w:eastAsia="宋体" w:cs="宋体"/>
          <w:color w:val="auto"/>
          <w:sz w:val="21"/>
          <w:szCs w:val="21"/>
          <w:highlight w:val="none"/>
        </w:rPr>
      </w:pPr>
      <w:bookmarkStart w:id="66" w:name="_Toc17828"/>
      <w:bookmarkStart w:id="67" w:name="_Toc7361"/>
      <w:r>
        <w:rPr>
          <w:rFonts w:hint="eastAsia" w:ascii="宋体" w:hAnsi="宋体" w:eastAsia="宋体" w:cs="宋体"/>
          <w:color w:val="auto"/>
          <w:sz w:val="21"/>
          <w:szCs w:val="21"/>
          <w:highlight w:val="none"/>
        </w:rPr>
        <w:t>评标程序</w:t>
      </w:r>
      <w:bookmarkEnd w:id="66"/>
    </w:p>
    <w:p w14:paraId="206DA7B5">
      <w:pPr>
        <w:widowControl w:val="0"/>
        <w:numPr>
          <w:ilvl w:val="1"/>
          <w:numId w:val="5"/>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资格性、符合性审查</w:t>
      </w:r>
    </w:p>
    <w:p w14:paraId="4EC06C87">
      <w:pPr>
        <w:widowControl w:val="0"/>
        <w:overflowPunct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14:paraId="2E094FED">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《资格性、符合性审查表》</w:t>
      </w:r>
    </w:p>
    <w:tbl>
      <w:tblPr>
        <w:tblStyle w:val="27"/>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839"/>
      </w:tblGrid>
      <w:tr w14:paraId="510B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3BFE2805">
            <w:pPr>
              <w:spacing w:line="24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C845633">
            <w:pPr>
              <w:spacing w:line="240" w:lineRule="auto"/>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14:paraId="7C73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restart"/>
            <w:tcBorders>
              <w:top w:val="single" w:color="auto" w:sz="4" w:space="0"/>
              <w:left w:val="single" w:color="auto" w:sz="4" w:space="0"/>
              <w:right w:val="single" w:color="auto" w:sz="4" w:space="0"/>
              <w:tl2br w:val="nil"/>
              <w:tr2bl w:val="nil"/>
            </w:tcBorders>
            <w:vAlign w:val="center"/>
          </w:tcPr>
          <w:p w14:paraId="19EC8382">
            <w:pPr>
              <w:numPr>
                <w:ilvl w:val="0"/>
                <w:numId w:val="0"/>
              </w:numPr>
              <w:tabs>
                <w:tab w:val="left" w:pos="176"/>
                <w:tab w:val="left" w:pos="612"/>
              </w:tabs>
              <w:spacing w:line="240" w:lineRule="auto"/>
              <w:ind w:left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2572C3CC">
            <w:pPr>
              <w:numPr>
                <w:ilvl w:val="0"/>
                <w:numId w:val="0"/>
              </w:numPr>
              <w:spacing w:line="240" w:lineRule="auto"/>
              <w:ind w:leftChars="0"/>
              <w:rPr>
                <w:rFonts w:ascii="宋体" w:hAnsi="宋体" w:cs="宋体"/>
                <w:color w:val="auto"/>
                <w:szCs w:val="21"/>
                <w:highlight w:val="none"/>
              </w:rPr>
            </w:pPr>
            <w:r>
              <w:rPr>
                <w:rFonts w:hint="eastAsia" w:ascii="宋体" w:hAnsi="宋体"/>
                <w:color w:val="auto"/>
                <w:szCs w:val="21"/>
                <w:highlight w:val="none"/>
                <w:lang w:val="en-US" w:eastAsia="zh-CN"/>
              </w:rPr>
              <w:t>（1）</w:t>
            </w:r>
            <w:r>
              <w:rPr>
                <w:rFonts w:hint="eastAsia" w:ascii="宋体" w:hAnsi="宋体" w:eastAsia="宋体" w:cs="宋体"/>
                <w:color w:val="auto"/>
                <w:szCs w:val="21"/>
                <w:highlight w:val="none"/>
              </w:rPr>
              <w:t>投标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宋体" w:hAnsi="宋体" w:eastAsia="宋体"/>
                <w:color w:val="auto"/>
                <w:szCs w:val="21"/>
                <w:highlight w:val="none"/>
                <w:lang w:val="en-US" w:eastAsia="zh-CN"/>
              </w:rPr>
              <w:t>。</w:t>
            </w:r>
          </w:p>
        </w:tc>
      </w:tr>
      <w:tr w14:paraId="40DD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15963FBD">
            <w:pPr>
              <w:numPr>
                <w:ilvl w:val="0"/>
                <w:numId w:val="0"/>
              </w:numPr>
              <w:tabs>
                <w:tab w:val="left" w:pos="176"/>
                <w:tab w:val="left" w:pos="612"/>
              </w:tabs>
              <w:spacing w:line="240" w:lineRule="auto"/>
              <w:ind w:leftChars="0"/>
              <w:jc w:val="center"/>
              <w:rPr>
                <w:rFonts w:hint="eastAsia" w:ascii="宋体" w:hAnsi="宋体" w:cs="宋体"/>
                <w:color w:val="auto"/>
                <w:szCs w:val="21"/>
                <w:highlight w:val="none"/>
                <w:lang w:val="en-US" w:eastAsia="zh-CN"/>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56BA9F17">
            <w:pPr>
              <w:spacing w:line="360" w:lineRule="auto"/>
              <w:rPr>
                <w:rFonts w:hint="eastAsia" w:ascii="宋体" w:hAnsi="宋体"/>
                <w:color w:val="auto"/>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cs="宋体"/>
                <w:color w:val="auto"/>
                <w:szCs w:val="21"/>
              </w:rPr>
              <w:t>各</w:t>
            </w:r>
            <w:r>
              <w:rPr>
                <w:rFonts w:hint="eastAsia" w:ascii="宋体" w:hAnsi="宋体" w:eastAsia="宋体" w:cs="宋体"/>
                <w:color w:val="auto"/>
                <w:szCs w:val="21"/>
                <w:highlight w:val="none"/>
              </w:rPr>
              <w:t>投标人</w:t>
            </w:r>
            <w:r>
              <w:rPr>
                <w:rFonts w:hint="eastAsia" w:ascii="宋体" w:hAnsi="宋体" w:cs="宋体"/>
                <w:color w:val="auto"/>
                <w:szCs w:val="21"/>
              </w:rPr>
              <w:t>须提供投标截止日前6个月内任意1个月依法缴纳税收及无欠税的证明材料。如依法免税的，须提供相应证明材料。</w:t>
            </w:r>
          </w:p>
        </w:tc>
      </w:tr>
      <w:tr w14:paraId="12D7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6CF309E2">
            <w:pPr>
              <w:tabs>
                <w:tab w:val="left" w:pos="176"/>
                <w:tab w:val="left" w:pos="420"/>
                <w:tab w:val="left" w:pos="612"/>
              </w:tabs>
              <w:spacing w:line="240" w:lineRule="auto"/>
              <w:jc w:val="center"/>
              <w:rPr>
                <w:rFonts w:ascii="宋体" w:hAnsi="宋体" w:cs="宋体"/>
                <w:color w:val="auto"/>
                <w:szCs w:val="21"/>
                <w:highlight w:val="none"/>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570B1B80">
            <w:pPr>
              <w:numPr>
                <w:ilvl w:val="0"/>
                <w:numId w:val="0"/>
              </w:numPr>
              <w:spacing w:line="240" w:lineRule="auto"/>
              <w:ind w:leftChars="0"/>
              <w:rPr>
                <w:rFonts w:ascii="宋体" w:hAnsi="宋体" w:cs="宋体"/>
                <w:color w:val="auto"/>
                <w:szCs w:val="21"/>
                <w:highlight w:val="none"/>
              </w:rPr>
            </w:pPr>
            <w:r>
              <w:rPr>
                <w:rFonts w:hint="eastAsia" w:ascii="宋体" w:hAnsi="宋体"/>
                <w:color w:val="auto"/>
                <w:szCs w:val="21"/>
                <w:highlight w:val="none"/>
                <w:lang w:val="en-US" w:eastAsia="zh-CN"/>
              </w:rPr>
              <w:t>（3）</w:t>
            </w:r>
            <w:r>
              <w:rPr>
                <w:rFonts w:hint="eastAsia" w:ascii="宋体" w:hAnsi="宋体" w:eastAsia="宋体"/>
                <w:color w:val="auto"/>
                <w:szCs w:val="21"/>
                <w:highlight w:val="none"/>
                <w:lang w:val="en-US" w:eastAsia="zh-CN"/>
              </w:rPr>
              <w:t>投标人的单位负责人为同一人或者存在直接控股、管理关系的不同投标人，不得参加同一合同项下的采购活动。</w:t>
            </w:r>
          </w:p>
        </w:tc>
      </w:tr>
      <w:tr w14:paraId="3C1C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5A0F8085">
            <w:pPr>
              <w:tabs>
                <w:tab w:val="left" w:pos="176"/>
                <w:tab w:val="left" w:pos="420"/>
                <w:tab w:val="left" w:pos="612"/>
              </w:tabs>
              <w:spacing w:line="240" w:lineRule="auto"/>
              <w:jc w:val="center"/>
              <w:rPr>
                <w:rFonts w:ascii="宋体" w:hAnsi="宋体" w:cs="宋体"/>
                <w:color w:val="auto"/>
                <w:szCs w:val="21"/>
                <w:highlight w:val="none"/>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5974AE91">
            <w:pPr>
              <w:numPr>
                <w:ilvl w:val="0"/>
                <w:numId w:val="0"/>
              </w:numPr>
              <w:spacing w:line="240" w:lineRule="auto"/>
              <w:ind w:leftChars="0"/>
              <w:rPr>
                <w:rFonts w:ascii="宋体" w:hAnsi="宋体" w:cs="宋体"/>
                <w:color w:val="auto"/>
                <w:szCs w:val="21"/>
                <w:highlight w:val="none"/>
              </w:rPr>
            </w:pPr>
            <w:r>
              <w:rPr>
                <w:rFonts w:hint="eastAsia" w:ascii="宋体" w:hAnsi="宋体"/>
                <w:color w:val="auto"/>
                <w:szCs w:val="21"/>
                <w:highlight w:val="none"/>
                <w:lang w:val="en-US" w:eastAsia="zh-CN"/>
              </w:rPr>
              <w:t>（4）</w:t>
            </w:r>
            <w:r>
              <w:rPr>
                <w:rFonts w:hint="eastAsia" w:ascii="宋体" w:hAnsi="宋体" w:eastAsia="宋体"/>
                <w:color w:val="auto"/>
                <w:szCs w:val="21"/>
                <w:highlight w:val="none"/>
                <w:lang w:val="en-US" w:eastAsia="zh-CN"/>
              </w:rPr>
              <w:t>投标人参加本项目采购活动前三年内，在经营活动中没有重大违法记录。（须提供书面声明，详见附件格式）</w:t>
            </w:r>
          </w:p>
        </w:tc>
      </w:tr>
      <w:tr w14:paraId="4154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00" w:type="dxa"/>
            <w:vMerge w:val="continue"/>
            <w:tcBorders>
              <w:left w:val="single" w:color="auto" w:sz="4" w:space="0"/>
              <w:right w:val="single" w:color="auto" w:sz="4" w:space="0"/>
              <w:tl2br w:val="nil"/>
              <w:tr2bl w:val="nil"/>
            </w:tcBorders>
            <w:vAlign w:val="center"/>
          </w:tcPr>
          <w:p w14:paraId="55489E63">
            <w:pPr>
              <w:tabs>
                <w:tab w:val="left" w:pos="176"/>
                <w:tab w:val="left" w:pos="420"/>
                <w:tab w:val="left" w:pos="612"/>
              </w:tabs>
              <w:spacing w:line="240" w:lineRule="auto"/>
              <w:jc w:val="center"/>
              <w:rPr>
                <w:rFonts w:ascii="宋体" w:hAnsi="宋体" w:cs="宋体"/>
                <w:color w:val="auto"/>
                <w:szCs w:val="21"/>
                <w:highlight w:val="none"/>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7197392D">
            <w:pPr>
              <w:numPr>
                <w:ilvl w:val="0"/>
                <w:numId w:val="0"/>
              </w:numPr>
              <w:spacing w:line="240" w:lineRule="auto"/>
              <w:ind w:leftChars="0"/>
              <w:rPr>
                <w:rFonts w:ascii="宋体" w:hAnsi="宋体" w:cs="宋体"/>
                <w:color w:val="auto"/>
                <w:szCs w:val="21"/>
                <w:highlight w:val="none"/>
              </w:rPr>
            </w:pPr>
            <w:r>
              <w:rPr>
                <w:rFonts w:hint="eastAsia" w:ascii="宋体" w:hAnsi="宋体"/>
                <w:color w:val="auto"/>
                <w:szCs w:val="21"/>
                <w:highlight w:val="none"/>
                <w:lang w:val="en-US" w:eastAsia="zh-CN"/>
              </w:rPr>
              <w:t>（5）</w:t>
            </w:r>
            <w:r>
              <w:rPr>
                <w:rFonts w:hint="eastAsia" w:ascii="宋体" w:hAnsi="宋体" w:eastAsia="宋体"/>
                <w:color w:val="auto"/>
                <w:szCs w:val="21"/>
                <w:highlight w:val="none"/>
                <w:lang w:val="en-US" w:eastAsia="zh-CN"/>
              </w:rPr>
              <w:t>投标人未被列入“信用中国”网站(www.creditchina.gov.cn)“记录失信被执行人或重大税收违法案件当事人名单”记录名单。（以采购代理机构于投标截止日当天在“信用中国”网站（www.creditchina.gov.cn）查询结果为准，如相关失信记录已失效，投标人需提供相关证明资料）。</w:t>
            </w:r>
          </w:p>
        </w:tc>
      </w:tr>
      <w:tr w14:paraId="6214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00" w:type="dxa"/>
            <w:vMerge w:val="continue"/>
            <w:tcBorders>
              <w:left w:val="single" w:color="auto" w:sz="4" w:space="0"/>
              <w:right w:val="single" w:color="auto" w:sz="4" w:space="0"/>
              <w:tl2br w:val="nil"/>
              <w:tr2bl w:val="nil"/>
            </w:tcBorders>
            <w:vAlign w:val="center"/>
          </w:tcPr>
          <w:p w14:paraId="32357F60">
            <w:pPr>
              <w:tabs>
                <w:tab w:val="left" w:pos="176"/>
                <w:tab w:val="left" w:pos="420"/>
                <w:tab w:val="left" w:pos="612"/>
              </w:tabs>
              <w:spacing w:line="240" w:lineRule="auto"/>
              <w:jc w:val="center"/>
              <w:rPr>
                <w:rFonts w:ascii="宋体" w:hAnsi="宋体" w:cs="宋体"/>
                <w:color w:val="auto"/>
                <w:szCs w:val="21"/>
                <w:highlight w:val="none"/>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60E80946">
            <w:pPr>
              <w:pStyle w:val="42"/>
              <w:numPr>
                <w:ilvl w:val="0"/>
                <w:numId w:val="0"/>
              </w:numPr>
              <w:wordWrap w:val="0"/>
              <w:spacing w:line="240" w:lineRule="auto"/>
              <w:ind w:leftChars="0"/>
              <w:rPr>
                <w:rFonts w:hint="eastAsia" w:ascii="宋体" w:hAnsi="宋体" w:eastAsia="宋体"/>
                <w:color w:val="auto"/>
                <w:szCs w:val="21"/>
                <w:highlight w:val="none"/>
                <w:lang w:val="en-US" w:eastAsia="zh-CN"/>
              </w:rPr>
            </w:pPr>
            <w:r>
              <w:rPr>
                <w:rFonts w:hint="eastAsia" w:ascii="宋体" w:hAnsi="宋体" w:eastAsia="宋体" w:cstheme="minorBidi"/>
                <w:color w:val="auto"/>
                <w:kern w:val="0"/>
                <w:sz w:val="21"/>
                <w:szCs w:val="21"/>
                <w:highlight w:val="none"/>
                <w:lang w:val="en-US" w:eastAsia="zh-CN" w:bidi="ar-SA"/>
              </w:rPr>
              <w:t>（</w:t>
            </w:r>
            <w:r>
              <w:rPr>
                <w:rFonts w:hint="eastAsia" w:ascii="宋体" w:eastAsia="宋体" w:cstheme="minorBidi"/>
                <w:color w:val="auto"/>
                <w:kern w:val="0"/>
                <w:sz w:val="21"/>
                <w:szCs w:val="21"/>
                <w:highlight w:val="none"/>
                <w:lang w:val="en-US" w:eastAsia="zh-CN" w:bidi="ar-SA"/>
              </w:rPr>
              <w:t>6</w:t>
            </w:r>
            <w:r>
              <w:rPr>
                <w:rFonts w:hint="eastAsia" w:ascii="宋体" w:hAnsi="宋体" w:eastAsia="宋体" w:cstheme="minorBidi"/>
                <w:color w:val="auto"/>
                <w:kern w:val="0"/>
                <w:sz w:val="21"/>
                <w:szCs w:val="21"/>
                <w:highlight w:val="none"/>
                <w:lang w:val="en-US" w:eastAsia="zh-CN" w:bidi="ar-SA"/>
              </w:rPr>
              <w:t>）投标人未被列入东实环境及下属企业相关领域黑名单。</w:t>
            </w:r>
          </w:p>
        </w:tc>
      </w:tr>
      <w:tr w14:paraId="3FCC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l2br w:val="nil"/>
              <w:tr2bl w:val="nil"/>
            </w:tcBorders>
            <w:vAlign w:val="center"/>
          </w:tcPr>
          <w:p w14:paraId="1A893E7E">
            <w:pPr>
              <w:tabs>
                <w:tab w:val="left" w:pos="176"/>
                <w:tab w:val="left" w:pos="420"/>
                <w:tab w:val="left" w:pos="612"/>
              </w:tabs>
              <w:spacing w:line="240" w:lineRule="auto"/>
              <w:jc w:val="center"/>
              <w:rPr>
                <w:rFonts w:ascii="宋体" w:hAnsi="宋体" w:cs="宋体"/>
                <w:color w:val="auto"/>
                <w:szCs w:val="21"/>
                <w:highlight w:val="none"/>
              </w:rPr>
            </w:pP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05BFF2CF">
            <w:pPr>
              <w:tabs>
                <w:tab w:val="left" w:pos="612"/>
              </w:tabs>
              <w:spacing w:line="24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）符合投标人资格要求中其他要求（如有）。（提供《附件9.相关资质证明文件》中对应证明文件。）</w:t>
            </w:r>
          </w:p>
        </w:tc>
      </w:tr>
      <w:tr w14:paraId="68C0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3E86D54C">
            <w:pPr>
              <w:numPr>
                <w:ilvl w:val="0"/>
                <w:numId w:val="0"/>
              </w:numPr>
              <w:tabs>
                <w:tab w:val="left" w:pos="176"/>
                <w:tab w:val="left" w:pos="612"/>
              </w:tabs>
              <w:spacing w:line="240" w:lineRule="auto"/>
              <w:ind w:left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69C21891">
            <w:pPr>
              <w:spacing w:line="240" w:lineRule="auto"/>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14:paraId="0DA6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449E7F8F">
            <w:pPr>
              <w:numPr>
                <w:ilvl w:val="0"/>
                <w:numId w:val="0"/>
              </w:numPr>
              <w:tabs>
                <w:tab w:val="left" w:pos="176"/>
                <w:tab w:val="left" w:pos="612"/>
              </w:tabs>
              <w:spacing w:line="240" w:lineRule="auto"/>
              <w:ind w:left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48EB3780">
            <w:pPr>
              <w:spacing w:line="240" w:lineRule="auto"/>
              <w:textAlignment w:val="center"/>
              <w:rPr>
                <w:rFonts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14:paraId="4EE3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3EE86F16">
            <w:pPr>
              <w:numPr>
                <w:ilvl w:val="0"/>
                <w:numId w:val="0"/>
              </w:numPr>
              <w:tabs>
                <w:tab w:val="left" w:pos="176"/>
                <w:tab w:val="left" w:pos="612"/>
              </w:tabs>
              <w:spacing w:line="240" w:lineRule="auto"/>
              <w:ind w:left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4CC10173">
            <w:pPr>
              <w:spacing w:line="240" w:lineRule="auto"/>
              <w:textAlignment w:val="center"/>
              <w:rPr>
                <w:rFonts w:ascii="宋体" w:hAnsi="宋体" w:cs="宋体"/>
                <w:color w:val="auto"/>
                <w:szCs w:val="21"/>
                <w:highlight w:val="none"/>
              </w:rPr>
            </w:pPr>
            <w:r>
              <w:rPr>
                <w:rFonts w:hint="eastAsia" w:ascii="宋体" w:hAnsi="宋体" w:cs="宋体"/>
                <w:color w:val="auto"/>
                <w:szCs w:val="21"/>
                <w:highlight w:val="none"/>
                <w:lang w:bidi="ar"/>
              </w:rPr>
              <w:t>投标总价未超出采购预算或最高限价；</w:t>
            </w:r>
          </w:p>
        </w:tc>
      </w:tr>
      <w:tr w14:paraId="5588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4432C63C">
            <w:pPr>
              <w:tabs>
                <w:tab w:val="left" w:pos="176"/>
                <w:tab w:val="left" w:pos="612"/>
              </w:tabs>
              <w:spacing w:line="24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34B4FF6D">
            <w:pPr>
              <w:spacing w:line="240" w:lineRule="auto"/>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14:paraId="5906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6249E5B9">
            <w:pPr>
              <w:tabs>
                <w:tab w:val="left" w:pos="176"/>
                <w:tab w:val="left" w:pos="612"/>
              </w:tabs>
              <w:spacing w:line="24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77ED0287">
            <w:pPr>
              <w:spacing w:line="240" w:lineRule="auto"/>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14:paraId="50E6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0" w:type="dxa"/>
            <w:tcBorders>
              <w:top w:val="single" w:color="auto" w:sz="4" w:space="0"/>
              <w:left w:val="single" w:color="auto" w:sz="4" w:space="0"/>
              <w:bottom w:val="single" w:color="auto" w:sz="4" w:space="0"/>
              <w:right w:val="single" w:color="auto" w:sz="4" w:space="0"/>
              <w:tl2br w:val="nil"/>
              <w:tr2bl w:val="nil"/>
            </w:tcBorders>
            <w:vAlign w:val="center"/>
          </w:tcPr>
          <w:p w14:paraId="6A61CD2A">
            <w:pPr>
              <w:tabs>
                <w:tab w:val="left" w:pos="176"/>
                <w:tab w:val="left" w:pos="612"/>
              </w:tabs>
              <w:spacing w:line="24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7839" w:type="dxa"/>
            <w:tcBorders>
              <w:top w:val="single" w:color="auto" w:sz="4" w:space="0"/>
              <w:left w:val="single" w:color="auto" w:sz="4" w:space="0"/>
              <w:bottom w:val="single" w:color="auto" w:sz="4" w:space="0"/>
              <w:right w:val="single" w:color="auto" w:sz="4" w:space="0"/>
              <w:tl2br w:val="nil"/>
              <w:tr2bl w:val="nil"/>
            </w:tcBorders>
            <w:vAlign w:val="center"/>
          </w:tcPr>
          <w:p w14:paraId="4DC5F4F0">
            <w:pPr>
              <w:spacing w:line="240" w:lineRule="auto"/>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文件规定的其他无效情形。</w:t>
            </w:r>
          </w:p>
        </w:tc>
      </w:tr>
      <w:bookmarkEnd w:id="67"/>
    </w:tbl>
    <w:p w14:paraId="64986AA8">
      <w:pPr>
        <w:widowControl w:val="0"/>
        <w:overflowPunct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以上资格性、符合性审查中带有不合格分项的投标文件，将作无效标处理。经评标委员会确认的无效投标文件，采购人和采购代理机构将予以拒绝，并且不允许通过修正或</w:t>
      </w:r>
      <w:r>
        <w:rPr>
          <w:rFonts w:hint="eastAsia" w:ascii="宋体" w:hAnsi="宋体" w:cs="宋体"/>
          <w:color w:val="auto"/>
          <w:szCs w:val="21"/>
          <w:highlight w:val="none"/>
          <w:lang w:eastAsia="zh-CN"/>
        </w:rPr>
        <w:t>撤销其</w:t>
      </w:r>
      <w:r>
        <w:rPr>
          <w:rFonts w:hint="eastAsia" w:ascii="宋体" w:hAnsi="宋体" w:eastAsia="宋体" w:cs="宋体"/>
          <w:color w:val="auto"/>
          <w:szCs w:val="21"/>
          <w:highlight w:val="none"/>
        </w:rPr>
        <w:t>不符合要求的差异，使之成为具有符合性的投标文件。经评标委员会资格性、符合性审查确认具有有效投标文件的投标人不足三家时将重新组织采购。</w:t>
      </w:r>
    </w:p>
    <w:p w14:paraId="722BBB8F">
      <w:pPr>
        <w:widowControl w:val="0"/>
        <w:numPr>
          <w:ilvl w:val="1"/>
          <w:numId w:val="5"/>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投标文件报价出现前后不一致的，评标委员会按照下列规定修正：</w:t>
      </w:r>
    </w:p>
    <w:p w14:paraId="44A12E87">
      <w:pPr>
        <w:widowControl w:val="0"/>
        <w:numPr>
          <w:ilvl w:val="0"/>
          <w:numId w:val="7"/>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投标文件中开标一览表（报价表）内容与投标文件中相应内容不一致的，以开标一览表（报价表）为准；</w:t>
      </w:r>
    </w:p>
    <w:p w14:paraId="010DC92B">
      <w:pPr>
        <w:widowControl w:val="0"/>
        <w:numPr>
          <w:ilvl w:val="0"/>
          <w:numId w:val="7"/>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大写金额和小写金额不一致的，以大写金额为准；</w:t>
      </w:r>
    </w:p>
    <w:p w14:paraId="1249A078">
      <w:pPr>
        <w:widowControl w:val="0"/>
        <w:numPr>
          <w:ilvl w:val="0"/>
          <w:numId w:val="7"/>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单价金额小数点或者百分比有明显错位的，以开标一览表的总价为准，并修改单价；</w:t>
      </w:r>
    </w:p>
    <w:p w14:paraId="5079E6C2">
      <w:pPr>
        <w:widowControl w:val="0"/>
        <w:numPr>
          <w:ilvl w:val="0"/>
          <w:numId w:val="7"/>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总价金额与按单价汇总金额不一致的，以单价金额计算结果为准。</w:t>
      </w:r>
    </w:p>
    <w:p w14:paraId="7E205B14">
      <w:pPr>
        <w:widowControl w:val="0"/>
        <w:numPr>
          <w:ilvl w:val="0"/>
          <w:numId w:val="7"/>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同时出现两种以上不一致的，按照前款规定的顺序修正。修正后的报价按照经投标人确认后产生约束力，投标人不确认的，其投标无效。</w:t>
      </w:r>
    </w:p>
    <w:p w14:paraId="65B7D410">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1E508D15">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  对于投标文件中不构成实质性偏差的不正规、不一致或不规则，评标委员会可以接受，但这种接受不能损害或影响任何投标人的相对排序。</w:t>
      </w:r>
    </w:p>
    <w:p w14:paraId="594655E9">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2BCCC31D">
      <w:pPr>
        <w:pStyle w:val="2"/>
        <w:rPr>
          <w:rFonts w:hint="eastAsia" w:ascii="宋体" w:hAnsi="宋体" w:eastAsia="宋体" w:cs="宋体"/>
          <w:color w:val="auto"/>
          <w:highlight w:val="none"/>
        </w:rPr>
      </w:pPr>
    </w:p>
    <w:p w14:paraId="39717C38">
      <w:pPr>
        <w:pStyle w:val="7"/>
        <w:widowControl w:val="0"/>
        <w:numPr>
          <w:ilvl w:val="0"/>
          <w:numId w:val="5"/>
        </w:numPr>
        <w:overflowPunct w:val="0"/>
        <w:rPr>
          <w:rFonts w:hint="eastAsia" w:ascii="宋体" w:hAnsi="宋体" w:eastAsia="宋体" w:cs="宋体"/>
          <w:color w:val="auto"/>
          <w:sz w:val="21"/>
          <w:szCs w:val="21"/>
          <w:highlight w:val="none"/>
        </w:rPr>
      </w:pPr>
      <w:bookmarkStart w:id="68" w:name="_Toc28940"/>
      <w:r>
        <w:rPr>
          <w:rFonts w:hint="eastAsia" w:ascii="宋体" w:hAnsi="宋体" w:eastAsia="宋体" w:cs="宋体"/>
          <w:color w:val="auto"/>
          <w:sz w:val="21"/>
          <w:szCs w:val="21"/>
          <w:highlight w:val="none"/>
        </w:rPr>
        <w:t>商务、技术、价格评审（具体评审项目详见投标资料表）</w:t>
      </w:r>
      <w:bookmarkEnd w:id="68"/>
    </w:p>
    <w:p w14:paraId="0F4FED6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6925711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1135428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综合得分相同的，按价格评分由高到低顺序排列。综合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14:paraId="49EF24D0">
      <w:pPr>
        <w:widowControl w:val="0"/>
        <w:tabs>
          <w:tab w:val="left" w:pos="907"/>
        </w:tabs>
        <w:adjustRightInd/>
        <w:snapToGrid/>
        <w:ind w:left="567"/>
        <w:jc w:val="both"/>
        <w:rPr>
          <w:rFonts w:hint="eastAsia" w:ascii="宋体" w:hAnsi="宋体" w:eastAsia="宋体" w:cs="宋体"/>
          <w:color w:val="auto"/>
          <w:szCs w:val="21"/>
          <w:highlight w:val="none"/>
        </w:rPr>
      </w:pPr>
    </w:p>
    <w:p w14:paraId="5FCE4890">
      <w:pPr>
        <w:pStyle w:val="7"/>
        <w:widowControl w:val="0"/>
        <w:numPr>
          <w:ilvl w:val="0"/>
          <w:numId w:val="5"/>
        </w:numPr>
        <w:overflowPunct w:val="0"/>
        <w:rPr>
          <w:rFonts w:hint="eastAsia" w:ascii="宋体" w:hAnsi="宋体" w:eastAsia="宋体" w:cs="宋体"/>
          <w:color w:val="auto"/>
          <w:sz w:val="21"/>
          <w:szCs w:val="21"/>
          <w:highlight w:val="none"/>
        </w:rPr>
      </w:pPr>
      <w:bookmarkStart w:id="69" w:name="_Toc316375620"/>
      <w:bookmarkStart w:id="70" w:name="_Toc382049120"/>
      <w:bookmarkStart w:id="71" w:name="_Toc20328"/>
      <w:bookmarkStart w:id="72" w:name="_Toc30012"/>
      <w:r>
        <w:rPr>
          <w:rFonts w:hint="eastAsia" w:ascii="宋体" w:hAnsi="宋体" w:eastAsia="宋体" w:cs="宋体"/>
          <w:color w:val="auto"/>
          <w:sz w:val="21"/>
          <w:szCs w:val="21"/>
          <w:highlight w:val="none"/>
        </w:rPr>
        <w:t>纪律和保密</w:t>
      </w:r>
      <w:bookmarkEnd w:id="69"/>
      <w:r>
        <w:rPr>
          <w:rFonts w:hint="eastAsia" w:ascii="宋体" w:hAnsi="宋体" w:eastAsia="宋体" w:cs="宋体"/>
          <w:color w:val="auto"/>
          <w:sz w:val="21"/>
          <w:szCs w:val="21"/>
          <w:highlight w:val="none"/>
        </w:rPr>
        <w:t>事项</w:t>
      </w:r>
      <w:bookmarkEnd w:id="70"/>
      <w:bookmarkEnd w:id="71"/>
      <w:bookmarkEnd w:id="72"/>
    </w:p>
    <w:p w14:paraId="7C04FC2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52623AA1">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投标人不得串通作弊，以不正当的手段妨碍、排挤其他投标人，扰乱采购市场，破坏公平竞争原则。否则将按相关法律规定严肃处理。</w:t>
      </w:r>
    </w:p>
    <w:p w14:paraId="118C792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获得本采购文件的投标人，应对文件进行保密，不得用作本次投标以外的任何用途。开标后，投标人应归还采购文件中要求保密的文件和资料。</w:t>
      </w:r>
    </w:p>
    <w:p w14:paraId="7CA66C68">
      <w:pPr>
        <w:rPr>
          <w:rFonts w:hint="eastAsia" w:ascii="宋体" w:hAnsi="宋体" w:eastAsia="宋体" w:cs="宋体"/>
          <w:color w:val="auto"/>
          <w:highlight w:val="none"/>
        </w:rPr>
      </w:pPr>
    </w:p>
    <w:p w14:paraId="39B7987C">
      <w:pPr>
        <w:pStyle w:val="6"/>
        <w:numPr>
          <w:ilvl w:val="0"/>
          <w:numId w:val="4"/>
        </w:numPr>
        <w:spacing w:before="0" w:after="0" w:line="360" w:lineRule="auto"/>
        <w:jc w:val="center"/>
        <w:rPr>
          <w:rFonts w:hint="eastAsia" w:ascii="宋体" w:hAnsi="宋体" w:eastAsia="宋体" w:cs="宋体"/>
          <w:color w:val="auto"/>
          <w:highlight w:val="none"/>
        </w:rPr>
      </w:pPr>
      <w:bookmarkStart w:id="73" w:name="_Toc672"/>
      <w:r>
        <w:rPr>
          <w:rFonts w:hint="eastAsia" w:ascii="宋体" w:hAnsi="宋体" w:eastAsia="宋体" w:cs="宋体"/>
          <w:color w:val="auto"/>
          <w:highlight w:val="none"/>
        </w:rPr>
        <w:t>授予合同</w:t>
      </w:r>
      <w:bookmarkEnd w:id="73"/>
    </w:p>
    <w:p w14:paraId="13CA69E4">
      <w:pPr>
        <w:pStyle w:val="7"/>
        <w:widowControl w:val="0"/>
        <w:numPr>
          <w:ilvl w:val="0"/>
          <w:numId w:val="5"/>
        </w:numPr>
        <w:overflowPunct w:val="0"/>
        <w:rPr>
          <w:rFonts w:hint="eastAsia" w:ascii="宋体" w:hAnsi="宋体" w:eastAsia="宋体" w:cs="宋体"/>
          <w:color w:val="auto"/>
          <w:sz w:val="21"/>
          <w:szCs w:val="21"/>
          <w:highlight w:val="none"/>
        </w:rPr>
      </w:pPr>
      <w:bookmarkStart w:id="74" w:name="_Toc17674"/>
      <w:bookmarkStart w:id="75" w:name="_Toc508284011"/>
      <w:r>
        <w:rPr>
          <w:rFonts w:hint="eastAsia" w:ascii="宋体" w:hAnsi="宋体" w:eastAsia="宋体" w:cs="宋体"/>
          <w:color w:val="auto"/>
          <w:sz w:val="21"/>
          <w:szCs w:val="21"/>
          <w:highlight w:val="none"/>
        </w:rPr>
        <w:t>合同授予标准</w:t>
      </w:r>
      <w:bookmarkEnd w:id="74"/>
      <w:bookmarkEnd w:id="75"/>
    </w:p>
    <w:p w14:paraId="1458A712">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根据评标委员会的评审结果，采购人按照评审报告推荐的中标候选人中按顺序依法确定中标人。</w:t>
      </w:r>
    </w:p>
    <w:p w14:paraId="2C5E4538">
      <w:pPr>
        <w:rPr>
          <w:rFonts w:hint="eastAsia" w:ascii="宋体" w:hAnsi="宋体" w:eastAsia="宋体" w:cs="宋体"/>
          <w:color w:val="auto"/>
          <w:highlight w:val="none"/>
        </w:rPr>
      </w:pPr>
    </w:p>
    <w:p w14:paraId="3C7DADCF">
      <w:pPr>
        <w:pStyle w:val="7"/>
        <w:widowControl w:val="0"/>
        <w:numPr>
          <w:ilvl w:val="0"/>
          <w:numId w:val="5"/>
        </w:numPr>
        <w:overflowPunct w:val="0"/>
        <w:rPr>
          <w:rFonts w:hint="eastAsia" w:ascii="宋体" w:hAnsi="宋体" w:eastAsia="宋体" w:cs="宋体"/>
          <w:color w:val="auto"/>
          <w:sz w:val="21"/>
          <w:szCs w:val="21"/>
          <w:highlight w:val="none"/>
        </w:rPr>
      </w:pPr>
      <w:bookmarkStart w:id="76" w:name="_Toc508284013"/>
      <w:bookmarkStart w:id="77" w:name="_Toc21690"/>
      <w:r>
        <w:rPr>
          <w:rFonts w:hint="eastAsia" w:ascii="宋体" w:hAnsi="宋体" w:eastAsia="宋体" w:cs="宋体"/>
          <w:color w:val="auto"/>
          <w:sz w:val="21"/>
          <w:szCs w:val="21"/>
          <w:highlight w:val="none"/>
        </w:rPr>
        <w:t>发布中标结果</w:t>
      </w:r>
      <w:bookmarkEnd w:id="76"/>
      <w:bookmarkEnd w:id="77"/>
    </w:p>
    <w:p w14:paraId="54D28AB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评标委员会提出评标书面报告和推荐中标意见报采购人确认后，采购代理机构将在指定的信息发布媒体上发布公告。</w:t>
      </w:r>
    </w:p>
    <w:p w14:paraId="032264A5">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中标公告期限为3个日历日。</w:t>
      </w:r>
    </w:p>
    <w:p w14:paraId="573925F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《中标通知书》是合同的一个组成部分，《中标通知书》对采购人和中标人均具有同等法律效力。</w:t>
      </w:r>
    </w:p>
    <w:p w14:paraId="341A1A88">
      <w:pPr>
        <w:widowControl w:val="0"/>
        <w:tabs>
          <w:tab w:val="left" w:pos="907"/>
        </w:tabs>
        <w:adjustRightInd/>
        <w:snapToGrid/>
        <w:jc w:val="both"/>
        <w:rPr>
          <w:rFonts w:hint="eastAsia" w:ascii="宋体" w:hAnsi="宋体" w:eastAsia="宋体" w:cs="宋体"/>
          <w:color w:val="auto"/>
          <w:szCs w:val="21"/>
          <w:highlight w:val="none"/>
        </w:rPr>
      </w:pPr>
    </w:p>
    <w:p w14:paraId="01C57648">
      <w:pPr>
        <w:pStyle w:val="7"/>
        <w:widowControl w:val="0"/>
        <w:numPr>
          <w:ilvl w:val="0"/>
          <w:numId w:val="5"/>
        </w:numPr>
        <w:overflowPunct w:val="0"/>
        <w:rPr>
          <w:rFonts w:hint="eastAsia" w:ascii="宋体" w:hAnsi="宋体" w:eastAsia="宋体" w:cs="宋体"/>
          <w:color w:val="auto"/>
          <w:sz w:val="21"/>
          <w:szCs w:val="21"/>
          <w:highlight w:val="none"/>
        </w:rPr>
      </w:pPr>
      <w:bookmarkStart w:id="78" w:name="_Toc7375"/>
      <w:r>
        <w:rPr>
          <w:rFonts w:hint="eastAsia" w:ascii="宋体" w:hAnsi="宋体" w:eastAsia="宋体" w:cs="宋体"/>
          <w:color w:val="auto"/>
          <w:sz w:val="21"/>
          <w:szCs w:val="21"/>
          <w:highlight w:val="none"/>
        </w:rPr>
        <w:t>资格后审</w:t>
      </w:r>
      <w:bookmarkEnd w:id="78"/>
    </w:p>
    <w:p w14:paraId="6C398817">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采购人将</w:t>
      </w:r>
      <w:r>
        <w:rPr>
          <w:rFonts w:hint="eastAsia" w:ascii="宋体" w:hAnsi="宋体" w:eastAsia="宋体" w:cs="宋体"/>
          <w:b/>
          <w:bCs/>
          <w:color w:val="auto"/>
          <w:szCs w:val="21"/>
          <w:highlight w:val="none"/>
        </w:rPr>
        <w:t>有权</w:t>
      </w:r>
      <w:r>
        <w:rPr>
          <w:rFonts w:hint="eastAsia" w:ascii="宋体" w:hAnsi="宋体" w:eastAsia="宋体" w:cs="宋体"/>
          <w:color w:val="auto"/>
          <w:szCs w:val="21"/>
          <w:highlight w:val="none"/>
        </w:rPr>
        <w:t>根据本文件中的要求，对评委会推荐的中标候选人进行资格后审。</w:t>
      </w:r>
    </w:p>
    <w:p w14:paraId="14B201A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中标候选人须无条件配合资格后审，否则采购人有权取消其中标资格，且投标保证金可不予退还。</w:t>
      </w:r>
    </w:p>
    <w:p w14:paraId="22D0ACF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7C387615">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4FFD523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698064E4">
      <w:pPr>
        <w:rPr>
          <w:rFonts w:hint="eastAsia" w:ascii="宋体" w:hAnsi="宋体" w:eastAsia="宋体" w:cs="宋体"/>
          <w:color w:val="auto"/>
          <w:highlight w:val="none"/>
        </w:rPr>
      </w:pPr>
    </w:p>
    <w:p w14:paraId="6C6F7BFF">
      <w:pPr>
        <w:pStyle w:val="7"/>
        <w:widowControl w:val="0"/>
        <w:numPr>
          <w:ilvl w:val="0"/>
          <w:numId w:val="5"/>
        </w:numPr>
        <w:overflowPunct w:val="0"/>
        <w:rPr>
          <w:rFonts w:hint="eastAsia" w:ascii="宋体" w:hAnsi="宋体" w:eastAsia="宋体" w:cs="宋体"/>
          <w:color w:val="auto"/>
          <w:sz w:val="21"/>
          <w:szCs w:val="21"/>
          <w:highlight w:val="none"/>
        </w:rPr>
      </w:pPr>
      <w:bookmarkStart w:id="79" w:name="_Toc11088"/>
      <w:r>
        <w:rPr>
          <w:rFonts w:hint="eastAsia" w:ascii="宋体" w:hAnsi="宋体" w:eastAsia="宋体" w:cs="宋体"/>
          <w:color w:val="auto"/>
          <w:sz w:val="21"/>
          <w:szCs w:val="21"/>
          <w:highlight w:val="none"/>
        </w:rPr>
        <w:t>合同的签订与履行</w:t>
      </w:r>
      <w:bookmarkEnd w:id="79"/>
    </w:p>
    <w:p w14:paraId="6E29BD1C">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3C0E4D1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采购人与中标人应当根据合同的约定依法履行合同义务。</w:t>
      </w:r>
    </w:p>
    <w:p w14:paraId="352A3A3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采购合同的履行、违约责任和解决争议的方法等适用《中华人民共和国民法典》。</w:t>
      </w:r>
    </w:p>
    <w:p w14:paraId="1033045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w:t>
      </w:r>
      <w:r>
        <w:rPr>
          <w:rFonts w:hint="eastAsia" w:ascii="宋体" w:hAnsi="宋体" w:cs="宋体"/>
          <w:color w:val="auto"/>
          <w:szCs w:val="21"/>
          <w:highlight w:val="none"/>
          <w:lang w:eastAsia="zh-CN"/>
        </w:rPr>
        <w:t>终止</w:t>
      </w:r>
      <w:r>
        <w:rPr>
          <w:rFonts w:hint="eastAsia" w:ascii="宋体" w:hAnsi="宋体" w:eastAsia="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且不承担违约责任</w:t>
      </w:r>
      <w:r>
        <w:rPr>
          <w:rFonts w:hint="eastAsia" w:ascii="宋体" w:hAnsi="宋体" w:eastAsia="宋体" w:cs="宋体"/>
          <w:color w:val="auto"/>
          <w:szCs w:val="21"/>
          <w:highlight w:val="none"/>
        </w:rPr>
        <w:t>。</w:t>
      </w:r>
    </w:p>
    <w:p w14:paraId="0EAF2D3E">
      <w:pPr>
        <w:widowControl w:val="0"/>
        <w:tabs>
          <w:tab w:val="left" w:pos="907"/>
        </w:tabs>
        <w:adjustRightInd/>
        <w:snapToGrid/>
        <w:jc w:val="both"/>
        <w:rPr>
          <w:rFonts w:hint="eastAsia" w:ascii="宋体" w:hAnsi="宋体" w:eastAsia="宋体" w:cs="宋体"/>
          <w:color w:val="auto"/>
          <w:highlight w:val="none"/>
        </w:rPr>
      </w:pPr>
    </w:p>
    <w:p w14:paraId="787375B5">
      <w:pPr>
        <w:pStyle w:val="7"/>
        <w:widowControl w:val="0"/>
        <w:numPr>
          <w:ilvl w:val="0"/>
          <w:numId w:val="5"/>
        </w:numPr>
        <w:overflowPunct w:val="0"/>
        <w:rPr>
          <w:rFonts w:hint="eastAsia" w:ascii="宋体" w:hAnsi="宋体" w:eastAsia="宋体" w:cs="宋体"/>
          <w:color w:val="auto"/>
          <w:sz w:val="21"/>
          <w:szCs w:val="21"/>
          <w:highlight w:val="none"/>
        </w:rPr>
      </w:pPr>
      <w:bookmarkStart w:id="80" w:name="_Toc382049124"/>
      <w:bookmarkStart w:id="81" w:name="_Toc29009"/>
      <w:bookmarkStart w:id="82" w:name="_Toc303084277"/>
      <w:bookmarkStart w:id="83" w:name="_Toc9981"/>
      <w:r>
        <w:rPr>
          <w:rFonts w:hint="eastAsia" w:ascii="宋体" w:hAnsi="宋体" w:eastAsia="宋体" w:cs="宋体"/>
          <w:color w:val="auto"/>
          <w:sz w:val="21"/>
          <w:szCs w:val="21"/>
          <w:highlight w:val="none"/>
        </w:rPr>
        <w:t>履约</w:t>
      </w:r>
      <w:bookmarkEnd w:id="80"/>
      <w:bookmarkEnd w:id="81"/>
      <w:bookmarkEnd w:id="82"/>
      <w:r>
        <w:rPr>
          <w:rFonts w:hint="eastAsia" w:ascii="宋体" w:hAnsi="宋体" w:eastAsia="宋体" w:cs="宋体"/>
          <w:color w:val="auto"/>
          <w:sz w:val="21"/>
          <w:szCs w:val="21"/>
          <w:highlight w:val="none"/>
        </w:rPr>
        <w:t>担保</w:t>
      </w:r>
      <w:bookmarkEnd w:id="83"/>
    </w:p>
    <w:p w14:paraId="782D28D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57B18590">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履约担保期限从合同签订之日起至项目服务期结束验收合格并结算完毕后，经双方签字7天内保持有效。</w:t>
      </w:r>
    </w:p>
    <w:p w14:paraId="0C5B6BA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履约担保可以采用下列任何一种形式：</w:t>
      </w:r>
    </w:p>
    <w:p w14:paraId="0F87B5FD">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（1）履约保函。如果中标人的履约担保是以银行保函形式提供的，则该银行保函应：</w:t>
      </w:r>
    </w:p>
    <w:p w14:paraId="4B97044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①保函应由银行支行或以上银行机构开具，非东莞市行政区内的银行开具的保函要由银行所在地公证部门出具的公证书。</w:t>
      </w:r>
    </w:p>
    <w:p w14:paraId="1F925DC6">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6A697DD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14:paraId="09D8D4F4">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（2）履约保证金。可采用电汇、银行汇票等银行转账方式提交，但不可以采用现金方式提交。履约保证金金额为中标价的10%。</w:t>
      </w:r>
      <w:r>
        <w:rPr>
          <w:rFonts w:hint="eastAsia" w:ascii="宋体" w:hAnsi="宋体" w:cs="宋体"/>
          <w:color w:val="auto"/>
          <w:szCs w:val="21"/>
          <w:highlight w:val="none"/>
          <w:lang w:eastAsia="zh-CN"/>
        </w:rPr>
        <w:t>中标人</w:t>
      </w:r>
      <w:r>
        <w:rPr>
          <w:rFonts w:hint="eastAsia" w:ascii="宋体" w:hAnsi="宋体" w:eastAsia="宋体" w:cs="宋体"/>
          <w:color w:val="auto"/>
          <w:szCs w:val="21"/>
          <w:highlight w:val="none"/>
        </w:rPr>
        <w:t>必须保证履约保证金以中标人的名称在（合同约定的日期）前提交至采购人指定账户。</w:t>
      </w:r>
    </w:p>
    <w:p w14:paraId="6A737D4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若中标人不能按本采购文件（33.1至33.3）的规定提交履约</w:t>
      </w:r>
      <w:r>
        <w:rPr>
          <w:rFonts w:hint="eastAsia" w:ascii="宋体" w:hAnsi="宋体" w:cs="宋体"/>
          <w:color w:val="auto"/>
          <w:szCs w:val="21"/>
          <w:highlight w:val="none"/>
          <w:lang w:val="en-US" w:eastAsia="zh-CN"/>
        </w:rPr>
        <w:t>担保</w:t>
      </w:r>
      <w:r>
        <w:rPr>
          <w:rFonts w:hint="eastAsia" w:ascii="宋体" w:hAnsi="宋体" w:eastAsia="宋体" w:cs="宋体"/>
          <w:color w:val="auto"/>
          <w:szCs w:val="21"/>
          <w:highlight w:val="none"/>
        </w:rPr>
        <w:t>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6A95F05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为取得履约担保所需的费用，由中标人承担；若工期延误，履约担保时间延长，延长费用由中标人承担。</w:t>
      </w:r>
    </w:p>
    <w:p w14:paraId="16300F19">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6326AFC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下列任何情况发生时，采购人有权立即没收其履约担保：</w:t>
      </w:r>
    </w:p>
    <w:p w14:paraId="6F59FB17">
      <w:pPr>
        <w:keepNext w:val="0"/>
        <w:keepLines w:val="0"/>
        <w:pageBreakBefore w:val="0"/>
        <w:widowControl w:val="0"/>
        <w:tabs>
          <w:tab w:val="left" w:pos="907"/>
        </w:tabs>
        <w:kinsoku/>
        <w:wordWrap/>
        <w:overflowPunct/>
        <w:topLinePunct w:val="0"/>
        <w:autoSpaceDE/>
        <w:autoSpaceDN/>
        <w:bidi w:val="0"/>
        <w:adjustRightInd/>
        <w:snapToGrid/>
        <w:spacing w:line="24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（1）中标人将本项目转让给他人，或者在投标文件中未说明，且未经采购人</w:t>
      </w:r>
      <w:r>
        <w:rPr>
          <w:rFonts w:hint="eastAsia" w:ascii="宋体" w:hAnsi="宋体" w:cs="宋体"/>
          <w:color w:val="auto"/>
          <w:szCs w:val="21"/>
          <w:highlight w:val="none"/>
          <w:lang w:val="en-US" w:eastAsia="zh-CN"/>
        </w:rPr>
        <w:t>书面</w:t>
      </w:r>
      <w:r>
        <w:rPr>
          <w:rFonts w:hint="eastAsia" w:ascii="宋体" w:hAnsi="宋体" w:eastAsia="宋体" w:cs="宋体"/>
          <w:color w:val="auto"/>
          <w:szCs w:val="21"/>
          <w:highlight w:val="none"/>
        </w:rPr>
        <w:t>同意，将中标项目分包给他人的；</w:t>
      </w:r>
    </w:p>
    <w:p w14:paraId="4BAE5473">
      <w:pPr>
        <w:keepNext w:val="0"/>
        <w:keepLines w:val="0"/>
        <w:pageBreakBefore w:val="0"/>
        <w:widowControl w:val="0"/>
        <w:tabs>
          <w:tab w:val="left" w:pos="907"/>
        </w:tabs>
        <w:kinsoku/>
        <w:wordWrap/>
        <w:overflowPunct/>
        <w:topLinePunct w:val="0"/>
        <w:autoSpaceDE/>
        <w:autoSpaceDN/>
        <w:bidi w:val="0"/>
        <w:adjustRightInd/>
        <w:snapToGrid/>
        <w:spacing w:line="24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（2）中标人在履行采购合同期间，违反有关法律法规的规定及合同约定的条款，损害了采购人的利益。</w:t>
      </w:r>
    </w:p>
    <w:p w14:paraId="7C347113">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在整个项目验收合格后，中标人向采购人提交退回履约担保的申请，采购人办理履约担保退还手续。</w:t>
      </w:r>
    </w:p>
    <w:p w14:paraId="3233E39F">
      <w:pPr>
        <w:widowControl w:val="0"/>
        <w:tabs>
          <w:tab w:val="left" w:pos="907"/>
        </w:tabs>
        <w:adjustRightInd/>
        <w:snapToGrid/>
        <w:jc w:val="both"/>
        <w:rPr>
          <w:rFonts w:hint="eastAsia" w:ascii="宋体" w:hAnsi="宋体" w:eastAsia="宋体" w:cs="宋体"/>
          <w:color w:val="auto"/>
          <w:highlight w:val="none"/>
        </w:rPr>
      </w:pPr>
    </w:p>
    <w:p w14:paraId="71E18041">
      <w:pPr>
        <w:pStyle w:val="7"/>
        <w:widowControl w:val="0"/>
        <w:numPr>
          <w:ilvl w:val="0"/>
          <w:numId w:val="5"/>
        </w:numPr>
        <w:overflowPunct w:val="0"/>
        <w:rPr>
          <w:rFonts w:hint="eastAsia" w:ascii="宋体" w:hAnsi="宋体" w:eastAsia="宋体" w:cs="宋体"/>
          <w:color w:val="auto"/>
          <w:sz w:val="21"/>
          <w:szCs w:val="21"/>
          <w:highlight w:val="none"/>
        </w:rPr>
      </w:pPr>
      <w:bookmarkStart w:id="84" w:name="_Toc27671"/>
      <w:r>
        <w:rPr>
          <w:rFonts w:hint="eastAsia" w:ascii="宋体" w:hAnsi="宋体" w:eastAsia="宋体" w:cs="宋体"/>
          <w:color w:val="auto"/>
          <w:sz w:val="21"/>
          <w:szCs w:val="21"/>
          <w:highlight w:val="none"/>
        </w:rPr>
        <w:t>预付款保函（适用于预付款支付）</w:t>
      </w:r>
      <w:bookmarkEnd w:id="84"/>
    </w:p>
    <w:p w14:paraId="4DCF6831">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7D674D1B">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预付款保函应：</w:t>
      </w:r>
    </w:p>
    <w:p w14:paraId="52A25BCE">
      <w:pPr>
        <w:keepNext w:val="0"/>
        <w:keepLines w:val="0"/>
        <w:pageBreakBefore w:val="0"/>
        <w:widowControl w:val="0"/>
        <w:tabs>
          <w:tab w:val="left" w:pos="907"/>
        </w:tabs>
        <w:kinsoku/>
        <w:wordWrap/>
        <w:overflowPunct/>
        <w:topLinePunct w:val="0"/>
        <w:autoSpaceDE/>
        <w:autoSpaceDN/>
        <w:bidi w:val="0"/>
        <w:adjustRightInd/>
        <w:snapToGrid/>
        <w:spacing w:line="264"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（1）由东莞市行政区域内的银行支行及以上银行机构开具。非东莞市行政区内的银行开具的保函要由银行所在地公证部门出具的公证书。</w:t>
      </w:r>
    </w:p>
    <w:p w14:paraId="64CBFD6A">
      <w:pPr>
        <w:keepNext w:val="0"/>
        <w:keepLines w:val="0"/>
        <w:pageBreakBefore w:val="0"/>
        <w:widowControl w:val="0"/>
        <w:tabs>
          <w:tab w:val="left" w:pos="907"/>
        </w:tabs>
        <w:kinsoku/>
        <w:wordWrap/>
        <w:overflowPunct/>
        <w:topLinePunct w:val="0"/>
        <w:autoSpaceDE/>
        <w:autoSpaceDN/>
        <w:bidi w:val="0"/>
        <w:adjustRightInd/>
        <w:snapToGrid/>
        <w:spacing w:line="264"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（2）必须打印，手写、涂改无效</w:t>
      </w:r>
    </w:p>
    <w:p w14:paraId="51516FAE">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若中标人不能按本须知（34.1至34.2）的规定执行，采购人将不予支付预付款。</w:t>
      </w:r>
    </w:p>
    <w:p w14:paraId="30BEC3F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77219C28">
      <w:pPr>
        <w:rPr>
          <w:rFonts w:hint="eastAsia" w:ascii="宋体" w:hAnsi="宋体" w:eastAsia="宋体" w:cs="宋体"/>
          <w:color w:val="auto"/>
          <w:highlight w:val="none"/>
        </w:rPr>
      </w:pPr>
    </w:p>
    <w:p w14:paraId="1C20E955">
      <w:pPr>
        <w:pStyle w:val="6"/>
        <w:numPr>
          <w:ilvl w:val="0"/>
          <w:numId w:val="4"/>
        </w:numPr>
        <w:spacing w:before="0" w:after="0" w:line="360" w:lineRule="auto"/>
        <w:jc w:val="center"/>
        <w:rPr>
          <w:rFonts w:hint="eastAsia" w:ascii="宋体" w:hAnsi="宋体" w:eastAsia="宋体" w:cs="宋体"/>
          <w:color w:val="auto"/>
          <w:highlight w:val="none"/>
        </w:rPr>
      </w:pPr>
      <w:bookmarkStart w:id="85" w:name="_Toc11096"/>
      <w:r>
        <w:rPr>
          <w:rFonts w:hint="eastAsia" w:ascii="宋体" w:hAnsi="宋体" w:eastAsia="宋体" w:cs="宋体"/>
          <w:color w:val="auto"/>
          <w:highlight w:val="none"/>
        </w:rPr>
        <w:t>异议</w:t>
      </w:r>
      <w:bookmarkEnd w:id="85"/>
    </w:p>
    <w:p w14:paraId="06F6804E">
      <w:pPr>
        <w:pStyle w:val="7"/>
        <w:widowControl w:val="0"/>
        <w:numPr>
          <w:ilvl w:val="0"/>
          <w:numId w:val="5"/>
        </w:numPr>
        <w:overflowPunct w:val="0"/>
        <w:rPr>
          <w:rFonts w:hint="eastAsia" w:ascii="宋体" w:hAnsi="宋体" w:eastAsia="宋体" w:cs="宋体"/>
          <w:color w:val="auto"/>
          <w:sz w:val="21"/>
          <w:szCs w:val="21"/>
          <w:highlight w:val="none"/>
        </w:rPr>
      </w:pPr>
      <w:bookmarkStart w:id="86" w:name="_Toc23837"/>
      <w:r>
        <w:rPr>
          <w:rFonts w:hint="eastAsia" w:ascii="宋体" w:hAnsi="宋体" w:eastAsia="宋体" w:cs="宋体"/>
          <w:color w:val="auto"/>
          <w:sz w:val="21"/>
          <w:szCs w:val="21"/>
          <w:highlight w:val="none"/>
        </w:rPr>
        <w:t>异议</w:t>
      </w:r>
      <w:bookmarkEnd w:id="86"/>
    </w:p>
    <w:p w14:paraId="60DDBB45">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采购文件的异议</w:t>
      </w:r>
      <w:r>
        <w:rPr>
          <w:rFonts w:hint="eastAsia" w:ascii="宋体" w:hAnsi="宋体" w:eastAsia="宋体" w:cs="宋体"/>
          <w:color w:val="auto"/>
          <w:szCs w:val="21"/>
          <w:highlight w:val="none"/>
        </w:rPr>
        <w:t xml:space="preserve">  </w:t>
      </w:r>
    </w:p>
    <w:p w14:paraId="56DE9F21">
      <w:pPr>
        <w:keepNext w:val="0"/>
        <w:keepLines w:val="0"/>
        <w:pageBreakBefore w:val="0"/>
        <w:widowControl w:val="0"/>
        <w:tabs>
          <w:tab w:val="left" w:pos="907"/>
        </w:tabs>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宋体"/>
          <w:color w:val="auto"/>
          <w:szCs w:val="21"/>
          <w:highlight w:val="none"/>
        </w:rPr>
      </w:pPr>
      <w:r>
        <w:rPr>
          <w:rFonts w:hint="eastAsia" w:ascii="宋体" w:hAnsi="宋体" w:eastAsia="宋体" w:cs="宋体"/>
          <w:bCs/>
          <w:color w:val="auto"/>
          <w:kern w:val="2"/>
          <w:szCs w:val="21"/>
          <w:highlight w:val="none"/>
          <w:lang w:val="zh-CN"/>
        </w:rPr>
        <w:t>投标人或者其他利害关系人对采购文件有异议的，应当在投标截止时间10日前</w:t>
      </w:r>
      <w:r>
        <w:rPr>
          <w:rFonts w:hint="eastAsia" w:ascii="宋体" w:hAnsi="宋体" w:eastAsia="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eastAsia="宋体" w:cs="宋体"/>
          <w:bCs/>
          <w:color w:val="auto"/>
          <w:kern w:val="2"/>
          <w:szCs w:val="21"/>
          <w:highlight w:val="none"/>
          <w:lang w:val="zh-CN"/>
        </w:rPr>
        <w:t>异议</w:t>
      </w:r>
      <w:r>
        <w:rPr>
          <w:rFonts w:hint="eastAsia" w:ascii="宋体" w:hAnsi="宋体" w:eastAsia="宋体" w:cs="宋体"/>
          <w:color w:val="auto"/>
          <w:kern w:val="2"/>
          <w:szCs w:val="21"/>
          <w:highlight w:val="none"/>
          <w:lang w:val="zh-CN"/>
        </w:rPr>
        <w:t>书面材料必须加盖投标人法人公章，并注明联系人、联系电话、联系地址。</w:t>
      </w:r>
      <w:r>
        <w:rPr>
          <w:rFonts w:hint="eastAsia" w:ascii="宋体" w:hAnsi="宋体" w:eastAsia="宋体" w:cs="宋体"/>
          <w:bCs/>
          <w:color w:val="auto"/>
          <w:kern w:val="2"/>
          <w:szCs w:val="21"/>
          <w:highlight w:val="none"/>
          <w:lang w:val="zh-CN"/>
        </w:rPr>
        <w:t>超出</w:t>
      </w:r>
      <w:r>
        <w:rPr>
          <w:rFonts w:hint="eastAsia" w:ascii="宋体" w:hAnsi="宋体" w:eastAsia="宋体" w:cs="宋体"/>
          <w:color w:val="auto"/>
          <w:kern w:val="2"/>
          <w:szCs w:val="21"/>
          <w:highlight w:val="none"/>
          <w:lang w:val="zh-CN"/>
        </w:rPr>
        <w:t>提交接收异议截止时间而</w:t>
      </w:r>
      <w:r>
        <w:rPr>
          <w:rFonts w:hint="eastAsia" w:ascii="宋体" w:hAnsi="宋体" w:eastAsia="宋体" w:cs="宋体"/>
          <w:bCs/>
          <w:color w:val="auto"/>
          <w:kern w:val="2"/>
          <w:szCs w:val="21"/>
          <w:highlight w:val="none"/>
          <w:lang w:val="zh-CN"/>
        </w:rPr>
        <w:t>提出的任何疑问，</w:t>
      </w:r>
      <w:r>
        <w:rPr>
          <w:rFonts w:hint="eastAsia" w:ascii="宋体" w:hAnsi="宋体" w:eastAsia="宋体" w:cs="宋体"/>
          <w:bCs/>
          <w:color w:val="auto"/>
          <w:kern w:val="2"/>
          <w:szCs w:val="21"/>
          <w:highlight w:val="none"/>
        </w:rPr>
        <w:t>采购人或</w:t>
      </w:r>
      <w:r>
        <w:rPr>
          <w:rFonts w:hint="eastAsia" w:ascii="宋体" w:hAnsi="宋体" w:eastAsia="宋体" w:cs="宋体"/>
          <w:bCs/>
          <w:color w:val="auto"/>
          <w:kern w:val="2"/>
          <w:szCs w:val="21"/>
          <w:highlight w:val="none"/>
          <w:lang w:val="zh-CN"/>
        </w:rPr>
        <w:t>采购代理机构可不予答复。</w:t>
      </w:r>
    </w:p>
    <w:p w14:paraId="50E0974A">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评标结果异议</w:t>
      </w:r>
      <w:r>
        <w:rPr>
          <w:rFonts w:hint="eastAsia" w:ascii="宋体" w:hAnsi="宋体" w:eastAsia="宋体" w:cs="宋体"/>
          <w:color w:val="auto"/>
          <w:szCs w:val="21"/>
          <w:highlight w:val="none"/>
        </w:rPr>
        <w:t xml:space="preserve">   </w:t>
      </w:r>
    </w:p>
    <w:p w14:paraId="2150A264">
      <w:pPr>
        <w:keepNext w:val="0"/>
        <w:keepLines w:val="0"/>
        <w:pageBreakBefore w:val="0"/>
        <w:widowControl w:val="0"/>
        <w:tabs>
          <w:tab w:val="left" w:pos="907"/>
        </w:tabs>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宋体"/>
          <w:bCs/>
          <w:color w:val="auto"/>
          <w:kern w:val="2"/>
          <w:szCs w:val="21"/>
          <w:highlight w:val="none"/>
          <w:lang w:val="zh-CN"/>
        </w:rPr>
      </w:pPr>
      <w:r>
        <w:rPr>
          <w:rFonts w:hint="eastAsia" w:ascii="宋体" w:hAnsi="宋体" w:eastAsia="宋体" w:cs="宋体"/>
          <w:bCs/>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46A3B271">
      <w:pPr>
        <w:keepNext w:val="0"/>
        <w:keepLines w:val="0"/>
        <w:pageBreakBefore w:val="0"/>
        <w:widowControl w:val="0"/>
        <w:tabs>
          <w:tab w:val="left" w:pos="907"/>
        </w:tabs>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宋体"/>
          <w:bCs/>
          <w:color w:val="auto"/>
          <w:kern w:val="2"/>
          <w:szCs w:val="21"/>
          <w:highlight w:val="none"/>
          <w:lang w:val="zh-CN"/>
        </w:rPr>
      </w:pPr>
      <w:r>
        <w:rPr>
          <w:rFonts w:hint="eastAsia" w:ascii="宋体" w:hAnsi="宋体" w:eastAsia="宋体" w:cs="宋体"/>
          <w:bCs/>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2FA1019C">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以联合体形式参加采购活动的，其异议应当由组成联合体的所有投标人共同提出。</w:t>
      </w:r>
    </w:p>
    <w:p w14:paraId="257E21B6">
      <w:pPr>
        <w:rPr>
          <w:rFonts w:hint="eastAsia" w:ascii="宋体" w:hAnsi="宋体" w:eastAsia="宋体" w:cs="宋体"/>
          <w:color w:val="auto"/>
          <w:highlight w:val="none"/>
        </w:rPr>
      </w:pPr>
    </w:p>
    <w:p w14:paraId="683F7CBD">
      <w:pPr>
        <w:pStyle w:val="6"/>
        <w:numPr>
          <w:ilvl w:val="0"/>
          <w:numId w:val="4"/>
        </w:numPr>
        <w:spacing w:before="0" w:after="0" w:line="360" w:lineRule="auto"/>
        <w:jc w:val="center"/>
        <w:rPr>
          <w:rFonts w:hint="eastAsia" w:ascii="宋体" w:hAnsi="宋体" w:eastAsia="宋体" w:cs="宋体"/>
          <w:color w:val="auto"/>
          <w:highlight w:val="none"/>
        </w:rPr>
      </w:pPr>
      <w:bookmarkStart w:id="87" w:name="_Toc26531"/>
      <w:r>
        <w:rPr>
          <w:rFonts w:hint="eastAsia" w:ascii="宋体" w:hAnsi="宋体" w:eastAsia="宋体" w:cs="宋体"/>
          <w:color w:val="auto"/>
          <w:highlight w:val="none"/>
        </w:rPr>
        <w:t>其他</w:t>
      </w:r>
      <w:bookmarkEnd w:id="87"/>
    </w:p>
    <w:p w14:paraId="62FA69E1">
      <w:pPr>
        <w:pStyle w:val="7"/>
        <w:widowControl w:val="0"/>
        <w:numPr>
          <w:ilvl w:val="0"/>
          <w:numId w:val="5"/>
        </w:numPr>
        <w:overflowPunct w:val="0"/>
        <w:rPr>
          <w:rFonts w:hint="eastAsia" w:ascii="宋体" w:hAnsi="宋体" w:eastAsia="宋体" w:cs="宋体"/>
          <w:color w:val="auto"/>
          <w:sz w:val="21"/>
          <w:szCs w:val="21"/>
          <w:highlight w:val="none"/>
        </w:rPr>
      </w:pPr>
      <w:bookmarkStart w:id="88" w:name="_Toc23873"/>
      <w:r>
        <w:rPr>
          <w:rFonts w:hint="eastAsia" w:ascii="宋体" w:hAnsi="宋体" w:eastAsia="宋体" w:cs="宋体"/>
          <w:color w:val="auto"/>
          <w:sz w:val="21"/>
          <w:szCs w:val="21"/>
          <w:highlight w:val="none"/>
        </w:rPr>
        <w:t>采购文件的解释权</w:t>
      </w:r>
      <w:bookmarkEnd w:id="88"/>
    </w:p>
    <w:p w14:paraId="4CB2FDEF">
      <w:pPr>
        <w:widowControl w:val="0"/>
        <w:numPr>
          <w:ilvl w:val="1"/>
          <w:numId w:val="5"/>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本采购文件是根据国家有关法律、法规以及采购管理有关规定和参照国际惯例编制，解释权属本采购代理机构。</w:t>
      </w:r>
    </w:p>
    <w:p w14:paraId="213772F6">
      <w:pPr>
        <w:pStyle w:val="5"/>
        <w:spacing w:before="0" w:after="0" w:line="240" w:lineRule="auto"/>
        <w:rPr>
          <w:rFonts w:hint="eastAsia" w:ascii="宋体" w:hAnsi="宋体" w:eastAsia="宋体" w:cs="宋体"/>
          <w:color w:val="auto"/>
          <w:sz w:val="28"/>
          <w:szCs w:val="28"/>
          <w:highlight w:val="none"/>
        </w:rPr>
      </w:pPr>
      <w:bookmarkStart w:id="89" w:name="_Toc7878"/>
      <w:r>
        <w:rPr>
          <w:rFonts w:hint="eastAsia" w:ascii="宋体" w:hAnsi="宋体" w:eastAsia="宋体" w:cs="宋体"/>
          <w:color w:val="auto"/>
          <w:sz w:val="28"/>
          <w:szCs w:val="28"/>
          <w:highlight w:val="none"/>
        </w:rPr>
        <w:t>第五部分  合同条款格式</w:t>
      </w:r>
      <w:bookmarkEnd w:id="89"/>
      <w:bookmarkStart w:id="90" w:name="_Toc15636"/>
    </w:p>
    <w:bookmarkEnd w:id="90"/>
    <w:p w14:paraId="261E739D">
      <w:pPr>
        <w:jc w:val="center"/>
        <w:rPr>
          <w:rFonts w:hint="eastAsia" w:ascii="宋体" w:hAnsi="宋体" w:eastAsia="宋体" w:cs="宋体"/>
          <w:color w:val="auto"/>
          <w:sz w:val="21"/>
          <w:szCs w:val="21"/>
          <w:u w:val="single"/>
        </w:rPr>
      </w:pPr>
      <w:bookmarkStart w:id="91" w:name="_Hlt109815959"/>
      <w:bookmarkEnd w:id="91"/>
      <w:r>
        <w:rPr>
          <w:rFonts w:hint="eastAsia" w:ascii="宋体" w:hAnsi="宋体" w:eastAsia="宋体" w:cs="宋体"/>
          <w:color w:val="auto"/>
          <w:sz w:val="21"/>
          <w:szCs w:val="21"/>
          <w:u w:val="single"/>
        </w:rPr>
        <w:t xml:space="preserve"> </w:t>
      </w:r>
    </w:p>
    <w:p w14:paraId="7489F9CD">
      <w:pPr>
        <w:tabs>
          <w:tab w:val="left" w:pos="5660"/>
        </w:tabs>
        <w:snapToGrid w:val="0"/>
        <w:spacing w:line="360" w:lineRule="auto"/>
        <w:ind w:firstLine="5903" w:firstLineChars="28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合同编号：</w:t>
      </w:r>
    </w:p>
    <w:p w14:paraId="3E0306AC">
      <w:pPr>
        <w:tabs>
          <w:tab w:val="left" w:pos="5660"/>
        </w:tabs>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甲方：东莞市新东粤环保实业有限公司</w:t>
      </w:r>
    </w:p>
    <w:p w14:paraId="0A2F996E">
      <w:pPr>
        <w:tabs>
          <w:tab w:val="left" w:pos="5660"/>
        </w:tabs>
        <w:snapToGrid w:val="0"/>
        <w:spacing w:line="360" w:lineRule="auto"/>
        <w:ind w:firstLine="420" w:firstLineChars="200"/>
        <w:jc w:val="both"/>
        <w:rPr>
          <w:rFonts w:hint="eastAsia" w:ascii="宋体" w:hAnsi="宋体" w:eastAsia="宋体" w:cs="宋体"/>
          <w:color w:val="auto"/>
          <w:sz w:val="18"/>
          <w:szCs w:val="18"/>
        </w:rPr>
      </w:pPr>
      <w:r>
        <w:rPr>
          <w:rFonts w:hint="eastAsia" w:ascii="宋体" w:hAnsi="宋体" w:eastAsia="宋体" w:cs="宋体"/>
          <w:color w:val="auto"/>
          <w:sz w:val="21"/>
          <w:szCs w:val="21"/>
        </w:rPr>
        <w:t>乙方：</w:t>
      </w:r>
    </w:p>
    <w:p w14:paraId="3E69973E">
      <w:pPr>
        <w:tabs>
          <w:tab w:val="left" w:pos="5660"/>
        </w:tabs>
        <w:snapToGrid w:val="0"/>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第一部分 协议书</w:t>
      </w:r>
    </w:p>
    <w:p w14:paraId="3118156D">
      <w:pPr>
        <w:tabs>
          <w:tab w:val="left" w:pos="5660"/>
        </w:tabs>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环境保护法》、《中华人民共和国固体废物污染环境防治法》、《危险废物经营许可证管理办法》及相关环境保护法律、法规，甲方须依法集中处理企业生产过程中产生的危险废物，乙方受甲方委托就危险废物收运、处置事宜达成如下合作内容：</w:t>
      </w:r>
    </w:p>
    <w:p w14:paraId="10FD245C">
      <w:pPr>
        <w:tabs>
          <w:tab w:val="left" w:pos="5660"/>
        </w:tabs>
        <w:snapToGrid w:val="0"/>
        <w:spacing w:line="360" w:lineRule="auto"/>
        <w:ind w:firstLine="420" w:firstLineChars="200"/>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一、</w:t>
      </w:r>
      <w:r>
        <w:rPr>
          <w:rFonts w:hint="eastAsia" w:ascii="宋体" w:hAnsi="宋体" w:eastAsia="宋体" w:cs="宋体"/>
          <w:color w:val="auto"/>
          <w:sz w:val="21"/>
          <w:szCs w:val="21"/>
        </w:rPr>
        <w:t>经协商，双方确定危险废物种类及数量如下：</w:t>
      </w:r>
    </w:p>
    <w:tbl>
      <w:tblPr>
        <w:tblStyle w:val="27"/>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060"/>
        <w:gridCol w:w="1351"/>
        <w:gridCol w:w="1185"/>
        <w:gridCol w:w="1185"/>
        <w:gridCol w:w="1185"/>
        <w:gridCol w:w="1185"/>
        <w:gridCol w:w="1726"/>
      </w:tblGrid>
      <w:tr w14:paraId="4405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700" w:type="dxa"/>
            <w:vAlign w:val="center"/>
          </w:tcPr>
          <w:p w14:paraId="48602888">
            <w:pPr>
              <w:bidi w:val="0"/>
              <w:rPr>
                <w:rFonts w:hint="eastAsia" w:ascii="宋体" w:hAnsi="宋体" w:eastAsia="宋体" w:cs="宋体"/>
                <w:color w:val="auto"/>
              </w:rPr>
            </w:pPr>
            <w:r>
              <w:rPr>
                <w:rFonts w:hint="eastAsia" w:ascii="宋体" w:hAnsi="宋体" w:eastAsia="宋体" w:cs="宋体"/>
                <w:color w:val="auto"/>
              </w:rPr>
              <w:t>序号</w:t>
            </w:r>
          </w:p>
        </w:tc>
        <w:tc>
          <w:tcPr>
            <w:tcW w:w="1060" w:type="dxa"/>
            <w:vAlign w:val="center"/>
          </w:tcPr>
          <w:p w14:paraId="2302CC2B">
            <w:pPr>
              <w:bidi w:val="0"/>
              <w:rPr>
                <w:rFonts w:hint="eastAsia" w:ascii="宋体" w:hAnsi="宋体" w:eastAsia="宋体" w:cs="宋体"/>
                <w:color w:val="auto"/>
              </w:rPr>
            </w:pPr>
            <w:r>
              <w:rPr>
                <w:rFonts w:hint="eastAsia" w:ascii="宋体" w:hAnsi="宋体" w:eastAsia="宋体" w:cs="宋体"/>
                <w:color w:val="auto"/>
                <w:lang w:val="en-US"/>
              </w:rPr>
              <w:t>废物名称</w:t>
            </w:r>
          </w:p>
        </w:tc>
        <w:tc>
          <w:tcPr>
            <w:tcW w:w="1351" w:type="dxa"/>
            <w:vAlign w:val="center"/>
          </w:tcPr>
          <w:p w14:paraId="788F775C">
            <w:pPr>
              <w:bidi w:val="0"/>
              <w:rPr>
                <w:rFonts w:hint="eastAsia" w:ascii="宋体" w:hAnsi="宋体" w:eastAsia="宋体" w:cs="宋体"/>
                <w:color w:val="auto"/>
                <w:lang w:val="en-US"/>
              </w:rPr>
            </w:pPr>
            <w:r>
              <w:rPr>
                <w:rFonts w:hint="eastAsia" w:ascii="宋体" w:hAnsi="宋体" w:eastAsia="宋体" w:cs="宋体"/>
                <w:color w:val="auto"/>
                <w:lang w:val="en-US"/>
              </w:rPr>
              <w:t>年预计量（吨/年）</w:t>
            </w:r>
          </w:p>
        </w:tc>
        <w:tc>
          <w:tcPr>
            <w:tcW w:w="1185" w:type="dxa"/>
            <w:vAlign w:val="center"/>
          </w:tcPr>
          <w:p w14:paraId="35562F53">
            <w:pPr>
              <w:bidi w:val="0"/>
              <w:rPr>
                <w:rFonts w:hint="eastAsia" w:ascii="宋体" w:hAnsi="宋体" w:eastAsia="宋体" w:cs="宋体"/>
                <w:color w:val="auto"/>
                <w:lang w:val="en-US"/>
              </w:rPr>
            </w:pPr>
            <w:r>
              <w:rPr>
                <w:rFonts w:hint="eastAsia" w:ascii="宋体" w:hAnsi="宋体" w:eastAsia="宋体" w:cs="宋体"/>
                <w:color w:val="auto"/>
                <w:lang w:val="en-US"/>
              </w:rPr>
              <w:t>废物类别</w:t>
            </w:r>
          </w:p>
        </w:tc>
        <w:tc>
          <w:tcPr>
            <w:tcW w:w="1185" w:type="dxa"/>
            <w:vAlign w:val="center"/>
          </w:tcPr>
          <w:p w14:paraId="2FB1BEC3">
            <w:pPr>
              <w:bidi w:val="0"/>
              <w:rPr>
                <w:rFonts w:hint="eastAsia" w:ascii="宋体" w:hAnsi="宋体" w:eastAsia="宋体" w:cs="宋体"/>
                <w:color w:val="auto"/>
              </w:rPr>
            </w:pPr>
            <w:r>
              <w:rPr>
                <w:rFonts w:hint="eastAsia" w:ascii="宋体" w:hAnsi="宋体" w:eastAsia="宋体" w:cs="宋体"/>
                <w:color w:val="auto"/>
                <w:lang w:val="en-US"/>
              </w:rPr>
              <w:t>处置方式</w:t>
            </w:r>
          </w:p>
        </w:tc>
        <w:tc>
          <w:tcPr>
            <w:tcW w:w="1185" w:type="dxa"/>
            <w:vAlign w:val="center"/>
          </w:tcPr>
          <w:p w14:paraId="5ABAFBA4">
            <w:pPr>
              <w:bidi w:val="0"/>
              <w:rPr>
                <w:rFonts w:hint="eastAsia" w:ascii="宋体" w:hAnsi="宋体" w:eastAsia="宋体" w:cs="宋体"/>
                <w:color w:val="auto"/>
              </w:rPr>
            </w:pPr>
            <w:r>
              <w:rPr>
                <w:rFonts w:hint="eastAsia" w:ascii="宋体" w:hAnsi="宋体" w:eastAsia="宋体" w:cs="宋体"/>
                <w:color w:val="auto"/>
                <w:lang w:val="en-US"/>
              </w:rPr>
              <w:t>废物形态（液态、固态、半固态）</w:t>
            </w:r>
          </w:p>
        </w:tc>
        <w:tc>
          <w:tcPr>
            <w:tcW w:w="1185" w:type="dxa"/>
            <w:vAlign w:val="center"/>
          </w:tcPr>
          <w:p w14:paraId="4EF2CC8F">
            <w:pPr>
              <w:bidi w:val="0"/>
              <w:rPr>
                <w:rFonts w:hint="eastAsia" w:ascii="宋体" w:hAnsi="宋体" w:eastAsia="宋体" w:cs="宋体"/>
                <w:color w:val="auto"/>
              </w:rPr>
            </w:pPr>
            <w:r>
              <w:rPr>
                <w:rFonts w:hint="eastAsia" w:ascii="宋体" w:hAnsi="宋体" w:eastAsia="宋体" w:cs="宋体"/>
                <w:color w:val="auto"/>
                <w:lang w:val="en-US"/>
              </w:rPr>
              <w:t>主要成分</w:t>
            </w:r>
          </w:p>
        </w:tc>
        <w:tc>
          <w:tcPr>
            <w:tcW w:w="1726" w:type="dxa"/>
            <w:vAlign w:val="center"/>
          </w:tcPr>
          <w:p w14:paraId="03FB7FBB">
            <w:pPr>
              <w:bidi w:val="0"/>
              <w:rPr>
                <w:rFonts w:hint="eastAsia" w:ascii="宋体" w:hAnsi="宋体" w:eastAsia="宋体" w:cs="宋体"/>
                <w:color w:val="auto"/>
                <w:lang w:val="en-US"/>
              </w:rPr>
            </w:pPr>
            <w:r>
              <w:rPr>
                <w:rFonts w:hint="eastAsia" w:ascii="宋体" w:hAnsi="宋体" w:eastAsia="宋体" w:cs="宋体"/>
                <w:color w:val="auto"/>
                <w:lang w:val="en-US"/>
              </w:rPr>
              <w:t>产生来源</w:t>
            </w:r>
          </w:p>
        </w:tc>
      </w:tr>
      <w:tr w14:paraId="6878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00" w:type="dxa"/>
            <w:vAlign w:val="center"/>
          </w:tcPr>
          <w:p w14:paraId="4A88E661">
            <w:pPr>
              <w:bidi w:val="0"/>
              <w:rPr>
                <w:rFonts w:hint="eastAsia" w:ascii="宋体" w:hAnsi="宋体" w:eastAsia="宋体" w:cs="宋体"/>
                <w:color w:val="auto"/>
              </w:rPr>
            </w:pPr>
            <w:r>
              <w:rPr>
                <w:rFonts w:hint="eastAsia" w:ascii="宋体" w:hAnsi="宋体" w:eastAsia="宋体" w:cs="宋体"/>
                <w:color w:val="auto"/>
              </w:rPr>
              <w:t>1</w:t>
            </w:r>
          </w:p>
        </w:tc>
        <w:tc>
          <w:tcPr>
            <w:tcW w:w="1060" w:type="dxa"/>
            <w:vAlign w:val="center"/>
          </w:tcPr>
          <w:p w14:paraId="26237AE8">
            <w:pPr>
              <w:bidi w:val="0"/>
              <w:rPr>
                <w:rFonts w:hint="eastAsia" w:ascii="宋体" w:hAnsi="宋体" w:eastAsia="宋体" w:cs="宋体"/>
                <w:color w:val="auto"/>
              </w:rPr>
            </w:pPr>
            <w:r>
              <w:rPr>
                <w:rFonts w:hint="eastAsia" w:ascii="宋体" w:hAnsi="宋体" w:eastAsia="宋体" w:cs="宋体"/>
                <w:color w:val="auto"/>
              </w:rPr>
              <w:t>渗滤液</w:t>
            </w:r>
          </w:p>
        </w:tc>
        <w:tc>
          <w:tcPr>
            <w:tcW w:w="1351" w:type="dxa"/>
            <w:vAlign w:val="center"/>
          </w:tcPr>
          <w:p w14:paraId="56A5E377">
            <w:pPr>
              <w:bidi w:val="0"/>
              <w:rPr>
                <w:rFonts w:hint="eastAsia" w:ascii="宋体" w:hAnsi="宋体" w:eastAsia="宋体" w:cs="宋体"/>
                <w:color w:val="auto"/>
                <w:lang w:val="en-US"/>
              </w:rPr>
            </w:pPr>
          </w:p>
        </w:tc>
        <w:tc>
          <w:tcPr>
            <w:tcW w:w="1185" w:type="dxa"/>
            <w:vAlign w:val="center"/>
          </w:tcPr>
          <w:p w14:paraId="79401C9F">
            <w:pPr>
              <w:bidi w:val="0"/>
              <w:rPr>
                <w:rFonts w:hint="eastAsia" w:ascii="宋体" w:hAnsi="宋体" w:eastAsia="宋体" w:cs="宋体"/>
                <w:color w:val="auto"/>
                <w:lang w:val="en-US"/>
              </w:rPr>
            </w:pPr>
          </w:p>
        </w:tc>
        <w:tc>
          <w:tcPr>
            <w:tcW w:w="1185" w:type="dxa"/>
            <w:vAlign w:val="center"/>
          </w:tcPr>
          <w:p w14:paraId="71462AFC">
            <w:pPr>
              <w:bidi w:val="0"/>
              <w:rPr>
                <w:rFonts w:hint="eastAsia" w:ascii="宋体" w:hAnsi="宋体" w:eastAsia="宋体" w:cs="宋体"/>
                <w:color w:val="auto"/>
                <w:lang w:val="en-US"/>
              </w:rPr>
            </w:pPr>
          </w:p>
        </w:tc>
        <w:tc>
          <w:tcPr>
            <w:tcW w:w="1185" w:type="dxa"/>
            <w:vAlign w:val="center"/>
          </w:tcPr>
          <w:p w14:paraId="57EA92F7">
            <w:pPr>
              <w:bidi w:val="0"/>
              <w:rPr>
                <w:rFonts w:hint="eastAsia" w:ascii="宋体" w:hAnsi="宋体" w:eastAsia="宋体" w:cs="宋体"/>
                <w:color w:val="auto"/>
                <w:lang w:val="en-US"/>
              </w:rPr>
            </w:pPr>
          </w:p>
        </w:tc>
        <w:tc>
          <w:tcPr>
            <w:tcW w:w="1185" w:type="dxa"/>
            <w:vAlign w:val="center"/>
          </w:tcPr>
          <w:p w14:paraId="296E8D7F">
            <w:pPr>
              <w:bidi w:val="0"/>
              <w:rPr>
                <w:rFonts w:hint="eastAsia" w:ascii="宋体" w:hAnsi="宋体" w:eastAsia="宋体" w:cs="宋体"/>
                <w:color w:val="auto"/>
                <w:lang w:val="en-US"/>
              </w:rPr>
            </w:pPr>
          </w:p>
        </w:tc>
        <w:tc>
          <w:tcPr>
            <w:tcW w:w="1726" w:type="dxa"/>
            <w:vAlign w:val="center"/>
          </w:tcPr>
          <w:p w14:paraId="70DF0BBC">
            <w:pPr>
              <w:bidi w:val="0"/>
              <w:rPr>
                <w:rFonts w:hint="eastAsia" w:ascii="宋体" w:hAnsi="宋体" w:eastAsia="宋体" w:cs="宋体"/>
                <w:color w:val="auto"/>
                <w:lang w:val="en-US"/>
              </w:rPr>
            </w:pPr>
          </w:p>
        </w:tc>
      </w:tr>
      <w:tr w14:paraId="7B16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60" w:type="dxa"/>
            <w:gridSpan w:val="2"/>
            <w:vAlign w:val="center"/>
          </w:tcPr>
          <w:p w14:paraId="3A982FA5">
            <w:pPr>
              <w:bidi w:val="0"/>
              <w:rPr>
                <w:rFonts w:hint="eastAsia" w:ascii="宋体" w:hAnsi="宋体" w:eastAsia="宋体" w:cs="宋体"/>
                <w:color w:val="auto"/>
              </w:rPr>
            </w:pPr>
            <w:r>
              <w:rPr>
                <w:rFonts w:hint="eastAsia" w:ascii="宋体" w:hAnsi="宋体" w:eastAsia="宋体" w:cs="宋体"/>
                <w:color w:val="auto"/>
              </w:rPr>
              <w:t>预计处置量</w:t>
            </w:r>
          </w:p>
        </w:tc>
        <w:tc>
          <w:tcPr>
            <w:tcW w:w="1351" w:type="dxa"/>
            <w:vAlign w:val="center"/>
          </w:tcPr>
          <w:p w14:paraId="1A76C391">
            <w:pPr>
              <w:bidi w:val="0"/>
              <w:rPr>
                <w:rFonts w:hint="eastAsia" w:ascii="宋体" w:hAnsi="宋体" w:eastAsia="宋体" w:cs="宋体"/>
                <w:color w:val="auto"/>
                <w:lang w:val="en-US"/>
              </w:rPr>
            </w:pPr>
          </w:p>
        </w:tc>
        <w:tc>
          <w:tcPr>
            <w:tcW w:w="6466" w:type="dxa"/>
            <w:gridSpan w:val="5"/>
            <w:vAlign w:val="center"/>
          </w:tcPr>
          <w:p w14:paraId="41E9284E">
            <w:pPr>
              <w:bidi w:val="0"/>
              <w:rPr>
                <w:rFonts w:hint="eastAsia" w:ascii="宋体" w:hAnsi="宋体" w:eastAsia="宋体" w:cs="宋体"/>
                <w:color w:val="auto"/>
              </w:rPr>
            </w:pPr>
            <w:r>
              <w:rPr>
                <w:rFonts w:hint="eastAsia" w:ascii="宋体" w:hAnsi="宋体" w:eastAsia="宋体" w:cs="宋体"/>
                <w:color w:val="auto"/>
                <w:lang w:val="en-US"/>
              </w:rPr>
              <w:t>（吨/年）</w:t>
            </w:r>
          </w:p>
        </w:tc>
      </w:tr>
    </w:tbl>
    <w:p w14:paraId="242E35CF">
      <w:pPr>
        <w:snapToGrid w:val="0"/>
        <w:spacing w:line="360" w:lineRule="auto"/>
        <w:ind w:left="1"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rPr>
        <w:t>二</w:t>
      </w:r>
      <w:r>
        <w:rPr>
          <w:rFonts w:hint="eastAsia" w:ascii="宋体" w:hAnsi="宋体" w:eastAsia="宋体" w:cs="宋体"/>
          <w:color w:val="auto"/>
          <w:sz w:val="21"/>
          <w:szCs w:val="21"/>
        </w:rPr>
        <w:t>、合同期内运输详细见专用条款第一条。</w:t>
      </w:r>
    </w:p>
    <w:p w14:paraId="51EB9FAC">
      <w:pPr>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三、合同期内费用</w:t>
      </w:r>
      <w:r>
        <w:rPr>
          <w:rFonts w:hint="eastAsia" w:ascii="宋体" w:hAnsi="宋体" w:eastAsia="宋体" w:cs="宋体"/>
          <w:color w:val="auto"/>
          <w:sz w:val="21"/>
          <w:szCs w:val="21"/>
          <w:lang w:val="en-US"/>
        </w:rPr>
        <w:t>支付</w:t>
      </w:r>
      <w:r>
        <w:rPr>
          <w:rFonts w:hint="eastAsia" w:ascii="宋体" w:hAnsi="宋体" w:eastAsia="宋体" w:cs="宋体"/>
          <w:color w:val="auto"/>
          <w:sz w:val="21"/>
          <w:szCs w:val="21"/>
        </w:rPr>
        <w:t>详细见专用条款第二条。</w:t>
      </w:r>
    </w:p>
    <w:p w14:paraId="02B1BA31">
      <w:pPr>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四、</w:t>
      </w:r>
      <w:bookmarkStart w:id="92" w:name="_Hlk91088038"/>
      <w:r>
        <w:rPr>
          <w:rFonts w:hint="eastAsia" w:ascii="宋体" w:hAnsi="宋体" w:eastAsia="宋体" w:cs="宋体"/>
          <w:color w:val="auto"/>
          <w:sz w:val="21"/>
          <w:szCs w:val="21"/>
        </w:rPr>
        <w:t>甲方承诺提供给乙方的危险废物不出现本合同通用条款约定的异常情况；乙方承诺按法律法规规定及本合同约定收运处置废物。</w:t>
      </w:r>
      <w:bookmarkEnd w:id="92"/>
    </w:p>
    <w:p w14:paraId="57C53B42">
      <w:pPr>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五、</w:t>
      </w:r>
      <w:r>
        <w:rPr>
          <w:rFonts w:hint="eastAsia" w:ascii="宋体" w:hAnsi="宋体" w:eastAsia="宋体" w:cs="宋体"/>
          <w:b/>
          <w:bCs/>
          <w:color w:val="auto"/>
          <w:sz w:val="21"/>
          <w:szCs w:val="21"/>
        </w:rPr>
        <w:t>本合同有效期从</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年</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u w:val="single"/>
          <w:lang w:val="en-US"/>
        </w:rPr>
        <w:t xml:space="preserve">  </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日起至</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年</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rPr>
        <w:t xml:space="preserve"> </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u w:val="single"/>
          <w:lang w:val="en-US"/>
        </w:rPr>
        <w:t xml:space="preserve">  </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日止。</w:t>
      </w:r>
    </w:p>
    <w:p w14:paraId="3B56DF44">
      <w:pPr>
        <w:tabs>
          <w:tab w:val="left" w:pos="566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协议书与通用条款、专用条款、附件一起构成合同文件，上述合同文件包括其补充和修改，同一类文件以最新签署的为准。通用条款一般不予修改，如有修改填写至专用条款横线处，专用条款与通用条款冲突的以专用条款约定为准，专用条款部分须经双方盖章确认。</w:t>
      </w:r>
    </w:p>
    <w:p w14:paraId="0D39FC32">
      <w:pPr>
        <w:tabs>
          <w:tab w:val="left" w:pos="566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七、本合同未尽事宜，合同双方另行签订补充协议，补充协议是合同的组成部分。</w:t>
      </w:r>
    </w:p>
    <w:p w14:paraId="2740EBF8">
      <w:pPr>
        <w:tabs>
          <w:tab w:val="left" w:pos="566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八、本合同经双方法人或授权代表签名并加盖公章或合同专用章后正式生效，</w:t>
      </w:r>
      <w:bookmarkStart w:id="93" w:name="_Hlk91088043"/>
      <w:r>
        <w:rPr>
          <w:rFonts w:hint="eastAsia" w:ascii="宋体" w:hAnsi="宋体" w:eastAsia="宋体" w:cs="宋体"/>
          <w:color w:val="auto"/>
          <w:sz w:val="21"/>
          <w:szCs w:val="21"/>
        </w:rPr>
        <w:t>共一式</w:t>
      </w:r>
      <w:r>
        <w:rPr>
          <w:rFonts w:hint="eastAsia" w:ascii="宋体" w:hAnsi="宋体" w:eastAsia="宋体" w:cs="宋体"/>
          <w:color w:val="auto"/>
          <w:sz w:val="21"/>
          <w:szCs w:val="21"/>
          <w:u w:val="single"/>
        </w:rPr>
        <w:t>叁</w:t>
      </w:r>
      <w:r>
        <w:rPr>
          <w:rFonts w:hint="eastAsia" w:ascii="宋体" w:hAnsi="宋体" w:eastAsia="宋体" w:cs="宋体"/>
          <w:color w:val="auto"/>
          <w:sz w:val="21"/>
          <w:szCs w:val="21"/>
        </w:rPr>
        <w:t>份，甲方持</w:t>
      </w:r>
      <w:r>
        <w:rPr>
          <w:rFonts w:hint="eastAsia" w:ascii="宋体" w:hAnsi="宋体" w:eastAsia="宋体" w:cs="宋体"/>
          <w:color w:val="auto"/>
          <w:sz w:val="21"/>
          <w:szCs w:val="21"/>
          <w:u w:val="single"/>
        </w:rPr>
        <w:t>壹</w:t>
      </w:r>
      <w:r>
        <w:rPr>
          <w:rFonts w:hint="eastAsia" w:ascii="宋体" w:hAnsi="宋体" w:eastAsia="宋体" w:cs="宋体"/>
          <w:color w:val="auto"/>
          <w:sz w:val="21"/>
          <w:szCs w:val="21"/>
        </w:rPr>
        <w:t>份，乙方持</w:t>
      </w:r>
      <w:r>
        <w:rPr>
          <w:rFonts w:hint="eastAsia" w:ascii="宋体" w:hAnsi="宋体" w:eastAsia="宋体" w:cs="宋体"/>
          <w:color w:val="auto"/>
          <w:sz w:val="21"/>
          <w:szCs w:val="21"/>
          <w:u w:val="single"/>
        </w:rPr>
        <w:t>贰</w:t>
      </w:r>
      <w:r>
        <w:rPr>
          <w:rFonts w:hint="eastAsia" w:ascii="宋体" w:hAnsi="宋体" w:eastAsia="宋体" w:cs="宋体"/>
          <w:color w:val="auto"/>
          <w:sz w:val="21"/>
          <w:szCs w:val="21"/>
        </w:rPr>
        <w:t>份。</w:t>
      </w:r>
    </w:p>
    <w:bookmarkEnd w:id="93"/>
    <w:tbl>
      <w:tblPr>
        <w:tblStyle w:val="2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3728"/>
        <w:gridCol w:w="2877"/>
      </w:tblGrid>
      <w:tr w14:paraId="2D2A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320" w:type="dxa"/>
          </w:tcPr>
          <w:p w14:paraId="3FA754C5">
            <w:pPr>
              <w:bidi w:val="0"/>
              <w:rPr>
                <w:rFonts w:hint="eastAsia" w:ascii="宋体" w:hAnsi="宋体" w:eastAsia="宋体" w:cs="宋体"/>
                <w:color w:val="auto"/>
                <w:lang w:val="en-US"/>
              </w:rPr>
            </w:pPr>
            <w:r>
              <w:rPr>
                <w:rFonts w:hint="eastAsia" w:ascii="宋体" w:hAnsi="宋体" w:eastAsia="宋体" w:cs="宋体"/>
                <w:color w:val="auto"/>
              </w:rPr>
              <w:t>公司全称（合同章/公章）</w:t>
            </w:r>
          </w:p>
        </w:tc>
        <w:tc>
          <w:tcPr>
            <w:tcW w:w="3728" w:type="dxa"/>
          </w:tcPr>
          <w:p w14:paraId="6E7DE5D4">
            <w:pPr>
              <w:bidi w:val="0"/>
              <w:rPr>
                <w:rFonts w:hint="eastAsia" w:ascii="宋体" w:hAnsi="宋体" w:eastAsia="宋体" w:cs="宋体"/>
                <w:color w:val="auto"/>
                <w:lang w:val="en-US"/>
              </w:rPr>
            </w:pPr>
            <w:r>
              <w:rPr>
                <w:rFonts w:hint="eastAsia" w:ascii="宋体" w:hAnsi="宋体" w:eastAsia="宋体" w:cs="宋体"/>
                <w:color w:val="auto"/>
                <w:lang w:val="en-US"/>
              </w:rPr>
              <w:t>甲方：东莞市新东粤环保实业有限公司</w:t>
            </w:r>
          </w:p>
        </w:tc>
        <w:tc>
          <w:tcPr>
            <w:tcW w:w="2877" w:type="dxa"/>
          </w:tcPr>
          <w:p w14:paraId="4850B4D2">
            <w:pPr>
              <w:bidi w:val="0"/>
              <w:rPr>
                <w:rFonts w:hint="eastAsia" w:ascii="宋体" w:hAnsi="宋体" w:eastAsia="宋体" w:cs="宋体"/>
                <w:color w:val="auto"/>
                <w:lang w:val="en-US"/>
              </w:rPr>
            </w:pPr>
            <w:r>
              <w:rPr>
                <w:rFonts w:hint="eastAsia" w:ascii="宋体" w:hAnsi="宋体" w:eastAsia="宋体" w:cs="宋体"/>
                <w:color w:val="auto"/>
              </w:rPr>
              <w:t>乙方：</w:t>
            </w:r>
          </w:p>
        </w:tc>
      </w:tr>
      <w:tr w14:paraId="61F2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20" w:type="dxa"/>
          </w:tcPr>
          <w:p w14:paraId="2B6337B2">
            <w:pPr>
              <w:bidi w:val="0"/>
              <w:rPr>
                <w:rFonts w:hint="eastAsia" w:ascii="宋体" w:hAnsi="宋体" w:eastAsia="宋体" w:cs="宋体"/>
                <w:color w:val="auto"/>
              </w:rPr>
            </w:pPr>
            <w:r>
              <w:rPr>
                <w:rFonts w:hint="eastAsia" w:ascii="宋体" w:hAnsi="宋体" w:eastAsia="宋体" w:cs="宋体"/>
                <w:color w:val="auto"/>
              </w:rPr>
              <w:t>法定代表人（签章）或授权代表人（签字）</w:t>
            </w:r>
          </w:p>
        </w:tc>
        <w:tc>
          <w:tcPr>
            <w:tcW w:w="3728" w:type="dxa"/>
          </w:tcPr>
          <w:p w14:paraId="51E0E485">
            <w:pPr>
              <w:bidi w:val="0"/>
              <w:rPr>
                <w:rFonts w:hint="eastAsia" w:ascii="宋体" w:hAnsi="宋体" w:eastAsia="宋体" w:cs="宋体"/>
                <w:color w:val="auto"/>
                <w:lang w:val="en-US"/>
              </w:rPr>
            </w:pPr>
          </w:p>
        </w:tc>
        <w:tc>
          <w:tcPr>
            <w:tcW w:w="2877" w:type="dxa"/>
          </w:tcPr>
          <w:p w14:paraId="19793AF9">
            <w:pPr>
              <w:bidi w:val="0"/>
              <w:rPr>
                <w:rFonts w:hint="eastAsia" w:ascii="宋体" w:hAnsi="宋体" w:eastAsia="宋体" w:cs="宋体"/>
                <w:color w:val="auto"/>
              </w:rPr>
            </w:pPr>
          </w:p>
        </w:tc>
      </w:tr>
      <w:tr w14:paraId="0D43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20" w:type="dxa"/>
          </w:tcPr>
          <w:p w14:paraId="5A91F4C8">
            <w:pPr>
              <w:bidi w:val="0"/>
              <w:rPr>
                <w:rFonts w:hint="eastAsia" w:ascii="宋体" w:hAnsi="宋体" w:eastAsia="宋体" w:cs="宋体"/>
                <w:color w:val="auto"/>
              </w:rPr>
            </w:pPr>
            <w:r>
              <w:rPr>
                <w:rFonts w:hint="eastAsia" w:ascii="宋体" w:hAnsi="宋体" w:eastAsia="宋体" w:cs="宋体"/>
                <w:color w:val="auto"/>
              </w:rPr>
              <w:t>签订时间</w:t>
            </w:r>
          </w:p>
        </w:tc>
        <w:tc>
          <w:tcPr>
            <w:tcW w:w="3728" w:type="dxa"/>
          </w:tcPr>
          <w:p w14:paraId="3BB9C128">
            <w:pPr>
              <w:bidi w:val="0"/>
              <w:rPr>
                <w:rFonts w:hint="eastAsia" w:ascii="宋体" w:hAnsi="宋体" w:eastAsia="宋体" w:cs="宋体"/>
                <w:color w:val="auto"/>
                <w:lang w:val="en-US"/>
              </w:rPr>
            </w:pPr>
          </w:p>
        </w:tc>
        <w:tc>
          <w:tcPr>
            <w:tcW w:w="2877" w:type="dxa"/>
          </w:tcPr>
          <w:p w14:paraId="5695565E">
            <w:pPr>
              <w:bidi w:val="0"/>
              <w:rPr>
                <w:rFonts w:hint="eastAsia" w:ascii="宋体" w:hAnsi="宋体" w:eastAsia="宋体" w:cs="宋体"/>
                <w:color w:val="auto"/>
              </w:rPr>
            </w:pPr>
          </w:p>
        </w:tc>
      </w:tr>
    </w:tbl>
    <w:p w14:paraId="297B5E6F">
      <w:pPr>
        <w:tabs>
          <w:tab w:val="left" w:pos="5660"/>
        </w:tabs>
        <w:snapToGrid w:val="0"/>
        <w:spacing w:line="360" w:lineRule="auto"/>
        <w:ind w:firstLine="480" w:firstLineChars="200"/>
        <w:jc w:val="center"/>
        <w:rPr>
          <w:rFonts w:hint="eastAsia" w:ascii="宋体" w:hAnsi="宋体" w:eastAsia="宋体" w:cs="宋体"/>
          <w:color w:val="auto"/>
          <w:sz w:val="24"/>
          <w:szCs w:val="24"/>
        </w:rPr>
      </w:pPr>
      <w:bookmarkStart w:id="94" w:name="_Hlk91679502"/>
    </w:p>
    <w:p w14:paraId="796D7DA6">
      <w:pPr>
        <w:tabs>
          <w:tab w:val="left" w:pos="5660"/>
        </w:tabs>
        <w:snapToGrid w:val="0"/>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第二部分 通用条款</w:t>
      </w:r>
    </w:p>
    <w:p w14:paraId="32ECCF2C">
      <w:pPr>
        <w:tabs>
          <w:tab w:val="left" w:pos="5660"/>
        </w:tabs>
        <w:snapToGrid w:val="0"/>
        <w:spacing w:line="360" w:lineRule="auto"/>
        <w:ind w:firstLine="420" w:firstLineChars="200"/>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一、甲方责任和义务</w:t>
      </w:r>
    </w:p>
    <w:p w14:paraId="4525B0EC">
      <w:pPr>
        <w:pStyle w:val="84"/>
        <w:tabs>
          <w:tab w:val="left" w:pos="567"/>
        </w:tabs>
        <w:snapToGrid w:val="0"/>
        <w:spacing w:before="120" w:line="360" w:lineRule="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1.1、</w:t>
      </w:r>
      <w:r>
        <w:rPr>
          <w:rFonts w:hint="eastAsia" w:ascii="宋体" w:hAnsi="宋体" w:eastAsia="宋体" w:cs="宋体"/>
          <w:b w:val="0"/>
          <w:color w:val="auto"/>
          <w:sz w:val="21"/>
          <w:szCs w:val="21"/>
        </w:rPr>
        <w:t>合同签订后，若合同期内甲方交于无资质单位或甲方自行处理的，甲方承担产生的全部费用及所有法律责任。</w:t>
      </w:r>
    </w:p>
    <w:p w14:paraId="0C11ACAF">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1.2、</w:t>
      </w:r>
      <w:r>
        <w:rPr>
          <w:rFonts w:hint="eastAsia" w:ascii="宋体" w:hAnsi="宋体" w:eastAsia="宋体" w:cs="宋体"/>
          <w:b w:val="0"/>
          <w:color w:val="auto"/>
          <w:sz w:val="21"/>
          <w:szCs w:val="21"/>
        </w:rPr>
        <w:t>甲方完成危险废物管理计划备案并通过审核，提前7个工作日</w:t>
      </w:r>
      <w:r>
        <w:rPr>
          <w:rFonts w:hint="eastAsia" w:ascii="宋体" w:hAnsi="宋体" w:eastAsia="宋体" w:cs="宋体"/>
          <w:b w:val="0"/>
          <w:color w:val="auto"/>
          <w:sz w:val="21"/>
          <w:szCs w:val="21"/>
          <w:lang w:val="en-US"/>
        </w:rPr>
        <w:t>书面</w:t>
      </w:r>
      <w:r>
        <w:rPr>
          <w:rFonts w:hint="eastAsia" w:ascii="宋体" w:hAnsi="宋体" w:eastAsia="宋体" w:cs="宋体"/>
          <w:b w:val="0"/>
          <w:color w:val="auto"/>
          <w:sz w:val="21"/>
          <w:szCs w:val="21"/>
        </w:rPr>
        <w:t>通知乙方安排废物收运，甲、乙双方商定收运时间。</w:t>
      </w:r>
    </w:p>
    <w:p w14:paraId="1940CAD6">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rPr>
        <w:t>1.3、甲方应参照现行有效的《危险废物收集贮存运输技术规范》、《危险废物贮存污染物控制标准》相关条款要求，选择相应的包装物，分类包装，设置对应的标签与安全警示标识。标签内容包括“产废单位名称、废物类别、废物名称、主要成分（化学名称）、危险特性、废物重量、产生日期”等。</w:t>
      </w:r>
    </w:p>
    <w:p w14:paraId="0AA39E32">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rPr>
        <w:t>1.4、甲方承诺提供给乙方的危险废物不出现以下异常情况：⑴、危险废物中存在未列入本合同危废清单类别的（特别是易燃易爆物质、放射性物质、多氯联苯和含氰含砷等剧毒物质）；⑵、危险废物的标识不规范或错误的；包装物污损、破损、严重变形和密封不严、泄露的；⑶、两类及两类以上危险废物混入同一包装物内，或者固态与液态、有机与无机废物混装同一包装物的；⑷、危险废物中存在未如实告知乙方危险化学成分的；⑸、违反危险废物运输和包装相关国家法律法规、技术标准和规范，以及通用技术条件的其他异常情况的。</w:t>
      </w:r>
    </w:p>
    <w:p w14:paraId="584EB481">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1.5、甲方应保证废物包装物完好、结实并封口紧密，防止所盛装的危险废物在存储、装卸及运输过程发生泄露、渗漏、发生物理或化学反应等异常。 </w:t>
      </w:r>
    </w:p>
    <w:p w14:paraId="32C170D6">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rPr>
        <w:t>1.6、废物运输之前，</w:t>
      </w:r>
      <w:r>
        <w:rPr>
          <w:rFonts w:hint="eastAsia" w:ascii="宋体" w:hAnsi="宋体" w:eastAsia="宋体" w:cs="宋体"/>
          <w:b w:val="0"/>
          <w:color w:val="auto"/>
          <w:sz w:val="21"/>
          <w:szCs w:val="21"/>
          <w:lang w:val="en-US"/>
        </w:rPr>
        <w:t>甲方应为乙方上门收运提供必要的条件。实际收运前，</w:t>
      </w:r>
      <w:r>
        <w:rPr>
          <w:rFonts w:hint="eastAsia" w:ascii="宋体" w:hAnsi="宋体" w:eastAsia="宋体" w:cs="宋体"/>
          <w:b w:val="0"/>
          <w:color w:val="auto"/>
          <w:sz w:val="21"/>
          <w:szCs w:val="21"/>
        </w:rPr>
        <w:t>甲方废物名称及包装须得到乙方认可，如不符合合同相关约定，甲方负责整改直至乙方同意接收。乙方同意接收仅代表甲方包装符合乙方收运要求。</w:t>
      </w:r>
    </w:p>
    <w:p w14:paraId="1FF99CAE">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rPr>
        <w:t>1.7、乙方收运人员及车辆进入甲方辖区作业前，甲方有义务并有责任将其公司的EHS管理要求（环境、健康、安全）对收运人员进行提前告知。</w:t>
      </w:r>
    </w:p>
    <w:p w14:paraId="693289B5">
      <w:pPr>
        <w:pStyle w:val="84"/>
        <w:tabs>
          <w:tab w:val="left" w:pos="567"/>
        </w:tabs>
        <w:snapToGrid w:val="0"/>
        <w:spacing w:before="120" w:line="360" w:lineRule="auto"/>
        <w:contextualSpacing/>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二、乙方责任和义务</w:t>
      </w:r>
    </w:p>
    <w:p w14:paraId="509AEBE3">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2.1、</w:t>
      </w:r>
      <w:r>
        <w:rPr>
          <w:rFonts w:hint="eastAsia" w:ascii="宋体" w:hAnsi="宋体" w:eastAsia="宋体" w:cs="宋体"/>
          <w:b w:val="0"/>
          <w:color w:val="auto"/>
          <w:sz w:val="21"/>
          <w:szCs w:val="21"/>
        </w:rPr>
        <w:t>乙方应保证所持有的危险废物经营许可证、营业执照等相关证件在合同期内的有效性。</w:t>
      </w:r>
    </w:p>
    <w:p w14:paraId="1C33A4DC">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2.2、乙方</w:t>
      </w:r>
      <w:r>
        <w:rPr>
          <w:rFonts w:hint="eastAsia" w:ascii="宋体" w:hAnsi="宋体" w:eastAsia="宋体" w:cs="宋体"/>
          <w:b w:val="0"/>
          <w:color w:val="auto"/>
          <w:sz w:val="21"/>
          <w:szCs w:val="21"/>
        </w:rPr>
        <w:t>指定具备危险废物《道路运输经营许可证》的运输单位承运，运输单位派专用车辆及具备相应机动车驾驶证和危险货物运输从业资格证的司机进行运输</w:t>
      </w:r>
      <w:r>
        <w:rPr>
          <w:rFonts w:hint="eastAsia" w:ascii="宋体" w:hAnsi="宋体" w:cs="宋体"/>
          <w:b w:val="0"/>
          <w:color w:val="auto"/>
          <w:sz w:val="21"/>
          <w:szCs w:val="21"/>
          <w:lang w:eastAsia="zh-CN"/>
        </w:rPr>
        <w:t>，</w:t>
      </w:r>
      <w:r>
        <w:rPr>
          <w:rFonts w:hint="eastAsia" w:ascii="宋体" w:hAnsi="宋体" w:cs="宋体"/>
          <w:b w:val="0"/>
          <w:color w:val="auto"/>
          <w:sz w:val="21"/>
          <w:szCs w:val="21"/>
          <w:lang w:val="en-US" w:eastAsia="zh-CN"/>
        </w:rPr>
        <w:t>运输车辆需配套性能良好的设备设施，确保渗滤液收运工作效率和稳定性，同时安排在工作时间进行收运，工作时间之外甲方有权拒绝收运，相关损失及责任由乙方自行承担。</w:t>
      </w:r>
    </w:p>
    <w:p w14:paraId="3BE61AB9">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2.3、</w:t>
      </w:r>
      <w:r>
        <w:rPr>
          <w:rFonts w:hint="eastAsia" w:ascii="宋体" w:hAnsi="宋体" w:eastAsia="宋体" w:cs="宋体"/>
          <w:b w:val="0"/>
          <w:color w:val="auto"/>
          <w:sz w:val="21"/>
          <w:szCs w:val="21"/>
        </w:rPr>
        <w:t>乙方收运人员自行配备个人防护用品等，进入甲方厂区后文明作业并遵守甲方EHS管理要求，作业完毕后将其作业范围清理干净。</w:t>
      </w:r>
    </w:p>
    <w:p w14:paraId="69C65221">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rPr>
        <w:t>2.4、乙方保证各项处理处置条件和设施符合国家法律、法规对处理处置危险废物的技术要求，并且在运输和处理处置过程中，不产生对环境的二次污染。</w:t>
      </w:r>
    </w:p>
    <w:p w14:paraId="13B0FB0C">
      <w:pPr>
        <w:pStyle w:val="84"/>
        <w:tabs>
          <w:tab w:val="left" w:pos="567"/>
        </w:tabs>
        <w:snapToGrid w:val="0"/>
        <w:spacing w:before="120" w:line="360" w:lineRule="auto"/>
        <w:contextualSpacing/>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2.5</w:t>
      </w:r>
      <w:r>
        <w:rPr>
          <w:rFonts w:hint="eastAsia" w:ascii="宋体" w:hAnsi="宋体" w:eastAsia="宋体" w:cs="宋体"/>
          <w:b w:val="0"/>
          <w:color w:val="auto"/>
          <w:sz w:val="21"/>
          <w:szCs w:val="21"/>
          <w:lang w:val="en-US" w:eastAsia="zh-CN"/>
        </w:rPr>
        <w:t>、</w:t>
      </w:r>
      <w:r>
        <w:rPr>
          <w:rFonts w:hint="eastAsia" w:ascii="宋体" w:hAnsi="宋体" w:eastAsia="宋体" w:cs="宋体"/>
          <w:b w:val="0"/>
          <w:color w:val="auto"/>
          <w:sz w:val="21"/>
          <w:szCs w:val="21"/>
          <w:lang w:val="en-US"/>
        </w:rPr>
        <w:t>乙方应确保本合同约定的危险废物处置合法合规，符合政府相关部门的要求，保证甲方不因本合同约定的危险废物处置而受到处罚或者通报。</w:t>
      </w:r>
    </w:p>
    <w:p w14:paraId="3A678B1D">
      <w:pPr>
        <w:pStyle w:val="84"/>
        <w:tabs>
          <w:tab w:val="left" w:pos="567"/>
        </w:tabs>
        <w:snapToGrid w:val="0"/>
        <w:spacing w:before="120" w:line="360" w:lineRule="auto"/>
        <w:contextualSpacing/>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rPr>
        <w:t>2.6</w:t>
      </w:r>
      <w:r>
        <w:rPr>
          <w:rFonts w:hint="eastAsia" w:ascii="宋体" w:hAnsi="宋体" w:eastAsia="宋体" w:cs="宋体"/>
          <w:b w:val="0"/>
          <w:color w:val="auto"/>
          <w:sz w:val="21"/>
          <w:szCs w:val="21"/>
          <w:lang w:val="en-US" w:eastAsia="zh-CN"/>
        </w:rPr>
        <w:t>、乙方负责合同约定危险废物的运输，根据甲方的现场条件安排运输车辆/提供必要的包装物。由于甲方现场有3.5m限高问题，乙方提供的车辆必须满足现场要求，如乙方采用罐车运输，需满足限高问题，如采用其他运输车辆，则除满足限高问题外还需提供必要的容器和危险废物标签。乙方应保证提供的废物包装物完好、结实并封口紧密，防止所盛装的危险废物在存储、装卸及运输过程发生泄露、渗漏、发生物理或化学反应等异常。</w:t>
      </w:r>
    </w:p>
    <w:p w14:paraId="17F6640B">
      <w:pPr>
        <w:pStyle w:val="84"/>
        <w:tabs>
          <w:tab w:val="left" w:pos="567"/>
        </w:tabs>
        <w:snapToGrid w:val="0"/>
        <w:spacing w:before="120" w:line="360" w:lineRule="auto"/>
        <w:ind w:firstLineChars="0"/>
        <w:contextualSpacing/>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三、双方责任和义务</w:t>
      </w:r>
    </w:p>
    <w:p w14:paraId="1DE7A7E8">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3.1、双方协商确定收运时间，完成交接危险废物时，应在废物移交单据上签名确认，并应按法律、法规、政策要求在“广东省固体废物环境监管信息平台”及时准确填写危险废物转移电子联单。一方对</w:t>
      </w:r>
      <w:r>
        <w:rPr>
          <w:rFonts w:hint="eastAsia" w:ascii="宋体" w:hAnsi="宋体" w:eastAsia="宋体" w:cs="宋体"/>
          <w:b w:val="0"/>
          <w:color w:val="auto"/>
          <w:sz w:val="21"/>
          <w:szCs w:val="21"/>
        </w:rPr>
        <w:t>填写信息有异议，根据实际发生收运情况（以磅单为准）重新确认并修正平台信息，直至完成提交。</w:t>
      </w:r>
    </w:p>
    <w:p w14:paraId="7A2D9049">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rPr>
        <w:t>3.2、</w:t>
      </w:r>
      <w:r>
        <w:rPr>
          <w:rFonts w:hint="eastAsia" w:ascii="宋体" w:hAnsi="宋体" w:eastAsia="宋体" w:cs="宋体"/>
          <w:b w:val="0"/>
          <w:color w:val="auto"/>
          <w:sz w:val="21"/>
          <w:szCs w:val="21"/>
          <w:lang w:val="en-US" w:eastAsia="zh-CN"/>
        </w:rPr>
        <w:t>本项目约定处置的危险废物，在运出</w:t>
      </w:r>
      <w:r>
        <w:rPr>
          <w:rFonts w:hint="eastAsia" w:ascii="宋体" w:hAnsi="宋体" w:cs="宋体"/>
          <w:b w:val="0"/>
          <w:color w:val="auto"/>
          <w:sz w:val="21"/>
          <w:szCs w:val="21"/>
          <w:lang w:val="en-US" w:eastAsia="zh-CN"/>
        </w:rPr>
        <w:t>甲方</w:t>
      </w:r>
      <w:r>
        <w:rPr>
          <w:rFonts w:hint="eastAsia" w:ascii="宋体" w:hAnsi="宋体" w:eastAsia="宋体" w:cs="宋体"/>
          <w:b w:val="0"/>
          <w:color w:val="auto"/>
          <w:sz w:val="21"/>
          <w:szCs w:val="21"/>
          <w:lang w:val="en-US" w:eastAsia="zh-CN"/>
        </w:rPr>
        <w:t>2号门岗之前，其相关责任由</w:t>
      </w:r>
      <w:r>
        <w:rPr>
          <w:rFonts w:hint="eastAsia" w:ascii="宋体" w:hAnsi="宋体" w:cs="宋体"/>
          <w:b w:val="0"/>
          <w:color w:val="auto"/>
          <w:sz w:val="21"/>
          <w:szCs w:val="21"/>
          <w:lang w:val="en-US" w:eastAsia="zh-CN"/>
        </w:rPr>
        <w:t>甲方</w:t>
      </w:r>
      <w:r>
        <w:rPr>
          <w:rFonts w:hint="eastAsia" w:ascii="宋体" w:hAnsi="宋体" w:eastAsia="宋体" w:cs="宋体"/>
          <w:b w:val="0"/>
          <w:color w:val="auto"/>
          <w:sz w:val="21"/>
          <w:szCs w:val="21"/>
          <w:lang w:val="en-US" w:eastAsia="zh-CN"/>
        </w:rPr>
        <w:t>负责，在运出</w:t>
      </w:r>
      <w:r>
        <w:rPr>
          <w:rFonts w:hint="eastAsia" w:ascii="宋体" w:hAnsi="宋体" w:cs="宋体"/>
          <w:b w:val="0"/>
          <w:color w:val="auto"/>
          <w:sz w:val="21"/>
          <w:szCs w:val="21"/>
          <w:lang w:val="en-US" w:eastAsia="zh-CN"/>
        </w:rPr>
        <w:t>甲方</w:t>
      </w:r>
      <w:r>
        <w:rPr>
          <w:rFonts w:hint="eastAsia" w:ascii="宋体" w:hAnsi="宋体" w:eastAsia="宋体" w:cs="宋体"/>
          <w:b w:val="0"/>
          <w:color w:val="auto"/>
          <w:sz w:val="21"/>
          <w:szCs w:val="21"/>
          <w:lang w:val="en-US" w:eastAsia="zh-CN"/>
        </w:rPr>
        <w:t>2号门岗之后，其相关责任由</w:t>
      </w:r>
      <w:r>
        <w:rPr>
          <w:rFonts w:hint="eastAsia" w:ascii="宋体" w:hAnsi="宋体" w:cs="宋体"/>
          <w:b w:val="0"/>
          <w:color w:val="auto"/>
          <w:sz w:val="21"/>
          <w:szCs w:val="21"/>
          <w:lang w:val="en-US" w:eastAsia="zh-CN"/>
        </w:rPr>
        <w:t>乙方</w:t>
      </w:r>
      <w:r>
        <w:rPr>
          <w:rFonts w:hint="eastAsia" w:ascii="宋体" w:hAnsi="宋体" w:eastAsia="宋体" w:cs="宋体"/>
          <w:b w:val="0"/>
          <w:color w:val="auto"/>
          <w:sz w:val="21"/>
          <w:szCs w:val="21"/>
          <w:lang w:val="en-US" w:eastAsia="zh-CN"/>
        </w:rPr>
        <w:t>负责</w:t>
      </w:r>
      <w:r>
        <w:rPr>
          <w:rFonts w:hint="eastAsia" w:ascii="宋体" w:hAnsi="宋体" w:cs="宋体"/>
          <w:b w:val="0"/>
          <w:color w:val="auto"/>
          <w:sz w:val="21"/>
          <w:szCs w:val="21"/>
          <w:lang w:val="en-US" w:eastAsia="zh-CN"/>
        </w:rPr>
        <w:t>，</w:t>
      </w:r>
      <w:r>
        <w:rPr>
          <w:rFonts w:hint="eastAsia" w:ascii="宋体" w:hAnsi="宋体" w:eastAsia="宋体" w:cs="宋体"/>
          <w:b w:val="0"/>
          <w:color w:val="auto"/>
          <w:sz w:val="21"/>
          <w:szCs w:val="21"/>
        </w:rPr>
        <w:t>，法律法规另有规定除外。</w:t>
      </w:r>
    </w:p>
    <w:p w14:paraId="7549EB18">
      <w:pPr>
        <w:pStyle w:val="84"/>
        <w:tabs>
          <w:tab w:val="left" w:pos="567"/>
        </w:tabs>
        <w:snapToGrid w:val="0"/>
        <w:spacing w:before="120" w:line="360" w:lineRule="auto"/>
        <w:contextualSpacing/>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3.3、因本合同的签署和履行而知悉的对方任何商业信息，包括但不限于处理的废物种类、名称、数量、价格及技术方案等，均不得向任何第三方透露。违约方造成守约方损失的，赔偿对方直接经济损失。</w:t>
      </w:r>
    </w:p>
    <w:p w14:paraId="78DD5B04">
      <w:pPr>
        <w:pStyle w:val="84"/>
        <w:tabs>
          <w:tab w:val="left" w:pos="567"/>
        </w:tabs>
        <w:snapToGrid w:val="0"/>
        <w:spacing w:before="120" w:line="360" w:lineRule="auto"/>
        <w:contextualSpacing/>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3.4、甲方人员不得以任何借口和理由向乙方索要财物或其他非法利益。乙方人员不得以任何方式向甲方进行行贿。任何一方违反上述反腐条款的，应向守约方赔偿因此产生的直接经济损失。</w:t>
      </w:r>
    </w:p>
    <w:p w14:paraId="24BC6725">
      <w:pPr>
        <w:pStyle w:val="84"/>
        <w:tabs>
          <w:tab w:val="left" w:pos="567"/>
        </w:tabs>
        <w:snapToGrid w:val="0"/>
        <w:spacing w:before="120" w:line="360" w:lineRule="auto"/>
        <w:contextualSpacing/>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四、收运及运费</w:t>
      </w:r>
    </w:p>
    <w:p w14:paraId="55B4A383">
      <w:pPr>
        <w:pStyle w:val="84"/>
        <w:tabs>
          <w:tab w:val="left" w:pos="567"/>
        </w:tabs>
        <w:snapToGrid w:val="0"/>
        <w:spacing w:before="120" w:line="360" w:lineRule="auto"/>
        <w:contextualSpacing/>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以专用条款为准。</w:t>
      </w:r>
    </w:p>
    <w:p w14:paraId="6C6E24AD">
      <w:pPr>
        <w:pStyle w:val="84"/>
        <w:tabs>
          <w:tab w:val="left" w:pos="567"/>
        </w:tabs>
        <w:snapToGrid w:val="0"/>
        <w:spacing w:before="120" w:line="360" w:lineRule="auto"/>
        <w:contextualSpacing/>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五、处置费用及结算</w:t>
      </w:r>
    </w:p>
    <w:p w14:paraId="491DFFAA">
      <w:pPr>
        <w:pStyle w:val="84"/>
        <w:tabs>
          <w:tab w:val="left" w:pos="567"/>
        </w:tabs>
        <w:snapToGrid w:val="0"/>
        <w:spacing w:before="120" w:line="360" w:lineRule="auto"/>
        <w:contextualSpacing/>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以专用条款为准。</w:t>
      </w:r>
    </w:p>
    <w:p w14:paraId="0ECF941F">
      <w:pPr>
        <w:pStyle w:val="84"/>
        <w:tabs>
          <w:tab w:val="left" w:pos="567"/>
        </w:tabs>
        <w:snapToGrid w:val="0"/>
        <w:spacing w:before="120" w:line="360" w:lineRule="auto"/>
        <w:ind w:firstLineChars="0"/>
        <w:contextualSpacing/>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六、违约责任</w:t>
      </w:r>
    </w:p>
    <w:p w14:paraId="401394C0">
      <w:pPr>
        <w:pStyle w:val="84"/>
        <w:tabs>
          <w:tab w:val="left" w:pos="567"/>
        </w:tabs>
        <w:snapToGrid w:val="0"/>
        <w:spacing w:before="120" w:line="360" w:lineRule="auto"/>
        <w:ind w:firstLineChars="0"/>
        <w:contextualSpacing/>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6.1、甲乙双方均需按照法律法规相关规定合理办理相关的环保备案审批手续，如因一方未能及时完成相关手续导致违约的，由此产生的责任由违约方自行承担；若因此导致守约方被处罚的，所有责任亦由违约方承担</w:t>
      </w:r>
      <w:r>
        <w:rPr>
          <w:rFonts w:hint="eastAsia" w:ascii="宋体" w:hAnsi="宋体" w:eastAsia="宋体" w:cs="宋体"/>
          <w:b w:val="0"/>
          <w:color w:val="auto"/>
          <w:sz w:val="21"/>
          <w:szCs w:val="21"/>
        </w:rPr>
        <w:t>。乙方应协助甲方办理上述备案手续，若因乙方原因导致未及时完成备案手续，对甲方造成损失的，乙方应承担赔偿责任</w:t>
      </w:r>
      <w:r>
        <w:rPr>
          <w:rFonts w:hint="eastAsia" w:ascii="宋体" w:hAnsi="宋体" w:eastAsia="宋体" w:cs="宋体"/>
          <w:b w:val="0"/>
          <w:color w:val="auto"/>
          <w:sz w:val="21"/>
          <w:szCs w:val="21"/>
          <w:lang w:eastAsia="zh-CN"/>
        </w:rPr>
        <w:t>。</w:t>
      </w:r>
    </w:p>
    <w:p w14:paraId="423D7422">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6.</w:t>
      </w:r>
      <w:r>
        <w:rPr>
          <w:rFonts w:hint="eastAsia" w:ascii="宋体" w:hAnsi="宋体" w:eastAsia="宋体" w:cs="宋体"/>
          <w:b w:val="0"/>
          <w:color w:val="auto"/>
          <w:sz w:val="21"/>
          <w:szCs w:val="21"/>
        </w:rPr>
        <w:t>2、甲方废物类型、数量、名称及包装不符合合同相关约定的，乙方拒绝接收，无需承担违约责任。以下情况导致乙方在运输、装卸、处置过程中发生人身或安全事故，一切经济及法律责任由甲方承担：⑴、废物名称有误及包装不当；⑵、甲方故意隐瞒乙方收运人员，或者存在过失造成乙方将不符合本合同约定的危险废物或爆炸性、放射性废物装车或收运进入乙方仓库的；⑶、废物性状发生重大变化，</w:t>
      </w:r>
      <w:r>
        <w:rPr>
          <w:rFonts w:hint="eastAsia" w:ascii="宋体" w:hAnsi="宋体" w:eastAsia="宋体" w:cs="宋体"/>
          <w:b w:val="0"/>
          <w:color w:val="auto"/>
          <w:sz w:val="21"/>
          <w:szCs w:val="21"/>
          <w:lang w:val="en-US"/>
        </w:rPr>
        <w:t>甲方未及时通知导致乙方损失</w:t>
      </w:r>
      <w:r>
        <w:rPr>
          <w:rFonts w:hint="eastAsia" w:ascii="宋体" w:hAnsi="宋体" w:eastAsia="宋体" w:cs="宋体"/>
          <w:b w:val="0"/>
          <w:color w:val="auto"/>
          <w:sz w:val="21"/>
          <w:szCs w:val="21"/>
        </w:rPr>
        <w:t>。</w:t>
      </w:r>
    </w:p>
    <w:p w14:paraId="48CF49E4">
      <w:pPr>
        <w:pStyle w:val="84"/>
        <w:tabs>
          <w:tab w:val="left" w:pos="567"/>
        </w:tabs>
        <w:snapToGrid w:val="0"/>
        <w:spacing w:before="120" w:line="360" w:lineRule="auto"/>
        <w:contextualSpacing/>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6.</w:t>
      </w:r>
      <w:r>
        <w:rPr>
          <w:rFonts w:hint="eastAsia" w:ascii="宋体" w:hAnsi="宋体" w:eastAsia="宋体" w:cs="宋体"/>
          <w:b w:val="0"/>
          <w:color w:val="auto"/>
          <w:sz w:val="21"/>
          <w:szCs w:val="21"/>
        </w:rPr>
        <w:t>3、乙方可就不符合本合同规定的危险废物重新提出报价单交予甲方，经双方商议同意签字确认后，由乙方负责处理；如协商不成的，乙方退回给甲方，所产生的收退运费及其他费用等均由甲方承担，由此给乙方造成的全部损失及法律责任均由甲方承担。</w:t>
      </w:r>
    </w:p>
    <w:p w14:paraId="007C0FF5">
      <w:pPr>
        <w:tabs>
          <w:tab w:val="left" w:pos="993"/>
        </w:tabs>
        <w:snapToGrid w:val="0"/>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rPr>
        <w:t>6.</w:t>
      </w:r>
      <w:r>
        <w:rPr>
          <w:rFonts w:hint="eastAsia" w:ascii="宋体" w:hAnsi="宋体" w:eastAsia="宋体" w:cs="宋体"/>
          <w:color w:val="auto"/>
          <w:sz w:val="21"/>
          <w:szCs w:val="21"/>
        </w:rPr>
        <w:t>4、合同双方中一方违反本合同的规定，守约方有权要求违约方停止并纠正违约行为；如守约方书面通知违约方仍不予以改正，守约方有权中止直至解除本合同。因此而造成的经济损失及法律责任由违约方承担。</w:t>
      </w:r>
    </w:p>
    <w:p w14:paraId="560AF222">
      <w:pPr>
        <w:tabs>
          <w:tab w:val="left" w:pos="993"/>
        </w:tabs>
        <w:snapToGrid w:val="0"/>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rPr>
        <w:t>6.5、</w:t>
      </w:r>
      <w:r>
        <w:rPr>
          <w:rFonts w:hint="eastAsia" w:ascii="宋体" w:hAnsi="宋体" w:eastAsia="宋体" w:cs="宋体"/>
          <w:color w:val="auto"/>
          <w:sz w:val="21"/>
          <w:szCs w:val="21"/>
        </w:rPr>
        <w:t>合同双方中一方无正当理由撤销或者解除合同，造成合同另一方损失的，应赔偿因此而造成的实际损失。</w:t>
      </w:r>
    </w:p>
    <w:p w14:paraId="6BE6917E">
      <w:pPr>
        <w:snapToGrid w:val="0"/>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七、其他</w:t>
      </w:r>
    </w:p>
    <w:p w14:paraId="45B9B357">
      <w:pPr>
        <w:snapToGrid w:val="0"/>
        <w:spacing w:line="360" w:lineRule="auto"/>
        <w:ind w:left="1" w:firstLine="411" w:firstLineChars="196"/>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7.1、因不可抗力而不能履行本合同时，应在不可抗力事件发生之后五日内向对方书面通知不能履行或者延期履行、部分履行的理由。在取得相关证明并书面通知对方后，本合同可以不履行或者延期履行、部分履行，并免予</w:t>
      </w:r>
      <w:r>
        <w:rPr>
          <w:rFonts w:hint="eastAsia" w:ascii="宋体" w:hAnsi="宋体" w:eastAsia="宋体" w:cs="宋体"/>
          <w:color w:val="auto"/>
          <w:sz w:val="21"/>
          <w:szCs w:val="21"/>
          <w:lang w:val="en-US"/>
        </w:rPr>
        <w:t>相关方</w:t>
      </w:r>
      <w:r>
        <w:rPr>
          <w:rFonts w:hint="eastAsia" w:ascii="宋体" w:hAnsi="宋体" w:eastAsia="宋体" w:cs="宋体"/>
          <w:color w:val="auto"/>
          <w:sz w:val="21"/>
          <w:szCs w:val="21"/>
        </w:rPr>
        <w:t>承担相应的违约责任。双方协商一致不履行的，则签订解约协议。</w:t>
      </w:r>
    </w:p>
    <w:p w14:paraId="56876208">
      <w:pPr>
        <w:snapToGrid w:val="0"/>
        <w:spacing w:line="360" w:lineRule="auto"/>
        <w:ind w:left="1" w:firstLine="411" w:firstLineChars="196"/>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7.2、因本合同发生的争议，双方协商解决；否则，提交至提起</w:t>
      </w:r>
      <w:r>
        <w:rPr>
          <w:rFonts w:hint="eastAsia" w:ascii="宋体" w:hAnsi="宋体" w:eastAsia="宋体" w:cs="宋体"/>
          <w:color w:val="auto"/>
          <w:sz w:val="21"/>
          <w:szCs w:val="21"/>
          <w:lang w:val="en-US"/>
        </w:rPr>
        <w:t>甲方</w:t>
      </w:r>
      <w:r>
        <w:rPr>
          <w:rFonts w:hint="eastAsia" w:ascii="宋体" w:hAnsi="宋体" w:eastAsia="宋体" w:cs="宋体"/>
          <w:color w:val="auto"/>
          <w:sz w:val="21"/>
          <w:szCs w:val="21"/>
        </w:rPr>
        <w:t>所在地人民法院诉讼解决。双方确认司法机关后可以通过合同提供的邮寄或电子邮箱两种方式送达各个司法阶段诉讼法律文书。如地址提供不确切或者地址变更后告知不及时，使法律文书无法送达或未及时送达，自行承担由此可能产生的法律后果</w:t>
      </w:r>
      <w:bookmarkStart w:id="95" w:name="_Hlk57211999"/>
      <w:r>
        <w:rPr>
          <w:rFonts w:hint="eastAsia" w:ascii="宋体" w:hAnsi="宋体" w:eastAsia="宋体" w:cs="宋体"/>
          <w:color w:val="auto"/>
          <w:sz w:val="21"/>
          <w:szCs w:val="21"/>
        </w:rPr>
        <w:t>，同时，无论法律文书送达合同专用条款尾部的地址或电子邮箱或退件，送达或退件之日均视为相关法律已经送达</w:t>
      </w:r>
      <w:bookmarkEnd w:id="94"/>
      <w:bookmarkEnd w:id="95"/>
      <w:r>
        <w:rPr>
          <w:rFonts w:hint="eastAsia" w:ascii="宋体" w:hAnsi="宋体" w:eastAsia="宋体" w:cs="宋体"/>
          <w:color w:val="auto"/>
          <w:sz w:val="21"/>
          <w:szCs w:val="21"/>
        </w:rPr>
        <w:t>。</w:t>
      </w:r>
    </w:p>
    <w:p w14:paraId="41A0B16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rPr>
        <w:t>三</w:t>
      </w:r>
      <w:r>
        <w:rPr>
          <w:rFonts w:hint="eastAsia" w:ascii="宋体" w:hAnsi="宋体" w:eastAsia="宋体" w:cs="宋体"/>
          <w:color w:val="auto"/>
          <w:sz w:val="24"/>
          <w:szCs w:val="24"/>
        </w:rPr>
        <w:t xml:space="preserve">部分 </w:t>
      </w:r>
      <w:r>
        <w:rPr>
          <w:rFonts w:hint="eastAsia" w:ascii="宋体" w:hAnsi="宋体" w:eastAsia="宋体" w:cs="宋体"/>
          <w:color w:val="auto"/>
          <w:sz w:val="24"/>
          <w:szCs w:val="24"/>
          <w:lang w:val="en-US"/>
        </w:rPr>
        <w:t xml:space="preserve"> 专用</w:t>
      </w:r>
      <w:r>
        <w:rPr>
          <w:rFonts w:hint="eastAsia" w:ascii="宋体" w:hAnsi="宋体" w:eastAsia="宋体" w:cs="宋体"/>
          <w:color w:val="auto"/>
          <w:sz w:val="24"/>
          <w:szCs w:val="24"/>
        </w:rPr>
        <w:t>条款</w:t>
      </w:r>
    </w:p>
    <w:p w14:paraId="45B95B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专用条款内容包含甲乙双方商业机密，除用于内部存档，不得向第三方提供。专用合同条款的编号应与相应的通用合同条款的编号一致；合同当事人可以通过对专用合同条款的修改，满足具体服务特殊要求，避免直接修改通用合同条款。</w:t>
      </w:r>
    </w:p>
    <w:p w14:paraId="521C739B">
      <w:pPr>
        <w:snapToGrid w:val="0"/>
        <w:spacing w:line="360" w:lineRule="auto"/>
        <w:ind w:left="1"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rPr>
        <w:t>一</w:t>
      </w:r>
      <w:r>
        <w:rPr>
          <w:rFonts w:hint="eastAsia" w:ascii="宋体" w:hAnsi="宋体" w:eastAsia="宋体" w:cs="宋体"/>
          <w:color w:val="auto"/>
          <w:sz w:val="21"/>
          <w:szCs w:val="21"/>
        </w:rPr>
        <w:t>、收运及运费</w:t>
      </w:r>
    </w:p>
    <w:tbl>
      <w:tblPr>
        <w:tblStyle w:val="27"/>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2"/>
      </w:tblGrid>
      <w:tr w14:paraId="4769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2" w:type="dxa"/>
          </w:tcPr>
          <w:p w14:paraId="150FE530">
            <w:pPr>
              <w:bidi w:val="0"/>
              <w:rPr>
                <w:rFonts w:hint="eastAsia" w:ascii="宋体" w:hAnsi="宋体" w:eastAsia="宋体" w:cs="宋体"/>
                <w:color w:val="auto"/>
                <w:lang w:val="en-US"/>
              </w:rPr>
            </w:pPr>
            <w:r>
              <w:rPr>
                <w:rFonts w:hint="eastAsia" w:ascii="宋体" w:hAnsi="宋体" w:eastAsia="宋体" w:cs="宋体"/>
                <w:color w:val="auto"/>
                <w:lang w:val="en-US"/>
              </w:rPr>
              <w:t>（一）运输费用标准：合同期内提供运输服务</w:t>
            </w:r>
            <w:r>
              <w:rPr>
                <w:rFonts w:hint="eastAsia" w:ascii="宋体" w:hAnsi="宋体" w:eastAsia="宋体" w:cs="宋体"/>
                <w:color w:val="auto"/>
                <w:lang w:val="en-US" w:eastAsia="zh-CN"/>
              </w:rPr>
              <w:t>，产生费用由乙方承担</w:t>
            </w:r>
            <w:r>
              <w:rPr>
                <w:rFonts w:hint="eastAsia" w:ascii="宋体" w:hAnsi="宋体" w:eastAsia="宋体" w:cs="宋体"/>
                <w:color w:val="auto"/>
                <w:lang w:val="en-US"/>
              </w:rPr>
              <w:t>。</w:t>
            </w:r>
          </w:p>
        </w:tc>
      </w:tr>
      <w:tr w14:paraId="1668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2" w:type="dxa"/>
          </w:tcPr>
          <w:p w14:paraId="05DBA7C3">
            <w:pPr>
              <w:bidi w:val="0"/>
              <w:rPr>
                <w:rFonts w:hint="eastAsia" w:ascii="宋体" w:hAnsi="宋体" w:eastAsia="宋体" w:cs="宋体"/>
                <w:color w:val="auto"/>
                <w:lang w:val="en-US"/>
              </w:rPr>
            </w:pPr>
            <w:r>
              <w:rPr>
                <w:rFonts w:hint="eastAsia" w:ascii="宋体" w:hAnsi="宋体" w:eastAsia="宋体" w:cs="宋体"/>
                <w:color w:val="auto"/>
                <w:lang w:val="en-US"/>
              </w:rPr>
              <w:t>运输费用说明</w:t>
            </w:r>
          </w:p>
        </w:tc>
      </w:tr>
      <w:tr w14:paraId="6099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082" w:type="dxa"/>
          </w:tcPr>
          <w:p w14:paraId="774C56C0">
            <w:pPr>
              <w:bidi w:val="0"/>
              <w:rPr>
                <w:rFonts w:hint="eastAsia" w:ascii="宋体" w:hAnsi="宋体" w:eastAsia="宋体" w:cs="宋体"/>
                <w:color w:val="auto"/>
              </w:rPr>
            </w:pPr>
            <w:r>
              <w:rPr>
                <w:rFonts w:hint="eastAsia" w:ascii="宋体" w:hAnsi="宋体" w:cs="宋体"/>
                <w:color w:val="auto"/>
                <w:lang w:val="en-US" w:eastAsia="zh-CN"/>
              </w:rPr>
              <w:t>1</w:t>
            </w:r>
            <w:r>
              <w:rPr>
                <w:rFonts w:hint="eastAsia" w:ascii="宋体" w:hAnsi="宋体" w:eastAsia="宋体" w:cs="宋体"/>
                <w:color w:val="auto"/>
              </w:rPr>
              <w:t>.1、甲方完成“广东省固体废物环境监管信息平台”申报后通知乙方收运联系人，</w:t>
            </w:r>
            <w:r>
              <w:rPr>
                <w:rFonts w:hint="eastAsia" w:ascii="宋体" w:hAnsi="宋体" w:cs="宋体"/>
                <w:color w:val="auto"/>
                <w:lang w:val="en-US" w:eastAsia="zh-CN"/>
              </w:rPr>
              <w:t>乙方应在收到甲方通知后的   天内或甲方指定的时间内到甲方处收运</w:t>
            </w:r>
            <w:r>
              <w:rPr>
                <w:rFonts w:hint="eastAsia" w:ascii="宋体" w:hAnsi="宋体" w:eastAsia="宋体" w:cs="宋体"/>
                <w:color w:val="auto"/>
              </w:rPr>
              <w:t>。</w:t>
            </w:r>
          </w:p>
          <w:p w14:paraId="5E4C2B29">
            <w:pPr>
              <w:bidi w:val="0"/>
              <w:rPr>
                <w:rFonts w:hint="eastAsia" w:ascii="宋体" w:hAnsi="宋体" w:eastAsia="宋体" w:cs="宋体"/>
                <w:color w:val="auto"/>
                <w:lang w:val="en-US" w:eastAsia="zh-CN"/>
              </w:rPr>
            </w:pPr>
          </w:p>
        </w:tc>
      </w:tr>
    </w:tbl>
    <w:p w14:paraId="084531AD">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二、处置费用及结算</w:t>
      </w:r>
    </w:p>
    <w:tbl>
      <w:tblPr>
        <w:tblStyle w:val="27"/>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60"/>
        <w:gridCol w:w="1397"/>
        <w:gridCol w:w="1266"/>
        <w:gridCol w:w="1380"/>
        <w:gridCol w:w="1460"/>
        <w:gridCol w:w="1349"/>
        <w:gridCol w:w="512"/>
      </w:tblGrid>
      <w:tr w14:paraId="7260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B6C1D8E">
            <w:pPr>
              <w:spacing w:line="40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序号</w:t>
            </w:r>
          </w:p>
        </w:tc>
        <w:tc>
          <w:tcPr>
            <w:tcW w:w="1160" w:type="dxa"/>
            <w:vAlign w:val="center"/>
          </w:tcPr>
          <w:p w14:paraId="4B146515">
            <w:pPr>
              <w:spacing w:line="40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废物名称</w:t>
            </w:r>
          </w:p>
        </w:tc>
        <w:tc>
          <w:tcPr>
            <w:tcW w:w="1397" w:type="dxa"/>
            <w:vAlign w:val="center"/>
          </w:tcPr>
          <w:p w14:paraId="52CBEA64">
            <w:pPr>
              <w:spacing w:line="340" w:lineRule="exact"/>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rPr>
              <w:t>废物小代码</w:t>
            </w:r>
          </w:p>
          <w:p w14:paraId="0AC847CE">
            <w:pPr>
              <w:spacing w:line="3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10"/>
                <w:szCs w:val="10"/>
                <w:highlight w:val="none"/>
                <w:lang w:val="en-US"/>
              </w:rPr>
              <w:t>（最终以平台联单为准）</w:t>
            </w:r>
          </w:p>
        </w:tc>
        <w:tc>
          <w:tcPr>
            <w:tcW w:w="1266" w:type="dxa"/>
            <w:vAlign w:val="center"/>
          </w:tcPr>
          <w:p w14:paraId="73B1B7FE">
            <w:pPr>
              <w:spacing w:line="40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处置方式</w:t>
            </w:r>
          </w:p>
        </w:tc>
        <w:tc>
          <w:tcPr>
            <w:tcW w:w="1380" w:type="dxa"/>
            <w:vAlign w:val="center"/>
          </w:tcPr>
          <w:p w14:paraId="0956F9E6">
            <w:pPr>
              <w:spacing w:line="340" w:lineRule="exact"/>
              <w:jc w:val="center"/>
              <w:rPr>
                <w:rFonts w:hint="eastAsia" w:ascii="宋体" w:hAnsi="宋体" w:eastAsia="宋体" w:cs="宋体"/>
                <w:color w:val="auto"/>
                <w:sz w:val="20"/>
                <w:highlight w:val="none"/>
                <w:lang w:val="en-US"/>
              </w:rPr>
            </w:pPr>
            <w:r>
              <w:rPr>
                <w:rFonts w:hint="eastAsia" w:ascii="宋体" w:hAnsi="宋体" w:eastAsia="宋体" w:cs="宋体"/>
                <w:color w:val="auto"/>
                <w:sz w:val="20"/>
                <w:highlight w:val="none"/>
                <w:lang w:val="en-US"/>
              </w:rPr>
              <w:t>包装方式</w:t>
            </w:r>
          </w:p>
          <w:p w14:paraId="61925A81">
            <w:pPr>
              <w:spacing w:line="3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11"/>
                <w:szCs w:val="11"/>
                <w:highlight w:val="none"/>
                <w:lang w:val="en-US"/>
              </w:rPr>
              <w:t>（桶装、袋装、箱装）</w:t>
            </w:r>
          </w:p>
        </w:tc>
        <w:tc>
          <w:tcPr>
            <w:tcW w:w="1460" w:type="dxa"/>
            <w:vAlign w:val="center"/>
          </w:tcPr>
          <w:p w14:paraId="4D1B224F">
            <w:pPr>
              <w:spacing w:line="3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年预计量</w:t>
            </w:r>
          </w:p>
          <w:p w14:paraId="55B0EDED">
            <w:pPr>
              <w:spacing w:line="3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（吨/年）</w:t>
            </w:r>
          </w:p>
        </w:tc>
        <w:tc>
          <w:tcPr>
            <w:tcW w:w="1349" w:type="dxa"/>
            <w:vAlign w:val="center"/>
          </w:tcPr>
          <w:p w14:paraId="455E13D7">
            <w:pPr>
              <w:spacing w:line="3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含税单价</w:t>
            </w:r>
          </w:p>
          <w:p w14:paraId="7DD85AB4">
            <w:pPr>
              <w:spacing w:line="3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（元/吨）</w:t>
            </w:r>
          </w:p>
        </w:tc>
        <w:tc>
          <w:tcPr>
            <w:tcW w:w="512" w:type="dxa"/>
            <w:vAlign w:val="center"/>
          </w:tcPr>
          <w:p w14:paraId="185E4B20">
            <w:pPr>
              <w:spacing w:line="40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付款方</w:t>
            </w:r>
          </w:p>
        </w:tc>
      </w:tr>
      <w:tr w14:paraId="11FC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70" w:type="dxa"/>
            <w:vAlign w:val="center"/>
          </w:tcPr>
          <w:p w14:paraId="44E3203F">
            <w:pPr>
              <w:spacing w:line="40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w:t>
            </w:r>
          </w:p>
        </w:tc>
        <w:tc>
          <w:tcPr>
            <w:tcW w:w="1160" w:type="dxa"/>
            <w:vAlign w:val="center"/>
          </w:tcPr>
          <w:p w14:paraId="19804AF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渗滤液</w:t>
            </w:r>
          </w:p>
        </w:tc>
        <w:tc>
          <w:tcPr>
            <w:tcW w:w="1397" w:type="dxa"/>
            <w:vAlign w:val="center"/>
          </w:tcPr>
          <w:p w14:paraId="141E0F54">
            <w:pPr>
              <w:spacing w:line="400" w:lineRule="exact"/>
              <w:jc w:val="center"/>
              <w:rPr>
                <w:rFonts w:hint="eastAsia" w:ascii="宋体" w:hAnsi="宋体" w:eastAsia="宋体" w:cs="宋体"/>
                <w:color w:val="auto"/>
                <w:sz w:val="21"/>
                <w:szCs w:val="21"/>
                <w:highlight w:val="none"/>
                <w:lang w:val="en-US"/>
              </w:rPr>
            </w:pPr>
          </w:p>
        </w:tc>
        <w:tc>
          <w:tcPr>
            <w:tcW w:w="1266" w:type="dxa"/>
            <w:vAlign w:val="center"/>
          </w:tcPr>
          <w:p w14:paraId="4DC75663">
            <w:pPr>
              <w:spacing w:line="400" w:lineRule="exact"/>
              <w:jc w:val="center"/>
              <w:rPr>
                <w:rFonts w:hint="eastAsia" w:ascii="宋体" w:hAnsi="宋体" w:eastAsia="宋体" w:cs="宋体"/>
                <w:color w:val="auto"/>
                <w:sz w:val="21"/>
                <w:szCs w:val="21"/>
                <w:highlight w:val="none"/>
                <w:lang w:val="en-US"/>
              </w:rPr>
            </w:pPr>
          </w:p>
        </w:tc>
        <w:tc>
          <w:tcPr>
            <w:tcW w:w="1380" w:type="dxa"/>
            <w:vAlign w:val="center"/>
          </w:tcPr>
          <w:p w14:paraId="698877A8">
            <w:pPr>
              <w:spacing w:line="400" w:lineRule="exact"/>
              <w:jc w:val="center"/>
              <w:rPr>
                <w:rFonts w:hint="eastAsia" w:ascii="宋体" w:hAnsi="宋体" w:eastAsia="宋体" w:cs="宋体"/>
                <w:color w:val="auto"/>
                <w:sz w:val="21"/>
                <w:szCs w:val="21"/>
                <w:highlight w:val="none"/>
                <w:lang w:val="en-US"/>
              </w:rPr>
            </w:pPr>
          </w:p>
        </w:tc>
        <w:tc>
          <w:tcPr>
            <w:tcW w:w="1460" w:type="dxa"/>
            <w:vAlign w:val="center"/>
          </w:tcPr>
          <w:p w14:paraId="193EBC53">
            <w:pPr>
              <w:spacing w:line="400" w:lineRule="exact"/>
              <w:jc w:val="center"/>
              <w:rPr>
                <w:rFonts w:hint="eastAsia" w:ascii="宋体" w:hAnsi="宋体" w:eastAsia="宋体" w:cs="宋体"/>
                <w:color w:val="auto"/>
                <w:sz w:val="21"/>
                <w:szCs w:val="21"/>
                <w:highlight w:val="none"/>
                <w:lang w:val="en-US"/>
              </w:rPr>
            </w:pPr>
          </w:p>
        </w:tc>
        <w:tc>
          <w:tcPr>
            <w:tcW w:w="1349" w:type="dxa"/>
            <w:vAlign w:val="center"/>
          </w:tcPr>
          <w:p w14:paraId="01CFEB07">
            <w:pPr>
              <w:spacing w:line="400" w:lineRule="exact"/>
              <w:jc w:val="center"/>
              <w:rPr>
                <w:rFonts w:hint="eastAsia" w:ascii="宋体" w:hAnsi="宋体" w:eastAsia="宋体" w:cs="宋体"/>
                <w:color w:val="auto"/>
                <w:sz w:val="21"/>
                <w:szCs w:val="21"/>
                <w:highlight w:val="none"/>
                <w:lang w:val="en-US"/>
              </w:rPr>
            </w:pPr>
          </w:p>
        </w:tc>
        <w:tc>
          <w:tcPr>
            <w:tcW w:w="512" w:type="dxa"/>
            <w:vAlign w:val="center"/>
          </w:tcPr>
          <w:p w14:paraId="3C6F16F1">
            <w:pPr>
              <w:spacing w:line="400" w:lineRule="exact"/>
              <w:jc w:val="center"/>
              <w:rPr>
                <w:rFonts w:hint="eastAsia" w:ascii="宋体" w:hAnsi="宋体" w:eastAsia="宋体" w:cs="宋体"/>
                <w:color w:val="auto"/>
                <w:sz w:val="21"/>
                <w:szCs w:val="21"/>
                <w:highlight w:val="none"/>
                <w:lang w:val="en-US"/>
              </w:rPr>
            </w:pPr>
          </w:p>
        </w:tc>
      </w:tr>
      <w:tr w14:paraId="7F73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gridSpan w:val="3"/>
            <w:vAlign w:val="center"/>
          </w:tcPr>
          <w:p w14:paraId="551FB99E">
            <w:pPr>
              <w:spacing w:line="400" w:lineRule="exact"/>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预计处置量合计（吨/年）</w:t>
            </w:r>
          </w:p>
        </w:tc>
        <w:tc>
          <w:tcPr>
            <w:tcW w:w="5967" w:type="dxa"/>
            <w:gridSpan w:val="5"/>
            <w:vAlign w:val="center"/>
          </w:tcPr>
          <w:p w14:paraId="04D287BD">
            <w:pPr>
              <w:spacing w:line="400" w:lineRule="exact"/>
              <w:jc w:val="center"/>
              <w:rPr>
                <w:rFonts w:hint="eastAsia" w:ascii="宋体" w:hAnsi="宋体" w:eastAsia="宋体" w:cs="宋体"/>
                <w:color w:val="auto"/>
                <w:sz w:val="21"/>
                <w:szCs w:val="21"/>
                <w:highlight w:val="none"/>
                <w:lang w:val="en-US"/>
              </w:rPr>
            </w:pPr>
          </w:p>
        </w:tc>
      </w:tr>
      <w:tr w14:paraId="65A5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9194" w:type="dxa"/>
            <w:gridSpan w:val="8"/>
          </w:tcPr>
          <w:p w14:paraId="752B6C37">
            <w:pPr>
              <w:spacing w:line="360" w:lineRule="auto"/>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、履约</w:t>
            </w:r>
            <w:r>
              <w:rPr>
                <w:rFonts w:hint="eastAsia" w:ascii="宋体" w:hAnsi="宋体" w:cs="宋体"/>
                <w:color w:val="auto"/>
                <w:sz w:val="21"/>
                <w:szCs w:val="21"/>
                <w:highlight w:val="none"/>
                <w:lang w:val="en-US" w:eastAsia="zh-CN"/>
              </w:rPr>
              <w:t>担保</w:t>
            </w:r>
          </w:p>
          <w:p w14:paraId="5E9473FC">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w:t>
            </w:r>
            <w:r>
              <w:rPr>
                <w:rFonts w:hint="eastAsia" w:ascii="宋体" w:hAnsi="宋体" w:cs="宋体"/>
                <w:color w:val="auto"/>
                <w:sz w:val="21"/>
                <w:szCs w:val="21"/>
                <w:highlight w:val="none"/>
                <w:lang w:val="en-US" w:eastAsia="zh-CN"/>
              </w:rPr>
              <w:t>担保</w:t>
            </w:r>
            <w:r>
              <w:rPr>
                <w:rFonts w:hint="eastAsia" w:ascii="宋体" w:hAnsi="宋体" w:eastAsia="宋体" w:cs="宋体"/>
                <w:color w:val="auto"/>
                <w:sz w:val="21"/>
                <w:szCs w:val="21"/>
                <w:highlight w:val="none"/>
              </w:rPr>
              <w:t>金额为人民币      元（人民币     元整），提供履约担保所发生的费用由乙方承担。乙方应在合同签订前足额缴纳履约保证金</w:t>
            </w:r>
            <w:r>
              <w:rPr>
                <w:rFonts w:hint="eastAsia" w:ascii="宋体" w:hAnsi="宋体" w:cs="宋体"/>
                <w:color w:val="auto"/>
                <w:sz w:val="21"/>
                <w:szCs w:val="21"/>
                <w:highlight w:val="none"/>
                <w:lang w:val="en-US" w:eastAsia="zh-CN"/>
              </w:rPr>
              <w:t>或开具银行履约保函</w:t>
            </w:r>
            <w:r>
              <w:rPr>
                <w:rFonts w:hint="eastAsia" w:ascii="宋体" w:hAnsi="宋体" w:eastAsia="宋体" w:cs="宋体"/>
                <w:color w:val="auto"/>
                <w:sz w:val="21"/>
                <w:szCs w:val="21"/>
                <w:highlight w:val="none"/>
              </w:rPr>
              <w:t xml:space="preserve">，否则，视作乙方自动放弃中标资格。 </w:t>
            </w:r>
          </w:p>
          <w:p w14:paraId="7E6D5B6F">
            <w:pPr>
              <w:spacing w:line="360" w:lineRule="auto"/>
              <w:ind w:firstLine="411" w:firstLineChars="196"/>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.1、双方同意以下方式结算。</w:t>
            </w:r>
          </w:p>
          <w:p w14:paraId="17A49758">
            <w:pPr>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本协议下双方的结算方式</w:t>
            </w:r>
            <w:r>
              <w:rPr>
                <w:rFonts w:hint="eastAsia" w:ascii="宋体" w:hAnsi="宋体" w:eastAsia="宋体" w:cs="宋体"/>
                <w:color w:val="auto"/>
                <w:sz w:val="21"/>
                <w:szCs w:val="21"/>
                <w:highlight w:val="none"/>
                <w:lang w:val="en-US" w:eastAsia="zh-CN"/>
              </w:rPr>
              <w:t>如下：</w:t>
            </w:r>
          </w:p>
          <w:p w14:paraId="0B2762BD">
            <w:pPr>
              <w:spacing w:line="360" w:lineRule="auto"/>
              <w:ind w:firstLine="420" w:firstLineChars="200"/>
              <w:jc w:val="both"/>
              <w:rPr>
                <w:rFonts w:hint="eastAsia" w:ascii="宋体" w:hAnsi="宋体" w:eastAsia="宋体" w:cs="宋体"/>
                <w:color w:val="auto"/>
                <w:sz w:val="21"/>
                <w:szCs w:val="21"/>
                <w:highlight w:val="none"/>
                <w:lang w:eastAsia="zh-CN"/>
              </w:rPr>
            </w:pPr>
            <w:bookmarkStart w:id="96" w:name="_Hlk91578191"/>
            <w:r>
              <w:rPr>
                <w:rFonts w:hint="eastAsia" w:ascii="宋体" w:hAnsi="宋体" w:cs="宋体"/>
                <w:color w:val="auto"/>
                <w:sz w:val="21"/>
                <w:szCs w:val="21"/>
                <w:highlight w:val="none"/>
                <w:lang w:val="en-US" w:eastAsia="zh-CN"/>
              </w:rPr>
              <w:t>乙方</w:t>
            </w:r>
            <w:r>
              <w:rPr>
                <w:rFonts w:hint="eastAsia" w:ascii="宋体" w:hAnsi="宋体" w:eastAsia="宋体" w:cs="宋体"/>
                <w:color w:val="auto"/>
                <w:kern w:val="2"/>
                <w:sz w:val="21"/>
                <w:szCs w:val="21"/>
                <w:lang w:val="en-US" w:eastAsia="zh-CN"/>
              </w:rPr>
              <w:t>每完成约300吨渗滤液运输后，</w:t>
            </w:r>
            <w:r>
              <w:rPr>
                <w:rFonts w:hint="eastAsia" w:ascii="宋体" w:hAnsi="宋体" w:eastAsia="宋体" w:cs="宋体"/>
                <w:color w:val="auto"/>
                <w:sz w:val="21"/>
                <w:szCs w:val="21"/>
                <w:highlight w:val="none"/>
              </w:rPr>
              <w:t>乙方根据合同附件的废物单价及本合同专用条款第四条的运费标准制作《对账单》</w:t>
            </w:r>
            <w:r>
              <w:rPr>
                <w:rFonts w:hint="eastAsia" w:ascii="宋体" w:hAnsi="宋体" w:cs="宋体"/>
                <w:color w:val="auto"/>
                <w:sz w:val="21"/>
                <w:szCs w:val="21"/>
                <w:highlight w:val="none"/>
                <w:lang w:eastAsia="zh-CN"/>
              </w:rPr>
              <w:t>（</w:t>
            </w:r>
            <w:r>
              <w:rPr>
                <w:rFonts w:hint="eastAsia" w:ascii="宋体" w:hAnsi="宋体" w:eastAsia="宋体" w:cs="宋体"/>
                <w:color w:val="auto"/>
                <w:kern w:val="2"/>
                <w:sz w:val="21"/>
                <w:szCs w:val="21"/>
                <w:lang w:val="en-US" w:eastAsia="zh-CN"/>
              </w:rPr>
              <w:t>按实际处置量结算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并提交给甲方</w:t>
            </w:r>
            <w:r>
              <w:rPr>
                <w:rFonts w:hint="eastAsia" w:ascii="宋体" w:hAnsi="宋体" w:cs="宋体"/>
                <w:color w:val="auto"/>
                <w:kern w:val="2"/>
                <w:sz w:val="21"/>
                <w:szCs w:val="21"/>
                <w:lang w:val="en-US" w:eastAsia="zh-CN"/>
              </w:rPr>
              <w:t>，《对账单》</w:t>
            </w:r>
            <w:r>
              <w:rPr>
                <w:rFonts w:hint="eastAsia" w:ascii="宋体" w:hAnsi="宋体" w:eastAsia="宋体" w:cs="宋体"/>
                <w:color w:val="auto"/>
                <w:sz w:val="21"/>
                <w:szCs w:val="21"/>
                <w:highlight w:val="none"/>
              </w:rPr>
              <w:t>经双方签字或盖章后作为结算依据。</w:t>
            </w:r>
            <w:r>
              <w:rPr>
                <w:rFonts w:hint="eastAsia" w:ascii="宋体" w:hAnsi="宋体" w:cs="宋体"/>
                <w:color w:val="auto"/>
                <w:sz w:val="21"/>
                <w:szCs w:val="21"/>
                <w:highlight w:val="none"/>
                <w:lang w:val="en-US" w:eastAsia="zh-CN"/>
              </w:rPr>
              <w:t>甲乙双方</w:t>
            </w:r>
            <w:r>
              <w:rPr>
                <w:rFonts w:hint="eastAsia" w:ascii="宋体" w:hAnsi="宋体" w:eastAsia="宋体" w:cs="宋体"/>
                <w:color w:val="auto"/>
                <w:sz w:val="21"/>
                <w:szCs w:val="21"/>
                <w:highlight w:val="none"/>
              </w:rPr>
              <w:t>核对无误后，乙方应当提交相应的</w:t>
            </w:r>
            <w:r>
              <w:rPr>
                <w:rFonts w:hint="eastAsia" w:ascii="宋体" w:hAnsi="宋体" w:cs="宋体"/>
                <w:color w:val="auto"/>
                <w:sz w:val="21"/>
                <w:szCs w:val="21"/>
                <w:highlight w:val="none"/>
                <w:lang w:val="en-US" w:eastAsia="zh-CN"/>
              </w:rPr>
              <w:t>增值税专用</w:t>
            </w:r>
            <w:r>
              <w:rPr>
                <w:rFonts w:hint="eastAsia" w:ascii="宋体" w:hAnsi="宋体" w:eastAsia="宋体" w:cs="宋体"/>
                <w:color w:val="auto"/>
                <w:sz w:val="21"/>
                <w:szCs w:val="21"/>
                <w:highlight w:val="none"/>
              </w:rPr>
              <w:t>发票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税率为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甲方收到发票后的</w:t>
            </w:r>
            <w:r>
              <w:rPr>
                <w:rFonts w:hint="eastAsia" w:ascii="宋体" w:hAnsi="宋体" w:eastAsia="宋体" w:cs="宋体"/>
                <w:color w:val="auto"/>
                <w:kern w:val="2"/>
                <w:sz w:val="21"/>
                <w:szCs w:val="21"/>
                <w:lang w:val="en-US" w:eastAsia="zh-CN"/>
              </w:rPr>
              <w:t>十五个工作日内支付处置费用，；</w:t>
            </w:r>
            <w:r>
              <w:rPr>
                <w:rFonts w:hint="eastAsia" w:ascii="宋体" w:hAnsi="宋体" w:cs="宋体"/>
                <w:color w:val="auto"/>
                <w:sz w:val="21"/>
                <w:szCs w:val="21"/>
                <w:highlight w:val="none"/>
                <w:lang w:val="en-US" w:eastAsia="zh-CN"/>
              </w:rPr>
              <w:t>乙方逾期提交对账单或发票等，</w:t>
            </w:r>
            <w:r>
              <w:rPr>
                <w:rFonts w:hint="eastAsia" w:ascii="宋体" w:hAnsi="宋体" w:eastAsia="宋体" w:cs="宋体"/>
                <w:color w:val="auto"/>
                <w:sz w:val="21"/>
                <w:szCs w:val="21"/>
                <w:highlight w:val="none"/>
              </w:rPr>
              <w:t>甲方有权拒绝付款并且不承担任何责任。</w:t>
            </w:r>
            <w:bookmarkEnd w:id="96"/>
            <w:r>
              <w:rPr>
                <w:rFonts w:hint="eastAsia" w:ascii="宋体" w:hAnsi="宋体" w:eastAsia="宋体" w:cs="宋体"/>
                <w:color w:val="auto"/>
                <w:sz w:val="21"/>
                <w:szCs w:val="21"/>
                <w:highlight w:val="none"/>
              </w:rPr>
              <w:t>甲乙双方按照合同条款各自开票付费，收费和付费不对冲</w:t>
            </w:r>
            <w:r>
              <w:rPr>
                <w:rFonts w:hint="eastAsia" w:ascii="宋体" w:hAnsi="宋体" w:cs="宋体"/>
                <w:color w:val="auto"/>
                <w:sz w:val="21"/>
                <w:szCs w:val="21"/>
                <w:highlight w:val="none"/>
                <w:lang w:eastAsia="zh-CN"/>
              </w:rPr>
              <w:t>。</w:t>
            </w:r>
          </w:p>
          <w:p w14:paraId="01EA96AF">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以上结算方式乙方指定收款账户为：</w:t>
            </w:r>
            <w:r>
              <w:rPr>
                <w:rFonts w:hint="eastAsia" w:ascii="宋体" w:hAnsi="宋体" w:eastAsia="宋体" w:cs="宋体"/>
                <w:color w:val="auto"/>
                <w:sz w:val="18"/>
                <w:szCs w:val="18"/>
                <w:highlight w:val="none"/>
                <w:lang w:val="en-US"/>
              </w:rPr>
              <w:t>公司全称</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rPr>
              <w:t>收款银行：</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lang w:val="en-US"/>
              </w:rPr>
              <w:t xml:space="preserve"> </w:t>
            </w:r>
            <w:r>
              <w:rPr>
                <w:rFonts w:hint="eastAsia" w:ascii="宋体" w:hAnsi="宋体" w:eastAsia="宋体" w:cs="宋体"/>
                <w:color w:val="auto"/>
                <w:sz w:val="18"/>
                <w:szCs w:val="18"/>
                <w:highlight w:val="none"/>
                <w:lang w:val="en-US"/>
              </w:rPr>
              <w:t xml:space="preserve"> （联行号：</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lang w:val="en-US"/>
              </w:rPr>
              <w:t>）；银行账号：</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w:t>
            </w:r>
          </w:p>
          <w:p w14:paraId="7193711A">
            <w:pPr>
              <w:spacing w:line="360" w:lineRule="auto"/>
              <w:ind w:firstLine="411" w:firstLineChars="196"/>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.2、因故双方协商退款退票时，若付款方无法正常退票导致收款方税务损失的，由付款方承担相应税金。</w:t>
            </w:r>
          </w:p>
          <w:p w14:paraId="5F5B7041">
            <w:pPr>
              <w:spacing w:line="360" w:lineRule="auto"/>
              <w:ind w:firstLine="411" w:firstLineChars="196"/>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3、实际废物进场量以甲乙双方签章确认的数据为准。具体可使用甲方或乙方地磅免费称重，过磅时，甲、乙双方工作人员应严格区分不同种类的废物，分别称重。对于需要以浓度或含量来计价的有价废物，以双方交接时的现场取样的浓度或含量为准，该样应送至乙方指定的机构进行检测，任何一方对称重有异议时，双方协商解决；若甲方要求第三方称重，则由甲方垫付相关费用，如乙方称重无问题的最终</w:t>
            </w:r>
            <w:r>
              <w:rPr>
                <w:rFonts w:hint="eastAsia" w:ascii="宋体" w:hAnsi="宋体" w:cs="宋体"/>
                <w:color w:val="auto"/>
                <w:sz w:val="21"/>
                <w:szCs w:val="21"/>
                <w:highlight w:val="none"/>
                <w:lang w:eastAsia="zh-CN"/>
              </w:rPr>
              <w:t>费用</w:t>
            </w:r>
            <w:r>
              <w:rPr>
                <w:rFonts w:hint="eastAsia" w:ascii="宋体" w:hAnsi="宋体" w:eastAsia="宋体" w:cs="宋体"/>
                <w:color w:val="auto"/>
                <w:sz w:val="21"/>
                <w:szCs w:val="21"/>
                <w:highlight w:val="none"/>
              </w:rPr>
              <w:t>由甲方承担，如乙方称重有问题的最终费用由乙方承担。双方对称重存在争议期间，乙方有权拒收甲方的危险废物且不承担违约责任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但甲方有权委托第三方进行</w:t>
            </w:r>
            <w:r>
              <w:rPr>
                <w:rFonts w:hint="eastAsia" w:ascii="宋体" w:hAnsi="宋体" w:eastAsia="宋体" w:cs="宋体"/>
                <w:color w:val="auto"/>
                <w:sz w:val="21"/>
                <w:szCs w:val="21"/>
                <w:highlight w:val="none"/>
              </w:rPr>
              <w:t>危险废物</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运输处置工作</w:t>
            </w:r>
            <w:r>
              <w:rPr>
                <w:rFonts w:hint="eastAsia" w:ascii="宋体" w:hAnsi="宋体" w:eastAsia="宋体" w:cs="宋体"/>
                <w:color w:val="auto"/>
                <w:sz w:val="21"/>
                <w:szCs w:val="21"/>
                <w:highlight w:val="none"/>
              </w:rPr>
              <w:t>。</w:t>
            </w:r>
          </w:p>
          <w:p w14:paraId="7B510E75">
            <w:pPr>
              <w:spacing w:line="360" w:lineRule="auto"/>
              <w:ind w:firstLine="42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4、若实际进场废物检测结果的“核准废物成分”超过本合同定价依据时，双方通过协商调整结算价格。任一指标超出范围后处置费价格另议，检测结果以废物入场时检测结果为准。针对超标情况，甲乙双方重新议价无法达成一致时，乙方有权停止收运与本合同不符的甲方危险废物且不承担违约责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但甲方有权委托第三方进行</w:t>
            </w:r>
            <w:r>
              <w:rPr>
                <w:rFonts w:hint="eastAsia" w:ascii="宋体" w:hAnsi="宋体" w:eastAsia="宋体" w:cs="宋体"/>
                <w:color w:val="auto"/>
                <w:sz w:val="21"/>
                <w:szCs w:val="21"/>
                <w:highlight w:val="none"/>
              </w:rPr>
              <w:t>危险废物</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运输处置工作</w:t>
            </w:r>
            <w:r>
              <w:rPr>
                <w:rFonts w:hint="eastAsia" w:ascii="宋体" w:hAnsi="宋体" w:eastAsia="宋体" w:cs="宋体"/>
                <w:color w:val="auto"/>
                <w:sz w:val="21"/>
                <w:szCs w:val="21"/>
                <w:highlight w:val="none"/>
              </w:rPr>
              <w:t>。</w:t>
            </w:r>
          </w:p>
          <w:p w14:paraId="2566E108">
            <w:pPr>
              <w:spacing w:line="360" w:lineRule="auto"/>
              <w:ind w:firstLine="420"/>
              <w:jc w:val="both"/>
              <w:rPr>
                <w:rFonts w:hint="eastAsia" w:ascii="宋体" w:hAnsi="宋体" w:eastAsia="宋体" w:cs="宋体"/>
                <w:color w:val="auto"/>
                <w:highlight w:val="none"/>
              </w:rPr>
            </w:pPr>
            <w:bookmarkStart w:id="97" w:name="_Hlk91578671"/>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.5、如危险废物涉及乙方付费，（此处付费指标），甲乙双方应在交货时共同取样，当面封存公样并签字，由乙方保管。以乙方检测结果作为结算依据,检测费</w:t>
            </w:r>
            <w:r>
              <w:rPr>
                <w:rFonts w:hint="eastAsia" w:ascii="宋体" w:hAnsi="宋体" w:cs="宋体"/>
                <w:color w:val="auto"/>
                <w:sz w:val="21"/>
                <w:szCs w:val="21"/>
                <w:highlight w:val="none"/>
                <w:lang w:eastAsia="zh-CN"/>
              </w:rPr>
              <w:t>用由</w:t>
            </w:r>
            <w:r>
              <w:rPr>
                <w:rFonts w:hint="eastAsia" w:ascii="宋体" w:hAnsi="宋体" w:eastAsia="宋体" w:cs="宋体"/>
                <w:color w:val="auto"/>
                <w:sz w:val="21"/>
                <w:szCs w:val="21"/>
                <w:highlight w:val="none"/>
              </w:rPr>
              <w:t>乙方承担。若对检测的结果存有异议，双方共同协商指定第三方检测，由存疑方垫付检测费用。</w:t>
            </w:r>
          </w:p>
          <w:bookmarkEnd w:id="97"/>
          <w:p w14:paraId="7651F48B">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.6、铜价：按收运当日上海期货交易所当月均价\当日收市价作为结算基准，当铜价不在以上价格区间时，双方另行商议价格。</w:t>
            </w:r>
          </w:p>
          <w:p w14:paraId="5C3317BE">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.7、乙方及乙方工作人员，因履行本合同造成甲方或第三人损失的，均</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乙方自行处理，并且承担相应责任，甲方因此支出的费用乙方应当</w:t>
            </w:r>
            <w:r>
              <w:rPr>
                <w:rFonts w:hint="eastAsia" w:ascii="宋体" w:hAnsi="宋体" w:cs="宋体"/>
                <w:color w:val="auto"/>
                <w:sz w:val="21"/>
                <w:szCs w:val="21"/>
                <w:highlight w:val="none"/>
                <w:lang w:val="en-US" w:eastAsia="zh-CN"/>
              </w:rPr>
              <w:t>予以赔偿</w:t>
            </w:r>
            <w:r>
              <w:rPr>
                <w:rFonts w:hint="eastAsia" w:ascii="宋体" w:hAnsi="宋体" w:eastAsia="宋体" w:cs="宋体"/>
                <w:color w:val="auto"/>
                <w:sz w:val="21"/>
                <w:szCs w:val="21"/>
                <w:highlight w:val="none"/>
              </w:rPr>
              <w:t>。</w:t>
            </w:r>
          </w:p>
          <w:p w14:paraId="317533FE">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8、乙方应按相关法律、法规、部门规章及东莞市的相关的规定依法处理危险废物，因乙方自身原因导致危险废物在运输、装卸、处置过程中发生人身或安全事故，由此产生的一切经济及法律责任均由乙方承担，若给甲方造成损失的，甲方有权向乙方追偿。</w:t>
            </w:r>
          </w:p>
          <w:p w14:paraId="69957BB5">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.9、乙方逾期履行本合同义务的，每逾期一天的应当按500元/天的标准向甲方支付违约金，如前述违约金不足以弥补甲方损失的，甲方有权继续追偿。</w:t>
            </w:r>
          </w:p>
          <w:p w14:paraId="1A9F1D7C">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.10、乙方逾期履行本合同义务的，甲方有权聘请第三方履行本合同义务，相应费用由乙方承担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且甲方有权要求乙方按相应费用的10%支付违约金</w:t>
            </w:r>
            <w:r>
              <w:rPr>
                <w:rFonts w:hint="eastAsia" w:ascii="宋体" w:hAnsi="宋体" w:eastAsia="宋体" w:cs="宋体"/>
                <w:color w:val="auto"/>
                <w:sz w:val="21"/>
                <w:szCs w:val="21"/>
                <w:highlight w:val="none"/>
              </w:rPr>
              <w:t>。</w:t>
            </w:r>
          </w:p>
          <w:p w14:paraId="43FFBDB7">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.11、乙方出现如下情形之一，视为乙方违约，甲方有权单方面解除合同，乙方应向甲方返还已经支付的费用，并且支付总价的20%的违约金（如前述违约金不足以弥补甲方损失的，甲方有权继续追偿）：</w:t>
            </w:r>
          </w:p>
          <w:p w14:paraId="291CD0E5">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（1）未按约定履行本合同义务逾期超过10日的；</w:t>
            </w:r>
          </w:p>
          <w:p w14:paraId="03D2C889">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（2）乙方未经甲方</w:t>
            </w:r>
            <w:r>
              <w:rPr>
                <w:rFonts w:hint="eastAsia" w:ascii="宋体" w:hAnsi="宋体" w:cs="宋体"/>
                <w:color w:val="auto"/>
                <w:sz w:val="21"/>
                <w:szCs w:val="21"/>
                <w:highlight w:val="none"/>
                <w:lang w:val="en-US" w:eastAsia="zh-CN"/>
              </w:rPr>
              <w:t>书面</w:t>
            </w:r>
            <w:r>
              <w:rPr>
                <w:rFonts w:hint="eastAsia" w:ascii="宋体" w:hAnsi="宋体" w:eastAsia="宋体" w:cs="宋体"/>
                <w:color w:val="auto"/>
                <w:sz w:val="21"/>
                <w:szCs w:val="21"/>
                <w:highlight w:val="none"/>
              </w:rPr>
              <w:t>同意将本项目全部或部分分包给第三方；</w:t>
            </w:r>
          </w:p>
          <w:p w14:paraId="31AC4FC4">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（3）乙方失去相关资质或能力的；</w:t>
            </w:r>
          </w:p>
          <w:p w14:paraId="70363CD6">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（4）乙方违反保密义务的；</w:t>
            </w:r>
          </w:p>
          <w:p w14:paraId="2E550E91">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（5）除另外约定外，乙方违反合同约定，经甲方要求乙方整改（如整改期限双方未能达成一致的默认为10日），拒不整改或逾期未整改完毕的；</w:t>
            </w:r>
          </w:p>
          <w:p w14:paraId="3BAF943A">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.12、</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为追究</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违约责任所支出的所有费用（包括但不限于律师费、诉讼费、保全费、保全担保费、鉴定费、公告费等）、均由</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w:t>
            </w:r>
          </w:p>
          <w:p w14:paraId="2F3BA453">
            <w:pPr>
              <w:pStyle w:val="2"/>
              <w:rPr>
                <w:rFonts w:hint="default" w:eastAsia="宋体"/>
                <w:color w:val="auto"/>
                <w:lang w:val="en-US" w:eastAsia="zh-CN"/>
              </w:rPr>
            </w:pPr>
            <w:r>
              <w:rPr>
                <w:rFonts w:hint="eastAsia" w:cs="宋体"/>
                <w:color w:val="auto"/>
                <w:sz w:val="21"/>
                <w:szCs w:val="21"/>
                <w:highlight w:val="none"/>
                <w:lang w:val="en-US" w:eastAsia="zh-CN"/>
              </w:rPr>
              <w:t>3.13 乙方应向甲方支付的违约金、赔偿款、损失等费用，甲方均有权在直接履约保证金额或未付处置费用中扣除。</w:t>
            </w:r>
          </w:p>
          <w:p w14:paraId="7C5F90A3">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、本合同签订后，甲方仍有权聘请第三方处理危险废物，乙方不得以本合同为由提出异议。</w:t>
            </w:r>
          </w:p>
        </w:tc>
      </w:tr>
    </w:tbl>
    <w:p w14:paraId="60782F52">
      <w:pPr>
        <w:tabs>
          <w:tab w:val="left" w:pos="2910"/>
        </w:tabs>
        <w:spacing w:line="360" w:lineRule="auto"/>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四</w:t>
      </w:r>
      <w:r>
        <w:rPr>
          <w:rFonts w:hint="eastAsia" w:ascii="宋体" w:hAnsi="宋体" w:eastAsia="宋体" w:cs="宋体"/>
          <w:color w:val="auto"/>
          <w:sz w:val="21"/>
          <w:szCs w:val="21"/>
        </w:rPr>
        <w:t>、其他</w:t>
      </w:r>
    </w:p>
    <w:p w14:paraId="436958FE">
      <w:pPr>
        <w:spacing w:line="360" w:lineRule="auto"/>
        <w:rPr>
          <w:rFonts w:hint="eastAsia" w:ascii="宋体" w:hAnsi="宋体" w:eastAsia="宋体" w:cs="宋体"/>
          <w:color w:val="auto"/>
          <w:sz w:val="21"/>
          <w:szCs w:val="21"/>
          <w:u w:val="single"/>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.1、修改内容：</w:t>
      </w:r>
      <w:r>
        <w:rPr>
          <w:rFonts w:hint="eastAsia" w:ascii="宋体" w:hAnsi="宋体" w:eastAsia="宋体" w:cs="宋体"/>
          <w:color w:val="auto"/>
          <w:sz w:val="21"/>
          <w:szCs w:val="21"/>
          <w:u w:val="single"/>
        </w:rPr>
        <w:t xml:space="preserve">                                /                                          .</w:t>
      </w:r>
    </w:p>
    <w:p w14:paraId="0B177869">
      <w:pPr>
        <w:snapToGrid w:val="0"/>
        <w:spacing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.2、通讯信息</w:t>
      </w:r>
    </w:p>
    <w:tbl>
      <w:tblPr>
        <w:tblStyle w:val="27"/>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4217"/>
        <w:gridCol w:w="2817"/>
      </w:tblGrid>
      <w:tr w14:paraId="6B3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28" w:type="dxa"/>
          </w:tcPr>
          <w:p w14:paraId="7D4E6E8F">
            <w:pPr>
              <w:tabs>
                <w:tab w:val="left" w:pos="993"/>
              </w:tabs>
              <w:snapToGrid w:val="0"/>
              <w:spacing w:line="420" w:lineRule="exact"/>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rPr>
              <w:t>公司地址</w:t>
            </w:r>
          </w:p>
        </w:tc>
        <w:tc>
          <w:tcPr>
            <w:tcW w:w="4217" w:type="dxa"/>
          </w:tcPr>
          <w:p w14:paraId="48153E28">
            <w:pPr>
              <w:tabs>
                <w:tab w:val="left" w:pos="993"/>
              </w:tabs>
              <w:snapToGrid w:val="0"/>
              <w:spacing w:line="420" w:lineRule="exact"/>
              <w:jc w:val="both"/>
              <w:rPr>
                <w:rFonts w:hint="eastAsia" w:ascii="宋体" w:hAnsi="宋体" w:eastAsia="宋体" w:cs="宋体"/>
                <w:color w:val="auto"/>
                <w:sz w:val="21"/>
                <w:szCs w:val="21"/>
                <w:lang w:val="en-US"/>
              </w:rPr>
            </w:pPr>
          </w:p>
        </w:tc>
        <w:tc>
          <w:tcPr>
            <w:tcW w:w="2817" w:type="dxa"/>
          </w:tcPr>
          <w:p w14:paraId="451C69F7">
            <w:pPr>
              <w:tabs>
                <w:tab w:val="left" w:pos="993"/>
              </w:tabs>
              <w:snapToGrid w:val="0"/>
              <w:spacing w:line="420" w:lineRule="exact"/>
              <w:jc w:val="both"/>
              <w:rPr>
                <w:rFonts w:hint="eastAsia" w:ascii="宋体" w:hAnsi="宋体" w:eastAsia="宋体" w:cs="宋体"/>
                <w:color w:val="auto"/>
                <w:sz w:val="21"/>
                <w:szCs w:val="21"/>
                <w:lang w:val="en-US"/>
              </w:rPr>
            </w:pPr>
          </w:p>
        </w:tc>
      </w:tr>
      <w:tr w14:paraId="3B77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428" w:type="dxa"/>
          </w:tcPr>
          <w:p w14:paraId="383A35DA">
            <w:pPr>
              <w:tabs>
                <w:tab w:val="left" w:pos="993"/>
              </w:tabs>
              <w:snapToGrid w:val="0"/>
              <w:spacing w:line="420" w:lineRule="exact"/>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rPr>
              <w:t>收运地址</w:t>
            </w:r>
          </w:p>
        </w:tc>
        <w:tc>
          <w:tcPr>
            <w:tcW w:w="4217" w:type="dxa"/>
          </w:tcPr>
          <w:p w14:paraId="1A994174">
            <w:pPr>
              <w:tabs>
                <w:tab w:val="left" w:pos="993"/>
              </w:tabs>
              <w:snapToGrid w:val="0"/>
              <w:spacing w:line="420" w:lineRule="exact"/>
              <w:jc w:val="both"/>
              <w:rPr>
                <w:rFonts w:hint="eastAsia" w:ascii="宋体" w:hAnsi="宋体" w:eastAsia="宋体" w:cs="宋体"/>
                <w:color w:val="auto"/>
                <w:sz w:val="21"/>
                <w:szCs w:val="21"/>
                <w:lang w:val="en-US"/>
              </w:rPr>
            </w:pPr>
          </w:p>
        </w:tc>
        <w:tc>
          <w:tcPr>
            <w:tcW w:w="2817" w:type="dxa"/>
          </w:tcPr>
          <w:p w14:paraId="52442D5C">
            <w:pPr>
              <w:tabs>
                <w:tab w:val="left" w:pos="993"/>
              </w:tabs>
              <w:snapToGrid w:val="0"/>
              <w:spacing w:line="420" w:lineRule="exact"/>
              <w:jc w:val="both"/>
              <w:rPr>
                <w:rFonts w:hint="eastAsia" w:ascii="宋体" w:hAnsi="宋体" w:eastAsia="宋体" w:cs="宋体"/>
                <w:color w:val="auto"/>
                <w:sz w:val="21"/>
                <w:szCs w:val="21"/>
                <w:lang w:val="en-US"/>
              </w:rPr>
            </w:pPr>
          </w:p>
        </w:tc>
      </w:tr>
      <w:tr w14:paraId="53DE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8" w:type="dxa"/>
          </w:tcPr>
          <w:p w14:paraId="14F7E597">
            <w:pPr>
              <w:tabs>
                <w:tab w:val="left" w:pos="993"/>
              </w:tabs>
              <w:snapToGrid w:val="0"/>
              <w:spacing w:line="420" w:lineRule="exact"/>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rPr>
              <w:t>收运联系人</w:t>
            </w:r>
          </w:p>
        </w:tc>
        <w:tc>
          <w:tcPr>
            <w:tcW w:w="4217" w:type="dxa"/>
          </w:tcPr>
          <w:p w14:paraId="3B26F6C2">
            <w:pPr>
              <w:tabs>
                <w:tab w:val="left" w:pos="993"/>
              </w:tabs>
              <w:snapToGrid w:val="0"/>
              <w:spacing w:line="420" w:lineRule="exact"/>
              <w:jc w:val="both"/>
              <w:rPr>
                <w:rFonts w:hint="eastAsia" w:ascii="宋体" w:hAnsi="宋体" w:eastAsia="宋体" w:cs="宋体"/>
                <w:color w:val="auto"/>
                <w:sz w:val="21"/>
                <w:szCs w:val="21"/>
                <w:lang w:val="en-US"/>
              </w:rPr>
            </w:pPr>
          </w:p>
        </w:tc>
        <w:tc>
          <w:tcPr>
            <w:tcW w:w="2817" w:type="dxa"/>
          </w:tcPr>
          <w:p w14:paraId="091AB486">
            <w:pPr>
              <w:tabs>
                <w:tab w:val="left" w:pos="993"/>
              </w:tabs>
              <w:snapToGrid w:val="0"/>
              <w:spacing w:line="420" w:lineRule="exact"/>
              <w:jc w:val="both"/>
              <w:rPr>
                <w:rFonts w:hint="eastAsia" w:ascii="宋体" w:hAnsi="宋体" w:eastAsia="宋体" w:cs="宋体"/>
                <w:color w:val="auto"/>
                <w:sz w:val="21"/>
                <w:szCs w:val="21"/>
                <w:lang w:val="en-US"/>
              </w:rPr>
            </w:pPr>
          </w:p>
        </w:tc>
      </w:tr>
      <w:tr w14:paraId="33A0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28" w:type="dxa"/>
          </w:tcPr>
          <w:p w14:paraId="708375AE">
            <w:pPr>
              <w:tabs>
                <w:tab w:val="left" w:pos="993"/>
              </w:tabs>
              <w:snapToGrid w:val="0"/>
              <w:spacing w:line="420" w:lineRule="exact"/>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rPr>
              <w:t>收运联系人电话号码</w:t>
            </w:r>
          </w:p>
        </w:tc>
        <w:tc>
          <w:tcPr>
            <w:tcW w:w="4217" w:type="dxa"/>
          </w:tcPr>
          <w:p w14:paraId="734D8707">
            <w:pPr>
              <w:tabs>
                <w:tab w:val="left" w:pos="993"/>
              </w:tabs>
              <w:snapToGrid w:val="0"/>
              <w:spacing w:line="420" w:lineRule="exact"/>
              <w:jc w:val="both"/>
              <w:rPr>
                <w:rFonts w:hint="eastAsia" w:ascii="宋体" w:hAnsi="宋体" w:eastAsia="宋体" w:cs="宋体"/>
                <w:color w:val="auto"/>
                <w:sz w:val="21"/>
                <w:szCs w:val="21"/>
                <w:lang w:val="en-US"/>
              </w:rPr>
            </w:pPr>
          </w:p>
        </w:tc>
        <w:tc>
          <w:tcPr>
            <w:tcW w:w="2817" w:type="dxa"/>
          </w:tcPr>
          <w:p w14:paraId="5B1208B0">
            <w:pPr>
              <w:tabs>
                <w:tab w:val="left" w:pos="993"/>
              </w:tabs>
              <w:snapToGrid w:val="0"/>
              <w:spacing w:line="420" w:lineRule="exact"/>
              <w:jc w:val="both"/>
              <w:rPr>
                <w:rFonts w:hint="eastAsia" w:ascii="宋体" w:hAnsi="宋体" w:eastAsia="宋体" w:cs="宋体"/>
                <w:color w:val="auto"/>
                <w:sz w:val="21"/>
                <w:szCs w:val="21"/>
                <w:lang w:val="en-US"/>
              </w:rPr>
            </w:pPr>
          </w:p>
        </w:tc>
      </w:tr>
      <w:tr w14:paraId="5E29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28" w:type="dxa"/>
          </w:tcPr>
          <w:p w14:paraId="29294A9E">
            <w:pPr>
              <w:tabs>
                <w:tab w:val="left" w:pos="993"/>
              </w:tabs>
              <w:snapToGrid w:val="0"/>
              <w:spacing w:line="420" w:lineRule="exact"/>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rPr>
              <w:t>电子邮箱或传真</w:t>
            </w:r>
          </w:p>
        </w:tc>
        <w:tc>
          <w:tcPr>
            <w:tcW w:w="4217" w:type="dxa"/>
          </w:tcPr>
          <w:p w14:paraId="333F6177">
            <w:pPr>
              <w:tabs>
                <w:tab w:val="left" w:pos="993"/>
              </w:tabs>
              <w:snapToGrid w:val="0"/>
              <w:spacing w:line="420" w:lineRule="exact"/>
              <w:jc w:val="both"/>
              <w:rPr>
                <w:rFonts w:hint="eastAsia" w:ascii="宋体" w:hAnsi="宋体" w:eastAsia="宋体" w:cs="宋体"/>
                <w:color w:val="auto"/>
                <w:sz w:val="21"/>
                <w:szCs w:val="21"/>
                <w:lang w:val="en-US"/>
              </w:rPr>
            </w:pPr>
          </w:p>
        </w:tc>
        <w:tc>
          <w:tcPr>
            <w:tcW w:w="2817" w:type="dxa"/>
          </w:tcPr>
          <w:p w14:paraId="2C08769D">
            <w:pPr>
              <w:tabs>
                <w:tab w:val="left" w:pos="993"/>
              </w:tabs>
              <w:snapToGrid w:val="0"/>
              <w:spacing w:line="420" w:lineRule="exact"/>
              <w:jc w:val="both"/>
              <w:rPr>
                <w:rFonts w:hint="eastAsia" w:ascii="宋体" w:hAnsi="宋体" w:eastAsia="宋体" w:cs="宋体"/>
                <w:color w:val="auto"/>
                <w:sz w:val="21"/>
                <w:szCs w:val="21"/>
                <w:lang w:val="en-US"/>
              </w:rPr>
            </w:pPr>
          </w:p>
        </w:tc>
      </w:tr>
    </w:tbl>
    <w:p w14:paraId="75053379">
      <w:pPr>
        <w:snapToGrid w:val="0"/>
        <w:spacing w:line="360" w:lineRule="auto"/>
        <w:contextualSpacing/>
        <w:rPr>
          <w:rFonts w:hint="eastAsia" w:ascii="宋体" w:hAnsi="宋体" w:eastAsia="宋体" w:cs="宋体"/>
          <w:color w:val="auto"/>
          <w:sz w:val="28"/>
          <w:szCs w:val="28"/>
        </w:rPr>
      </w:pPr>
    </w:p>
    <w:tbl>
      <w:tblPr>
        <w:tblStyle w:val="27"/>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3972"/>
        <w:gridCol w:w="2948"/>
      </w:tblGrid>
      <w:tr w14:paraId="49E9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3" w:type="dxa"/>
          </w:tcPr>
          <w:p w14:paraId="2D0857CA">
            <w:pPr>
              <w:tabs>
                <w:tab w:val="left" w:pos="993"/>
              </w:tabs>
              <w:snapToGrid w:val="0"/>
              <w:spacing w:line="420" w:lineRule="exact"/>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rPr>
              <w:t>公司全称（合同章/公章）</w:t>
            </w:r>
          </w:p>
        </w:tc>
        <w:tc>
          <w:tcPr>
            <w:tcW w:w="3972" w:type="dxa"/>
          </w:tcPr>
          <w:p w14:paraId="21E6A8A3">
            <w:pPr>
              <w:tabs>
                <w:tab w:val="left" w:pos="993"/>
              </w:tabs>
              <w:snapToGrid w:val="0"/>
              <w:spacing w:line="420" w:lineRule="exact"/>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甲方：东莞市新东粤环保实业有限公司</w:t>
            </w:r>
          </w:p>
        </w:tc>
        <w:tc>
          <w:tcPr>
            <w:tcW w:w="2948" w:type="dxa"/>
          </w:tcPr>
          <w:p w14:paraId="5B4F3201">
            <w:pPr>
              <w:tabs>
                <w:tab w:val="left" w:pos="993"/>
              </w:tabs>
              <w:snapToGrid w:val="0"/>
              <w:spacing w:line="420" w:lineRule="exact"/>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乙方：</w:t>
            </w:r>
          </w:p>
          <w:p w14:paraId="5C4FE1C3">
            <w:pPr>
              <w:tabs>
                <w:tab w:val="left" w:pos="993"/>
              </w:tabs>
              <w:snapToGrid w:val="0"/>
              <w:spacing w:line="420" w:lineRule="exact"/>
              <w:jc w:val="both"/>
              <w:rPr>
                <w:rFonts w:hint="eastAsia" w:ascii="宋体" w:hAnsi="宋体" w:eastAsia="宋体" w:cs="宋体"/>
                <w:color w:val="auto"/>
                <w:sz w:val="21"/>
                <w:szCs w:val="21"/>
                <w:lang w:val="en-US"/>
              </w:rPr>
            </w:pPr>
          </w:p>
          <w:p w14:paraId="5C06AC09">
            <w:pPr>
              <w:tabs>
                <w:tab w:val="left" w:pos="993"/>
              </w:tabs>
              <w:snapToGrid w:val="0"/>
              <w:jc w:val="both"/>
              <w:rPr>
                <w:rFonts w:hint="eastAsia" w:ascii="宋体" w:hAnsi="宋体" w:eastAsia="宋体" w:cs="宋体"/>
                <w:color w:val="auto"/>
                <w:sz w:val="21"/>
                <w:szCs w:val="21"/>
                <w:lang w:val="en-US"/>
              </w:rPr>
            </w:pPr>
          </w:p>
          <w:p w14:paraId="2B1E703C">
            <w:pPr>
              <w:tabs>
                <w:tab w:val="left" w:pos="993"/>
              </w:tabs>
              <w:snapToGrid w:val="0"/>
              <w:spacing w:line="420" w:lineRule="exact"/>
              <w:jc w:val="both"/>
              <w:rPr>
                <w:rFonts w:hint="eastAsia" w:ascii="宋体" w:hAnsi="宋体" w:eastAsia="宋体" w:cs="宋体"/>
                <w:color w:val="auto"/>
                <w:sz w:val="21"/>
                <w:szCs w:val="21"/>
                <w:lang w:val="en-US"/>
              </w:rPr>
            </w:pPr>
          </w:p>
        </w:tc>
      </w:tr>
    </w:tbl>
    <w:p w14:paraId="7E926C1F">
      <w:pPr>
        <w:snapToGrid w:val="0"/>
        <w:spacing w:line="360" w:lineRule="auto"/>
        <w:contextualSpacing/>
        <w:rPr>
          <w:rFonts w:hint="eastAsia" w:ascii="宋体" w:hAnsi="宋体" w:eastAsia="宋体" w:cs="宋体"/>
          <w:color w:val="auto"/>
          <w:sz w:val="21"/>
          <w:szCs w:val="21"/>
        </w:rPr>
      </w:pPr>
    </w:p>
    <w:p w14:paraId="0711CB2A">
      <w:pPr>
        <w:pageBreakBefore w:val="0"/>
        <w:kinsoku/>
        <w:topLinePunct w:val="0"/>
        <w:autoSpaceDE/>
        <w:autoSpaceDN/>
        <w:bidi w:val="0"/>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此仅为合同书样本，中标人需根据实际情况和甲方签订相应的合同！</w:t>
      </w:r>
    </w:p>
    <w:p w14:paraId="6B96BD5F">
      <w:pPr>
        <w:rPr>
          <w:rFonts w:hint="eastAsia" w:ascii="宋体" w:hAnsi="宋体" w:eastAsia="宋体" w:cs="宋体"/>
          <w:color w:val="auto"/>
          <w:highlight w:val="none"/>
        </w:rPr>
      </w:pPr>
      <w:r>
        <w:rPr>
          <w:rFonts w:hint="eastAsia" w:ascii="宋体" w:hAnsi="宋体" w:eastAsia="宋体" w:cs="宋体"/>
          <w:color w:val="auto"/>
          <w:highlight w:val="none"/>
          <w:lang w:bidi="zh-CN"/>
        </w:rPr>
        <w:br w:type="page"/>
      </w:r>
    </w:p>
    <w:p w14:paraId="1B42C87B">
      <w:pPr>
        <w:pStyle w:val="5"/>
        <w:spacing w:before="0" w:after="0" w:line="240" w:lineRule="auto"/>
        <w:rPr>
          <w:rFonts w:hint="eastAsia" w:ascii="宋体" w:hAnsi="宋体" w:eastAsia="宋体" w:cs="宋体"/>
          <w:color w:val="auto"/>
          <w:sz w:val="28"/>
          <w:szCs w:val="28"/>
          <w:highlight w:val="none"/>
        </w:rPr>
      </w:pPr>
      <w:bookmarkStart w:id="98" w:name="_Toc3397"/>
      <w:r>
        <w:rPr>
          <w:rFonts w:hint="eastAsia" w:ascii="宋体" w:hAnsi="宋体" w:eastAsia="宋体" w:cs="宋体"/>
          <w:color w:val="auto"/>
          <w:sz w:val="28"/>
          <w:szCs w:val="28"/>
          <w:highlight w:val="none"/>
        </w:rPr>
        <w:t>第六部分附件－投标文件格式</w:t>
      </w:r>
      <w:bookmarkEnd w:id="98"/>
    </w:p>
    <w:p w14:paraId="2F42B47E">
      <w:pPr>
        <w:rPr>
          <w:rFonts w:hint="eastAsia" w:ascii="宋体" w:hAnsi="宋体" w:eastAsia="宋体" w:cs="宋体"/>
          <w:color w:val="auto"/>
          <w:highlight w:val="none"/>
        </w:rPr>
      </w:pPr>
    </w:p>
    <w:p w14:paraId="681AAB61">
      <w:pPr>
        <w:pStyle w:val="7"/>
        <w:widowControl w:val="0"/>
        <w:overflowPunct w:val="0"/>
        <w:spacing w:line="240" w:lineRule="auto"/>
        <w:rPr>
          <w:rFonts w:hint="eastAsia" w:ascii="宋体" w:hAnsi="宋体" w:eastAsia="宋体" w:cs="宋体"/>
          <w:color w:val="auto"/>
          <w:sz w:val="21"/>
          <w:szCs w:val="21"/>
          <w:highlight w:val="none"/>
        </w:rPr>
      </w:pPr>
      <w:bookmarkStart w:id="99" w:name="_Toc6671"/>
      <w:r>
        <w:rPr>
          <w:rFonts w:hint="eastAsia" w:ascii="宋体" w:hAnsi="宋体" w:eastAsia="宋体" w:cs="宋体"/>
          <w:color w:val="auto"/>
          <w:sz w:val="21"/>
          <w:szCs w:val="21"/>
          <w:highlight w:val="none"/>
        </w:rPr>
        <w:t>投标文件目录</w:t>
      </w:r>
      <w:bookmarkEnd w:id="99"/>
    </w:p>
    <w:p w14:paraId="2E7EF6BF">
      <w:pPr>
        <w:jc w:val="center"/>
        <w:rPr>
          <w:rFonts w:hint="eastAsia" w:ascii="宋体" w:hAnsi="宋体" w:eastAsia="宋体" w:cs="宋体"/>
          <w:color w:val="auto"/>
          <w:sz w:val="32"/>
          <w:szCs w:val="32"/>
          <w:highlight w:val="none"/>
        </w:rPr>
      </w:pPr>
    </w:p>
    <w:p w14:paraId="03BF7F8D">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4A1DA492">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格式自理。</w:t>
      </w:r>
    </w:p>
    <w:p w14:paraId="67DF3132">
      <w:pPr>
        <w:adjustRightInd/>
        <w:snapToGrid/>
        <w:spacing w:line="276" w:lineRule="auto"/>
        <w:rPr>
          <w:rFonts w:hint="eastAsia" w:ascii="宋体" w:hAnsi="宋体" w:eastAsia="宋体" w:cs="宋体"/>
          <w:color w:val="auto"/>
          <w:szCs w:val="21"/>
          <w:highlight w:val="none"/>
        </w:rPr>
      </w:pPr>
    </w:p>
    <w:p w14:paraId="14089F06">
      <w:pPr>
        <w:adjustRightInd/>
        <w:snapToGrid/>
        <w:spacing w:line="276" w:lineRule="auto"/>
        <w:rPr>
          <w:rFonts w:hint="eastAsia" w:ascii="宋体" w:hAnsi="宋体" w:eastAsia="宋体" w:cs="宋体"/>
          <w:color w:val="auto"/>
          <w:szCs w:val="21"/>
          <w:highlight w:val="none"/>
        </w:rPr>
      </w:pPr>
    </w:p>
    <w:p w14:paraId="61234878">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6E6A922">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1、投标人制作的投标文件应当具备目录。</w:t>
      </w:r>
      <w:r>
        <w:rPr>
          <w:rFonts w:hint="eastAsia" w:ascii="宋体" w:hAnsi="宋体" w:eastAsia="宋体" w:cs="宋体"/>
          <w:color w:val="auto"/>
          <w:szCs w:val="21"/>
          <w:highlight w:val="none"/>
        </w:rPr>
        <w:br w:type="page"/>
      </w:r>
    </w:p>
    <w:p w14:paraId="0ED26211">
      <w:pPr>
        <w:pStyle w:val="7"/>
        <w:widowControl w:val="0"/>
        <w:overflowPunct w:val="0"/>
        <w:spacing w:line="240" w:lineRule="auto"/>
        <w:rPr>
          <w:rFonts w:hint="eastAsia" w:ascii="宋体" w:hAnsi="宋体" w:eastAsia="宋体" w:cs="宋体"/>
          <w:color w:val="auto"/>
          <w:sz w:val="21"/>
          <w:szCs w:val="21"/>
          <w:highlight w:val="none"/>
        </w:rPr>
      </w:pPr>
      <w:bookmarkStart w:id="100" w:name="_Toc22157"/>
      <w:r>
        <w:rPr>
          <w:rFonts w:hint="eastAsia" w:ascii="宋体" w:hAnsi="宋体" w:eastAsia="宋体" w:cs="宋体"/>
          <w:color w:val="auto"/>
          <w:sz w:val="21"/>
          <w:szCs w:val="21"/>
          <w:highlight w:val="none"/>
        </w:rPr>
        <w:t>附件1.评分标准索引表</w:t>
      </w:r>
      <w:bookmarkEnd w:id="100"/>
    </w:p>
    <w:p w14:paraId="5D64C343">
      <w:pPr>
        <w:adjustRightInd/>
        <w:snapToGrid/>
        <w:spacing w:line="276" w:lineRule="auto"/>
        <w:rPr>
          <w:rFonts w:hint="eastAsia" w:ascii="宋体" w:hAnsi="宋体" w:eastAsia="宋体" w:cs="宋体"/>
          <w:color w:val="auto"/>
          <w:szCs w:val="21"/>
          <w:highlight w:val="none"/>
        </w:rPr>
      </w:pPr>
    </w:p>
    <w:p w14:paraId="5021885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评分标准索引表</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4E3A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281F11A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04" w:type="dxa"/>
            <w:vAlign w:val="center"/>
          </w:tcPr>
          <w:p w14:paraId="6E73A7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1704" w:type="dxa"/>
            <w:vAlign w:val="center"/>
          </w:tcPr>
          <w:p w14:paraId="384884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评审细则</w:t>
            </w:r>
          </w:p>
        </w:tc>
        <w:tc>
          <w:tcPr>
            <w:tcW w:w="1705" w:type="dxa"/>
            <w:vAlign w:val="center"/>
          </w:tcPr>
          <w:p w14:paraId="1C0348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1705" w:type="dxa"/>
            <w:vAlign w:val="center"/>
          </w:tcPr>
          <w:p w14:paraId="0B18DD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页码范围</w:t>
            </w:r>
          </w:p>
        </w:tc>
      </w:tr>
      <w:tr w14:paraId="6B15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5C32417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商务评审</w:t>
            </w:r>
          </w:p>
        </w:tc>
      </w:tr>
      <w:tr w14:paraId="7EBF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D45FA65">
            <w:pPr>
              <w:jc w:val="center"/>
              <w:rPr>
                <w:rFonts w:hint="eastAsia" w:ascii="宋体" w:hAnsi="宋体" w:eastAsia="宋体" w:cs="宋体"/>
                <w:color w:val="auto"/>
                <w:sz w:val="21"/>
                <w:szCs w:val="21"/>
                <w:highlight w:val="none"/>
              </w:rPr>
            </w:pPr>
          </w:p>
        </w:tc>
        <w:tc>
          <w:tcPr>
            <w:tcW w:w="1704" w:type="dxa"/>
            <w:vAlign w:val="center"/>
          </w:tcPr>
          <w:p w14:paraId="7070299B">
            <w:pPr>
              <w:jc w:val="center"/>
              <w:rPr>
                <w:rFonts w:hint="eastAsia" w:ascii="宋体" w:hAnsi="宋体" w:eastAsia="宋体" w:cs="宋体"/>
                <w:color w:val="auto"/>
                <w:sz w:val="21"/>
                <w:szCs w:val="21"/>
                <w:highlight w:val="none"/>
              </w:rPr>
            </w:pPr>
          </w:p>
        </w:tc>
        <w:tc>
          <w:tcPr>
            <w:tcW w:w="1704" w:type="dxa"/>
            <w:vAlign w:val="center"/>
          </w:tcPr>
          <w:p w14:paraId="658928D4">
            <w:pPr>
              <w:jc w:val="center"/>
              <w:rPr>
                <w:rFonts w:hint="eastAsia" w:ascii="宋体" w:hAnsi="宋体" w:eastAsia="宋体" w:cs="宋体"/>
                <w:color w:val="auto"/>
                <w:sz w:val="21"/>
                <w:szCs w:val="21"/>
                <w:highlight w:val="none"/>
              </w:rPr>
            </w:pPr>
          </w:p>
        </w:tc>
        <w:tc>
          <w:tcPr>
            <w:tcW w:w="1705" w:type="dxa"/>
            <w:vAlign w:val="center"/>
          </w:tcPr>
          <w:p w14:paraId="2B2B6A38">
            <w:pPr>
              <w:jc w:val="center"/>
              <w:rPr>
                <w:rFonts w:hint="eastAsia" w:ascii="宋体" w:hAnsi="宋体" w:eastAsia="宋体" w:cs="宋体"/>
                <w:color w:val="auto"/>
                <w:sz w:val="21"/>
                <w:szCs w:val="21"/>
                <w:highlight w:val="none"/>
              </w:rPr>
            </w:pPr>
          </w:p>
        </w:tc>
        <w:tc>
          <w:tcPr>
            <w:tcW w:w="1705" w:type="dxa"/>
            <w:vAlign w:val="center"/>
          </w:tcPr>
          <w:p w14:paraId="3592FBC3">
            <w:pPr>
              <w:jc w:val="center"/>
              <w:rPr>
                <w:rFonts w:hint="eastAsia" w:ascii="宋体" w:hAnsi="宋体" w:eastAsia="宋体" w:cs="宋体"/>
                <w:color w:val="auto"/>
                <w:sz w:val="21"/>
                <w:szCs w:val="21"/>
                <w:highlight w:val="none"/>
              </w:rPr>
            </w:pPr>
          </w:p>
        </w:tc>
      </w:tr>
      <w:tr w14:paraId="15C6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0AE0785">
            <w:pPr>
              <w:jc w:val="center"/>
              <w:rPr>
                <w:rFonts w:hint="eastAsia" w:ascii="宋体" w:hAnsi="宋体" w:eastAsia="宋体" w:cs="宋体"/>
                <w:color w:val="auto"/>
                <w:sz w:val="21"/>
                <w:szCs w:val="21"/>
                <w:highlight w:val="none"/>
              </w:rPr>
            </w:pPr>
          </w:p>
        </w:tc>
        <w:tc>
          <w:tcPr>
            <w:tcW w:w="1704" w:type="dxa"/>
            <w:vAlign w:val="center"/>
          </w:tcPr>
          <w:p w14:paraId="5095EB94">
            <w:pPr>
              <w:jc w:val="center"/>
              <w:rPr>
                <w:rFonts w:hint="eastAsia" w:ascii="宋体" w:hAnsi="宋体" w:eastAsia="宋体" w:cs="宋体"/>
                <w:color w:val="auto"/>
                <w:sz w:val="21"/>
                <w:szCs w:val="21"/>
                <w:highlight w:val="none"/>
              </w:rPr>
            </w:pPr>
          </w:p>
        </w:tc>
        <w:tc>
          <w:tcPr>
            <w:tcW w:w="1704" w:type="dxa"/>
            <w:vAlign w:val="center"/>
          </w:tcPr>
          <w:p w14:paraId="705C2022">
            <w:pPr>
              <w:jc w:val="center"/>
              <w:rPr>
                <w:rFonts w:hint="eastAsia" w:ascii="宋体" w:hAnsi="宋体" w:eastAsia="宋体" w:cs="宋体"/>
                <w:color w:val="auto"/>
                <w:sz w:val="21"/>
                <w:szCs w:val="21"/>
                <w:highlight w:val="none"/>
              </w:rPr>
            </w:pPr>
          </w:p>
        </w:tc>
        <w:tc>
          <w:tcPr>
            <w:tcW w:w="1705" w:type="dxa"/>
            <w:vAlign w:val="center"/>
          </w:tcPr>
          <w:p w14:paraId="2464638C">
            <w:pPr>
              <w:jc w:val="center"/>
              <w:rPr>
                <w:rFonts w:hint="eastAsia" w:ascii="宋体" w:hAnsi="宋体" w:eastAsia="宋体" w:cs="宋体"/>
                <w:color w:val="auto"/>
                <w:sz w:val="21"/>
                <w:szCs w:val="21"/>
                <w:highlight w:val="none"/>
              </w:rPr>
            </w:pPr>
          </w:p>
        </w:tc>
        <w:tc>
          <w:tcPr>
            <w:tcW w:w="1705" w:type="dxa"/>
            <w:vAlign w:val="center"/>
          </w:tcPr>
          <w:p w14:paraId="10CCEE58">
            <w:pPr>
              <w:jc w:val="center"/>
              <w:rPr>
                <w:rFonts w:hint="eastAsia" w:ascii="宋体" w:hAnsi="宋体" w:eastAsia="宋体" w:cs="宋体"/>
                <w:color w:val="auto"/>
                <w:sz w:val="21"/>
                <w:szCs w:val="21"/>
                <w:highlight w:val="none"/>
              </w:rPr>
            </w:pPr>
          </w:p>
        </w:tc>
      </w:tr>
      <w:tr w14:paraId="627E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03FF3A3">
            <w:pPr>
              <w:jc w:val="center"/>
              <w:rPr>
                <w:rFonts w:hint="eastAsia" w:ascii="宋体" w:hAnsi="宋体" w:eastAsia="宋体" w:cs="宋体"/>
                <w:color w:val="auto"/>
                <w:sz w:val="21"/>
                <w:szCs w:val="21"/>
                <w:highlight w:val="none"/>
              </w:rPr>
            </w:pPr>
          </w:p>
        </w:tc>
        <w:tc>
          <w:tcPr>
            <w:tcW w:w="1704" w:type="dxa"/>
            <w:vAlign w:val="center"/>
          </w:tcPr>
          <w:p w14:paraId="609D4569">
            <w:pPr>
              <w:jc w:val="center"/>
              <w:rPr>
                <w:rFonts w:hint="eastAsia" w:ascii="宋体" w:hAnsi="宋体" w:eastAsia="宋体" w:cs="宋体"/>
                <w:color w:val="auto"/>
                <w:sz w:val="21"/>
                <w:szCs w:val="21"/>
                <w:highlight w:val="none"/>
              </w:rPr>
            </w:pPr>
          </w:p>
        </w:tc>
        <w:tc>
          <w:tcPr>
            <w:tcW w:w="1704" w:type="dxa"/>
            <w:vAlign w:val="center"/>
          </w:tcPr>
          <w:p w14:paraId="3BF56B2B">
            <w:pPr>
              <w:jc w:val="center"/>
              <w:rPr>
                <w:rFonts w:hint="eastAsia" w:ascii="宋体" w:hAnsi="宋体" w:eastAsia="宋体" w:cs="宋体"/>
                <w:color w:val="auto"/>
                <w:sz w:val="21"/>
                <w:szCs w:val="21"/>
                <w:highlight w:val="none"/>
              </w:rPr>
            </w:pPr>
          </w:p>
        </w:tc>
        <w:tc>
          <w:tcPr>
            <w:tcW w:w="1705" w:type="dxa"/>
            <w:vAlign w:val="center"/>
          </w:tcPr>
          <w:p w14:paraId="44A5B294">
            <w:pPr>
              <w:jc w:val="center"/>
              <w:rPr>
                <w:rFonts w:hint="eastAsia" w:ascii="宋体" w:hAnsi="宋体" w:eastAsia="宋体" w:cs="宋体"/>
                <w:color w:val="auto"/>
                <w:sz w:val="21"/>
                <w:szCs w:val="21"/>
                <w:highlight w:val="none"/>
              </w:rPr>
            </w:pPr>
          </w:p>
        </w:tc>
        <w:tc>
          <w:tcPr>
            <w:tcW w:w="1705" w:type="dxa"/>
            <w:vAlign w:val="center"/>
          </w:tcPr>
          <w:p w14:paraId="1249F15B">
            <w:pPr>
              <w:jc w:val="center"/>
              <w:rPr>
                <w:rFonts w:hint="eastAsia" w:ascii="宋体" w:hAnsi="宋体" w:eastAsia="宋体" w:cs="宋体"/>
                <w:color w:val="auto"/>
                <w:sz w:val="21"/>
                <w:szCs w:val="21"/>
                <w:highlight w:val="none"/>
              </w:rPr>
            </w:pPr>
          </w:p>
        </w:tc>
      </w:tr>
      <w:tr w14:paraId="319C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0B2B5AB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技术评审</w:t>
            </w:r>
          </w:p>
        </w:tc>
      </w:tr>
      <w:tr w14:paraId="66A8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1B749F7">
            <w:pPr>
              <w:jc w:val="center"/>
              <w:rPr>
                <w:rFonts w:hint="eastAsia" w:ascii="宋体" w:hAnsi="宋体" w:eastAsia="宋体" w:cs="宋体"/>
                <w:color w:val="auto"/>
                <w:sz w:val="21"/>
                <w:szCs w:val="21"/>
                <w:highlight w:val="none"/>
              </w:rPr>
            </w:pPr>
          </w:p>
        </w:tc>
        <w:tc>
          <w:tcPr>
            <w:tcW w:w="1704" w:type="dxa"/>
            <w:vAlign w:val="center"/>
          </w:tcPr>
          <w:p w14:paraId="75B0758D">
            <w:pPr>
              <w:jc w:val="center"/>
              <w:rPr>
                <w:rFonts w:hint="eastAsia" w:ascii="宋体" w:hAnsi="宋体" w:eastAsia="宋体" w:cs="宋体"/>
                <w:color w:val="auto"/>
                <w:sz w:val="21"/>
                <w:szCs w:val="21"/>
                <w:highlight w:val="none"/>
              </w:rPr>
            </w:pPr>
          </w:p>
        </w:tc>
        <w:tc>
          <w:tcPr>
            <w:tcW w:w="1704" w:type="dxa"/>
            <w:vAlign w:val="center"/>
          </w:tcPr>
          <w:p w14:paraId="5B324FDE">
            <w:pPr>
              <w:jc w:val="center"/>
              <w:rPr>
                <w:rFonts w:hint="eastAsia" w:ascii="宋体" w:hAnsi="宋体" w:eastAsia="宋体" w:cs="宋体"/>
                <w:color w:val="auto"/>
                <w:sz w:val="21"/>
                <w:szCs w:val="21"/>
                <w:highlight w:val="none"/>
              </w:rPr>
            </w:pPr>
          </w:p>
        </w:tc>
        <w:tc>
          <w:tcPr>
            <w:tcW w:w="1705" w:type="dxa"/>
            <w:vAlign w:val="center"/>
          </w:tcPr>
          <w:p w14:paraId="4DA575A6">
            <w:pPr>
              <w:jc w:val="center"/>
              <w:rPr>
                <w:rFonts w:hint="eastAsia" w:ascii="宋体" w:hAnsi="宋体" w:eastAsia="宋体" w:cs="宋体"/>
                <w:color w:val="auto"/>
                <w:sz w:val="21"/>
                <w:szCs w:val="21"/>
                <w:highlight w:val="none"/>
              </w:rPr>
            </w:pPr>
          </w:p>
        </w:tc>
        <w:tc>
          <w:tcPr>
            <w:tcW w:w="1705" w:type="dxa"/>
            <w:vAlign w:val="center"/>
          </w:tcPr>
          <w:p w14:paraId="7ECE7566">
            <w:pPr>
              <w:jc w:val="center"/>
              <w:rPr>
                <w:rFonts w:hint="eastAsia" w:ascii="宋体" w:hAnsi="宋体" w:eastAsia="宋体" w:cs="宋体"/>
                <w:color w:val="auto"/>
                <w:sz w:val="21"/>
                <w:szCs w:val="21"/>
                <w:highlight w:val="none"/>
              </w:rPr>
            </w:pPr>
          </w:p>
        </w:tc>
      </w:tr>
      <w:tr w14:paraId="6E91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F512B2E">
            <w:pPr>
              <w:jc w:val="center"/>
              <w:rPr>
                <w:rFonts w:hint="eastAsia" w:ascii="宋体" w:hAnsi="宋体" w:eastAsia="宋体" w:cs="宋体"/>
                <w:color w:val="auto"/>
                <w:sz w:val="21"/>
                <w:szCs w:val="21"/>
                <w:highlight w:val="none"/>
              </w:rPr>
            </w:pPr>
          </w:p>
        </w:tc>
        <w:tc>
          <w:tcPr>
            <w:tcW w:w="1704" w:type="dxa"/>
            <w:vAlign w:val="center"/>
          </w:tcPr>
          <w:p w14:paraId="4A299188">
            <w:pPr>
              <w:jc w:val="center"/>
              <w:rPr>
                <w:rFonts w:hint="eastAsia" w:ascii="宋体" w:hAnsi="宋体" w:eastAsia="宋体" w:cs="宋体"/>
                <w:color w:val="auto"/>
                <w:sz w:val="21"/>
                <w:szCs w:val="21"/>
                <w:highlight w:val="none"/>
              </w:rPr>
            </w:pPr>
          </w:p>
        </w:tc>
        <w:tc>
          <w:tcPr>
            <w:tcW w:w="1704" w:type="dxa"/>
            <w:vAlign w:val="center"/>
          </w:tcPr>
          <w:p w14:paraId="2A4C7B15">
            <w:pPr>
              <w:jc w:val="center"/>
              <w:rPr>
                <w:rFonts w:hint="eastAsia" w:ascii="宋体" w:hAnsi="宋体" w:eastAsia="宋体" w:cs="宋体"/>
                <w:color w:val="auto"/>
                <w:sz w:val="21"/>
                <w:szCs w:val="21"/>
                <w:highlight w:val="none"/>
              </w:rPr>
            </w:pPr>
          </w:p>
        </w:tc>
        <w:tc>
          <w:tcPr>
            <w:tcW w:w="1705" w:type="dxa"/>
            <w:vAlign w:val="center"/>
          </w:tcPr>
          <w:p w14:paraId="3DE1DDA7">
            <w:pPr>
              <w:jc w:val="center"/>
              <w:rPr>
                <w:rFonts w:hint="eastAsia" w:ascii="宋体" w:hAnsi="宋体" w:eastAsia="宋体" w:cs="宋体"/>
                <w:color w:val="auto"/>
                <w:sz w:val="21"/>
                <w:szCs w:val="21"/>
                <w:highlight w:val="none"/>
              </w:rPr>
            </w:pPr>
          </w:p>
        </w:tc>
        <w:tc>
          <w:tcPr>
            <w:tcW w:w="1705" w:type="dxa"/>
            <w:vAlign w:val="center"/>
          </w:tcPr>
          <w:p w14:paraId="657A1ACD">
            <w:pPr>
              <w:jc w:val="center"/>
              <w:rPr>
                <w:rFonts w:hint="eastAsia" w:ascii="宋体" w:hAnsi="宋体" w:eastAsia="宋体" w:cs="宋体"/>
                <w:color w:val="auto"/>
                <w:sz w:val="21"/>
                <w:szCs w:val="21"/>
                <w:highlight w:val="none"/>
              </w:rPr>
            </w:pPr>
          </w:p>
        </w:tc>
      </w:tr>
      <w:tr w14:paraId="3BFB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DD16E70">
            <w:pPr>
              <w:jc w:val="center"/>
              <w:rPr>
                <w:rFonts w:hint="eastAsia" w:ascii="宋体" w:hAnsi="宋体" w:eastAsia="宋体" w:cs="宋体"/>
                <w:color w:val="auto"/>
                <w:sz w:val="21"/>
                <w:szCs w:val="21"/>
                <w:highlight w:val="none"/>
              </w:rPr>
            </w:pPr>
          </w:p>
        </w:tc>
        <w:tc>
          <w:tcPr>
            <w:tcW w:w="1704" w:type="dxa"/>
            <w:vAlign w:val="center"/>
          </w:tcPr>
          <w:p w14:paraId="2DA389D6">
            <w:pPr>
              <w:jc w:val="center"/>
              <w:rPr>
                <w:rFonts w:hint="eastAsia" w:ascii="宋体" w:hAnsi="宋体" w:eastAsia="宋体" w:cs="宋体"/>
                <w:color w:val="auto"/>
                <w:sz w:val="21"/>
                <w:szCs w:val="21"/>
                <w:highlight w:val="none"/>
              </w:rPr>
            </w:pPr>
          </w:p>
        </w:tc>
        <w:tc>
          <w:tcPr>
            <w:tcW w:w="1704" w:type="dxa"/>
            <w:vAlign w:val="center"/>
          </w:tcPr>
          <w:p w14:paraId="1CC1C081">
            <w:pPr>
              <w:jc w:val="center"/>
              <w:rPr>
                <w:rFonts w:hint="eastAsia" w:ascii="宋体" w:hAnsi="宋体" w:eastAsia="宋体" w:cs="宋体"/>
                <w:color w:val="auto"/>
                <w:sz w:val="21"/>
                <w:szCs w:val="21"/>
                <w:highlight w:val="none"/>
              </w:rPr>
            </w:pPr>
          </w:p>
        </w:tc>
        <w:tc>
          <w:tcPr>
            <w:tcW w:w="1705" w:type="dxa"/>
            <w:vAlign w:val="center"/>
          </w:tcPr>
          <w:p w14:paraId="1338120B">
            <w:pPr>
              <w:jc w:val="center"/>
              <w:rPr>
                <w:rFonts w:hint="eastAsia" w:ascii="宋体" w:hAnsi="宋体" w:eastAsia="宋体" w:cs="宋体"/>
                <w:color w:val="auto"/>
                <w:sz w:val="21"/>
                <w:szCs w:val="21"/>
                <w:highlight w:val="none"/>
              </w:rPr>
            </w:pPr>
          </w:p>
        </w:tc>
        <w:tc>
          <w:tcPr>
            <w:tcW w:w="1705" w:type="dxa"/>
            <w:vAlign w:val="center"/>
          </w:tcPr>
          <w:p w14:paraId="4A6C29CD">
            <w:pPr>
              <w:jc w:val="center"/>
              <w:rPr>
                <w:rFonts w:hint="eastAsia" w:ascii="宋体" w:hAnsi="宋体" w:eastAsia="宋体" w:cs="宋体"/>
                <w:color w:val="auto"/>
                <w:sz w:val="21"/>
                <w:szCs w:val="21"/>
                <w:highlight w:val="none"/>
              </w:rPr>
            </w:pPr>
          </w:p>
        </w:tc>
      </w:tr>
    </w:tbl>
    <w:p w14:paraId="417CCBBC">
      <w:pPr>
        <w:rPr>
          <w:rFonts w:hint="eastAsia" w:ascii="宋体" w:hAnsi="宋体" w:eastAsia="宋体" w:cs="宋体"/>
          <w:color w:val="auto"/>
          <w:szCs w:val="21"/>
          <w:highlight w:val="none"/>
        </w:rPr>
      </w:pPr>
    </w:p>
    <w:p w14:paraId="56F94BD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A6CDB30">
      <w:pPr>
        <w:numPr>
          <w:ilvl w:val="0"/>
          <w:numId w:val="8"/>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该表格为参考格式，投标人可按实际情况自行制订评分标准索引表。</w:t>
      </w:r>
    </w:p>
    <w:p w14:paraId="6CC627F8">
      <w:pPr>
        <w:pStyle w:val="2"/>
        <w:spacing w:before="0"/>
        <w:ind w:left="0"/>
        <w:rPr>
          <w:rFonts w:hint="eastAsia" w:ascii="宋体" w:hAnsi="宋体" w:eastAsia="宋体" w:cs="宋体"/>
          <w:color w:val="auto"/>
          <w:highlight w:val="none"/>
        </w:rPr>
      </w:pPr>
    </w:p>
    <w:p w14:paraId="7B7B9132">
      <w:pPr>
        <w:adjustRightInd/>
        <w:snapToGrid/>
        <w:spacing w:line="276" w:lineRule="auto"/>
        <w:rPr>
          <w:rFonts w:hint="eastAsia" w:ascii="宋体" w:hAnsi="宋体" w:eastAsia="宋体" w:cs="宋体"/>
          <w:color w:val="auto"/>
          <w:szCs w:val="21"/>
          <w:highlight w:val="none"/>
        </w:rPr>
      </w:pPr>
    </w:p>
    <w:p w14:paraId="35B83F51">
      <w:pPr>
        <w:adjustRightInd/>
        <w:snapToGrid/>
        <w:spacing w:line="276" w:lineRule="auto"/>
        <w:rPr>
          <w:rFonts w:hint="eastAsia" w:ascii="宋体" w:hAnsi="宋体" w:eastAsia="宋体" w:cs="宋体"/>
          <w:color w:val="auto"/>
          <w:szCs w:val="21"/>
          <w:highlight w:val="none"/>
        </w:rPr>
      </w:pPr>
    </w:p>
    <w:p w14:paraId="374782A2">
      <w:pPr>
        <w:adjustRightInd/>
        <w:snapToGrid/>
        <w:spacing w:line="276" w:lineRule="auto"/>
        <w:rPr>
          <w:rFonts w:hint="eastAsia" w:ascii="宋体" w:hAnsi="宋体" w:eastAsia="宋体" w:cs="宋体"/>
          <w:color w:val="auto"/>
          <w:szCs w:val="21"/>
          <w:highlight w:val="none"/>
        </w:rPr>
      </w:pPr>
    </w:p>
    <w:p w14:paraId="4F6FD657">
      <w:pPr>
        <w:adjustRightInd/>
        <w:snapToGrid/>
        <w:spacing w:line="276" w:lineRule="auto"/>
        <w:rPr>
          <w:rFonts w:hint="eastAsia" w:ascii="宋体" w:hAnsi="宋体" w:eastAsia="宋体" w:cs="宋体"/>
          <w:color w:val="auto"/>
          <w:szCs w:val="21"/>
          <w:highlight w:val="none"/>
        </w:rPr>
      </w:pPr>
    </w:p>
    <w:p w14:paraId="2E97214B">
      <w:pPr>
        <w:adjustRightInd/>
        <w:snapToGrid/>
        <w:spacing w:line="276" w:lineRule="auto"/>
        <w:rPr>
          <w:rFonts w:hint="eastAsia" w:ascii="宋体" w:hAnsi="宋体" w:eastAsia="宋体" w:cs="宋体"/>
          <w:color w:val="auto"/>
          <w:szCs w:val="21"/>
          <w:highlight w:val="none"/>
        </w:rPr>
      </w:pPr>
    </w:p>
    <w:p w14:paraId="3FFF8A73">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75EBB5E">
      <w:pPr>
        <w:jc w:val="center"/>
        <w:rPr>
          <w:rFonts w:hint="eastAsia" w:ascii="宋体" w:hAnsi="宋体" w:eastAsia="宋体" w:cs="宋体"/>
          <w:color w:val="auto"/>
          <w:sz w:val="52"/>
          <w:szCs w:val="52"/>
          <w:highlight w:val="none"/>
        </w:rPr>
      </w:pPr>
      <w:bookmarkStart w:id="101" w:name="_Toc30918"/>
      <w:bookmarkStart w:id="102" w:name="_Toc18450"/>
      <w:bookmarkStart w:id="103" w:name="_Toc28154"/>
      <w:bookmarkStart w:id="104" w:name="_Toc21746"/>
      <w:bookmarkStart w:id="105" w:name="_Toc20335"/>
    </w:p>
    <w:p w14:paraId="3588F697">
      <w:pPr>
        <w:pStyle w:val="5"/>
        <w:spacing w:before="0" w:after="0" w:line="360" w:lineRule="auto"/>
        <w:jc w:val="center"/>
        <w:rPr>
          <w:rFonts w:hint="eastAsia" w:ascii="宋体" w:hAnsi="宋体" w:eastAsia="宋体" w:cs="宋体"/>
          <w:color w:val="auto"/>
          <w:sz w:val="72"/>
          <w:szCs w:val="72"/>
          <w:highlight w:val="none"/>
        </w:rPr>
      </w:pPr>
      <w:bookmarkStart w:id="106" w:name="_Toc30068"/>
      <w:r>
        <w:rPr>
          <w:rFonts w:hint="eastAsia" w:ascii="宋体" w:hAnsi="宋体" w:eastAsia="宋体" w:cs="宋体"/>
          <w:color w:val="auto"/>
          <w:sz w:val="72"/>
          <w:szCs w:val="72"/>
          <w:highlight w:val="none"/>
        </w:rPr>
        <w:t>价格文件</w:t>
      </w:r>
      <w:bookmarkEnd w:id="101"/>
      <w:bookmarkEnd w:id="102"/>
      <w:bookmarkEnd w:id="106"/>
      <w:bookmarkStart w:id="107" w:name="_Hlt10456397"/>
      <w:bookmarkEnd w:id="107"/>
      <w:bookmarkStart w:id="108" w:name="_Hlt10519799"/>
      <w:bookmarkEnd w:id="108"/>
    </w:p>
    <w:p w14:paraId="484F0ADF">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bookmarkEnd w:id="103"/>
      <w:bookmarkEnd w:id="104"/>
      <w:bookmarkEnd w:id="105"/>
    </w:p>
    <w:p w14:paraId="276D15E8">
      <w:pPr>
        <w:rPr>
          <w:rFonts w:hint="eastAsia" w:ascii="宋体" w:hAnsi="宋体" w:eastAsia="宋体" w:cs="宋体"/>
          <w:color w:val="auto"/>
          <w:highlight w:val="none"/>
        </w:rPr>
      </w:pPr>
    </w:p>
    <w:p w14:paraId="0ABF7889">
      <w:pPr>
        <w:pStyle w:val="2"/>
        <w:rPr>
          <w:rFonts w:hint="eastAsia" w:ascii="宋体" w:hAnsi="宋体" w:eastAsia="宋体" w:cs="宋体"/>
          <w:color w:val="auto"/>
          <w:highlight w:val="none"/>
        </w:rPr>
      </w:pPr>
    </w:p>
    <w:p w14:paraId="61B248A8">
      <w:pPr>
        <w:pStyle w:val="26"/>
        <w:ind w:firstLine="240"/>
        <w:rPr>
          <w:rFonts w:hint="eastAsia" w:ascii="宋体" w:hAnsi="宋体" w:eastAsia="宋体" w:cs="宋体"/>
          <w:color w:val="auto"/>
          <w:highlight w:val="none"/>
        </w:rPr>
      </w:pPr>
    </w:p>
    <w:p w14:paraId="4A717F31">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106"/>
          <w:kern w:val="0"/>
          <w:sz w:val="32"/>
          <w:szCs w:val="32"/>
          <w:highlight w:val="none"/>
          <w:fitText w:val="1600" w:id="1923972136"/>
        </w:rPr>
        <w:t>项目名</w:t>
      </w:r>
      <w:r>
        <w:rPr>
          <w:rFonts w:hint="eastAsia" w:ascii="宋体" w:hAnsi="宋体" w:eastAsia="宋体" w:cs="宋体"/>
          <w:b/>
          <w:bCs/>
          <w:color w:val="auto"/>
          <w:spacing w:val="2"/>
          <w:kern w:val="0"/>
          <w:sz w:val="32"/>
          <w:szCs w:val="32"/>
          <w:highlight w:val="none"/>
          <w:fitText w:val="1600" w:id="1923972136"/>
        </w:rPr>
        <w:t>称</w:t>
      </w:r>
      <w:r>
        <w:rPr>
          <w:rFonts w:hint="eastAsia" w:ascii="宋体" w:hAnsi="宋体" w:eastAsia="宋体" w:cs="宋体"/>
          <w:b/>
          <w:bCs/>
          <w:color w:val="auto"/>
          <w:spacing w:val="-6"/>
          <w:sz w:val="32"/>
          <w:szCs w:val="32"/>
          <w:highlight w:val="none"/>
        </w:rPr>
        <w:t>：</w:t>
      </w:r>
    </w:p>
    <w:p w14:paraId="3B92E776">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106"/>
          <w:kern w:val="0"/>
          <w:sz w:val="32"/>
          <w:szCs w:val="32"/>
          <w:highlight w:val="none"/>
          <w:fitText w:val="1600" w:id="1"/>
        </w:rPr>
        <w:t>项目编</w:t>
      </w:r>
      <w:r>
        <w:rPr>
          <w:rFonts w:hint="eastAsia" w:ascii="宋体" w:hAnsi="宋体" w:eastAsia="宋体" w:cs="宋体"/>
          <w:b/>
          <w:bCs/>
          <w:color w:val="auto"/>
          <w:spacing w:val="2"/>
          <w:kern w:val="0"/>
          <w:sz w:val="32"/>
          <w:szCs w:val="32"/>
          <w:highlight w:val="none"/>
          <w:fitText w:val="1600" w:id="1"/>
        </w:rPr>
        <w:t>号</w:t>
      </w:r>
      <w:r>
        <w:rPr>
          <w:rFonts w:hint="eastAsia" w:ascii="宋体" w:hAnsi="宋体" w:eastAsia="宋体" w:cs="宋体"/>
          <w:b/>
          <w:bCs/>
          <w:color w:val="auto"/>
          <w:sz w:val="32"/>
          <w:szCs w:val="32"/>
          <w:highlight w:val="none"/>
        </w:rPr>
        <w:t>：</w:t>
      </w:r>
    </w:p>
    <w:p w14:paraId="78D4EC3E">
      <w:pPr>
        <w:pStyle w:val="24"/>
        <w:widowControl/>
        <w:adjustRightInd w:val="0"/>
        <w:snapToGrid w:val="0"/>
        <w:spacing w:before="161" w:afterAutospacing="1"/>
        <w:jc w:val="left"/>
        <w:rPr>
          <w:rFonts w:hint="eastAsia" w:ascii="宋体" w:hAnsi="宋体" w:eastAsia="宋体" w:cs="宋体"/>
          <w:b/>
          <w:color w:val="auto"/>
          <w:w w:val="83"/>
          <w:kern w:val="0"/>
          <w:sz w:val="32"/>
          <w:szCs w:val="32"/>
          <w:highlight w:val="none"/>
        </w:rPr>
      </w:pPr>
      <w:r>
        <w:rPr>
          <w:rFonts w:hint="eastAsia" w:ascii="宋体" w:hAnsi="宋体" w:eastAsia="宋体" w:cs="宋体"/>
          <w:b/>
          <w:color w:val="auto"/>
          <w:spacing w:val="106"/>
          <w:kern w:val="0"/>
          <w:sz w:val="32"/>
          <w:szCs w:val="32"/>
          <w:highlight w:val="none"/>
          <w:lang w:bidi="ar"/>
        </w:rPr>
        <w:t>包组号（如有）：</w:t>
      </w:r>
    </w:p>
    <w:p w14:paraId="19C72CD9">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2"/>
        </w:rPr>
        <w:t>投标人名称</w:t>
      </w:r>
      <w:r>
        <w:rPr>
          <w:rFonts w:hint="eastAsia" w:ascii="宋体" w:hAnsi="宋体" w:eastAsia="宋体" w:cs="宋体"/>
          <w:b/>
          <w:color w:val="auto"/>
          <w:sz w:val="32"/>
          <w:szCs w:val="32"/>
          <w:highlight w:val="none"/>
        </w:rPr>
        <w:t>：</w:t>
      </w:r>
    </w:p>
    <w:p w14:paraId="5631DF46">
      <w:pPr>
        <w:rPr>
          <w:rFonts w:hint="eastAsia" w:ascii="宋体" w:hAnsi="宋体" w:eastAsia="宋体" w:cs="宋体"/>
          <w:b/>
          <w:color w:val="auto"/>
          <w:sz w:val="32"/>
          <w:szCs w:val="32"/>
          <w:highlight w:val="none"/>
        </w:rPr>
      </w:pPr>
      <w:r>
        <w:rPr>
          <w:rFonts w:hint="eastAsia" w:ascii="宋体" w:hAnsi="宋体" w:eastAsia="宋体" w:cs="宋体"/>
          <w:b/>
          <w:color w:val="auto"/>
          <w:spacing w:val="64"/>
          <w:kern w:val="0"/>
          <w:sz w:val="32"/>
          <w:szCs w:val="32"/>
          <w:highlight w:val="none"/>
          <w:fitText w:val="1600" w:id="3"/>
        </w:rPr>
        <w:t xml:space="preserve">日    </w:t>
      </w:r>
      <w:r>
        <w:rPr>
          <w:rFonts w:hint="eastAsia" w:ascii="宋体" w:hAnsi="宋体" w:eastAsia="宋体" w:cs="宋体"/>
          <w:b/>
          <w:color w:val="auto"/>
          <w:spacing w:val="0"/>
          <w:kern w:val="0"/>
          <w:sz w:val="32"/>
          <w:szCs w:val="32"/>
          <w:highlight w:val="none"/>
          <w:fitText w:val="1600" w:id="3"/>
        </w:rPr>
        <w:t>期</w:t>
      </w:r>
      <w:r>
        <w:rPr>
          <w:rFonts w:hint="eastAsia" w:ascii="宋体" w:hAnsi="宋体" w:eastAsia="宋体" w:cs="宋体"/>
          <w:b/>
          <w:color w:val="auto"/>
          <w:sz w:val="32"/>
          <w:szCs w:val="32"/>
          <w:highlight w:val="none"/>
        </w:rPr>
        <w:t>：</w:t>
      </w:r>
    </w:p>
    <w:p w14:paraId="22C51797">
      <w:pPr>
        <w:rPr>
          <w:rFonts w:hint="eastAsia" w:ascii="宋体" w:hAnsi="宋体" w:eastAsia="宋体" w:cs="宋体"/>
          <w:color w:val="auto"/>
          <w:highlight w:val="none"/>
        </w:rPr>
      </w:pPr>
    </w:p>
    <w:p w14:paraId="0E343C1E">
      <w:pPr>
        <w:pStyle w:val="2"/>
        <w:rPr>
          <w:rFonts w:hint="eastAsia" w:ascii="宋体" w:hAnsi="宋体" w:eastAsia="宋体" w:cs="宋体"/>
          <w:color w:val="auto"/>
          <w:highlight w:val="none"/>
        </w:rPr>
      </w:pPr>
    </w:p>
    <w:p w14:paraId="133C6A5E">
      <w:pPr>
        <w:pStyle w:val="26"/>
        <w:ind w:firstLine="240"/>
        <w:rPr>
          <w:rFonts w:hint="eastAsia" w:ascii="宋体" w:hAnsi="宋体" w:eastAsia="宋体" w:cs="宋体"/>
          <w:color w:val="auto"/>
          <w:highlight w:val="none"/>
        </w:rPr>
      </w:pPr>
    </w:p>
    <w:p w14:paraId="059FD035">
      <w:pPr>
        <w:pStyle w:val="21"/>
        <w:rPr>
          <w:rFonts w:hint="eastAsia" w:ascii="宋体" w:hAnsi="宋体" w:eastAsia="宋体" w:cs="宋体"/>
          <w:color w:val="auto"/>
          <w:highlight w:val="none"/>
        </w:rPr>
      </w:pPr>
    </w:p>
    <w:p w14:paraId="3F6856B1">
      <w:pPr>
        <w:rPr>
          <w:rFonts w:hint="eastAsia" w:ascii="宋体" w:hAnsi="宋体" w:eastAsia="宋体" w:cs="宋体"/>
          <w:color w:val="auto"/>
          <w:highlight w:val="none"/>
        </w:rPr>
      </w:pPr>
    </w:p>
    <w:p w14:paraId="775CD375">
      <w:pPr>
        <w:pStyle w:val="2"/>
        <w:rPr>
          <w:rFonts w:hint="eastAsia" w:ascii="宋体" w:hAnsi="宋体" w:eastAsia="宋体" w:cs="宋体"/>
          <w:color w:val="auto"/>
          <w:highlight w:val="none"/>
        </w:rPr>
      </w:pPr>
    </w:p>
    <w:p w14:paraId="1F7C1416">
      <w:pPr>
        <w:pStyle w:val="26"/>
        <w:ind w:firstLine="240"/>
        <w:rPr>
          <w:rFonts w:hint="eastAsia" w:ascii="宋体" w:hAnsi="宋体" w:eastAsia="宋体" w:cs="宋体"/>
          <w:color w:val="auto"/>
          <w:highlight w:val="none"/>
        </w:rPr>
      </w:pPr>
    </w:p>
    <w:p w14:paraId="412E3F1B">
      <w:pPr>
        <w:pStyle w:val="21"/>
        <w:rPr>
          <w:rFonts w:hint="eastAsia" w:ascii="宋体" w:hAnsi="宋体" w:eastAsia="宋体" w:cs="宋体"/>
          <w:color w:val="auto"/>
          <w:highlight w:val="none"/>
        </w:rPr>
      </w:pPr>
    </w:p>
    <w:p w14:paraId="0F9C50F6">
      <w:pPr>
        <w:pStyle w:val="21"/>
        <w:ind w:left="0"/>
        <w:rPr>
          <w:rFonts w:hint="eastAsia" w:ascii="宋体" w:hAnsi="宋体" w:eastAsia="宋体" w:cs="宋体"/>
          <w:color w:val="auto"/>
          <w:highlight w:val="none"/>
        </w:rPr>
      </w:pPr>
    </w:p>
    <w:p w14:paraId="25685A9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44A4205">
      <w:pPr>
        <w:pStyle w:val="7"/>
        <w:widowControl w:val="0"/>
        <w:overflowPunct w:val="0"/>
        <w:spacing w:line="240" w:lineRule="auto"/>
        <w:rPr>
          <w:rFonts w:hint="eastAsia" w:ascii="宋体" w:hAnsi="宋体" w:eastAsia="宋体" w:cs="宋体"/>
          <w:color w:val="auto"/>
          <w:sz w:val="21"/>
          <w:szCs w:val="21"/>
          <w:highlight w:val="none"/>
        </w:rPr>
      </w:pPr>
      <w:bookmarkStart w:id="109" w:name="_Toc25804"/>
      <w:r>
        <w:rPr>
          <w:rFonts w:hint="eastAsia" w:ascii="宋体" w:hAnsi="宋体" w:eastAsia="宋体" w:cs="宋体"/>
          <w:color w:val="auto"/>
          <w:sz w:val="21"/>
          <w:szCs w:val="21"/>
          <w:highlight w:val="none"/>
        </w:rPr>
        <w:t>附件2.开标一览表格式</w:t>
      </w:r>
      <w:bookmarkEnd w:id="109"/>
    </w:p>
    <w:p w14:paraId="77F61EFA">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开标一览表</w:t>
      </w:r>
    </w:p>
    <w:p w14:paraId="2A9C6D57">
      <w:pPr>
        <w:rPr>
          <w:rFonts w:hint="eastAsia" w:ascii="宋体" w:hAnsi="宋体" w:eastAsia="宋体" w:cs="宋体"/>
          <w:color w:val="auto"/>
          <w:highlight w:val="none"/>
        </w:rPr>
      </w:pPr>
    </w:p>
    <w:p w14:paraId="2CC0005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p w14:paraId="3A2E1D73">
      <w:pPr>
        <w:rPr>
          <w:rFonts w:hint="eastAsia" w:ascii="宋体" w:hAnsi="宋体" w:eastAsia="宋体" w:cs="宋体"/>
          <w:color w:val="auto"/>
          <w:highlight w:val="none"/>
        </w:rPr>
      </w:pPr>
      <w:r>
        <w:rPr>
          <w:rFonts w:hint="eastAsia" w:ascii="宋体" w:hAnsi="宋体" w:eastAsia="宋体" w:cs="宋体"/>
          <w:color w:val="auto"/>
          <w:szCs w:val="21"/>
          <w:highlight w:val="none"/>
        </w:rPr>
        <w:t>采购项目编号：</w:t>
      </w:r>
    </w:p>
    <w:tbl>
      <w:tblPr>
        <w:tblStyle w:val="27"/>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090"/>
        <w:gridCol w:w="2775"/>
        <w:gridCol w:w="1080"/>
        <w:gridCol w:w="690"/>
      </w:tblGrid>
      <w:tr w14:paraId="3430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60" w:type="dxa"/>
            <w:vAlign w:val="center"/>
          </w:tcPr>
          <w:p w14:paraId="6610FB56">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szCs w:val="21"/>
                <w:highlight w:val="none"/>
              </w:rPr>
              <w:t>项目名称</w:t>
            </w:r>
          </w:p>
        </w:tc>
        <w:tc>
          <w:tcPr>
            <w:tcW w:w="3090" w:type="dxa"/>
            <w:vAlign w:val="center"/>
          </w:tcPr>
          <w:p w14:paraId="5858A8F3">
            <w:pPr>
              <w:pageBreakBefore w:val="0"/>
              <w:widowControl w:val="0"/>
              <w:topLinePunct w:val="0"/>
              <w:bidi w:val="0"/>
              <w:adjustRightInd/>
              <w:snapToGrid/>
              <w:spacing w:line="36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
                <w:sz w:val="21"/>
                <w:szCs w:val="21"/>
              </w:rPr>
              <w:t>单价（人民币，元/吨）</w:t>
            </w:r>
          </w:p>
        </w:tc>
        <w:tc>
          <w:tcPr>
            <w:tcW w:w="2775" w:type="dxa"/>
            <w:vAlign w:val="center"/>
          </w:tcPr>
          <w:p w14:paraId="46CB2507">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szCs w:val="21"/>
                <w:highlight w:val="none"/>
                <w:lang w:val="en-US" w:eastAsia="zh-CN"/>
              </w:rPr>
              <w:t>总价</w:t>
            </w:r>
            <w:r>
              <w:rPr>
                <w:rFonts w:hint="eastAsia" w:ascii="宋体" w:hAnsi="宋体" w:eastAsia="宋体" w:cs="宋体"/>
                <w:color w:val="auto"/>
                <w:kern w:val="28"/>
                <w:szCs w:val="21"/>
                <w:highlight w:val="none"/>
              </w:rPr>
              <w:t>（元）</w:t>
            </w:r>
          </w:p>
        </w:tc>
        <w:tc>
          <w:tcPr>
            <w:tcW w:w="1080" w:type="dxa"/>
            <w:vAlign w:val="center"/>
          </w:tcPr>
          <w:p w14:paraId="0BA1A123">
            <w:pPr>
              <w:spacing w:line="240" w:lineRule="auto"/>
              <w:jc w:val="center"/>
              <w:rPr>
                <w:rFonts w:hint="eastAsia" w:ascii="宋体" w:hAnsi="宋体" w:eastAsia="宋体" w:cs="宋体"/>
                <w:color w:val="auto"/>
                <w:kern w:val="28"/>
                <w:szCs w:val="21"/>
                <w:highlight w:val="none"/>
                <w:lang w:eastAsia="zh-CN"/>
              </w:rPr>
            </w:pPr>
            <w:r>
              <w:rPr>
                <w:rFonts w:hint="eastAsia" w:ascii="宋体" w:hAnsi="宋体" w:eastAsia="宋体" w:cs="宋体"/>
                <w:color w:val="auto"/>
                <w:kern w:val="28"/>
                <w:szCs w:val="21"/>
                <w:highlight w:val="none"/>
                <w:lang w:eastAsia="zh-CN"/>
              </w:rPr>
              <w:t>完工期</w:t>
            </w:r>
          </w:p>
        </w:tc>
        <w:tc>
          <w:tcPr>
            <w:tcW w:w="690" w:type="dxa"/>
            <w:vAlign w:val="center"/>
          </w:tcPr>
          <w:p w14:paraId="5ED5F446">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备注</w:t>
            </w:r>
          </w:p>
        </w:tc>
      </w:tr>
      <w:tr w14:paraId="0077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0" w:type="dxa"/>
            <w:vAlign w:val="center"/>
          </w:tcPr>
          <w:p w14:paraId="1E2B4848">
            <w:pPr>
              <w:spacing w:line="240" w:lineRule="auto"/>
              <w:jc w:val="center"/>
              <w:rPr>
                <w:rFonts w:hint="eastAsia" w:ascii="宋体" w:hAnsi="宋体" w:eastAsia="宋体" w:cs="宋体"/>
                <w:color w:val="auto"/>
                <w:szCs w:val="21"/>
                <w:highlight w:val="none"/>
              </w:rPr>
            </w:pPr>
          </w:p>
        </w:tc>
        <w:tc>
          <w:tcPr>
            <w:tcW w:w="3090" w:type="dxa"/>
            <w:vAlign w:val="center"/>
          </w:tcPr>
          <w:p w14:paraId="3260975A">
            <w:pPr>
              <w:pageBreakBefore w:val="0"/>
              <w:widowControl w:val="0"/>
              <w:topLinePunct w:val="0"/>
              <w:bidi w:val="0"/>
              <w:adjustRightInd/>
              <w:snapToGrid/>
              <w:spacing w:line="360" w:lineRule="auto"/>
              <w:ind w:firstLine="420" w:firstLineChars="200"/>
              <w:jc w:val="left"/>
              <w:rPr>
                <w:rFonts w:hint="eastAsia" w:ascii="宋体" w:hAnsi="宋体" w:eastAsia="宋体" w:cs="宋体"/>
                <w:color w:val="auto"/>
                <w:kern w:val="2"/>
                <w:sz w:val="21"/>
                <w:szCs w:val="21"/>
                <w:u w:val="single"/>
                <w:lang w:val="en-US" w:eastAsia="zh-CN"/>
              </w:rPr>
            </w:pPr>
            <w:r>
              <w:rPr>
                <w:rFonts w:hint="eastAsia" w:ascii="宋体" w:hAnsi="宋体" w:eastAsia="宋体" w:cs="宋体"/>
                <w:color w:val="auto"/>
                <w:kern w:val="2"/>
                <w:sz w:val="21"/>
                <w:szCs w:val="21"/>
              </w:rPr>
              <w:t>小写：</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w:t>
            </w:r>
          </w:p>
          <w:p w14:paraId="28D1FBEE">
            <w:pPr>
              <w:pageBreakBefore w:val="0"/>
              <w:widowControl w:val="0"/>
              <w:topLinePunct w:val="0"/>
              <w:bidi w:val="0"/>
              <w:adjustRightInd/>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rPr>
              <w:t>大写：</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lang w:val="en-US" w:eastAsia="zh-CN"/>
              </w:rPr>
              <w:t xml:space="preserve"> </w:t>
            </w:r>
          </w:p>
        </w:tc>
        <w:tc>
          <w:tcPr>
            <w:tcW w:w="2775" w:type="dxa"/>
            <w:vAlign w:val="center"/>
          </w:tcPr>
          <w:p w14:paraId="4B435295">
            <w:pPr>
              <w:spacing w:line="360" w:lineRule="auto"/>
              <w:jc w:val="both"/>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小写：</w:t>
            </w:r>
          </w:p>
          <w:p w14:paraId="118AF3D1">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u w:val="none"/>
                <w:lang w:val="en-US" w:eastAsia="zh-CN"/>
              </w:rPr>
              <w:t>大写：</w:t>
            </w:r>
          </w:p>
        </w:tc>
        <w:tc>
          <w:tcPr>
            <w:tcW w:w="1080" w:type="dxa"/>
            <w:vAlign w:val="center"/>
          </w:tcPr>
          <w:p w14:paraId="3A0C11D0">
            <w:pPr>
              <w:pStyle w:val="63"/>
              <w:jc w:val="center"/>
              <w:rPr>
                <w:rFonts w:hint="eastAsia" w:ascii="宋体" w:hAnsi="宋体" w:eastAsia="宋体" w:cs="宋体"/>
                <w:color w:val="auto"/>
                <w:sz w:val="21"/>
                <w:szCs w:val="21"/>
                <w:highlight w:val="none"/>
              </w:rPr>
            </w:pPr>
          </w:p>
        </w:tc>
        <w:tc>
          <w:tcPr>
            <w:tcW w:w="690" w:type="dxa"/>
            <w:vAlign w:val="center"/>
          </w:tcPr>
          <w:p w14:paraId="44C70D0F">
            <w:pPr>
              <w:pStyle w:val="63"/>
              <w:jc w:val="center"/>
              <w:rPr>
                <w:rFonts w:hint="eastAsia" w:ascii="宋体" w:hAnsi="宋体" w:eastAsia="宋体" w:cs="宋体"/>
                <w:color w:val="auto"/>
                <w:sz w:val="21"/>
                <w:szCs w:val="21"/>
                <w:highlight w:val="none"/>
              </w:rPr>
            </w:pPr>
          </w:p>
        </w:tc>
      </w:tr>
    </w:tbl>
    <w:p w14:paraId="0B8840B1">
      <w:pPr>
        <w:rPr>
          <w:rFonts w:hint="eastAsia" w:ascii="宋体" w:hAnsi="宋体" w:eastAsia="宋体" w:cs="宋体"/>
          <w:color w:val="auto"/>
          <w:szCs w:val="21"/>
          <w:highlight w:val="none"/>
        </w:rPr>
      </w:pPr>
    </w:p>
    <w:p w14:paraId="094A82A7">
      <w:pPr>
        <w:ind w:firstLine="359" w:firstLineChars="171"/>
        <w:rPr>
          <w:rFonts w:hint="eastAsia" w:ascii="宋体" w:hAnsi="宋体" w:eastAsia="宋体" w:cs="宋体"/>
          <w:color w:val="auto"/>
          <w:szCs w:val="21"/>
          <w:highlight w:val="none"/>
        </w:rPr>
      </w:pPr>
    </w:p>
    <w:p w14:paraId="035BB67C">
      <w:pP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7EDCC1F8">
      <w:pP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14772EF9">
      <w:pP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49151165">
      <w:pPr>
        <w:ind w:firstLine="359" w:firstLineChars="171"/>
        <w:rPr>
          <w:rFonts w:hint="eastAsia" w:ascii="宋体" w:hAnsi="宋体" w:eastAsia="宋体" w:cs="宋体"/>
          <w:color w:val="auto"/>
          <w:szCs w:val="21"/>
          <w:highlight w:val="none"/>
        </w:rPr>
      </w:pPr>
    </w:p>
    <w:p w14:paraId="465421A1">
      <w:pPr>
        <w:ind w:left="391" w:hanging="390" w:hangingChars="18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w:t>
      </w:r>
    </w:p>
    <w:p w14:paraId="6FDC74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1、投标总价栏须用大写金额和小写金额两种方式表示的投标总价，报价保留小数点后两位。投标总价大小写不一致，以大写为准。投标总价必须准确唯一且应包含采购文件要求的所有费用。</w:t>
      </w:r>
    </w:p>
    <w:p w14:paraId="70E4BB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kern w:val="2"/>
          <w:sz w:val="21"/>
          <w:szCs w:val="21"/>
          <w:highlight w:val="none"/>
          <w:lang w:val="en-US" w:eastAsia="zh-CN"/>
        </w:rPr>
        <w:t>招标单价不超过2406元/吨，</w:t>
      </w:r>
      <w:r>
        <w:rPr>
          <w:rFonts w:hint="eastAsia" w:ascii="宋体" w:hAnsi="宋体" w:eastAsia="宋体" w:cs="宋体"/>
          <w:b/>
          <w:bCs/>
          <w:color w:val="auto"/>
          <w:sz w:val="21"/>
          <w:szCs w:val="21"/>
          <w:highlight w:val="none"/>
          <w:lang w:val="en-US" w:eastAsia="zh-CN"/>
        </w:rPr>
        <w:t>按实际处置量结算。</w:t>
      </w:r>
    </w:p>
    <w:p w14:paraId="304881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、温馨提示：未按采购文件要求报价、填写开标一览表是导致投标人废标的常见问题，请投标人仔细填写，认真核对。</w:t>
      </w:r>
    </w:p>
    <w:p w14:paraId="7F52DC0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0E4EA48">
      <w:pPr>
        <w:pStyle w:val="7"/>
        <w:widowControl w:val="0"/>
        <w:overflowPunct w:val="0"/>
        <w:spacing w:line="240" w:lineRule="auto"/>
        <w:rPr>
          <w:rFonts w:hint="eastAsia" w:ascii="宋体" w:hAnsi="宋体" w:eastAsia="宋体" w:cs="宋体"/>
          <w:color w:val="auto"/>
          <w:sz w:val="21"/>
          <w:szCs w:val="21"/>
          <w:highlight w:val="none"/>
        </w:rPr>
      </w:pPr>
      <w:bookmarkStart w:id="110" w:name="_Toc5898"/>
      <w:r>
        <w:rPr>
          <w:rFonts w:hint="eastAsia" w:ascii="宋体" w:hAnsi="宋体" w:eastAsia="宋体" w:cs="宋体"/>
          <w:color w:val="auto"/>
          <w:sz w:val="21"/>
          <w:szCs w:val="21"/>
          <w:highlight w:val="none"/>
        </w:rPr>
        <w:t>附件3.报价明细表格式</w:t>
      </w:r>
      <w:bookmarkEnd w:id="110"/>
    </w:p>
    <w:p w14:paraId="7500AC0D">
      <w:pPr>
        <w:jc w:val="center"/>
        <w:rPr>
          <w:rFonts w:hint="eastAsia" w:ascii="宋体" w:hAnsi="宋体" w:eastAsia="宋体" w:cs="宋体"/>
          <w:color w:val="auto"/>
          <w:sz w:val="32"/>
          <w:szCs w:val="32"/>
          <w:highlight w:val="none"/>
        </w:rPr>
      </w:pPr>
      <w:bookmarkStart w:id="111" w:name="_Toc31172"/>
      <w:bookmarkStart w:id="112" w:name="_Toc31062"/>
      <w:r>
        <w:rPr>
          <w:rFonts w:hint="eastAsia" w:ascii="宋体" w:hAnsi="宋体" w:eastAsia="宋体" w:cs="宋体"/>
          <w:color w:val="auto"/>
          <w:sz w:val="32"/>
          <w:szCs w:val="32"/>
          <w:highlight w:val="none"/>
        </w:rPr>
        <w:t>报价明细表</w:t>
      </w:r>
      <w:bookmarkEnd w:id="111"/>
      <w:bookmarkEnd w:id="112"/>
    </w:p>
    <w:p w14:paraId="65DD7284">
      <w:pPr>
        <w:pStyle w:val="73"/>
        <w:spacing w:before="0" w:after="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单位：元</w:t>
      </w:r>
    </w:p>
    <w:tbl>
      <w:tblPr>
        <w:tblStyle w:val="27"/>
        <w:tblW w:w="84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72"/>
        <w:gridCol w:w="992"/>
        <w:gridCol w:w="1230"/>
        <w:gridCol w:w="1005"/>
        <w:gridCol w:w="1110"/>
        <w:gridCol w:w="720"/>
        <w:gridCol w:w="915"/>
      </w:tblGrid>
      <w:tr w14:paraId="42420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2" w:type="dxa"/>
            <w:tcBorders>
              <w:tl2br w:val="nil"/>
              <w:tr2bl w:val="nil"/>
            </w:tcBorders>
            <w:vAlign w:val="center"/>
          </w:tcPr>
          <w:p w14:paraId="73C54CF0">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72" w:type="dxa"/>
            <w:tcBorders>
              <w:tl2br w:val="nil"/>
              <w:tr2bl w:val="nil"/>
            </w:tcBorders>
            <w:vAlign w:val="center"/>
          </w:tcPr>
          <w:p w14:paraId="6751BBD6">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992" w:type="dxa"/>
            <w:tcBorders>
              <w:tl2br w:val="nil"/>
              <w:tr2bl w:val="nil"/>
            </w:tcBorders>
            <w:vAlign w:val="center"/>
          </w:tcPr>
          <w:p w14:paraId="74805AB6">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230" w:type="dxa"/>
            <w:tcBorders>
              <w:tl2br w:val="nil"/>
              <w:tr2bl w:val="nil"/>
            </w:tcBorders>
            <w:vAlign w:val="center"/>
          </w:tcPr>
          <w:p w14:paraId="345F1C4F">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005" w:type="dxa"/>
            <w:tcBorders>
              <w:tl2br w:val="nil"/>
              <w:tr2bl w:val="nil"/>
            </w:tcBorders>
            <w:vAlign w:val="center"/>
          </w:tcPr>
          <w:p w14:paraId="1ED76E6B">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10" w:type="dxa"/>
            <w:tcBorders>
              <w:tl2br w:val="nil"/>
              <w:tr2bl w:val="nil"/>
            </w:tcBorders>
            <w:vAlign w:val="center"/>
          </w:tcPr>
          <w:p w14:paraId="6F28E856">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720" w:type="dxa"/>
            <w:tcBorders>
              <w:tl2br w:val="nil"/>
              <w:tr2bl w:val="nil"/>
            </w:tcBorders>
            <w:vAlign w:val="center"/>
          </w:tcPr>
          <w:p w14:paraId="48F76600">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915" w:type="dxa"/>
            <w:tcBorders>
              <w:tl2br w:val="nil"/>
              <w:tr2bl w:val="nil"/>
            </w:tcBorders>
            <w:vAlign w:val="center"/>
          </w:tcPr>
          <w:p w14:paraId="2C76D7C7">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8721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7AE4C575">
            <w:pPr>
              <w:widowControl w:val="0"/>
              <w:adjustRightInd/>
              <w:snapToGrid/>
              <w:spacing w:before="100" w:beforeAutospacing="1" w:after="100" w:afterAutospacing="1"/>
              <w:jc w:val="center"/>
              <w:rPr>
                <w:rFonts w:hint="eastAsia" w:ascii="宋体" w:hAnsi="宋体" w:eastAsia="宋体" w:cs="宋体"/>
                <w:color w:val="auto"/>
                <w:szCs w:val="21"/>
                <w:highlight w:val="none"/>
              </w:rPr>
            </w:pPr>
          </w:p>
        </w:tc>
        <w:tc>
          <w:tcPr>
            <w:tcW w:w="1772" w:type="dxa"/>
            <w:tcBorders>
              <w:tl2br w:val="nil"/>
              <w:tr2bl w:val="nil"/>
            </w:tcBorders>
            <w:vAlign w:val="center"/>
          </w:tcPr>
          <w:p w14:paraId="2251E0B7">
            <w:pPr>
              <w:spacing w:before="100" w:beforeAutospacing="1" w:after="100" w:afterAutospacing="1"/>
              <w:rPr>
                <w:rFonts w:hint="eastAsia" w:ascii="宋体" w:hAnsi="宋体" w:eastAsia="宋体" w:cs="宋体"/>
                <w:color w:val="auto"/>
                <w:szCs w:val="21"/>
                <w:highlight w:val="none"/>
              </w:rPr>
            </w:pPr>
          </w:p>
        </w:tc>
        <w:tc>
          <w:tcPr>
            <w:tcW w:w="992" w:type="dxa"/>
            <w:tcBorders>
              <w:tl2br w:val="nil"/>
              <w:tr2bl w:val="nil"/>
            </w:tcBorders>
            <w:vAlign w:val="center"/>
          </w:tcPr>
          <w:p w14:paraId="2EB3DFEC">
            <w:pPr>
              <w:spacing w:before="100" w:beforeAutospacing="1" w:after="100" w:afterAutospacing="1"/>
              <w:rPr>
                <w:rFonts w:hint="eastAsia" w:ascii="宋体" w:hAnsi="宋体" w:eastAsia="宋体" w:cs="宋体"/>
                <w:color w:val="auto"/>
                <w:szCs w:val="21"/>
                <w:highlight w:val="none"/>
              </w:rPr>
            </w:pPr>
          </w:p>
        </w:tc>
        <w:tc>
          <w:tcPr>
            <w:tcW w:w="1230" w:type="dxa"/>
            <w:tcBorders>
              <w:tl2br w:val="nil"/>
              <w:tr2bl w:val="nil"/>
            </w:tcBorders>
            <w:vAlign w:val="center"/>
          </w:tcPr>
          <w:p w14:paraId="69604E33">
            <w:pPr>
              <w:spacing w:before="100" w:beforeAutospacing="1" w:after="100" w:afterAutospacing="1"/>
              <w:jc w:val="center"/>
              <w:rPr>
                <w:rFonts w:hint="eastAsia" w:ascii="宋体" w:hAnsi="宋体" w:eastAsia="宋体" w:cs="宋体"/>
                <w:color w:val="auto"/>
                <w:szCs w:val="21"/>
                <w:highlight w:val="none"/>
              </w:rPr>
            </w:pPr>
          </w:p>
        </w:tc>
        <w:tc>
          <w:tcPr>
            <w:tcW w:w="1005" w:type="dxa"/>
            <w:tcBorders>
              <w:tl2br w:val="nil"/>
              <w:tr2bl w:val="nil"/>
            </w:tcBorders>
            <w:vAlign w:val="center"/>
          </w:tcPr>
          <w:p w14:paraId="592A7FEE">
            <w:pPr>
              <w:spacing w:before="100" w:beforeAutospacing="1" w:after="100" w:afterAutospacing="1"/>
              <w:jc w:val="center"/>
              <w:rPr>
                <w:rFonts w:hint="eastAsia" w:ascii="宋体" w:hAnsi="宋体" w:eastAsia="宋体" w:cs="宋体"/>
                <w:color w:val="auto"/>
                <w:szCs w:val="21"/>
                <w:highlight w:val="none"/>
              </w:rPr>
            </w:pPr>
          </w:p>
        </w:tc>
        <w:tc>
          <w:tcPr>
            <w:tcW w:w="1110" w:type="dxa"/>
            <w:tcBorders>
              <w:tl2br w:val="nil"/>
              <w:tr2bl w:val="nil"/>
            </w:tcBorders>
            <w:vAlign w:val="center"/>
          </w:tcPr>
          <w:p w14:paraId="376A4A9E">
            <w:pPr>
              <w:spacing w:before="100" w:beforeAutospacing="1" w:after="100" w:afterAutospacing="1"/>
              <w:jc w:val="center"/>
              <w:rPr>
                <w:rFonts w:hint="eastAsia" w:ascii="宋体" w:hAnsi="宋体" w:eastAsia="宋体" w:cs="宋体"/>
                <w:color w:val="auto"/>
                <w:szCs w:val="21"/>
                <w:highlight w:val="none"/>
              </w:rPr>
            </w:pPr>
          </w:p>
        </w:tc>
        <w:tc>
          <w:tcPr>
            <w:tcW w:w="720" w:type="dxa"/>
            <w:tcBorders>
              <w:tl2br w:val="nil"/>
              <w:tr2bl w:val="nil"/>
            </w:tcBorders>
            <w:vAlign w:val="center"/>
          </w:tcPr>
          <w:p w14:paraId="11AB1575">
            <w:pPr>
              <w:spacing w:before="100" w:beforeAutospacing="1" w:after="100" w:afterAutospacing="1"/>
              <w:jc w:val="center"/>
              <w:rPr>
                <w:rFonts w:hint="eastAsia" w:ascii="宋体" w:hAnsi="宋体" w:eastAsia="宋体" w:cs="宋体"/>
                <w:color w:val="auto"/>
                <w:szCs w:val="21"/>
                <w:highlight w:val="none"/>
              </w:rPr>
            </w:pPr>
          </w:p>
        </w:tc>
        <w:tc>
          <w:tcPr>
            <w:tcW w:w="915" w:type="dxa"/>
            <w:tcBorders>
              <w:tl2br w:val="nil"/>
              <w:tr2bl w:val="nil"/>
            </w:tcBorders>
            <w:vAlign w:val="center"/>
          </w:tcPr>
          <w:p w14:paraId="7FC41365">
            <w:pPr>
              <w:spacing w:before="100" w:beforeAutospacing="1" w:after="100" w:afterAutospacing="1"/>
              <w:jc w:val="center"/>
              <w:rPr>
                <w:rFonts w:hint="eastAsia" w:ascii="宋体" w:hAnsi="宋体" w:eastAsia="宋体" w:cs="宋体"/>
                <w:color w:val="auto"/>
                <w:szCs w:val="21"/>
                <w:highlight w:val="none"/>
              </w:rPr>
            </w:pPr>
          </w:p>
        </w:tc>
      </w:tr>
      <w:tr w14:paraId="6D412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0B9A8CB">
            <w:pPr>
              <w:widowControl w:val="0"/>
              <w:adjustRightInd/>
              <w:snapToGrid/>
              <w:spacing w:before="100" w:beforeAutospacing="1" w:after="100" w:afterAutospacing="1"/>
              <w:jc w:val="center"/>
              <w:rPr>
                <w:rFonts w:hint="eastAsia" w:ascii="宋体" w:hAnsi="宋体" w:eastAsia="宋体" w:cs="宋体"/>
                <w:color w:val="auto"/>
                <w:szCs w:val="21"/>
                <w:highlight w:val="none"/>
              </w:rPr>
            </w:pPr>
          </w:p>
        </w:tc>
        <w:tc>
          <w:tcPr>
            <w:tcW w:w="1772" w:type="dxa"/>
            <w:tcBorders>
              <w:tl2br w:val="nil"/>
              <w:tr2bl w:val="nil"/>
            </w:tcBorders>
            <w:vAlign w:val="center"/>
          </w:tcPr>
          <w:p w14:paraId="73F92BAC">
            <w:pPr>
              <w:spacing w:before="100" w:beforeAutospacing="1" w:after="100" w:afterAutospacing="1"/>
              <w:rPr>
                <w:rFonts w:hint="eastAsia" w:ascii="宋体" w:hAnsi="宋体" w:eastAsia="宋体" w:cs="宋体"/>
                <w:color w:val="auto"/>
                <w:szCs w:val="21"/>
                <w:highlight w:val="none"/>
              </w:rPr>
            </w:pPr>
          </w:p>
        </w:tc>
        <w:tc>
          <w:tcPr>
            <w:tcW w:w="992" w:type="dxa"/>
            <w:tcBorders>
              <w:tl2br w:val="nil"/>
              <w:tr2bl w:val="nil"/>
            </w:tcBorders>
            <w:vAlign w:val="center"/>
          </w:tcPr>
          <w:p w14:paraId="3B2594CE">
            <w:pPr>
              <w:spacing w:before="100" w:beforeAutospacing="1" w:after="100" w:afterAutospacing="1"/>
              <w:rPr>
                <w:rFonts w:hint="eastAsia" w:ascii="宋体" w:hAnsi="宋体" w:eastAsia="宋体" w:cs="宋体"/>
                <w:color w:val="auto"/>
                <w:szCs w:val="21"/>
                <w:highlight w:val="none"/>
              </w:rPr>
            </w:pPr>
          </w:p>
        </w:tc>
        <w:tc>
          <w:tcPr>
            <w:tcW w:w="1230" w:type="dxa"/>
            <w:tcBorders>
              <w:tl2br w:val="nil"/>
              <w:tr2bl w:val="nil"/>
            </w:tcBorders>
            <w:vAlign w:val="center"/>
          </w:tcPr>
          <w:p w14:paraId="779BD993">
            <w:pPr>
              <w:spacing w:before="100" w:beforeAutospacing="1" w:after="100" w:afterAutospacing="1"/>
              <w:jc w:val="center"/>
              <w:rPr>
                <w:rFonts w:hint="eastAsia" w:ascii="宋体" w:hAnsi="宋体" w:eastAsia="宋体" w:cs="宋体"/>
                <w:color w:val="auto"/>
                <w:szCs w:val="21"/>
                <w:highlight w:val="none"/>
              </w:rPr>
            </w:pPr>
          </w:p>
        </w:tc>
        <w:tc>
          <w:tcPr>
            <w:tcW w:w="1005" w:type="dxa"/>
            <w:tcBorders>
              <w:tl2br w:val="nil"/>
              <w:tr2bl w:val="nil"/>
            </w:tcBorders>
            <w:vAlign w:val="center"/>
          </w:tcPr>
          <w:p w14:paraId="4E2DBB8C">
            <w:pPr>
              <w:spacing w:before="100" w:beforeAutospacing="1" w:after="100" w:afterAutospacing="1"/>
              <w:jc w:val="center"/>
              <w:rPr>
                <w:rFonts w:hint="eastAsia" w:ascii="宋体" w:hAnsi="宋体" w:eastAsia="宋体" w:cs="宋体"/>
                <w:color w:val="auto"/>
                <w:szCs w:val="21"/>
                <w:highlight w:val="none"/>
              </w:rPr>
            </w:pPr>
          </w:p>
        </w:tc>
        <w:tc>
          <w:tcPr>
            <w:tcW w:w="1110" w:type="dxa"/>
            <w:tcBorders>
              <w:tl2br w:val="nil"/>
              <w:tr2bl w:val="nil"/>
            </w:tcBorders>
            <w:vAlign w:val="center"/>
          </w:tcPr>
          <w:p w14:paraId="47382D50">
            <w:pPr>
              <w:spacing w:before="100" w:beforeAutospacing="1" w:after="100" w:afterAutospacing="1"/>
              <w:jc w:val="center"/>
              <w:rPr>
                <w:rFonts w:hint="eastAsia" w:ascii="宋体" w:hAnsi="宋体" w:eastAsia="宋体" w:cs="宋体"/>
                <w:color w:val="auto"/>
                <w:szCs w:val="21"/>
                <w:highlight w:val="none"/>
              </w:rPr>
            </w:pPr>
          </w:p>
        </w:tc>
        <w:tc>
          <w:tcPr>
            <w:tcW w:w="720" w:type="dxa"/>
            <w:tcBorders>
              <w:tl2br w:val="nil"/>
              <w:tr2bl w:val="nil"/>
            </w:tcBorders>
            <w:vAlign w:val="center"/>
          </w:tcPr>
          <w:p w14:paraId="37551C67">
            <w:pPr>
              <w:spacing w:before="100" w:beforeAutospacing="1" w:after="100" w:afterAutospacing="1"/>
              <w:jc w:val="center"/>
              <w:rPr>
                <w:rFonts w:hint="eastAsia" w:ascii="宋体" w:hAnsi="宋体" w:eastAsia="宋体" w:cs="宋体"/>
                <w:color w:val="auto"/>
                <w:szCs w:val="21"/>
                <w:highlight w:val="none"/>
              </w:rPr>
            </w:pPr>
          </w:p>
        </w:tc>
        <w:tc>
          <w:tcPr>
            <w:tcW w:w="915" w:type="dxa"/>
            <w:tcBorders>
              <w:tl2br w:val="nil"/>
              <w:tr2bl w:val="nil"/>
            </w:tcBorders>
            <w:vAlign w:val="center"/>
          </w:tcPr>
          <w:p w14:paraId="68260432">
            <w:pPr>
              <w:spacing w:before="100" w:beforeAutospacing="1" w:after="100" w:afterAutospacing="1"/>
              <w:jc w:val="center"/>
              <w:rPr>
                <w:rFonts w:hint="eastAsia" w:ascii="宋体" w:hAnsi="宋体" w:eastAsia="宋体" w:cs="宋体"/>
                <w:color w:val="auto"/>
                <w:szCs w:val="21"/>
                <w:highlight w:val="none"/>
              </w:rPr>
            </w:pPr>
          </w:p>
        </w:tc>
      </w:tr>
      <w:tr w14:paraId="33DF5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7043DE5D">
            <w:pPr>
              <w:widowControl w:val="0"/>
              <w:adjustRightInd/>
              <w:snapToGrid/>
              <w:spacing w:before="100" w:beforeAutospacing="1" w:after="100" w:afterAutospacing="1"/>
              <w:jc w:val="center"/>
              <w:rPr>
                <w:rFonts w:hint="eastAsia" w:ascii="宋体" w:hAnsi="宋体" w:eastAsia="宋体" w:cs="宋体"/>
                <w:color w:val="auto"/>
                <w:szCs w:val="21"/>
                <w:highlight w:val="none"/>
              </w:rPr>
            </w:pPr>
          </w:p>
        </w:tc>
        <w:tc>
          <w:tcPr>
            <w:tcW w:w="1772" w:type="dxa"/>
            <w:tcBorders>
              <w:tl2br w:val="nil"/>
              <w:tr2bl w:val="nil"/>
            </w:tcBorders>
            <w:vAlign w:val="center"/>
          </w:tcPr>
          <w:p w14:paraId="6D1425A1">
            <w:pPr>
              <w:spacing w:before="100" w:beforeAutospacing="1" w:after="100" w:afterAutospacing="1"/>
              <w:rPr>
                <w:rFonts w:hint="eastAsia" w:ascii="宋体" w:hAnsi="宋体" w:eastAsia="宋体" w:cs="宋体"/>
                <w:color w:val="auto"/>
                <w:szCs w:val="21"/>
                <w:highlight w:val="none"/>
              </w:rPr>
            </w:pPr>
          </w:p>
        </w:tc>
        <w:tc>
          <w:tcPr>
            <w:tcW w:w="992" w:type="dxa"/>
            <w:tcBorders>
              <w:tl2br w:val="nil"/>
              <w:tr2bl w:val="nil"/>
            </w:tcBorders>
            <w:vAlign w:val="center"/>
          </w:tcPr>
          <w:p w14:paraId="45CAA6B5">
            <w:pPr>
              <w:spacing w:before="100" w:beforeAutospacing="1" w:after="100" w:afterAutospacing="1"/>
              <w:rPr>
                <w:rFonts w:hint="eastAsia" w:ascii="宋体" w:hAnsi="宋体" w:eastAsia="宋体" w:cs="宋体"/>
                <w:color w:val="auto"/>
                <w:szCs w:val="21"/>
                <w:highlight w:val="none"/>
              </w:rPr>
            </w:pPr>
          </w:p>
        </w:tc>
        <w:tc>
          <w:tcPr>
            <w:tcW w:w="1230" w:type="dxa"/>
            <w:tcBorders>
              <w:tl2br w:val="nil"/>
              <w:tr2bl w:val="nil"/>
            </w:tcBorders>
            <w:vAlign w:val="center"/>
          </w:tcPr>
          <w:p w14:paraId="2F67BD03">
            <w:pPr>
              <w:spacing w:before="100" w:beforeAutospacing="1" w:after="100" w:afterAutospacing="1"/>
              <w:jc w:val="center"/>
              <w:rPr>
                <w:rFonts w:hint="eastAsia" w:ascii="宋体" w:hAnsi="宋体" w:eastAsia="宋体" w:cs="宋体"/>
                <w:color w:val="auto"/>
                <w:szCs w:val="21"/>
                <w:highlight w:val="none"/>
              </w:rPr>
            </w:pPr>
          </w:p>
        </w:tc>
        <w:tc>
          <w:tcPr>
            <w:tcW w:w="1005" w:type="dxa"/>
            <w:tcBorders>
              <w:tl2br w:val="nil"/>
              <w:tr2bl w:val="nil"/>
            </w:tcBorders>
            <w:vAlign w:val="center"/>
          </w:tcPr>
          <w:p w14:paraId="1EB840C2">
            <w:pPr>
              <w:spacing w:before="100" w:beforeAutospacing="1" w:after="100" w:afterAutospacing="1"/>
              <w:jc w:val="center"/>
              <w:rPr>
                <w:rFonts w:hint="eastAsia" w:ascii="宋体" w:hAnsi="宋体" w:eastAsia="宋体" w:cs="宋体"/>
                <w:color w:val="auto"/>
                <w:szCs w:val="21"/>
                <w:highlight w:val="none"/>
              </w:rPr>
            </w:pPr>
          </w:p>
        </w:tc>
        <w:tc>
          <w:tcPr>
            <w:tcW w:w="1110" w:type="dxa"/>
            <w:tcBorders>
              <w:tl2br w:val="nil"/>
              <w:tr2bl w:val="nil"/>
            </w:tcBorders>
            <w:vAlign w:val="center"/>
          </w:tcPr>
          <w:p w14:paraId="1EAE7CFD">
            <w:pPr>
              <w:spacing w:before="100" w:beforeAutospacing="1" w:after="100" w:afterAutospacing="1"/>
              <w:jc w:val="center"/>
              <w:rPr>
                <w:rFonts w:hint="eastAsia" w:ascii="宋体" w:hAnsi="宋体" w:eastAsia="宋体" w:cs="宋体"/>
                <w:color w:val="auto"/>
                <w:szCs w:val="21"/>
                <w:highlight w:val="none"/>
              </w:rPr>
            </w:pPr>
          </w:p>
        </w:tc>
        <w:tc>
          <w:tcPr>
            <w:tcW w:w="720" w:type="dxa"/>
            <w:tcBorders>
              <w:tl2br w:val="nil"/>
              <w:tr2bl w:val="nil"/>
            </w:tcBorders>
            <w:vAlign w:val="center"/>
          </w:tcPr>
          <w:p w14:paraId="08143D2C">
            <w:pPr>
              <w:spacing w:before="100" w:beforeAutospacing="1" w:after="100" w:afterAutospacing="1"/>
              <w:jc w:val="center"/>
              <w:rPr>
                <w:rFonts w:hint="eastAsia" w:ascii="宋体" w:hAnsi="宋体" w:eastAsia="宋体" w:cs="宋体"/>
                <w:color w:val="auto"/>
                <w:szCs w:val="21"/>
                <w:highlight w:val="none"/>
              </w:rPr>
            </w:pPr>
          </w:p>
        </w:tc>
        <w:tc>
          <w:tcPr>
            <w:tcW w:w="915" w:type="dxa"/>
            <w:tcBorders>
              <w:tl2br w:val="nil"/>
              <w:tr2bl w:val="nil"/>
            </w:tcBorders>
            <w:vAlign w:val="center"/>
          </w:tcPr>
          <w:p w14:paraId="5B4FB06D">
            <w:pPr>
              <w:spacing w:before="100" w:beforeAutospacing="1" w:after="100" w:afterAutospacing="1"/>
              <w:jc w:val="center"/>
              <w:rPr>
                <w:rFonts w:hint="eastAsia" w:ascii="宋体" w:hAnsi="宋体" w:eastAsia="宋体" w:cs="宋体"/>
                <w:color w:val="auto"/>
                <w:szCs w:val="21"/>
                <w:highlight w:val="none"/>
              </w:rPr>
            </w:pPr>
          </w:p>
        </w:tc>
      </w:tr>
      <w:tr w14:paraId="6BB95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75331082">
            <w:pPr>
              <w:widowControl w:val="0"/>
              <w:adjustRightInd/>
              <w:snapToGrid/>
              <w:spacing w:before="100" w:beforeAutospacing="1" w:after="100" w:afterAutospacing="1"/>
              <w:jc w:val="center"/>
              <w:rPr>
                <w:rFonts w:hint="eastAsia" w:ascii="宋体" w:hAnsi="宋体" w:eastAsia="宋体" w:cs="宋体"/>
                <w:color w:val="auto"/>
                <w:szCs w:val="21"/>
                <w:highlight w:val="none"/>
              </w:rPr>
            </w:pPr>
          </w:p>
        </w:tc>
        <w:tc>
          <w:tcPr>
            <w:tcW w:w="1772" w:type="dxa"/>
            <w:tcBorders>
              <w:tl2br w:val="nil"/>
              <w:tr2bl w:val="nil"/>
            </w:tcBorders>
            <w:vAlign w:val="center"/>
          </w:tcPr>
          <w:p w14:paraId="23602A4F">
            <w:pPr>
              <w:spacing w:before="100" w:beforeAutospacing="1" w:after="100" w:afterAutospacing="1"/>
              <w:rPr>
                <w:rFonts w:hint="eastAsia" w:ascii="宋体" w:hAnsi="宋体" w:eastAsia="宋体" w:cs="宋体"/>
                <w:color w:val="auto"/>
                <w:szCs w:val="21"/>
                <w:highlight w:val="none"/>
              </w:rPr>
            </w:pPr>
          </w:p>
        </w:tc>
        <w:tc>
          <w:tcPr>
            <w:tcW w:w="992" w:type="dxa"/>
            <w:tcBorders>
              <w:tl2br w:val="nil"/>
              <w:tr2bl w:val="nil"/>
            </w:tcBorders>
            <w:vAlign w:val="center"/>
          </w:tcPr>
          <w:p w14:paraId="1E77D55D">
            <w:pPr>
              <w:spacing w:before="100" w:beforeAutospacing="1" w:after="100" w:afterAutospacing="1"/>
              <w:rPr>
                <w:rFonts w:hint="eastAsia" w:ascii="宋体" w:hAnsi="宋体" w:eastAsia="宋体" w:cs="宋体"/>
                <w:color w:val="auto"/>
                <w:szCs w:val="21"/>
                <w:highlight w:val="none"/>
              </w:rPr>
            </w:pPr>
          </w:p>
        </w:tc>
        <w:tc>
          <w:tcPr>
            <w:tcW w:w="1230" w:type="dxa"/>
            <w:tcBorders>
              <w:tl2br w:val="nil"/>
              <w:tr2bl w:val="nil"/>
            </w:tcBorders>
            <w:vAlign w:val="center"/>
          </w:tcPr>
          <w:p w14:paraId="425DC384">
            <w:pPr>
              <w:spacing w:before="100" w:beforeAutospacing="1" w:after="100" w:afterAutospacing="1"/>
              <w:jc w:val="center"/>
              <w:rPr>
                <w:rFonts w:hint="eastAsia" w:ascii="宋体" w:hAnsi="宋体" w:eastAsia="宋体" w:cs="宋体"/>
                <w:color w:val="auto"/>
                <w:szCs w:val="21"/>
                <w:highlight w:val="none"/>
              </w:rPr>
            </w:pPr>
          </w:p>
        </w:tc>
        <w:tc>
          <w:tcPr>
            <w:tcW w:w="1005" w:type="dxa"/>
            <w:tcBorders>
              <w:tl2br w:val="nil"/>
              <w:tr2bl w:val="nil"/>
            </w:tcBorders>
            <w:vAlign w:val="center"/>
          </w:tcPr>
          <w:p w14:paraId="5B21050A">
            <w:pPr>
              <w:spacing w:before="100" w:beforeAutospacing="1" w:after="100" w:afterAutospacing="1"/>
              <w:jc w:val="center"/>
              <w:rPr>
                <w:rFonts w:hint="eastAsia" w:ascii="宋体" w:hAnsi="宋体" w:eastAsia="宋体" w:cs="宋体"/>
                <w:color w:val="auto"/>
                <w:szCs w:val="21"/>
                <w:highlight w:val="none"/>
              </w:rPr>
            </w:pPr>
          </w:p>
        </w:tc>
        <w:tc>
          <w:tcPr>
            <w:tcW w:w="1110" w:type="dxa"/>
            <w:tcBorders>
              <w:tl2br w:val="nil"/>
              <w:tr2bl w:val="nil"/>
            </w:tcBorders>
            <w:vAlign w:val="center"/>
          </w:tcPr>
          <w:p w14:paraId="4118A89F">
            <w:pPr>
              <w:spacing w:before="100" w:beforeAutospacing="1" w:after="100" w:afterAutospacing="1"/>
              <w:jc w:val="center"/>
              <w:rPr>
                <w:rFonts w:hint="eastAsia" w:ascii="宋体" w:hAnsi="宋体" w:eastAsia="宋体" w:cs="宋体"/>
                <w:color w:val="auto"/>
                <w:szCs w:val="21"/>
                <w:highlight w:val="none"/>
              </w:rPr>
            </w:pPr>
          </w:p>
        </w:tc>
        <w:tc>
          <w:tcPr>
            <w:tcW w:w="720" w:type="dxa"/>
            <w:tcBorders>
              <w:tl2br w:val="nil"/>
              <w:tr2bl w:val="nil"/>
            </w:tcBorders>
            <w:vAlign w:val="center"/>
          </w:tcPr>
          <w:p w14:paraId="27DB6FF7">
            <w:pPr>
              <w:spacing w:before="100" w:beforeAutospacing="1" w:after="100" w:afterAutospacing="1"/>
              <w:jc w:val="center"/>
              <w:rPr>
                <w:rFonts w:hint="eastAsia" w:ascii="宋体" w:hAnsi="宋体" w:eastAsia="宋体" w:cs="宋体"/>
                <w:color w:val="auto"/>
                <w:szCs w:val="21"/>
                <w:highlight w:val="none"/>
              </w:rPr>
            </w:pPr>
          </w:p>
        </w:tc>
        <w:tc>
          <w:tcPr>
            <w:tcW w:w="915" w:type="dxa"/>
            <w:tcBorders>
              <w:tl2br w:val="nil"/>
              <w:tr2bl w:val="nil"/>
            </w:tcBorders>
            <w:vAlign w:val="center"/>
          </w:tcPr>
          <w:p w14:paraId="2F146930">
            <w:pPr>
              <w:spacing w:before="100" w:beforeAutospacing="1" w:after="100" w:afterAutospacing="1"/>
              <w:jc w:val="center"/>
              <w:rPr>
                <w:rFonts w:hint="eastAsia" w:ascii="宋体" w:hAnsi="宋体" w:eastAsia="宋体" w:cs="宋体"/>
                <w:color w:val="auto"/>
                <w:szCs w:val="21"/>
                <w:highlight w:val="none"/>
              </w:rPr>
            </w:pPr>
          </w:p>
        </w:tc>
      </w:tr>
      <w:tr w14:paraId="5EDD2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AF8BBD5">
            <w:pPr>
              <w:widowControl w:val="0"/>
              <w:adjustRightInd/>
              <w:snapToGrid/>
              <w:spacing w:before="100" w:beforeAutospacing="1" w:after="100" w:afterAutospacing="1"/>
              <w:jc w:val="center"/>
              <w:rPr>
                <w:rFonts w:hint="eastAsia" w:ascii="宋体" w:hAnsi="宋体" w:eastAsia="宋体" w:cs="宋体"/>
                <w:color w:val="auto"/>
                <w:szCs w:val="21"/>
                <w:highlight w:val="none"/>
              </w:rPr>
            </w:pPr>
          </w:p>
        </w:tc>
        <w:tc>
          <w:tcPr>
            <w:tcW w:w="1772" w:type="dxa"/>
            <w:tcBorders>
              <w:tl2br w:val="nil"/>
              <w:tr2bl w:val="nil"/>
            </w:tcBorders>
            <w:vAlign w:val="center"/>
          </w:tcPr>
          <w:p w14:paraId="09B08A33">
            <w:pPr>
              <w:spacing w:before="100" w:beforeAutospacing="1" w:after="100" w:afterAutospacing="1"/>
              <w:rPr>
                <w:rFonts w:hint="eastAsia" w:ascii="宋体" w:hAnsi="宋体" w:eastAsia="宋体" w:cs="宋体"/>
                <w:color w:val="auto"/>
                <w:szCs w:val="21"/>
                <w:highlight w:val="none"/>
              </w:rPr>
            </w:pPr>
          </w:p>
        </w:tc>
        <w:tc>
          <w:tcPr>
            <w:tcW w:w="992" w:type="dxa"/>
            <w:tcBorders>
              <w:tl2br w:val="nil"/>
              <w:tr2bl w:val="nil"/>
            </w:tcBorders>
            <w:vAlign w:val="center"/>
          </w:tcPr>
          <w:p w14:paraId="1BF14B4B">
            <w:pPr>
              <w:spacing w:before="100" w:beforeAutospacing="1" w:after="100" w:afterAutospacing="1"/>
              <w:rPr>
                <w:rFonts w:hint="eastAsia" w:ascii="宋体" w:hAnsi="宋体" w:eastAsia="宋体" w:cs="宋体"/>
                <w:color w:val="auto"/>
                <w:szCs w:val="21"/>
                <w:highlight w:val="none"/>
              </w:rPr>
            </w:pPr>
          </w:p>
        </w:tc>
        <w:tc>
          <w:tcPr>
            <w:tcW w:w="1230" w:type="dxa"/>
            <w:tcBorders>
              <w:tl2br w:val="nil"/>
              <w:tr2bl w:val="nil"/>
            </w:tcBorders>
            <w:vAlign w:val="center"/>
          </w:tcPr>
          <w:p w14:paraId="5292FD3E">
            <w:pPr>
              <w:spacing w:before="100" w:beforeAutospacing="1" w:after="100" w:afterAutospacing="1"/>
              <w:jc w:val="center"/>
              <w:rPr>
                <w:rFonts w:hint="eastAsia" w:ascii="宋体" w:hAnsi="宋体" w:eastAsia="宋体" w:cs="宋体"/>
                <w:color w:val="auto"/>
                <w:szCs w:val="21"/>
                <w:highlight w:val="none"/>
              </w:rPr>
            </w:pPr>
          </w:p>
        </w:tc>
        <w:tc>
          <w:tcPr>
            <w:tcW w:w="1005" w:type="dxa"/>
            <w:tcBorders>
              <w:tl2br w:val="nil"/>
              <w:tr2bl w:val="nil"/>
            </w:tcBorders>
            <w:vAlign w:val="center"/>
          </w:tcPr>
          <w:p w14:paraId="218C26B3">
            <w:pPr>
              <w:spacing w:before="100" w:beforeAutospacing="1" w:after="100" w:afterAutospacing="1"/>
              <w:jc w:val="center"/>
              <w:rPr>
                <w:rFonts w:hint="eastAsia" w:ascii="宋体" w:hAnsi="宋体" w:eastAsia="宋体" w:cs="宋体"/>
                <w:color w:val="auto"/>
                <w:szCs w:val="21"/>
                <w:highlight w:val="none"/>
              </w:rPr>
            </w:pPr>
          </w:p>
        </w:tc>
        <w:tc>
          <w:tcPr>
            <w:tcW w:w="1110" w:type="dxa"/>
            <w:tcBorders>
              <w:tl2br w:val="nil"/>
              <w:tr2bl w:val="nil"/>
            </w:tcBorders>
            <w:vAlign w:val="center"/>
          </w:tcPr>
          <w:p w14:paraId="328FB685">
            <w:pPr>
              <w:spacing w:before="100" w:beforeAutospacing="1" w:after="100" w:afterAutospacing="1"/>
              <w:jc w:val="center"/>
              <w:rPr>
                <w:rFonts w:hint="eastAsia" w:ascii="宋体" w:hAnsi="宋体" w:eastAsia="宋体" w:cs="宋体"/>
                <w:color w:val="auto"/>
                <w:szCs w:val="21"/>
                <w:highlight w:val="none"/>
              </w:rPr>
            </w:pPr>
          </w:p>
        </w:tc>
        <w:tc>
          <w:tcPr>
            <w:tcW w:w="720" w:type="dxa"/>
            <w:tcBorders>
              <w:tl2br w:val="nil"/>
              <w:tr2bl w:val="nil"/>
            </w:tcBorders>
            <w:vAlign w:val="center"/>
          </w:tcPr>
          <w:p w14:paraId="71B095FD">
            <w:pPr>
              <w:spacing w:before="100" w:beforeAutospacing="1" w:after="100" w:afterAutospacing="1"/>
              <w:jc w:val="center"/>
              <w:rPr>
                <w:rFonts w:hint="eastAsia" w:ascii="宋体" w:hAnsi="宋体" w:eastAsia="宋体" w:cs="宋体"/>
                <w:color w:val="auto"/>
                <w:szCs w:val="21"/>
                <w:highlight w:val="none"/>
              </w:rPr>
            </w:pPr>
          </w:p>
        </w:tc>
        <w:tc>
          <w:tcPr>
            <w:tcW w:w="915" w:type="dxa"/>
            <w:tcBorders>
              <w:tl2br w:val="nil"/>
              <w:tr2bl w:val="nil"/>
            </w:tcBorders>
            <w:vAlign w:val="center"/>
          </w:tcPr>
          <w:p w14:paraId="6BE6F0FE">
            <w:pPr>
              <w:spacing w:before="100" w:beforeAutospacing="1" w:after="100" w:afterAutospacing="1"/>
              <w:jc w:val="center"/>
              <w:rPr>
                <w:rFonts w:hint="eastAsia" w:ascii="宋体" w:hAnsi="宋体" w:eastAsia="宋体" w:cs="宋体"/>
                <w:color w:val="auto"/>
                <w:szCs w:val="21"/>
                <w:highlight w:val="none"/>
              </w:rPr>
            </w:pPr>
          </w:p>
        </w:tc>
      </w:tr>
      <w:tr w14:paraId="3C2B1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2F568E9">
            <w:pPr>
              <w:widowControl w:val="0"/>
              <w:adjustRightInd/>
              <w:snapToGrid/>
              <w:spacing w:before="100" w:beforeAutospacing="1" w:after="100" w:afterAutospacing="1"/>
              <w:jc w:val="center"/>
              <w:rPr>
                <w:rFonts w:hint="eastAsia" w:ascii="宋体" w:hAnsi="宋体" w:eastAsia="宋体" w:cs="宋体"/>
                <w:color w:val="auto"/>
                <w:szCs w:val="21"/>
                <w:highlight w:val="none"/>
              </w:rPr>
            </w:pPr>
          </w:p>
        </w:tc>
        <w:tc>
          <w:tcPr>
            <w:tcW w:w="1772" w:type="dxa"/>
            <w:tcBorders>
              <w:tl2br w:val="nil"/>
              <w:tr2bl w:val="nil"/>
            </w:tcBorders>
            <w:vAlign w:val="center"/>
          </w:tcPr>
          <w:p w14:paraId="7D4E1D54">
            <w:pPr>
              <w:spacing w:before="100" w:beforeAutospacing="1" w:after="100" w:afterAutospacing="1"/>
              <w:rPr>
                <w:rFonts w:hint="eastAsia" w:ascii="宋体" w:hAnsi="宋体" w:eastAsia="宋体" w:cs="宋体"/>
                <w:color w:val="auto"/>
                <w:szCs w:val="21"/>
                <w:highlight w:val="none"/>
              </w:rPr>
            </w:pPr>
          </w:p>
        </w:tc>
        <w:tc>
          <w:tcPr>
            <w:tcW w:w="992" w:type="dxa"/>
            <w:tcBorders>
              <w:tl2br w:val="nil"/>
              <w:tr2bl w:val="nil"/>
            </w:tcBorders>
            <w:vAlign w:val="center"/>
          </w:tcPr>
          <w:p w14:paraId="7B6F98AE">
            <w:pPr>
              <w:spacing w:before="100" w:beforeAutospacing="1" w:after="100" w:afterAutospacing="1"/>
              <w:rPr>
                <w:rFonts w:hint="eastAsia" w:ascii="宋体" w:hAnsi="宋体" w:eastAsia="宋体" w:cs="宋体"/>
                <w:color w:val="auto"/>
                <w:szCs w:val="21"/>
                <w:highlight w:val="none"/>
              </w:rPr>
            </w:pPr>
          </w:p>
        </w:tc>
        <w:tc>
          <w:tcPr>
            <w:tcW w:w="1230" w:type="dxa"/>
            <w:tcBorders>
              <w:tl2br w:val="nil"/>
              <w:tr2bl w:val="nil"/>
            </w:tcBorders>
            <w:vAlign w:val="center"/>
          </w:tcPr>
          <w:p w14:paraId="453E6E79">
            <w:pPr>
              <w:spacing w:before="100" w:beforeAutospacing="1" w:after="100" w:afterAutospacing="1"/>
              <w:jc w:val="center"/>
              <w:rPr>
                <w:rFonts w:hint="eastAsia" w:ascii="宋体" w:hAnsi="宋体" w:eastAsia="宋体" w:cs="宋体"/>
                <w:color w:val="auto"/>
                <w:szCs w:val="21"/>
                <w:highlight w:val="none"/>
              </w:rPr>
            </w:pPr>
          </w:p>
        </w:tc>
        <w:tc>
          <w:tcPr>
            <w:tcW w:w="1005" w:type="dxa"/>
            <w:tcBorders>
              <w:tl2br w:val="nil"/>
              <w:tr2bl w:val="nil"/>
            </w:tcBorders>
            <w:vAlign w:val="center"/>
          </w:tcPr>
          <w:p w14:paraId="2D1837A9">
            <w:pPr>
              <w:spacing w:before="100" w:beforeAutospacing="1" w:after="100" w:afterAutospacing="1"/>
              <w:jc w:val="center"/>
              <w:rPr>
                <w:rFonts w:hint="eastAsia" w:ascii="宋体" w:hAnsi="宋体" w:eastAsia="宋体" w:cs="宋体"/>
                <w:color w:val="auto"/>
                <w:szCs w:val="21"/>
                <w:highlight w:val="none"/>
              </w:rPr>
            </w:pPr>
          </w:p>
        </w:tc>
        <w:tc>
          <w:tcPr>
            <w:tcW w:w="1110" w:type="dxa"/>
            <w:tcBorders>
              <w:tl2br w:val="nil"/>
              <w:tr2bl w:val="nil"/>
            </w:tcBorders>
            <w:vAlign w:val="center"/>
          </w:tcPr>
          <w:p w14:paraId="3CB2D704">
            <w:pPr>
              <w:spacing w:before="100" w:beforeAutospacing="1" w:after="100" w:afterAutospacing="1"/>
              <w:jc w:val="center"/>
              <w:rPr>
                <w:rFonts w:hint="eastAsia" w:ascii="宋体" w:hAnsi="宋体" w:eastAsia="宋体" w:cs="宋体"/>
                <w:color w:val="auto"/>
                <w:szCs w:val="21"/>
                <w:highlight w:val="none"/>
              </w:rPr>
            </w:pPr>
          </w:p>
        </w:tc>
        <w:tc>
          <w:tcPr>
            <w:tcW w:w="720" w:type="dxa"/>
            <w:tcBorders>
              <w:tl2br w:val="nil"/>
              <w:tr2bl w:val="nil"/>
            </w:tcBorders>
            <w:vAlign w:val="center"/>
          </w:tcPr>
          <w:p w14:paraId="6E2CF8A6">
            <w:pPr>
              <w:spacing w:before="100" w:beforeAutospacing="1" w:after="100" w:afterAutospacing="1"/>
              <w:jc w:val="center"/>
              <w:rPr>
                <w:rFonts w:hint="eastAsia" w:ascii="宋体" w:hAnsi="宋体" w:eastAsia="宋体" w:cs="宋体"/>
                <w:color w:val="auto"/>
                <w:szCs w:val="21"/>
                <w:highlight w:val="none"/>
              </w:rPr>
            </w:pPr>
          </w:p>
        </w:tc>
        <w:tc>
          <w:tcPr>
            <w:tcW w:w="915" w:type="dxa"/>
            <w:tcBorders>
              <w:tl2br w:val="nil"/>
              <w:tr2bl w:val="nil"/>
            </w:tcBorders>
            <w:vAlign w:val="center"/>
          </w:tcPr>
          <w:p w14:paraId="5996775A">
            <w:pPr>
              <w:spacing w:before="100" w:beforeAutospacing="1" w:after="100" w:afterAutospacing="1"/>
              <w:jc w:val="center"/>
              <w:rPr>
                <w:rFonts w:hint="eastAsia" w:ascii="宋体" w:hAnsi="宋体" w:eastAsia="宋体" w:cs="宋体"/>
                <w:color w:val="auto"/>
                <w:szCs w:val="21"/>
                <w:highlight w:val="none"/>
              </w:rPr>
            </w:pPr>
          </w:p>
        </w:tc>
      </w:tr>
      <w:tr w14:paraId="617B2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54AA18B0">
            <w:pPr>
              <w:widowControl w:val="0"/>
              <w:adjustRightInd/>
              <w:snapToGrid/>
              <w:spacing w:before="100" w:beforeAutospacing="1" w:after="100" w:afterAutospacing="1"/>
              <w:jc w:val="center"/>
              <w:rPr>
                <w:rFonts w:hint="eastAsia" w:ascii="宋体" w:hAnsi="宋体" w:eastAsia="宋体" w:cs="宋体"/>
                <w:color w:val="auto"/>
                <w:szCs w:val="21"/>
                <w:highlight w:val="none"/>
              </w:rPr>
            </w:pPr>
          </w:p>
        </w:tc>
        <w:tc>
          <w:tcPr>
            <w:tcW w:w="1772" w:type="dxa"/>
            <w:tcBorders>
              <w:tl2br w:val="nil"/>
              <w:tr2bl w:val="nil"/>
            </w:tcBorders>
            <w:vAlign w:val="center"/>
          </w:tcPr>
          <w:p w14:paraId="33885FF8">
            <w:pPr>
              <w:spacing w:before="100" w:beforeAutospacing="1" w:after="100" w:afterAutospacing="1"/>
              <w:rPr>
                <w:rFonts w:hint="eastAsia" w:ascii="宋体" w:hAnsi="宋体" w:eastAsia="宋体" w:cs="宋体"/>
                <w:color w:val="auto"/>
                <w:szCs w:val="21"/>
                <w:highlight w:val="none"/>
              </w:rPr>
            </w:pPr>
          </w:p>
        </w:tc>
        <w:tc>
          <w:tcPr>
            <w:tcW w:w="992" w:type="dxa"/>
            <w:tcBorders>
              <w:tl2br w:val="nil"/>
              <w:tr2bl w:val="nil"/>
            </w:tcBorders>
            <w:vAlign w:val="center"/>
          </w:tcPr>
          <w:p w14:paraId="18363538">
            <w:pPr>
              <w:spacing w:before="100" w:beforeAutospacing="1" w:after="100" w:afterAutospacing="1"/>
              <w:rPr>
                <w:rFonts w:hint="eastAsia" w:ascii="宋体" w:hAnsi="宋体" w:eastAsia="宋体" w:cs="宋体"/>
                <w:color w:val="auto"/>
                <w:szCs w:val="21"/>
                <w:highlight w:val="none"/>
              </w:rPr>
            </w:pPr>
          </w:p>
        </w:tc>
        <w:tc>
          <w:tcPr>
            <w:tcW w:w="1230" w:type="dxa"/>
            <w:tcBorders>
              <w:tl2br w:val="nil"/>
              <w:tr2bl w:val="nil"/>
            </w:tcBorders>
            <w:vAlign w:val="center"/>
          </w:tcPr>
          <w:p w14:paraId="7F5608A3">
            <w:pPr>
              <w:spacing w:before="100" w:beforeAutospacing="1" w:after="100" w:afterAutospacing="1"/>
              <w:jc w:val="center"/>
              <w:rPr>
                <w:rFonts w:hint="eastAsia" w:ascii="宋体" w:hAnsi="宋体" w:eastAsia="宋体" w:cs="宋体"/>
                <w:color w:val="auto"/>
                <w:szCs w:val="21"/>
                <w:highlight w:val="none"/>
              </w:rPr>
            </w:pPr>
          </w:p>
        </w:tc>
        <w:tc>
          <w:tcPr>
            <w:tcW w:w="1005" w:type="dxa"/>
            <w:tcBorders>
              <w:tl2br w:val="nil"/>
              <w:tr2bl w:val="nil"/>
            </w:tcBorders>
            <w:vAlign w:val="center"/>
          </w:tcPr>
          <w:p w14:paraId="2636F30F">
            <w:pPr>
              <w:spacing w:before="100" w:beforeAutospacing="1" w:after="100" w:afterAutospacing="1"/>
              <w:jc w:val="center"/>
              <w:rPr>
                <w:rFonts w:hint="eastAsia" w:ascii="宋体" w:hAnsi="宋体" w:eastAsia="宋体" w:cs="宋体"/>
                <w:color w:val="auto"/>
                <w:szCs w:val="21"/>
                <w:highlight w:val="none"/>
              </w:rPr>
            </w:pPr>
          </w:p>
        </w:tc>
        <w:tc>
          <w:tcPr>
            <w:tcW w:w="1110" w:type="dxa"/>
            <w:tcBorders>
              <w:tl2br w:val="nil"/>
              <w:tr2bl w:val="nil"/>
            </w:tcBorders>
            <w:vAlign w:val="center"/>
          </w:tcPr>
          <w:p w14:paraId="40C85C52">
            <w:pPr>
              <w:spacing w:before="100" w:beforeAutospacing="1" w:after="100" w:afterAutospacing="1"/>
              <w:jc w:val="center"/>
              <w:rPr>
                <w:rFonts w:hint="eastAsia" w:ascii="宋体" w:hAnsi="宋体" w:eastAsia="宋体" w:cs="宋体"/>
                <w:color w:val="auto"/>
                <w:szCs w:val="21"/>
                <w:highlight w:val="none"/>
              </w:rPr>
            </w:pPr>
          </w:p>
        </w:tc>
        <w:tc>
          <w:tcPr>
            <w:tcW w:w="720" w:type="dxa"/>
            <w:tcBorders>
              <w:tl2br w:val="nil"/>
              <w:tr2bl w:val="nil"/>
            </w:tcBorders>
            <w:vAlign w:val="center"/>
          </w:tcPr>
          <w:p w14:paraId="427AB603">
            <w:pPr>
              <w:spacing w:before="100" w:beforeAutospacing="1" w:after="100" w:afterAutospacing="1"/>
              <w:jc w:val="center"/>
              <w:rPr>
                <w:rFonts w:hint="eastAsia" w:ascii="宋体" w:hAnsi="宋体" w:eastAsia="宋体" w:cs="宋体"/>
                <w:color w:val="auto"/>
                <w:szCs w:val="21"/>
                <w:highlight w:val="none"/>
              </w:rPr>
            </w:pPr>
          </w:p>
        </w:tc>
        <w:tc>
          <w:tcPr>
            <w:tcW w:w="915" w:type="dxa"/>
            <w:tcBorders>
              <w:tl2br w:val="nil"/>
              <w:tr2bl w:val="nil"/>
            </w:tcBorders>
            <w:vAlign w:val="center"/>
          </w:tcPr>
          <w:p w14:paraId="1D4C8B59">
            <w:pPr>
              <w:spacing w:before="100" w:beforeAutospacing="1" w:after="100" w:afterAutospacing="1"/>
              <w:jc w:val="center"/>
              <w:rPr>
                <w:rFonts w:hint="eastAsia" w:ascii="宋体" w:hAnsi="宋体" w:eastAsia="宋体" w:cs="宋体"/>
                <w:color w:val="auto"/>
                <w:szCs w:val="21"/>
                <w:highlight w:val="none"/>
              </w:rPr>
            </w:pPr>
          </w:p>
        </w:tc>
      </w:tr>
      <w:tr w14:paraId="0F528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4BB890AB">
            <w:pPr>
              <w:widowControl w:val="0"/>
              <w:adjustRightInd/>
              <w:snapToGrid/>
              <w:spacing w:before="100" w:beforeAutospacing="1" w:after="100" w:afterAutospacing="1"/>
              <w:jc w:val="center"/>
              <w:rPr>
                <w:rFonts w:hint="eastAsia" w:ascii="宋体" w:hAnsi="宋体" w:eastAsia="宋体" w:cs="宋体"/>
                <w:color w:val="auto"/>
                <w:szCs w:val="21"/>
                <w:highlight w:val="none"/>
              </w:rPr>
            </w:pPr>
          </w:p>
        </w:tc>
        <w:tc>
          <w:tcPr>
            <w:tcW w:w="1772" w:type="dxa"/>
            <w:tcBorders>
              <w:tl2br w:val="nil"/>
              <w:tr2bl w:val="nil"/>
            </w:tcBorders>
            <w:vAlign w:val="center"/>
          </w:tcPr>
          <w:p w14:paraId="27BB1D76">
            <w:pPr>
              <w:spacing w:before="100" w:beforeAutospacing="1" w:after="100" w:afterAutospacing="1"/>
              <w:rPr>
                <w:rFonts w:hint="eastAsia" w:ascii="宋体" w:hAnsi="宋体" w:eastAsia="宋体" w:cs="宋体"/>
                <w:color w:val="auto"/>
                <w:szCs w:val="21"/>
                <w:highlight w:val="none"/>
              </w:rPr>
            </w:pPr>
          </w:p>
        </w:tc>
        <w:tc>
          <w:tcPr>
            <w:tcW w:w="992" w:type="dxa"/>
            <w:tcBorders>
              <w:tl2br w:val="nil"/>
              <w:tr2bl w:val="nil"/>
            </w:tcBorders>
            <w:vAlign w:val="center"/>
          </w:tcPr>
          <w:p w14:paraId="6AC69743">
            <w:pPr>
              <w:spacing w:before="100" w:beforeAutospacing="1" w:after="100" w:afterAutospacing="1"/>
              <w:rPr>
                <w:rFonts w:hint="eastAsia" w:ascii="宋体" w:hAnsi="宋体" w:eastAsia="宋体" w:cs="宋体"/>
                <w:color w:val="auto"/>
                <w:szCs w:val="21"/>
                <w:highlight w:val="none"/>
              </w:rPr>
            </w:pPr>
          </w:p>
        </w:tc>
        <w:tc>
          <w:tcPr>
            <w:tcW w:w="1230" w:type="dxa"/>
            <w:tcBorders>
              <w:tl2br w:val="nil"/>
              <w:tr2bl w:val="nil"/>
            </w:tcBorders>
            <w:vAlign w:val="center"/>
          </w:tcPr>
          <w:p w14:paraId="7C9AA715">
            <w:pPr>
              <w:spacing w:before="100" w:beforeAutospacing="1" w:after="100" w:afterAutospacing="1"/>
              <w:jc w:val="center"/>
              <w:rPr>
                <w:rFonts w:hint="eastAsia" w:ascii="宋体" w:hAnsi="宋体" w:eastAsia="宋体" w:cs="宋体"/>
                <w:color w:val="auto"/>
                <w:szCs w:val="21"/>
                <w:highlight w:val="none"/>
              </w:rPr>
            </w:pPr>
          </w:p>
        </w:tc>
        <w:tc>
          <w:tcPr>
            <w:tcW w:w="1005" w:type="dxa"/>
            <w:tcBorders>
              <w:tl2br w:val="nil"/>
              <w:tr2bl w:val="nil"/>
            </w:tcBorders>
            <w:vAlign w:val="center"/>
          </w:tcPr>
          <w:p w14:paraId="37BBCB6E">
            <w:pPr>
              <w:spacing w:before="100" w:beforeAutospacing="1" w:after="100" w:afterAutospacing="1"/>
              <w:jc w:val="center"/>
              <w:rPr>
                <w:rFonts w:hint="eastAsia" w:ascii="宋体" w:hAnsi="宋体" w:eastAsia="宋体" w:cs="宋体"/>
                <w:color w:val="auto"/>
                <w:szCs w:val="21"/>
                <w:highlight w:val="none"/>
              </w:rPr>
            </w:pPr>
          </w:p>
        </w:tc>
        <w:tc>
          <w:tcPr>
            <w:tcW w:w="1110" w:type="dxa"/>
            <w:tcBorders>
              <w:tl2br w:val="nil"/>
              <w:tr2bl w:val="nil"/>
            </w:tcBorders>
            <w:vAlign w:val="center"/>
          </w:tcPr>
          <w:p w14:paraId="5178DB8C">
            <w:pPr>
              <w:spacing w:before="100" w:beforeAutospacing="1" w:after="100" w:afterAutospacing="1"/>
              <w:jc w:val="center"/>
              <w:rPr>
                <w:rFonts w:hint="eastAsia" w:ascii="宋体" w:hAnsi="宋体" w:eastAsia="宋体" w:cs="宋体"/>
                <w:color w:val="auto"/>
                <w:szCs w:val="21"/>
                <w:highlight w:val="none"/>
              </w:rPr>
            </w:pPr>
          </w:p>
        </w:tc>
        <w:tc>
          <w:tcPr>
            <w:tcW w:w="720" w:type="dxa"/>
            <w:tcBorders>
              <w:tl2br w:val="nil"/>
              <w:tr2bl w:val="nil"/>
            </w:tcBorders>
            <w:vAlign w:val="center"/>
          </w:tcPr>
          <w:p w14:paraId="082F04B6">
            <w:pPr>
              <w:spacing w:before="100" w:beforeAutospacing="1" w:after="100" w:afterAutospacing="1"/>
              <w:jc w:val="center"/>
              <w:rPr>
                <w:rFonts w:hint="eastAsia" w:ascii="宋体" w:hAnsi="宋体" w:eastAsia="宋体" w:cs="宋体"/>
                <w:color w:val="auto"/>
                <w:szCs w:val="21"/>
                <w:highlight w:val="none"/>
              </w:rPr>
            </w:pPr>
          </w:p>
        </w:tc>
        <w:tc>
          <w:tcPr>
            <w:tcW w:w="915" w:type="dxa"/>
            <w:tcBorders>
              <w:tl2br w:val="nil"/>
              <w:tr2bl w:val="nil"/>
            </w:tcBorders>
            <w:vAlign w:val="center"/>
          </w:tcPr>
          <w:p w14:paraId="386928A9">
            <w:pPr>
              <w:spacing w:before="100" w:beforeAutospacing="1" w:after="100" w:afterAutospacing="1"/>
              <w:jc w:val="center"/>
              <w:rPr>
                <w:rFonts w:hint="eastAsia" w:ascii="宋体" w:hAnsi="宋体" w:eastAsia="宋体" w:cs="宋体"/>
                <w:color w:val="auto"/>
                <w:szCs w:val="21"/>
                <w:highlight w:val="none"/>
              </w:rPr>
            </w:pPr>
          </w:p>
        </w:tc>
      </w:tr>
      <w:tr w14:paraId="34EBD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F1D8615">
            <w:pPr>
              <w:widowControl w:val="0"/>
              <w:adjustRightInd/>
              <w:snapToGrid/>
              <w:spacing w:before="100" w:beforeAutospacing="1" w:after="100" w:afterAutospacing="1"/>
              <w:jc w:val="center"/>
              <w:rPr>
                <w:rFonts w:hint="eastAsia" w:ascii="宋体" w:hAnsi="宋体" w:eastAsia="宋体" w:cs="宋体"/>
                <w:color w:val="auto"/>
                <w:szCs w:val="21"/>
                <w:highlight w:val="none"/>
              </w:rPr>
            </w:pPr>
          </w:p>
        </w:tc>
        <w:tc>
          <w:tcPr>
            <w:tcW w:w="1772" w:type="dxa"/>
            <w:tcBorders>
              <w:tl2br w:val="nil"/>
              <w:tr2bl w:val="nil"/>
            </w:tcBorders>
            <w:vAlign w:val="center"/>
          </w:tcPr>
          <w:p w14:paraId="765A4DC5">
            <w:pPr>
              <w:spacing w:before="100" w:beforeAutospacing="1" w:after="100" w:afterAutospacing="1"/>
              <w:rPr>
                <w:rFonts w:hint="eastAsia" w:ascii="宋体" w:hAnsi="宋体" w:eastAsia="宋体" w:cs="宋体"/>
                <w:color w:val="auto"/>
                <w:szCs w:val="21"/>
                <w:highlight w:val="none"/>
              </w:rPr>
            </w:pPr>
          </w:p>
        </w:tc>
        <w:tc>
          <w:tcPr>
            <w:tcW w:w="992" w:type="dxa"/>
            <w:tcBorders>
              <w:tl2br w:val="nil"/>
              <w:tr2bl w:val="nil"/>
            </w:tcBorders>
            <w:vAlign w:val="center"/>
          </w:tcPr>
          <w:p w14:paraId="4C3F3660">
            <w:pPr>
              <w:spacing w:before="100" w:beforeAutospacing="1" w:after="100" w:afterAutospacing="1"/>
              <w:rPr>
                <w:rFonts w:hint="eastAsia" w:ascii="宋体" w:hAnsi="宋体" w:eastAsia="宋体" w:cs="宋体"/>
                <w:color w:val="auto"/>
                <w:szCs w:val="21"/>
                <w:highlight w:val="none"/>
              </w:rPr>
            </w:pPr>
          </w:p>
        </w:tc>
        <w:tc>
          <w:tcPr>
            <w:tcW w:w="1230" w:type="dxa"/>
            <w:tcBorders>
              <w:tl2br w:val="nil"/>
              <w:tr2bl w:val="nil"/>
            </w:tcBorders>
            <w:vAlign w:val="center"/>
          </w:tcPr>
          <w:p w14:paraId="0B1ACB68">
            <w:pPr>
              <w:spacing w:before="100" w:beforeAutospacing="1" w:after="100" w:afterAutospacing="1"/>
              <w:jc w:val="center"/>
              <w:rPr>
                <w:rFonts w:hint="eastAsia" w:ascii="宋体" w:hAnsi="宋体" w:eastAsia="宋体" w:cs="宋体"/>
                <w:color w:val="auto"/>
                <w:szCs w:val="21"/>
                <w:highlight w:val="none"/>
              </w:rPr>
            </w:pPr>
          </w:p>
        </w:tc>
        <w:tc>
          <w:tcPr>
            <w:tcW w:w="1005" w:type="dxa"/>
            <w:tcBorders>
              <w:tl2br w:val="nil"/>
              <w:tr2bl w:val="nil"/>
            </w:tcBorders>
            <w:vAlign w:val="center"/>
          </w:tcPr>
          <w:p w14:paraId="0E1A939A">
            <w:pPr>
              <w:spacing w:before="100" w:beforeAutospacing="1" w:after="100" w:afterAutospacing="1"/>
              <w:jc w:val="center"/>
              <w:rPr>
                <w:rFonts w:hint="eastAsia" w:ascii="宋体" w:hAnsi="宋体" w:eastAsia="宋体" w:cs="宋体"/>
                <w:color w:val="auto"/>
                <w:szCs w:val="21"/>
                <w:highlight w:val="none"/>
              </w:rPr>
            </w:pPr>
          </w:p>
        </w:tc>
        <w:tc>
          <w:tcPr>
            <w:tcW w:w="1110" w:type="dxa"/>
            <w:tcBorders>
              <w:tl2br w:val="nil"/>
              <w:tr2bl w:val="nil"/>
            </w:tcBorders>
            <w:vAlign w:val="center"/>
          </w:tcPr>
          <w:p w14:paraId="328C069C">
            <w:pPr>
              <w:spacing w:before="100" w:beforeAutospacing="1" w:after="100" w:afterAutospacing="1"/>
              <w:jc w:val="center"/>
              <w:rPr>
                <w:rFonts w:hint="eastAsia" w:ascii="宋体" w:hAnsi="宋体" w:eastAsia="宋体" w:cs="宋体"/>
                <w:color w:val="auto"/>
                <w:szCs w:val="21"/>
                <w:highlight w:val="none"/>
              </w:rPr>
            </w:pPr>
          </w:p>
        </w:tc>
        <w:tc>
          <w:tcPr>
            <w:tcW w:w="720" w:type="dxa"/>
            <w:tcBorders>
              <w:tl2br w:val="nil"/>
              <w:tr2bl w:val="nil"/>
            </w:tcBorders>
            <w:vAlign w:val="center"/>
          </w:tcPr>
          <w:p w14:paraId="39D081F5">
            <w:pPr>
              <w:spacing w:before="100" w:beforeAutospacing="1" w:after="100" w:afterAutospacing="1"/>
              <w:jc w:val="center"/>
              <w:rPr>
                <w:rFonts w:hint="eastAsia" w:ascii="宋体" w:hAnsi="宋体" w:eastAsia="宋体" w:cs="宋体"/>
                <w:color w:val="auto"/>
                <w:szCs w:val="21"/>
                <w:highlight w:val="none"/>
              </w:rPr>
            </w:pPr>
          </w:p>
        </w:tc>
        <w:tc>
          <w:tcPr>
            <w:tcW w:w="915" w:type="dxa"/>
            <w:tcBorders>
              <w:tl2br w:val="nil"/>
              <w:tr2bl w:val="nil"/>
            </w:tcBorders>
            <w:vAlign w:val="center"/>
          </w:tcPr>
          <w:p w14:paraId="11B3CFB9">
            <w:pPr>
              <w:spacing w:before="100" w:beforeAutospacing="1" w:after="100" w:afterAutospacing="1"/>
              <w:jc w:val="center"/>
              <w:rPr>
                <w:rFonts w:hint="eastAsia" w:ascii="宋体" w:hAnsi="宋体" w:eastAsia="宋体" w:cs="宋体"/>
                <w:color w:val="auto"/>
                <w:szCs w:val="21"/>
                <w:highlight w:val="none"/>
              </w:rPr>
            </w:pPr>
          </w:p>
        </w:tc>
      </w:tr>
      <w:tr w14:paraId="749A4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44C4F53">
            <w:pPr>
              <w:widowControl w:val="0"/>
              <w:adjustRightInd/>
              <w:snapToGrid/>
              <w:spacing w:before="100" w:beforeAutospacing="1" w:after="100" w:afterAutospacing="1"/>
              <w:jc w:val="center"/>
              <w:rPr>
                <w:rFonts w:hint="eastAsia" w:ascii="宋体" w:hAnsi="宋体" w:eastAsia="宋体" w:cs="宋体"/>
                <w:color w:val="auto"/>
                <w:szCs w:val="21"/>
                <w:highlight w:val="none"/>
              </w:rPr>
            </w:pPr>
          </w:p>
        </w:tc>
        <w:tc>
          <w:tcPr>
            <w:tcW w:w="1772" w:type="dxa"/>
            <w:tcBorders>
              <w:tl2br w:val="nil"/>
              <w:tr2bl w:val="nil"/>
            </w:tcBorders>
            <w:vAlign w:val="center"/>
          </w:tcPr>
          <w:p w14:paraId="6BEF571B">
            <w:pPr>
              <w:spacing w:before="100" w:beforeAutospacing="1" w:after="100" w:afterAutospacing="1"/>
              <w:rPr>
                <w:rFonts w:hint="eastAsia" w:ascii="宋体" w:hAnsi="宋体" w:eastAsia="宋体" w:cs="宋体"/>
                <w:color w:val="auto"/>
                <w:szCs w:val="21"/>
                <w:highlight w:val="none"/>
              </w:rPr>
            </w:pPr>
          </w:p>
        </w:tc>
        <w:tc>
          <w:tcPr>
            <w:tcW w:w="992" w:type="dxa"/>
            <w:tcBorders>
              <w:tl2br w:val="nil"/>
              <w:tr2bl w:val="nil"/>
            </w:tcBorders>
            <w:vAlign w:val="center"/>
          </w:tcPr>
          <w:p w14:paraId="5A678EF5">
            <w:pPr>
              <w:spacing w:before="100" w:beforeAutospacing="1" w:after="100" w:afterAutospacing="1"/>
              <w:rPr>
                <w:rFonts w:hint="eastAsia" w:ascii="宋体" w:hAnsi="宋体" w:eastAsia="宋体" w:cs="宋体"/>
                <w:color w:val="auto"/>
                <w:szCs w:val="21"/>
                <w:highlight w:val="none"/>
              </w:rPr>
            </w:pPr>
          </w:p>
        </w:tc>
        <w:tc>
          <w:tcPr>
            <w:tcW w:w="1230" w:type="dxa"/>
            <w:tcBorders>
              <w:tl2br w:val="nil"/>
              <w:tr2bl w:val="nil"/>
            </w:tcBorders>
            <w:vAlign w:val="center"/>
          </w:tcPr>
          <w:p w14:paraId="23982509">
            <w:pPr>
              <w:spacing w:before="100" w:beforeAutospacing="1" w:after="100" w:afterAutospacing="1"/>
              <w:jc w:val="center"/>
              <w:rPr>
                <w:rFonts w:hint="eastAsia" w:ascii="宋体" w:hAnsi="宋体" w:eastAsia="宋体" w:cs="宋体"/>
                <w:color w:val="auto"/>
                <w:szCs w:val="21"/>
                <w:highlight w:val="none"/>
              </w:rPr>
            </w:pPr>
          </w:p>
        </w:tc>
        <w:tc>
          <w:tcPr>
            <w:tcW w:w="1005" w:type="dxa"/>
            <w:tcBorders>
              <w:tl2br w:val="nil"/>
              <w:tr2bl w:val="nil"/>
            </w:tcBorders>
            <w:vAlign w:val="center"/>
          </w:tcPr>
          <w:p w14:paraId="00B6C38B">
            <w:pPr>
              <w:spacing w:before="100" w:beforeAutospacing="1" w:after="100" w:afterAutospacing="1"/>
              <w:jc w:val="center"/>
              <w:rPr>
                <w:rFonts w:hint="eastAsia" w:ascii="宋体" w:hAnsi="宋体" w:eastAsia="宋体" w:cs="宋体"/>
                <w:color w:val="auto"/>
                <w:szCs w:val="21"/>
                <w:highlight w:val="none"/>
              </w:rPr>
            </w:pPr>
          </w:p>
        </w:tc>
        <w:tc>
          <w:tcPr>
            <w:tcW w:w="1110" w:type="dxa"/>
            <w:tcBorders>
              <w:tl2br w:val="nil"/>
              <w:tr2bl w:val="nil"/>
            </w:tcBorders>
            <w:vAlign w:val="center"/>
          </w:tcPr>
          <w:p w14:paraId="600E18D0">
            <w:pPr>
              <w:spacing w:before="100" w:beforeAutospacing="1" w:after="100" w:afterAutospacing="1"/>
              <w:jc w:val="center"/>
              <w:rPr>
                <w:rFonts w:hint="eastAsia" w:ascii="宋体" w:hAnsi="宋体" w:eastAsia="宋体" w:cs="宋体"/>
                <w:color w:val="auto"/>
                <w:szCs w:val="21"/>
                <w:highlight w:val="none"/>
              </w:rPr>
            </w:pPr>
          </w:p>
        </w:tc>
        <w:tc>
          <w:tcPr>
            <w:tcW w:w="720" w:type="dxa"/>
            <w:tcBorders>
              <w:tl2br w:val="nil"/>
              <w:tr2bl w:val="nil"/>
            </w:tcBorders>
            <w:vAlign w:val="center"/>
          </w:tcPr>
          <w:p w14:paraId="5A800646">
            <w:pPr>
              <w:spacing w:before="100" w:beforeAutospacing="1" w:after="100" w:afterAutospacing="1"/>
              <w:jc w:val="center"/>
              <w:rPr>
                <w:rFonts w:hint="eastAsia" w:ascii="宋体" w:hAnsi="宋体" w:eastAsia="宋体" w:cs="宋体"/>
                <w:color w:val="auto"/>
                <w:szCs w:val="21"/>
                <w:highlight w:val="none"/>
              </w:rPr>
            </w:pPr>
          </w:p>
        </w:tc>
        <w:tc>
          <w:tcPr>
            <w:tcW w:w="915" w:type="dxa"/>
            <w:tcBorders>
              <w:tl2br w:val="nil"/>
              <w:tr2bl w:val="nil"/>
            </w:tcBorders>
            <w:vAlign w:val="center"/>
          </w:tcPr>
          <w:p w14:paraId="4A964D4C">
            <w:pPr>
              <w:spacing w:before="100" w:beforeAutospacing="1" w:after="100" w:afterAutospacing="1"/>
              <w:jc w:val="center"/>
              <w:rPr>
                <w:rFonts w:hint="eastAsia" w:ascii="宋体" w:hAnsi="宋体" w:eastAsia="宋体" w:cs="宋体"/>
                <w:color w:val="auto"/>
                <w:szCs w:val="21"/>
                <w:highlight w:val="none"/>
              </w:rPr>
            </w:pPr>
          </w:p>
        </w:tc>
      </w:tr>
      <w:tr w14:paraId="6EACB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F7A5D25">
            <w:pPr>
              <w:widowControl w:val="0"/>
              <w:adjustRightInd/>
              <w:snapToGrid/>
              <w:spacing w:before="100" w:beforeAutospacing="1" w:after="100" w:afterAutospacing="1"/>
              <w:jc w:val="center"/>
              <w:rPr>
                <w:rFonts w:hint="eastAsia" w:ascii="宋体" w:hAnsi="宋体" w:eastAsia="宋体" w:cs="宋体"/>
                <w:color w:val="auto"/>
                <w:szCs w:val="21"/>
                <w:highlight w:val="none"/>
              </w:rPr>
            </w:pPr>
          </w:p>
        </w:tc>
        <w:tc>
          <w:tcPr>
            <w:tcW w:w="1772" w:type="dxa"/>
            <w:tcBorders>
              <w:tl2br w:val="nil"/>
              <w:tr2bl w:val="nil"/>
            </w:tcBorders>
            <w:vAlign w:val="center"/>
          </w:tcPr>
          <w:p w14:paraId="48DB1FB4">
            <w:pPr>
              <w:spacing w:before="100" w:beforeAutospacing="1" w:after="100" w:afterAutospacing="1"/>
              <w:rPr>
                <w:rFonts w:hint="eastAsia" w:ascii="宋体" w:hAnsi="宋体" w:eastAsia="宋体" w:cs="宋体"/>
                <w:color w:val="auto"/>
                <w:szCs w:val="21"/>
                <w:highlight w:val="none"/>
              </w:rPr>
            </w:pPr>
          </w:p>
        </w:tc>
        <w:tc>
          <w:tcPr>
            <w:tcW w:w="992" w:type="dxa"/>
            <w:tcBorders>
              <w:tl2br w:val="nil"/>
              <w:tr2bl w:val="nil"/>
            </w:tcBorders>
            <w:vAlign w:val="center"/>
          </w:tcPr>
          <w:p w14:paraId="658166A4">
            <w:pPr>
              <w:spacing w:before="100" w:beforeAutospacing="1" w:after="100" w:afterAutospacing="1"/>
              <w:rPr>
                <w:rFonts w:hint="eastAsia" w:ascii="宋体" w:hAnsi="宋体" w:eastAsia="宋体" w:cs="宋体"/>
                <w:color w:val="auto"/>
                <w:szCs w:val="21"/>
                <w:highlight w:val="none"/>
              </w:rPr>
            </w:pPr>
          </w:p>
        </w:tc>
        <w:tc>
          <w:tcPr>
            <w:tcW w:w="1230" w:type="dxa"/>
            <w:tcBorders>
              <w:tl2br w:val="nil"/>
              <w:tr2bl w:val="nil"/>
            </w:tcBorders>
            <w:vAlign w:val="center"/>
          </w:tcPr>
          <w:p w14:paraId="05F52BB7">
            <w:pPr>
              <w:spacing w:before="100" w:beforeAutospacing="1" w:after="100" w:afterAutospacing="1"/>
              <w:jc w:val="center"/>
              <w:rPr>
                <w:rFonts w:hint="eastAsia" w:ascii="宋体" w:hAnsi="宋体" w:eastAsia="宋体" w:cs="宋体"/>
                <w:color w:val="auto"/>
                <w:szCs w:val="21"/>
                <w:highlight w:val="none"/>
              </w:rPr>
            </w:pPr>
          </w:p>
        </w:tc>
        <w:tc>
          <w:tcPr>
            <w:tcW w:w="1005" w:type="dxa"/>
            <w:tcBorders>
              <w:tl2br w:val="nil"/>
              <w:tr2bl w:val="nil"/>
            </w:tcBorders>
            <w:vAlign w:val="center"/>
          </w:tcPr>
          <w:p w14:paraId="7DE5718D">
            <w:pPr>
              <w:spacing w:before="100" w:beforeAutospacing="1" w:after="100" w:afterAutospacing="1"/>
              <w:jc w:val="center"/>
              <w:rPr>
                <w:rFonts w:hint="eastAsia" w:ascii="宋体" w:hAnsi="宋体" w:eastAsia="宋体" w:cs="宋体"/>
                <w:color w:val="auto"/>
                <w:szCs w:val="21"/>
                <w:highlight w:val="none"/>
              </w:rPr>
            </w:pPr>
          </w:p>
        </w:tc>
        <w:tc>
          <w:tcPr>
            <w:tcW w:w="1110" w:type="dxa"/>
            <w:tcBorders>
              <w:tl2br w:val="nil"/>
              <w:tr2bl w:val="nil"/>
            </w:tcBorders>
            <w:vAlign w:val="center"/>
          </w:tcPr>
          <w:p w14:paraId="1A8ACA19">
            <w:pPr>
              <w:spacing w:before="100" w:beforeAutospacing="1" w:after="100" w:afterAutospacing="1"/>
              <w:jc w:val="center"/>
              <w:rPr>
                <w:rFonts w:hint="eastAsia" w:ascii="宋体" w:hAnsi="宋体" w:eastAsia="宋体" w:cs="宋体"/>
                <w:color w:val="auto"/>
                <w:szCs w:val="21"/>
                <w:highlight w:val="none"/>
              </w:rPr>
            </w:pPr>
          </w:p>
        </w:tc>
        <w:tc>
          <w:tcPr>
            <w:tcW w:w="720" w:type="dxa"/>
            <w:tcBorders>
              <w:tl2br w:val="nil"/>
              <w:tr2bl w:val="nil"/>
            </w:tcBorders>
            <w:vAlign w:val="center"/>
          </w:tcPr>
          <w:p w14:paraId="696814A5">
            <w:pPr>
              <w:spacing w:before="100" w:beforeAutospacing="1" w:after="100" w:afterAutospacing="1"/>
              <w:jc w:val="center"/>
              <w:rPr>
                <w:rFonts w:hint="eastAsia" w:ascii="宋体" w:hAnsi="宋体" w:eastAsia="宋体" w:cs="宋体"/>
                <w:color w:val="auto"/>
                <w:szCs w:val="21"/>
                <w:highlight w:val="none"/>
              </w:rPr>
            </w:pPr>
          </w:p>
        </w:tc>
        <w:tc>
          <w:tcPr>
            <w:tcW w:w="915" w:type="dxa"/>
            <w:tcBorders>
              <w:tl2br w:val="nil"/>
              <w:tr2bl w:val="nil"/>
            </w:tcBorders>
            <w:vAlign w:val="center"/>
          </w:tcPr>
          <w:p w14:paraId="55837018">
            <w:pPr>
              <w:spacing w:before="100" w:beforeAutospacing="1" w:after="100" w:afterAutospacing="1"/>
              <w:jc w:val="center"/>
              <w:rPr>
                <w:rFonts w:hint="eastAsia" w:ascii="宋体" w:hAnsi="宋体" w:eastAsia="宋体" w:cs="宋体"/>
                <w:color w:val="auto"/>
                <w:szCs w:val="21"/>
                <w:highlight w:val="none"/>
              </w:rPr>
            </w:pPr>
          </w:p>
        </w:tc>
      </w:tr>
      <w:tr w14:paraId="5922F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144DE593">
            <w:pPr>
              <w:widowControl w:val="0"/>
              <w:adjustRightInd/>
              <w:snapToGrid/>
              <w:spacing w:before="100" w:beforeAutospacing="1" w:after="100" w:afterAutospacing="1"/>
              <w:jc w:val="center"/>
              <w:rPr>
                <w:rFonts w:hint="eastAsia" w:ascii="宋体" w:hAnsi="宋体" w:eastAsia="宋体" w:cs="宋体"/>
                <w:color w:val="auto"/>
                <w:szCs w:val="21"/>
                <w:highlight w:val="none"/>
              </w:rPr>
            </w:pPr>
          </w:p>
        </w:tc>
        <w:tc>
          <w:tcPr>
            <w:tcW w:w="1772" w:type="dxa"/>
            <w:tcBorders>
              <w:tl2br w:val="nil"/>
              <w:tr2bl w:val="nil"/>
            </w:tcBorders>
            <w:vAlign w:val="center"/>
          </w:tcPr>
          <w:p w14:paraId="60520AE0">
            <w:pPr>
              <w:spacing w:before="100" w:beforeAutospacing="1" w:after="100" w:afterAutospacing="1"/>
              <w:rPr>
                <w:rFonts w:hint="eastAsia" w:ascii="宋体" w:hAnsi="宋体" w:eastAsia="宋体" w:cs="宋体"/>
                <w:color w:val="auto"/>
                <w:szCs w:val="21"/>
                <w:highlight w:val="none"/>
              </w:rPr>
            </w:pPr>
          </w:p>
        </w:tc>
        <w:tc>
          <w:tcPr>
            <w:tcW w:w="992" w:type="dxa"/>
            <w:tcBorders>
              <w:tl2br w:val="nil"/>
              <w:tr2bl w:val="nil"/>
            </w:tcBorders>
            <w:vAlign w:val="center"/>
          </w:tcPr>
          <w:p w14:paraId="7EA1C8AB">
            <w:pPr>
              <w:spacing w:before="100" w:beforeAutospacing="1" w:after="100" w:afterAutospacing="1"/>
              <w:rPr>
                <w:rFonts w:hint="eastAsia" w:ascii="宋体" w:hAnsi="宋体" w:eastAsia="宋体" w:cs="宋体"/>
                <w:color w:val="auto"/>
                <w:szCs w:val="21"/>
                <w:highlight w:val="none"/>
              </w:rPr>
            </w:pPr>
          </w:p>
        </w:tc>
        <w:tc>
          <w:tcPr>
            <w:tcW w:w="1230" w:type="dxa"/>
            <w:tcBorders>
              <w:tl2br w:val="nil"/>
              <w:tr2bl w:val="nil"/>
            </w:tcBorders>
            <w:vAlign w:val="center"/>
          </w:tcPr>
          <w:p w14:paraId="4D7033B3">
            <w:pPr>
              <w:spacing w:before="100" w:beforeAutospacing="1" w:after="100" w:afterAutospacing="1"/>
              <w:jc w:val="center"/>
              <w:rPr>
                <w:rFonts w:hint="eastAsia" w:ascii="宋体" w:hAnsi="宋体" w:eastAsia="宋体" w:cs="宋体"/>
                <w:color w:val="auto"/>
                <w:szCs w:val="21"/>
                <w:highlight w:val="none"/>
              </w:rPr>
            </w:pPr>
          </w:p>
        </w:tc>
        <w:tc>
          <w:tcPr>
            <w:tcW w:w="1005" w:type="dxa"/>
            <w:tcBorders>
              <w:tl2br w:val="nil"/>
              <w:tr2bl w:val="nil"/>
            </w:tcBorders>
            <w:vAlign w:val="center"/>
          </w:tcPr>
          <w:p w14:paraId="5123AB51">
            <w:pPr>
              <w:spacing w:before="100" w:beforeAutospacing="1" w:after="100" w:afterAutospacing="1"/>
              <w:jc w:val="center"/>
              <w:rPr>
                <w:rFonts w:hint="eastAsia" w:ascii="宋体" w:hAnsi="宋体" w:eastAsia="宋体" w:cs="宋体"/>
                <w:color w:val="auto"/>
                <w:szCs w:val="21"/>
                <w:highlight w:val="none"/>
              </w:rPr>
            </w:pPr>
          </w:p>
        </w:tc>
        <w:tc>
          <w:tcPr>
            <w:tcW w:w="1110" w:type="dxa"/>
            <w:tcBorders>
              <w:tl2br w:val="nil"/>
              <w:tr2bl w:val="nil"/>
            </w:tcBorders>
            <w:vAlign w:val="center"/>
          </w:tcPr>
          <w:p w14:paraId="65DBF365">
            <w:pPr>
              <w:spacing w:before="100" w:beforeAutospacing="1" w:after="100" w:afterAutospacing="1"/>
              <w:jc w:val="center"/>
              <w:rPr>
                <w:rFonts w:hint="eastAsia" w:ascii="宋体" w:hAnsi="宋体" w:eastAsia="宋体" w:cs="宋体"/>
                <w:color w:val="auto"/>
                <w:szCs w:val="21"/>
                <w:highlight w:val="none"/>
              </w:rPr>
            </w:pPr>
          </w:p>
        </w:tc>
        <w:tc>
          <w:tcPr>
            <w:tcW w:w="720" w:type="dxa"/>
            <w:tcBorders>
              <w:tl2br w:val="nil"/>
              <w:tr2bl w:val="nil"/>
            </w:tcBorders>
            <w:vAlign w:val="center"/>
          </w:tcPr>
          <w:p w14:paraId="3A55C971">
            <w:pPr>
              <w:spacing w:before="100" w:beforeAutospacing="1" w:after="100" w:afterAutospacing="1"/>
              <w:jc w:val="center"/>
              <w:rPr>
                <w:rFonts w:hint="eastAsia" w:ascii="宋体" w:hAnsi="宋体" w:eastAsia="宋体" w:cs="宋体"/>
                <w:color w:val="auto"/>
                <w:szCs w:val="21"/>
                <w:highlight w:val="none"/>
              </w:rPr>
            </w:pPr>
          </w:p>
        </w:tc>
        <w:tc>
          <w:tcPr>
            <w:tcW w:w="915" w:type="dxa"/>
            <w:tcBorders>
              <w:tl2br w:val="nil"/>
              <w:tr2bl w:val="nil"/>
            </w:tcBorders>
            <w:vAlign w:val="center"/>
          </w:tcPr>
          <w:p w14:paraId="39D560CB">
            <w:pPr>
              <w:spacing w:before="100" w:beforeAutospacing="1" w:after="100" w:afterAutospacing="1"/>
              <w:jc w:val="center"/>
              <w:rPr>
                <w:rFonts w:hint="eastAsia" w:ascii="宋体" w:hAnsi="宋体" w:eastAsia="宋体" w:cs="宋体"/>
                <w:color w:val="auto"/>
                <w:szCs w:val="21"/>
                <w:highlight w:val="none"/>
              </w:rPr>
            </w:pPr>
          </w:p>
        </w:tc>
      </w:tr>
      <w:tr w14:paraId="35F69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791" w:type="dxa"/>
            <w:gridSpan w:val="6"/>
            <w:tcBorders>
              <w:tl2br w:val="nil"/>
              <w:tr2bl w:val="nil"/>
            </w:tcBorders>
            <w:vAlign w:val="center"/>
          </w:tcPr>
          <w:p w14:paraId="01879780">
            <w:pPr>
              <w:spacing w:before="100" w:beforeAutospacing="1" w:after="100" w:afterAutospacing="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合计总价</w:t>
            </w:r>
          </w:p>
        </w:tc>
        <w:tc>
          <w:tcPr>
            <w:tcW w:w="1635" w:type="dxa"/>
            <w:gridSpan w:val="2"/>
            <w:tcBorders>
              <w:tl2br w:val="nil"/>
              <w:tr2bl w:val="nil"/>
            </w:tcBorders>
            <w:vAlign w:val="center"/>
          </w:tcPr>
          <w:p w14:paraId="53559680">
            <w:pPr>
              <w:spacing w:before="100" w:beforeAutospacing="1" w:after="100" w:afterAutospacing="1"/>
              <w:jc w:val="center"/>
              <w:rPr>
                <w:rFonts w:hint="eastAsia" w:ascii="宋体" w:hAnsi="宋体" w:eastAsia="宋体" w:cs="宋体"/>
                <w:color w:val="auto"/>
                <w:szCs w:val="21"/>
                <w:highlight w:val="none"/>
              </w:rPr>
            </w:pPr>
          </w:p>
        </w:tc>
      </w:tr>
    </w:tbl>
    <w:p w14:paraId="45138A56">
      <w:pPr>
        <w:rPr>
          <w:rFonts w:hint="eastAsia" w:ascii="宋体" w:hAnsi="宋体" w:eastAsia="宋体" w:cs="宋体"/>
          <w:b/>
          <w:color w:val="auto"/>
          <w:szCs w:val="21"/>
          <w:highlight w:val="none"/>
        </w:rPr>
      </w:pPr>
    </w:p>
    <w:p w14:paraId="3CB30EFB">
      <w:pPr>
        <w:rPr>
          <w:rFonts w:hint="eastAsia" w:ascii="宋体" w:hAnsi="宋体" w:eastAsia="宋体" w:cs="宋体"/>
          <w:color w:val="auto"/>
          <w:highlight w:val="none"/>
        </w:rPr>
      </w:pPr>
    </w:p>
    <w:p w14:paraId="30BF323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1BD1CEC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1A98C0F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bookmarkStart w:id="113" w:name="_Toc12412"/>
      <w:r>
        <w:rPr>
          <w:rFonts w:hint="eastAsia" w:ascii="宋体" w:hAnsi="宋体" w:eastAsia="宋体" w:cs="宋体"/>
          <w:color w:val="auto"/>
          <w:szCs w:val="21"/>
          <w:highlight w:val="none"/>
        </w:rPr>
        <w:br w:type="page"/>
      </w:r>
    </w:p>
    <w:bookmarkEnd w:id="113"/>
    <w:p w14:paraId="3D14FC7A">
      <w:pPr>
        <w:rPr>
          <w:rFonts w:hint="eastAsia" w:ascii="宋体" w:hAnsi="宋体" w:eastAsia="宋体" w:cs="宋体"/>
          <w:color w:val="auto"/>
          <w:sz w:val="52"/>
          <w:szCs w:val="52"/>
          <w:highlight w:val="none"/>
        </w:rPr>
      </w:pPr>
    </w:p>
    <w:p w14:paraId="0BB3CEDE">
      <w:pPr>
        <w:pStyle w:val="5"/>
        <w:spacing w:before="0" w:after="0" w:line="360" w:lineRule="auto"/>
        <w:jc w:val="center"/>
        <w:rPr>
          <w:rFonts w:hint="eastAsia" w:ascii="宋体" w:hAnsi="宋体" w:eastAsia="宋体" w:cs="宋体"/>
          <w:color w:val="auto"/>
          <w:sz w:val="72"/>
          <w:szCs w:val="72"/>
          <w:highlight w:val="none"/>
        </w:rPr>
      </w:pPr>
      <w:bookmarkStart w:id="114" w:name="_Toc4657"/>
      <w:r>
        <w:rPr>
          <w:rFonts w:hint="eastAsia" w:ascii="宋体" w:hAnsi="宋体" w:eastAsia="宋体" w:cs="宋体"/>
          <w:color w:val="auto"/>
          <w:sz w:val="72"/>
          <w:szCs w:val="72"/>
          <w:highlight w:val="none"/>
        </w:rPr>
        <w:t>商务文件</w:t>
      </w:r>
      <w:bookmarkEnd w:id="114"/>
    </w:p>
    <w:p w14:paraId="50277629">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14:paraId="430E92EA">
      <w:pPr>
        <w:rPr>
          <w:rFonts w:hint="eastAsia" w:ascii="宋体" w:hAnsi="宋体" w:eastAsia="宋体" w:cs="宋体"/>
          <w:color w:val="auto"/>
          <w:highlight w:val="none"/>
        </w:rPr>
      </w:pPr>
    </w:p>
    <w:p w14:paraId="12A3A091">
      <w:pPr>
        <w:pStyle w:val="2"/>
        <w:rPr>
          <w:rFonts w:hint="eastAsia" w:ascii="宋体" w:hAnsi="宋体" w:eastAsia="宋体" w:cs="宋体"/>
          <w:color w:val="auto"/>
          <w:highlight w:val="none"/>
        </w:rPr>
      </w:pPr>
    </w:p>
    <w:p w14:paraId="7064F7DD">
      <w:pPr>
        <w:pStyle w:val="26"/>
        <w:ind w:firstLine="240"/>
        <w:rPr>
          <w:rFonts w:hint="eastAsia" w:ascii="宋体" w:hAnsi="宋体" w:eastAsia="宋体" w:cs="宋体"/>
          <w:color w:val="auto"/>
          <w:highlight w:val="none"/>
        </w:rPr>
      </w:pPr>
    </w:p>
    <w:p w14:paraId="700C4981">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106"/>
          <w:kern w:val="0"/>
          <w:sz w:val="32"/>
          <w:szCs w:val="32"/>
          <w:highlight w:val="none"/>
          <w:fitText w:val="1600" w:id="4"/>
        </w:rPr>
        <w:t>项目名</w:t>
      </w:r>
      <w:r>
        <w:rPr>
          <w:rFonts w:hint="eastAsia" w:ascii="宋体" w:hAnsi="宋体" w:eastAsia="宋体" w:cs="宋体"/>
          <w:b/>
          <w:bCs/>
          <w:color w:val="auto"/>
          <w:spacing w:val="2"/>
          <w:kern w:val="0"/>
          <w:sz w:val="32"/>
          <w:szCs w:val="32"/>
          <w:highlight w:val="none"/>
          <w:fitText w:val="1600" w:id="4"/>
        </w:rPr>
        <w:t>称</w:t>
      </w:r>
      <w:r>
        <w:rPr>
          <w:rFonts w:hint="eastAsia" w:ascii="宋体" w:hAnsi="宋体" w:eastAsia="宋体" w:cs="宋体"/>
          <w:b/>
          <w:bCs/>
          <w:color w:val="auto"/>
          <w:spacing w:val="-6"/>
          <w:sz w:val="32"/>
          <w:szCs w:val="32"/>
          <w:highlight w:val="none"/>
        </w:rPr>
        <w:t>：</w:t>
      </w:r>
    </w:p>
    <w:p w14:paraId="2917031A">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106"/>
          <w:kern w:val="0"/>
          <w:sz w:val="32"/>
          <w:szCs w:val="32"/>
          <w:highlight w:val="none"/>
          <w:fitText w:val="1600" w:id="5"/>
        </w:rPr>
        <w:t>项目编</w:t>
      </w:r>
      <w:r>
        <w:rPr>
          <w:rFonts w:hint="eastAsia" w:ascii="宋体" w:hAnsi="宋体" w:eastAsia="宋体" w:cs="宋体"/>
          <w:b/>
          <w:bCs/>
          <w:color w:val="auto"/>
          <w:spacing w:val="2"/>
          <w:kern w:val="0"/>
          <w:sz w:val="32"/>
          <w:szCs w:val="32"/>
          <w:highlight w:val="none"/>
          <w:fitText w:val="1600" w:id="5"/>
        </w:rPr>
        <w:t>号</w:t>
      </w:r>
      <w:r>
        <w:rPr>
          <w:rFonts w:hint="eastAsia" w:ascii="宋体" w:hAnsi="宋体" w:eastAsia="宋体" w:cs="宋体"/>
          <w:b/>
          <w:bCs/>
          <w:color w:val="auto"/>
          <w:sz w:val="32"/>
          <w:szCs w:val="32"/>
          <w:highlight w:val="none"/>
        </w:rPr>
        <w:t>：</w:t>
      </w:r>
    </w:p>
    <w:p w14:paraId="38CB2B63">
      <w:pPr>
        <w:pStyle w:val="2"/>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14:paraId="748D4B99">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6"/>
        </w:rPr>
        <w:t>投标人名称</w:t>
      </w:r>
      <w:r>
        <w:rPr>
          <w:rFonts w:hint="eastAsia" w:ascii="宋体" w:hAnsi="宋体" w:eastAsia="宋体" w:cs="宋体"/>
          <w:b/>
          <w:color w:val="auto"/>
          <w:sz w:val="32"/>
          <w:szCs w:val="32"/>
          <w:highlight w:val="none"/>
        </w:rPr>
        <w:t>：</w:t>
      </w:r>
    </w:p>
    <w:p w14:paraId="34159BBB">
      <w:pPr>
        <w:rPr>
          <w:rFonts w:hint="eastAsia" w:ascii="宋体" w:hAnsi="宋体" w:eastAsia="宋体" w:cs="宋体"/>
          <w:b/>
          <w:color w:val="auto"/>
          <w:sz w:val="32"/>
          <w:szCs w:val="32"/>
          <w:highlight w:val="none"/>
        </w:rPr>
      </w:pPr>
      <w:r>
        <w:rPr>
          <w:rFonts w:hint="eastAsia" w:ascii="宋体" w:hAnsi="宋体" w:eastAsia="宋体" w:cs="宋体"/>
          <w:b/>
          <w:color w:val="auto"/>
          <w:spacing w:val="64"/>
          <w:kern w:val="0"/>
          <w:sz w:val="32"/>
          <w:szCs w:val="32"/>
          <w:highlight w:val="none"/>
          <w:fitText w:val="1600" w:id="7"/>
        </w:rPr>
        <w:t xml:space="preserve">日    </w:t>
      </w:r>
      <w:r>
        <w:rPr>
          <w:rFonts w:hint="eastAsia" w:ascii="宋体" w:hAnsi="宋体" w:eastAsia="宋体" w:cs="宋体"/>
          <w:b/>
          <w:color w:val="auto"/>
          <w:spacing w:val="0"/>
          <w:kern w:val="0"/>
          <w:sz w:val="32"/>
          <w:szCs w:val="32"/>
          <w:highlight w:val="none"/>
          <w:fitText w:val="1600" w:id="7"/>
        </w:rPr>
        <w:t>期</w:t>
      </w:r>
      <w:r>
        <w:rPr>
          <w:rFonts w:hint="eastAsia" w:ascii="宋体" w:hAnsi="宋体" w:eastAsia="宋体" w:cs="宋体"/>
          <w:b/>
          <w:color w:val="auto"/>
          <w:sz w:val="32"/>
          <w:szCs w:val="32"/>
          <w:highlight w:val="none"/>
        </w:rPr>
        <w:t>：</w:t>
      </w:r>
    </w:p>
    <w:p w14:paraId="13D2C435">
      <w:pPr>
        <w:pStyle w:val="2"/>
        <w:rPr>
          <w:rFonts w:hint="eastAsia" w:ascii="宋体" w:hAnsi="宋体" w:eastAsia="宋体" w:cs="宋体"/>
          <w:b/>
          <w:color w:val="auto"/>
          <w:sz w:val="32"/>
          <w:szCs w:val="32"/>
          <w:highlight w:val="none"/>
        </w:rPr>
      </w:pPr>
    </w:p>
    <w:p w14:paraId="7AAA2AAC">
      <w:pPr>
        <w:pStyle w:val="26"/>
        <w:ind w:firstLine="321"/>
        <w:rPr>
          <w:rFonts w:hint="eastAsia" w:ascii="宋体" w:hAnsi="宋体" w:eastAsia="宋体" w:cs="宋体"/>
          <w:b/>
          <w:color w:val="auto"/>
          <w:sz w:val="32"/>
          <w:szCs w:val="32"/>
          <w:highlight w:val="none"/>
        </w:rPr>
      </w:pPr>
    </w:p>
    <w:p w14:paraId="1C2DB776">
      <w:pPr>
        <w:pStyle w:val="21"/>
        <w:rPr>
          <w:rFonts w:hint="eastAsia" w:ascii="宋体" w:hAnsi="宋体" w:eastAsia="宋体" w:cs="宋体"/>
          <w:b/>
          <w:color w:val="auto"/>
          <w:sz w:val="32"/>
          <w:szCs w:val="32"/>
          <w:highlight w:val="none"/>
        </w:rPr>
      </w:pPr>
    </w:p>
    <w:p w14:paraId="3F588C06">
      <w:pPr>
        <w:rPr>
          <w:rFonts w:hint="eastAsia" w:ascii="宋体" w:hAnsi="宋体" w:eastAsia="宋体" w:cs="宋体"/>
          <w:b/>
          <w:color w:val="auto"/>
          <w:sz w:val="32"/>
          <w:szCs w:val="32"/>
          <w:highlight w:val="none"/>
        </w:rPr>
      </w:pPr>
    </w:p>
    <w:p w14:paraId="61E386B2">
      <w:pPr>
        <w:pStyle w:val="2"/>
        <w:rPr>
          <w:rFonts w:hint="eastAsia" w:ascii="宋体" w:hAnsi="宋体" w:eastAsia="宋体" w:cs="宋体"/>
          <w:b/>
          <w:color w:val="auto"/>
          <w:sz w:val="32"/>
          <w:szCs w:val="32"/>
          <w:highlight w:val="none"/>
        </w:rPr>
      </w:pPr>
    </w:p>
    <w:p w14:paraId="756FA285">
      <w:pPr>
        <w:rPr>
          <w:rFonts w:hint="eastAsia" w:ascii="宋体" w:hAnsi="宋体" w:eastAsia="宋体" w:cs="宋体"/>
          <w:color w:val="auto"/>
          <w:highlight w:val="none"/>
        </w:rPr>
      </w:pPr>
    </w:p>
    <w:p w14:paraId="473C344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C386481">
      <w:pPr>
        <w:pStyle w:val="7"/>
        <w:widowControl w:val="0"/>
        <w:overflowPunct w:val="0"/>
        <w:spacing w:line="240" w:lineRule="auto"/>
        <w:rPr>
          <w:rFonts w:hint="eastAsia" w:ascii="宋体" w:hAnsi="宋体" w:eastAsia="宋体" w:cs="宋体"/>
          <w:color w:val="auto"/>
          <w:highlight w:val="none"/>
        </w:rPr>
      </w:pPr>
      <w:bookmarkStart w:id="115" w:name="_Toc29449"/>
      <w:r>
        <w:rPr>
          <w:rFonts w:hint="eastAsia" w:ascii="宋体" w:hAnsi="宋体" w:eastAsia="宋体" w:cs="宋体"/>
          <w:color w:val="auto"/>
          <w:sz w:val="21"/>
          <w:szCs w:val="21"/>
          <w:highlight w:val="none"/>
        </w:rPr>
        <w:t>附件4.投标书格式</w:t>
      </w:r>
      <w:bookmarkEnd w:id="115"/>
    </w:p>
    <w:p w14:paraId="67088DA4">
      <w:pPr>
        <w:jc w:val="center"/>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投标书</w:t>
      </w:r>
    </w:p>
    <w:p w14:paraId="366633D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广东志正招标有限公司东莞分公司</w:t>
      </w:r>
      <w:r>
        <w:rPr>
          <w:rFonts w:hint="eastAsia" w:ascii="宋体" w:hAnsi="宋体" w:eastAsia="宋体" w:cs="宋体"/>
          <w:color w:val="auto"/>
          <w:szCs w:val="21"/>
          <w:highlight w:val="none"/>
        </w:rPr>
        <w:t>：</w:t>
      </w:r>
    </w:p>
    <w:p w14:paraId="590AA349">
      <w:pPr>
        <w:rPr>
          <w:rFonts w:hint="eastAsia" w:ascii="宋体" w:hAnsi="宋体" w:eastAsia="宋体" w:cs="宋体"/>
          <w:color w:val="auto"/>
          <w:szCs w:val="21"/>
          <w:highlight w:val="none"/>
        </w:rPr>
      </w:pPr>
    </w:p>
    <w:p w14:paraId="5CBCA65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（项目名称）（采购项目编号）</w:t>
      </w:r>
      <w:r>
        <w:rPr>
          <w:rFonts w:hint="eastAsia" w:ascii="宋体" w:hAnsi="宋体" w:eastAsia="宋体" w:cs="宋体"/>
          <w:color w:val="auto"/>
          <w:szCs w:val="21"/>
          <w:highlight w:val="none"/>
        </w:rPr>
        <w:t>项目采购公告/采购邀请，签字代表</w:t>
      </w:r>
      <w:r>
        <w:rPr>
          <w:rFonts w:hint="eastAsia" w:ascii="宋体" w:hAnsi="宋体" w:eastAsia="宋体" w:cs="宋体"/>
          <w:color w:val="auto"/>
          <w:szCs w:val="21"/>
          <w:highlight w:val="none"/>
          <w:u w:val="single"/>
        </w:rPr>
        <w:t>（姓名、职务）</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（投标人名称、地址）</w:t>
      </w:r>
      <w:r>
        <w:rPr>
          <w:rFonts w:hint="eastAsia" w:ascii="宋体" w:hAnsi="宋体" w:eastAsia="宋体" w:cs="宋体"/>
          <w:color w:val="auto"/>
          <w:szCs w:val="21"/>
          <w:highlight w:val="none"/>
        </w:rPr>
        <w:t>提交投标文件及“唱标信封”：</w:t>
      </w:r>
    </w:p>
    <w:p w14:paraId="087556E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在此，签字代表宣布同意如下： </w:t>
      </w:r>
    </w:p>
    <w:p w14:paraId="4C9AE2AF">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我方将按采购文件的规定履行合同责任和义务。 </w:t>
      </w:r>
    </w:p>
    <w:p w14:paraId="114BBB14">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0F6D1019">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本投标有效期为自开标日起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 xml:space="preserve">个日历日。 </w:t>
      </w:r>
    </w:p>
    <w:p w14:paraId="4EA06412">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我方保证遵守投标人须知中关于没收投标保证金的规定。</w:t>
      </w:r>
    </w:p>
    <w:p w14:paraId="7860F61E">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我方承诺，与买方聘请的为此项目提供咨询服务的公司及任何附属机构均无关联，我方不是买方的附属机构。 </w:t>
      </w:r>
    </w:p>
    <w:p w14:paraId="3A09917A">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61A07900">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我方同意提供按照贵方可能要求的与其投标有关的一切数据或资料。</w:t>
      </w:r>
    </w:p>
    <w:p w14:paraId="5142BA4E">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与本投标有关的一切正式信函请寄：</w:t>
      </w:r>
    </w:p>
    <w:p w14:paraId="5134B58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电子邮箱：　　　　</w:t>
      </w:r>
    </w:p>
    <w:p w14:paraId="7513A85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电话/移动电话：</w:t>
      </w:r>
    </w:p>
    <w:p w14:paraId="14AEFB0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投标人法定代表人（或其授权代表）签字：                  </w:t>
      </w:r>
    </w:p>
    <w:p w14:paraId="10A33A9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投标人名称（全称）： </w:t>
      </w:r>
    </w:p>
    <w:p w14:paraId="1953E31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投标人盖章： </w:t>
      </w:r>
    </w:p>
    <w:p w14:paraId="3B05B40D">
      <w:pPr>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highlight w:val="none"/>
        </w:rPr>
        <w:br w:type="page"/>
      </w:r>
    </w:p>
    <w:p w14:paraId="22A7A54F">
      <w:pPr>
        <w:pStyle w:val="7"/>
        <w:widowControl w:val="0"/>
        <w:overflowPunct w:val="0"/>
        <w:spacing w:line="240" w:lineRule="auto"/>
        <w:rPr>
          <w:rFonts w:hint="eastAsia" w:ascii="宋体" w:hAnsi="宋体" w:eastAsia="宋体" w:cs="宋体"/>
          <w:color w:val="auto"/>
          <w:sz w:val="21"/>
          <w:szCs w:val="21"/>
          <w:highlight w:val="none"/>
        </w:rPr>
      </w:pPr>
      <w:bookmarkStart w:id="116" w:name="_Toc459"/>
      <w:r>
        <w:rPr>
          <w:rFonts w:hint="eastAsia" w:ascii="宋体" w:hAnsi="宋体" w:eastAsia="宋体" w:cs="宋体"/>
          <w:color w:val="auto"/>
          <w:sz w:val="21"/>
          <w:szCs w:val="21"/>
          <w:highlight w:val="none"/>
        </w:rPr>
        <w:t>附件5. 法定代表人证明书格式</w:t>
      </w:r>
      <w:bookmarkEnd w:id="116"/>
    </w:p>
    <w:p w14:paraId="1F7A9569">
      <w:pPr>
        <w:rPr>
          <w:rFonts w:hint="eastAsia" w:ascii="宋体" w:hAnsi="宋体" w:eastAsia="宋体" w:cs="宋体"/>
          <w:color w:val="auto"/>
          <w:highlight w:val="none"/>
        </w:rPr>
      </w:pPr>
    </w:p>
    <w:p w14:paraId="4F9CCFB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法定代表人证明书</w:t>
      </w:r>
    </w:p>
    <w:p w14:paraId="24324DE3">
      <w:pPr>
        <w:pStyle w:val="42"/>
        <w:spacing w:line="42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广东志正招标有限公司东莞分公司</w:t>
      </w:r>
    </w:p>
    <w:p w14:paraId="49DACBD5">
      <w:pPr>
        <w:pStyle w:val="42"/>
        <w:spacing w:line="420" w:lineRule="atLeast"/>
        <w:ind w:firstLine="433"/>
        <w:rPr>
          <w:rFonts w:hint="eastAsia" w:ascii="宋体" w:hAnsi="宋体" w:eastAsia="宋体" w:cs="宋体"/>
          <w:color w:val="auto"/>
          <w:sz w:val="21"/>
          <w:szCs w:val="21"/>
          <w:highlight w:val="none"/>
        </w:rPr>
      </w:pPr>
    </w:p>
    <w:p w14:paraId="78D28B24">
      <w:pPr>
        <w:pStyle w:val="42"/>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w:t>
      </w:r>
    </w:p>
    <w:p w14:paraId="42C0FCAC">
      <w:pPr>
        <w:pStyle w:val="42"/>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 位 性质：</w:t>
      </w:r>
    </w:p>
    <w:p w14:paraId="7947F78C">
      <w:pPr>
        <w:pStyle w:val="42"/>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p>
    <w:p w14:paraId="172DE7A2">
      <w:pPr>
        <w:pStyle w:val="42"/>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 立 时间：年月日</w:t>
      </w:r>
    </w:p>
    <w:p w14:paraId="60F3A5E2">
      <w:pPr>
        <w:pStyle w:val="42"/>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 营 期限：</w:t>
      </w:r>
    </w:p>
    <w:p w14:paraId="2B3B7634">
      <w:pPr>
        <w:pStyle w:val="42"/>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姓名：性别：年龄：职务：</w:t>
      </w:r>
    </w:p>
    <w:p w14:paraId="777DA81D">
      <w:pPr>
        <w:pStyle w:val="42"/>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系（投标人名称）的法定代表人。</w:t>
      </w:r>
    </w:p>
    <w:p w14:paraId="5C35C2C7">
      <w:pPr>
        <w:spacing w:line="4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1BF43F38">
      <w:pPr>
        <w:pStyle w:val="42"/>
        <w:spacing w:line="500" w:lineRule="atLeast"/>
        <w:ind w:firstLine="3517" w:firstLineChars="1675"/>
        <w:rPr>
          <w:rFonts w:hint="eastAsia" w:ascii="宋体" w:hAnsi="宋体" w:eastAsia="宋体" w:cs="宋体"/>
          <w:color w:val="auto"/>
          <w:sz w:val="21"/>
          <w:szCs w:val="21"/>
          <w:highlight w:val="none"/>
        </w:rPr>
      </w:pPr>
    </w:p>
    <w:p w14:paraId="2358CEC0">
      <w:pPr>
        <w:pStyle w:val="42"/>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14:paraId="4304D58C">
      <w:pPr>
        <w:pStyle w:val="42"/>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法定代表人（签名或盖私章）：</w:t>
      </w:r>
    </w:p>
    <w:p w14:paraId="277596EB">
      <w:pPr>
        <w:pStyle w:val="42"/>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法定代表人联系方式：</w:t>
      </w:r>
    </w:p>
    <w:p w14:paraId="1F4F9F5F">
      <w:pPr>
        <w:pStyle w:val="42"/>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p>
    <w:p w14:paraId="20E9D8A6">
      <w:pPr>
        <w:pStyle w:val="42"/>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501543F3">
      <w:pPr>
        <w:ind w:firstLine="420" w:firstLineChars="200"/>
        <w:rPr>
          <w:rFonts w:hint="eastAsia" w:ascii="宋体" w:hAnsi="宋体" w:eastAsia="宋体" w:cs="宋体"/>
          <w:color w:val="auto"/>
          <w:szCs w:val="21"/>
          <w:highlight w:val="none"/>
        </w:rPr>
      </w:pPr>
    </w:p>
    <w:p w14:paraId="0D10367F">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注：法定代表人身份证明书需附法人代表身份证复印件。</w:t>
      </w:r>
    </w:p>
    <w:tbl>
      <w:tblPr>
        <w:tblStyle w:val="27"/>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791889A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2B8A1825">
            <w:pPr>
              <w:pStyle w:val="42"/>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182" w:type="dxa"/>
            <w:vAlign w:val="center"/>
          </w:tcPr>
          <w:p w14:paraId="59837AD0">
            <w:pPr>
              <w:pStyle w:val="42"/>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14:paraId="3FF5DB3B">
      <w:pPr>
        <w:rPr>
          <w:rFonts w:hint="eastAsia" w:ascii="宋体" w:hAnsi="宋体" w:eastAsia="宋体" w:cs="宋体"/>
          <w:color w:val="auto"/>
          <w:highlight w:val="none"/>
        </w:rPr>
      </w:pPr>
    </w:p>
    <w:p w14:paraId="395F56DA">
      <w:pPr>
        <w:adjustRightInd/>
        <w:snapToGrid/>
        <w:spacing w:line="276" w:lineRule="auto"/>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br w:type="page"/>
      </w:r>
    </w:p>
    <w:p w14:paraId="54C61C6B">
      <w:pPr>
        <w:pStyle w:val="7"/>
        <w:widowControl w:val="0"/>
        <w:overflowPunct w:val="0"/>
        <w:spacing w:line="240" w:lineRule="auto"/>
        <w:rPr>
          <w:rFonts w:hint="eastAsia" w:ascii="宋体" w:hAnsi="宋体" w:eastAsia="宋体" w:cs="宋体"/>
          <w:color w:val="auto"/>
          <w:highlight w:val="none"/>
        </w:rPr>
      </w:pPr>
      <w:bookmarkStart w:id="117" w:name="_Toc2323"/>
      <w:r>
        <w:rPr>
          <w:rFonts w:hint="eastAsia" w:ascii="宋体" w:hAnsi="宋体" w:eastAsia="宋体" w:cs="宋体"/>
          <w:color w:val="auto"/>
          <w:sz w:val="21"/>
          <w:szCs w:val="21"/>
          <w:highlight w:val="none"/>
        </w:rPr>
        <w:t>附件6.法定代表人授权书格式</w:t>
      </w:r>
      <w:bookmarkEnd w:id="117"/>
    </w:p>
    <w:p w14:paraId="20205832">
      <w:pPr>
        <w:rPr>
          <w:rFonts w:hint="eastAsia" w:ascii="宋体" w:hAnsi="宋体" w:eastAsia="宋体" w:cs="宋体"/>
          <w:color w:val="auto"/>
          <w:highlight w:val="none"/>
        </w:rPr>
      </w:pPr>
    </w:p>
    <w:p w14:paraId="61D04B3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法定代表人授权书</w:t>
      </w:r>
    </w:p>
    <w:p w14:paraId="6944B29C">
      <w:pPr>
        <w:pStyle w:val="42"/>
        <w:spacing w:line="42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广东志正招标有限公司东莞分公司</w:t>
      </w:r>
    </w:p>
    <w:p w14:paraId="20240B31">
      <w:pPr>
        <w:pStyle w:val="42"/>
        <w:spacing w:line="420" w:lineRule="atLeast"/>
        <w:ind w:firstLine="433"/>
        <w:rPr>
          <w:rFonts w:hint="eastAsia" w:ascii="宋体" w:hAnsi="宋体" w:eastAsia="宋体" w:cs="宋体"/>
          <w:color w:val="auto"/>
          <w:sz w:val="21"/>
          <w:szCs w:val="21"/>
          <w:highlight w:val="none"/>
        </w:rPr>
      </w:pPr>
    </w:p>
    <w:p w14:paraId="06A47E7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本授权书声明：注册于</w:t>
      </w:r>
      <w:r>
        <w:rPr>
          <w:rFonts w:hint="eastAsia" w:ascii="宋体" w:hAnsi="宋体" w:eastAsia="宋体" w:cs="宋体"/>
          <w:color w:val="auto"/>
          <w:szCs w:val="21"/>
          <w:highlight w:val="none"/>
          <w:u w:val="single"/>
        </w:rPr>
        <w:t>（国家或地区的名称）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（法定代表人姓名、职务）</w:t>
      </w:r>
      <w:r>
        <w:rPr>
          <w:rFonts w:hint="eastAsia" w:ascii="宋体" w:hAnsi="宋体" w:eastAsia="宋体" w:cs="宋体"/>
          <w:color w:val="auto"/>
          <w:szCs w:val="21"/>
          <w:highlight w:val="none"/>
        </w:rPr>
        <w:t>代表本单位授权</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（被授权人的姓名、职务）</w:t>
      </w:r>
      <w:r>
        <w:rPr>
          <w:rFonts w:hint="eastAsia" w:ascii="宋体" w:hAnsi="宋体" w:eastAsia="宋体" w:cs="宋体"/>
          <w:color w:val="auto"/>
          <w:szCs w:val="21"/>
          <w:highlight w:val="none"/>
        </w:rPr>
        <w:t>为本单位的合法代理人，就</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投标及参加项目谈判，以本单位名义处理一切与之有关的事务。</w:t>
      </w:r>
    </w:p>
    <w:p w14:paraId="5D219517">
      <w:pP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日签字生效，特此声明。</w:t>
      </w:r>
    </w:p>
    <w:p w14:paraId="20237969">
      <w:pPr>
        <w:pStyle w:val="42"/>
        <w:spacing w:line="500" w:lineRule="atLeast"/>
        <w:ind w:firstLine="3517" w:firstLineChars="1675"/>
        <w:rPr>
          <w:rFonts w:hint="eastAsia" w:ascii="宋体" w:hAnsi="宋体" w:eastAsia="宋体" w:cs="宋体"/>
          <w:color w:val="auto"/>
          <w:sz w:val="21"/>
          <w:szCs w:val="21"/>
          <w:highlight w:val="none"/>
        </w:rPr>
      </w:pPr>
    </w:p>
    <w:p w14:paraId="64F6A782">
      <w:pPr>
        <w:pStyle w:val="42"/>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14:paraId="6E12E0C6">
      <w:pPr>
        <w:pStyle w:val="42"/>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法定代表人签字（签名或盖私章）：</w:t>
      </w:r>
    </w:p>
    <w:p w14:paraId="4D565CD4">
      <w:pPr>
        <w:pStyle w:val="42"/>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w:t>
      </w:r>
    </w:p>
    <w:p w14:paraId="2DCE742E">
      <w:pPr>
        <w:pStyle w:val="42"/>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职务：</w:t>
      </w:r>
    </w:p>
    <w:p w14:paraId="6BC43B46">
      <w:pPr>
        <w:pStyle w:val="42"/>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移动电话： </w:t>
      </w:r>
    </w:p>
    <w:p w14:paraId="74C2CB5F">
      <w:pPr>
        <w:pStyle w:val="42"/>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详细通讯地址：</w:t>
      </w:r>
    </w:p>
    <w:p w14:paraId="647276F9">
      <w:pPr>
        <w:pStyle w:val="42"/>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邮箱：                          </w:t>
      </w:r>
    </w:p>
    <w:p w14:paraId="6C3F66FE">
      <w:pPr>
        <w:pStyle w:val="42"/>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15B5E8A7">
      <w:pPr>
        <w:pStyle w:val="42"/>
        <w:spacing w:line="460" w:lineRule="exact"/>
        <w:ind w:firstLine="433"/>
        <w:rPr>
          <w:rFonts w:hint="eastAsia" w:ascii="宋体" w:hAnsi="宋体" w:eastAsia="宋体" w:cs="宋体"/>
          <w:color w:val="auto"/>
          <w:sz w:val="21"/>
          <w:szCs w:val="21"/>
          <w:highlight w:val="none"/>
        </w:rPr>
      </w:pPr>
    </w:p>
    <w:p w14:paraId="5D22A381">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须附：被授权人身份证复印件。</w:t>
      </w:r>
    </w:p>
    <w:tbl>
      <w:tblPr>
        <w:tblStyle w:val="27"/>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1A7C3B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0F4E6F78">
            <w:pPr>
              <w:pStyle w:val="42"/>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232" w:type="dxa"/>
            <w:vAlign w:val="center"/>
          </w:tcPr>
          <w:p w14:paraId="4199D6B3">
            <w:pPr>
              <w:pStyle w:val="42"/>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14:paraId="1071B185">
      <w:pPr>
        <w:adjustRightInd/>
        <w:snapToGrid/>
        <w:spacing w:line="276" w:lineRule="auto"/>
        <w:rPr>
          <w:rFonts w:hint="eastAsia" w:ascii="宋体" w:hAnsi="宋体" w:eastAsia="宋体" w:cs="宋体"/>
          <w:color w:val="auto"/>
          <w:highlight w:val="none"/>
        </w:rPr>
      </w:pPr>
      <w:bookmarkStart w:id="118" w:name="_Toc22486"/>
      <w:r>
        <w:rPr>
          <w:rFonts w:hint="eastAsia" w:ascii="宋体" w:hAnsi="宋体" w:eastAsia="宋体" w:cs="宋体"/>
          <w:color w:val="auto"/>
          <w:szCs w:val="21"/>
          <w:highlight w:val="none"/>
        </w:rPr>
        <w:br w:type="page"/>
      </w:r>
    </w:p>
    <w:p w14:paraId="7BE51606">
      <w:pPr>
        <w:pStyle w:val="7"/>
        <w:widowControl w:val="0"/>
        <w:overflowPunct w:val="0"/>
        <w:spacing w:line="240" w:lineRule="auto"/>
        <w:rPr>
          <w:rFonts w:hint="eastAsia" w:ascii="宋体" w:hAnsi="宋体" w:eastAsia="宋体" w:cs="宋体"/>
          <w:color w:val="auto"/>
          <w:sz w:val="21"/>
          <w:szCs w:val="21"/>
          <w:highlight w:val="none"/>
        </w:rPr>
      </w:pPr>
      <w:bookmarkStart w:id="119" w:name="_Toc16960"/>
      <w:r>
        <w:rPr>
          <w:rFonts w:hint="eastAsia" w:ascii="宋体" w:hAnsi="宋体" w:eastAsia="宋体" w:cs="宋体"/>
          <w:color w:val="auto"/>
          <w:sz w:val="21"/>
          <w:szCs w:val="21"/>
          <w:highlight w:val="none"/>
        </w:rPr>
        <w:t>附件7.资格申明</w:t>
      </w:r>
      <w:bookmarkEnd w:id="119"/>
    </w:p>
    <w:p w14:paraId="44AB4F4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资格申明</w:t>
      </w:r>
    </w:p>
    <w:p w14:paraId="3657705E">
      <w:pPr>
        <w:pStyle w:val="42"/>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广东志正招标有限公司东莞分公司</w:t>
      </w:r>
      <w:r>
        <w:rPr>
          <w:rFonts w:hint="eastAsia" w:ascii="宋体" w:hAnsi="宋体" w:eastAsia="宋体" w:cs="宋体"/>
          <w:color w:val="auto"/>
          <w:sz w:val="21"/>
          <w:szCs w:val="21"/>
          <w:highlight w:val="none"/>
        </w:rPr>
        <w:t>：</w:t>
      </w:r>
    </w:p>
    <w:p w14:paraId="0A064607">
      <w:pPr>
        <w:ind w:firstLine="420" w:firstLineChars="200"/>
        <w:rPr>
          <w:rFonts w:hint="eastAsia" w:ascii="宋体" w:hAnsi="宋体" w:eastAsia="宋体" w:cs="宋体"/>
          <w:color w:val="auto"/>
          <w:szCs w:val="21"/>
          <w:highlight w:val="none"/>
        </w:rPr>
      </w:pPr>
    </w:p>
    <w:p w14:paraId="5736E48F">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我方愿响应贵方关于（项目名称：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）的投标邀请，参与投标，提供用户需求书中规定的货物及相关服务，并按采购文件要求提交所附资格文件且声明和保证如下：</w:t>
      </w:r>
    </w:p>
    <w:p w14:paraId="64C821A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0018E33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二、我方依法注册，在法律上、财务上和运作上完全独立于</w:t>
      </w:r>
      <w:r>
        <w:rPr>
          <w:rFonts w:hint="eastAsia" w:ascii="宋体" w:hAnsi="宋体" w:eastAsia="宋体" w:cs="宋体"/>
          <w:color w:val="auto"/>
          <w:szCs w:val="21"/>
          <w:highlight w:val="none"/>
          <w:u w:val="single"/>
        </w:rPr>
        <w:t xml:space="preserve">  xxxx   </w:t>
      </w:r>
      <w:r>
        <w:rPr>
          <w:rFonts w:hint="eastAsia" w:ascii="宋体" w:hAnsi="宋体" w:eastAsia="宋体" w:cs="宋体"/>
          <w:color w:val="auto"/>
          <w:szCs w:val="21"/>
          <w:highlight w:val="none"/>
        </w:rPr>
        <w:t>公司（采购人）及</w:t>
      </w:r>
      <w:r>
        <w:rPr>
          <w:rFonts w:hint="eastAsia" w:ascii="宋体" w:hAnsi="宋体" w:eastAsia="宋体" w:cs="宋体"/>
          <w:color w:val="auto"/>
          <w:szCs w:val="21"/>
          <w:highlight w:val="none"/>
          <w:u w:val="single"/>
        </w:rPr>
        <w:t xml:space="preserve">    xxx   </w:t>
      </w:r>
      <w:r>
        <w:rPr>
          <w:rFonts w:hint="eastAsia" w:ascii="宋体" w:hAnsi="宋体" w:eastAsia="宋体" w:cs="宋体"/>
          <w:color w:val="auto"/>
          <w:szCs w:val="21"/>
          <w:highlight w:val="none"/>
        </w:rPr>
        <w:t>公司（采购代理机构）。</w:t>
      </w:r>
    </w:p>
    <w:p w14:paraId="38C84D83">
      <w:pPr>
        <w:pStyle w:val="42"/>
        <w:spacing w:line="500" w:lineRule="atLeast"/>
        <w:ind w:firstLine="3517" w:firstLineChars="1675"/>
        <w:rPr>
          <w:rFonts w:hint="eastAsia" w:ascii="宋体" w:hAnsi="宋体" w:eastAsia="宋体" w:cs="宋体"/>
          <w:color w:val="auto"/>
          <w:sz w:val="21"/>
          <w:szCs w:val="21"/>
          <w:highlight w:val="none"/>
        </w:rPr>
      </w:pPr>
    </w:p>
    <w:p w14:paraId="6B3A5494">
      <w:pPr>
        <w:pStyle w:val="42"/>
        <w:spacing w:line="500" w:lineRule="atLeast"/>
        <w:ind w:firstLine="3517" w:firstLineChars="1675"/>
        <w:rPr>
          <w:rFonts w:hint="eastAsia" w:ascii="宋体" w:hAnsi="宋体" w:eastAsia="宋体" w:cs="宋体"/>
          <w:color w:val="auto"/>
          <w:sz w:val="21"/>
          <w:szCs w:val="21"/>
          <w:highlight w:val="none"/>
        </w:rPr>
      </w:pPr>
    </w:p>
    <w:p w14:paraId="1C28B523">
      <w:pPr>
        <w:pStyle w:val="42"/>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14:paraId="28799E05">
      <w:pPr>
        <w:pStyle w:val="42"/>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法定代表人签字（签名或盖私章）：</w:t>
      </w:r>
    </w:p>
    <w:p w14:paraId="2E15F7C6">
      <w:pPr>
        <w:pStyle w:val="42"/>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期：年月日</w:t>
      </w:r>
    </w:p>
    <w:p w14:paraId="21C63265">
      <w:pPr>
        <w:pStyle w:val="42"/>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2822129">
      <w:pPr>
        <w:pStyle w:val="7"/>
        <w:widowControl w:val="0"/>
        <w:overflowPunct w:val="0"/>
        <w:spacing w:line="240" w:lineRule="auto"/>
        <w:rPr>
          <w:rFonts w:hint="eastAsia" w:ascii="宋体" w:hAnsi="宋体" w:eastAsia="宋体" w:cs="宋体"/>
          <w:color w:val="auto"/>
          <w:sz w:val="21"/>
          <w:szCs w:val="21"/>
          <w:highlight w:val="none"/>
        </w:rPr>
      </w:pPr>
      <w:bookmarkStart w:id="120" w:name="_Toc11421"/>
      <w:r>
        <w:rPr>
          <w:rFonts w:hint="eastAsia" w:ascii="宋体" w:hAnsi="宋体" w:eastAsia="宋体" w:cs="宋体"/>
          <w:color w:val="auto"/>
          <w:sz w:val="21"/>
          <w:szCs w:val="21"/>
          <w:highlight w:val="none"/>
        </w:rPr>
        <w:t>附件8.营业执照</w:t>
      </w:r>
      <w:bookmarkEnd w:id="120"/>
    </w:p>
    <w:p w14:paraId="29E603A3">
      <w:pPr>
        <w:jc w:val="center"/>
        <w:rPr>
          <w:rFonts w:hint="eastAsia" w:ascii="宋体" w:hAnsi="宋体" w:eastAsia="宋体" w:cs="宋体"/>
          <w:color w:val="auto"/>
          <w:sz w:val="28"/>
          <w:szCs w:val="28"/>
          <w:highlight w:val="none"/>
        </w:rPr>
      </w:pPr>
      <w:bookmarkStart w:id="121" w:name="_Toc4926"/>
      <w:bookmarkStart w:id="122" w:name="_Toc5919"/>
      <w:bookmarkStart w:id="123" w:name="_Toc24210"/>
      <w:bookmarkStart w:id="124" w:name="_Toc1511"/>
      <w:bookmarkStart w:id="125" w:name="_Toc17470"/>
      <w:r>
        <w:rPr>
          <w:rFonts w:hint="eastAsia" w:ascii="宋体" w:hAnsi="宋体" w:eastAsia="宋体" w:cs="宋体"/>
          <w:color w:val="auto"/>
          <w:sz w:val="28"/>
          <w:szCs w:val="28"/>
          <w:highlight w:val="none"/>
        </w:rPr>
        <w:t>营业执照</w:t>
      </w:r>
      <w:bookmarkEnd w:id="121"/>
      <w:bookmarkEnd w:id="122"/>
      <w:bookmarkEnd w:id="123"/>
      <w:bookmarkEnd w:id="124"/>
      <w:bookmarkEnd w:id="125"/>
    </w:p>
    <w:p w14:paraId="7F2538B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EE591C2">
      <w:pPr>
        <w:pStyle w:val="7"/>
        <w:widowControl w:val="0"/>
        <w:overflowPunct w:val="0"/>
        <w:spacing w:line="240" w:lineRule="auto"/>
        <w:rPr>
          <w:rFonts w:hint="eastAsia" w:ascii="宋体" w:hAnsi="宋体" w:eastAsia="宋体" w:cs="宋体"/>
          <w:color w:val="auto"/>
          <w:sz w:val="21"/>
          <w:szCs w:val="21"/>
          <w:highlight w:val="none"/>
        </w:rPr>
      </w:pPr>
      <w:bookmarkStart w:id="126" w:name="_Toc25355"/>
      <w:r>
        <w:rPr>
          <w:rFonts w:hint="eastAsia" w:ascii="宋体" w:hAnsi="宋体" w:eastAsia="宋体" w:cs="宋体"/>
          <w:color w:val="auto"/>
          <w:sz w:val="21"/>
          <w:szCs w:val="21"/>
          <w:highlight w:val="none"/>
        </w:rPr>
        <w:t>附件9.相关资质证明文件</w:t>
      </w:r>
      <w:bookmarkEnd w:id="126"/>
    </w:p>
    <w:p w14:paraId="57BBA871">
      <w:pPr>
        <w:rPr>
          <w:rFonts w:hint="eastAsia" w:ascii="宋体" w:hAnsi="宋体" w:eastAsia="宋体" w:cs="宋体"/>
          <w:color w:val="auto"/>
          <w:highlight w:val="none"/>
        </w:rPr>
      </w:pPr>
    </w:p>
    <w:p w14:paraId="2611C717">
      <w:pPr>
        <w:jc w:val="center"/>
        <w:rPr>
          <w:rFonts w:hint="eastAsia" w:ascii="宋体" w:hAnsi="宋体" w:eastAsia="宋体" w:cs="宋体"/>
          <w:color w:val="auto"/>
          <w:sz w:val="28"/>
          <w:szCs w:val="28"/>
          <w:highlight w:val="none"/>
        </w:rPr>
      </w:pPr>
      <w:bookmarkStart w:id="127" w:name="_Toc16698"/>
      <w:bookmarkStart w:id="128" w:name="_Toc30307"/>
      <w:bookmarkStart w:id="129" w:name="_Toc9592"/>
      <w:bookmarkStart w:id="130" w:name="_Toc13458"/>
      <w:bookmarkStart w:id="131" w:name="_Toc16233"/>
      <w:r>
        <w:rPr>
          <w:rFonts w:hint="eastAsia" w:ascii="宋体" w:hAnsi="宋体" w:eastAsia="宋体" w:cs="宋体"/>
          <w:color w:val="auto"/>
          <w:sz w:val="28"/>
          <w:szCs w:val="28"/>
          <w:highlight w:val="none"/>
        </w:rPr>
        <w:t>相关资质证明文件</w:t>
      </w:r>
      <w:bookmarkEnd w:id="118"/>
      <w:bookmarkEnd w:id="127"/>
      <w:bookmarkEnd w:id="128"/>
      <w:bookmarkEnd w:id="129"/>
      <w:bookmarkEnd w:id="130"/>
      <w:bookmarkEnd w:id="131"/>
    </w:p>
    <w:p w14:paraId="143CCF5F">
      <w:pPr>
        <w:numPr>
          <w:ilvl w:val="0"/>
          <w:numId w:val="10"/>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符合投标邀请书“投标人资格要求”其他要求对应的证明文件；</w:t>
      </w:r>
    </w:p>
    <w:p w14:paraId="6718392E">
      <w:pPr>
        <w:spacing w:line="360" w:lineRule="auto"/>
        <w:ind w:firstLine="420" w:firstLineChars="200"/>
        <w:rPr>
          <w:rFonts w:hint="eastAsia" w:ascii="宋体" w:hAnsi="宋体"/>
          <w:bCs/>
          <w:color w:val="auto"/>
          <w:szCs w:val="21"/>
        </w:rPr>
      </w:pPr>
      <w:r>
        <w:rPr>
          <w:rFonts w:hint="eastAsia" w:ascii="宋体" w:hAnsi="宋体"/>
          <w:bCs/>
          <w:color w:val="auto"/>
          <w:szCs w:val="21"/>
        </w:rPr>
        <w:t>1</w:t>
      </w:r>
      <w:r>
        <w:rPr>
          <w:rFonts w:ascii="宋体" w:hAnsi="宋体"/>
          <w:bCs/>
          <w:color w:val="auto"/>
          <w:szCs w:val="21"/>
        </w:rPr>
        <w:t>.1</w:t>
      </w:r>
      <w:r>
        <w:rPr>
          <w:rFonts w:hint="eastAsia" w:ascii="宋体" w:hAnsi="宋体"/>
          <w:bCs/>
          <w:color w:val="auto"/>
          <w:szCs w:val="21"/>
        </w:rPr>
        <w:t>提供最新的供应商营业执照（或事业单位法人证书，或社会团体法人登记证书，或执业许可证）副本复印件</w:t>
      </w:r>
      <w:r>
        <w:rPr>
          <w:rFonts w:hint="eastAsia" w:ascii="宋体" w:hAnsi="宋体"/>
          <w:color w:val="auto"/>
          <w:szCs w:val="21"/>
        </w:rPr>
        <w:t>。</w:t>
      </w:r>
    </w:p>
    <w:p w14:paraId="2F49EFAE">
      <w:pPr>
        <w:spacing w:line="360" w:lineRule="auto"/>
        <w:ind w:firstLine="420" w:firstLineChars="200"/>
        <w:rPr>
          <w:rFonts w:hint="eastAsia" w:ascii="宋体" w:hAnsi="宋体"/>
          <w:bCs/>
          <w:color w:val="auto"/>
          <w:szCs w:val="21"/>
        </w:rPr>
      </w:pPr>
      <w:r>
        <w:rPr>
          <w:rFonts w:hint="eastAsia" w:ascii="宋体" w:hAnsi="宋体"/>
          <w:bCs/>
          <w:color w:val="auto"/>
          <w:szCs w:val="21"/>
        </w:rPr>
        <w:t>1</w:t>
      </w:r>
      <w:r>
        <w:rPr>
          <w:rFonts w:ascii="宋体" w:hAnsi="宋体"/>
          <w:bCs/>
          <w:color w:val="auto"/>
          <w:szCs w:val="21"/>
        </w:rPr>
        <w:t>.2</w:t>
      </w:r>
      <w:r>
        <w:rPr>
          <w:rFonts w:hint="eastAsia" w:ascii="宋体" w:hAnsi="宋体"/>
          <w:bCs/>
          <w:color w:val="auto"/>
          <w:szCs w:val="21"/>
        </w:rPr>
        <w:t>提供2024年财务状况报告复印件或银行出具的资信证明材料复印件。供应商成立不满一年的，提供2025年任意1个月的财务状况报告复印件。</w:t>
      </w:r>
    </w:p>
    <w:p w14:paraId="6B2372E4">
      <w:pPr>
        <w:spacing w:line="360" w:lineRule="auto"/>
        <w:ind w:firstLine="420" w:firstLineChars="200"/>
        <w:rPr>
          <w:rFonts w:hint="eastAsia" w:ascii="宋体" w:hAnsi="宋体"/>
          <w:bCs/>
          <w:color w:val="auto"/>
          <w:szCs w:val="21"/>
        </w:rPr>
      </w:pPr>
      <w:r>
        <w:rPr>
          <w:rFonts w:hint="eastAsia" w:ascii="宋体" w:hAnsi="宋体"/>
          <w:bCs/>
          <w:color w:val="auto"/>
          <w:szCs w:val="21"/>
        </w:rPr>
        <w:t>1</w:t>
      </w:r>
      <w:r>
        <w:rPr>
          <w:rFonts w:ascii="宋体" w:hAnsi="宋体"/>
          <w:bCs/>
          <w:color w:val="auto"/>
          <w:szCs w:val="21"/>
        </w:rPr>
        <w:t>.3</w:t>
      </w:r>
      <w:r>
        <w:rPr>
          <w:rFonts w:hint="eastAsia" w:ascii="宋体" w:hAnsi="宋体"/>
          <w:bCs/>
          <w:color w:val="auto"/>
          <w:szCs w:val="21"/>
        </w:rPr>
        <w:t>提供</w:t>
      </w:r>
      <w:r>
        <w:rPr>
          <w:rFonts w:hint="eastAsia" w:ascii="宋体" w:hAnsi="宋体" w:cs="宋体"/>
          <w:color w:val="auto"/>
          <w:szCs w:val="21"/>
        </w:rPr>
        <w:t>投标截止日前6个月内任意1个月</w:t>
      </w:r>
      <w:r>
        <w:rPr>
          <w:rFonts w:hint="eastAsia" w:ascii="宋体" w:hAnsi="宋体"/>
          <w:bCs/>
          <w:color w:val="auto"/>
          <w:szCs w:val="21"/>
        </w:rPr>
        <w:t>的依法缴纳税收的证明（如纳税凭证）复印件，如依法免税的，应提供相应文件证明其依法免税；（其中税种不能为社会保险基金）；供应商成立不满三个月的，可不提供缴纳税收的证明。</w:t>
      </w:r>
    </w:p>
    <w:p w14:paraId="6E959131">
      <w:pPr>
        <w:spacing w:line="360" w:lineRule="auto"/>
        <w:ind w:firstLine="420" w:firstLineChars="200"/>
        <w:rPr>
          <w:rFonts w:ascii="宋体" w:hAnsi="宋体"/>
          <w:bCs/>
          <w:color w:val="auto"/>
          <w:szCs w:val="21"/>
        </w:rPr>
      </w:pPr>
      <w:r>
        <w:rPr>
          <w:rFonts w:ascii="宋体" w:hAnsi="宋体"/>
          <w:bCs/>
          <w:color w:val="auto"/>
          <w:szCs w:val="21"/>
        </w:rPr>
        <w:t>1.4</w:t>
      </w:r>
      <w:r>
        <w:rPr>
          <w:rFonts w:hint="eastAsia" w:ascii="宋体" w:hAnsi="宋体"/>
          <w:bCs/>
          <w:color w:val="auto"/>
          <w:szCs w:val="21"/>
        </w:rPr>
        <w:t>提供</w:t>
      </w:r>
      <w:r>
        <w:rPr>
          <w:rFonts w:hint="eastAsia" w:ascii="宋体" w:hAnsi="宋体" w:cs="宋体"/>
          <w:color w:val="auto"/>
          <w:szCs w:val="21"/>
        </w:rPr>
        <w:t>投标截止日前6个月内任意1个月</w:t>
      </w:r>
      <w:r>
        <w:rPr>
          <w:rFonts w:hint="eastAsia" w:ascii="宋体" w:hAnsi="宋体"/>
          <w:bCs/>
          <w:color w:val="auto"/>
          <w:szCs w:val="21"/>
        </w:rPr>
        <w:t>的依法缴纳社会保险的证明（如缴费凭证）复印件，如依法不需要缴纳社会保障资金的，应提供相应文件证明其依法不需要缴纳社会保障资金；供应商成立不满三个月的，可不提供缴纳社会保险的证明。</w:t>
      </w:r>
    </w:p>
    <w:p w14:paraId="0655F32D">
      <w:pPr>
        <w:numPr>
          <w:ilvl w:val="0"/>
          <w:numId w:val="10"/>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投标人认为必要的文件。</w:t>
      </w:r>
      <w:r>
        <w:rPr>
          <w:rFonts w:hint="eastAsia" w:ascii="宋体" w:hAnsi="宋体" w:eastAsia="宋体" w:cs="宋体"/>
          <w:b/>
          <w:bCs/>
          <w:color w:val="auto"/>
          <w:szCs w:val="21"/>
          <w:highlight w:val="none"/>
        </w:rPr>
        <w:br w:type="page"/>
      </w:r>
    </w:p>
    <w:p w14:paraId="7F2F2013">
      <w:pPr>
        <w:pStyle w:val="2"/>
        <w:rPr>
          <w:rFonts w:hint="eastAsia" w:ascii="宋体" w:hAnsi="宋体"/>
          <w:b/>
          <w:bCs/>
          <w:color w:val="auto"/>
          <w:sz w:val="21"/>
          <w:szCs w:val="21"/>
        </w:rPr>
      </w:pPr>
      <w:r>
        <w:rPr>
          <w:rFonts w:hint="eastAsia" w:ascii="宋体" w:hAnsi="宋体"/>
          <w:b/>
          <w:bCs/>
          <w:color w:val="auto"/>
          <w:sz w:val="21"/>
          <w:szCs w:val="21"/>
        </w:rPr>
        <w:t>依法缴纳税收及无欠税的证明材料开具流程</w:t>
      </w:r>
    </w:p>
    <w:p w14:paraId="3E34061A">
      <w:pPr>
        <w:pStyle w:val="3"/>
        <w:rPr>
          <w:rFonts w:ascii="宋体" w:hAnsi="宋体"/>
          <w:color w:val="auto"/>
          <w:szCs w:val="21"/>
        </w:rPr>
      </w:pPr>
      <w:r>
        <w:rPr>
          <w:rFonts w:ascii="宋体" w:hAnsi="宋体"/>
          <w:color w:val="auto"/>
          <w:szCs w:val="21"/>
        </w:rPr>
        <w:drawing>
          <wp:inline distT="0" distB="0" distL="114300" distR="114300">
            <wp:extent cx="5274310" cy="4204970"/>
            <wp:effectExtent l="0" t="0" r="2540" b="5080"/>
            <wp:docPr id="5" name="图片 1" descr="D:\1\WeChat Files\angezi1995\FileStorage\Temp\2c62c4152dfee4d23e8118dd5e844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1\WeChat Files\angezi1995\FileStorage\Temp\2c62c4152dfee4d23e8118dd5e844c5.png"/>
                    <pic:cNvPicPr>
                      <a:picLocks noChangeAspect="1"/>
                    </pic:cNvPicPr>
                  </pic:nvPicPr>
                  <pic:blipFill>
                    <a:blip r:embed="rId16"/>
                    <a:stretch>
                      <a:fillRect/>
                    </a:stretch>
                  </pic:blipFill>
                  <pic:spPr>
                    <a:xfrm>
                      <a:off x="0" y="0"/>
                      <a:ext cx="5274310" cy="4204970"/>
                    </a:xfrm>
                    <a:prstGeom prst="rect">
                      <a:avLst/>
                    </a:prstGeom>
                    <a:noFill/>
                    <a:ln>
                      <a:noFill/>
                    </a:ln>
                  </pic:spPr>
                </pic:pic>
              </a:graphicData>
            </a:graphic>
          </wp:inline>
        </w:drawing>
      </w:r>
    </w:p>
    <w:p w14:paraId="5A809D87">
      <w:pPr>
        <w:pStyle w:val="3"/>
        <w:rPr>
          <w:rFonts w:hint="eastAsia" w:ascii="宋体" w:hAnsi="宋体"/>
          <w:color w:val="auto"/>
          <w:szCs w:val="21"/>
        </w:rPr>
      </w:pPr>
      <w:r>
        <w:rPr>
          <w:rFonts w:ascii="宋体" w:hAnsi="宋体"/>
          <w:color w:val="auto"/>
          <w:szCs w:val="21"/>
        </w:rPr>
        <w:drawing>
          <wp:inline distT="0" distB="0" distL="114300" distR="114300">
            <wp:extent cx="5274310" cy="3522345"/>
            <wp:effectExtent l="0" t="0" r="2540" b="1905"/>
            <wp:docPr id="6" name="图片 2" descr="D:\1\WeChat Files\angezi1995\FileStorage\Temp\4e190997fb96d7eeb3e5509bf3e93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D:\1\WeChat Files\angezi1995\FileStorage\Temp\4e190997fb96d7eeb3e5509bf3e936b.png"/>
                    <pic:cNvPicPr>
                      <a:picLocks noChangeAspect="1"/>
                    </pic:cNvPicPr>
                  </pic:nvPicPr>
                  <pic:blipFill>
                    <a:blip r:embed="rId17"/>
                    <a:stretch>
                      <a:fillRect/>
                    </a:stretch>
                  </pic:blipFill>
                  <pic:spPr>
                    <a:xfrm>
                      <a:off x="0" y="0"/>
                      <a:ext cx="5274310" cy="3522345"/>
                    </a:xfrm>
                    <a:prstGeom prst="rect">
                      <a:avLst/>
                    </a:prstGeom>
                    <a:noFill/>
                    <a:ln>
                      <a:noFill/>
                    </a:ln>
                  </pic:spPr>
                </pic:pic>
              </a:graphicData>
            </a:graphic>
          </wp:inline>
        </w:drawing>
      </w:r>
    </w:p>
    <w:p w14:paraId="2F1A6365">
      <w:pPr>
        <w:spacing w:line="360" w:lineRule="auto"/>
        <w:rPr>
          <w:rFonts w:hint="eastAsia" w:hAnsi="宋体"/>
          <w:b/>
          <w:color w:val="auto"/>
          <w:szCs w:val="21"/>
        </w:rPr>
      </w:pPr>
    </w:p>
    <w:p w14:paraId="5B3BB0EF">
      <w:pPr>
        <w:pStyle w:val="2"/>
        <w:rPr>
          <w:rFonts w:hint="eastAsia" w:ascii="宋体" w:hAnsi="宋体" w:eastAsia="宋体" w:cs="宋体"/>
          <w:b/>
          <w:bCs/>
          <w:color w:val="auto"/>
          <w:szCs w:val="21"/>
          <w:highlight w:val="none"/>
        </w:rPr>
      </w:pPr>
    </w:p>
    <w:p w14:paraId="720227EA">
      <w:pPr>
        <w:pStyle w:val="3"/>
        <w:rPr>
          <w:rFonts w:hint="eastAsia"/>
          <w:color w:val="auto"/>
        </w:rPr>
      </w:pPr>
    </w:p>
    <w:p w14:paraId="491EAF78">
      <w:pPr>
        <w:pStyle w:val="7"/>
        <w:widowControl w:val="0"/>
        <w:overflowPunct w:val="0"/>
        <w:spacing w:line="240" w:lineRule="auto"/>
        <w:rPr>
          <w:rFonts w:hint="eastAsia" w:ascii="宋体" w:hAnsi="宋体" w:eastAsia="宋体" w:cs="宋体"/>
          <w:color w:val="auto"/>
          <w:highlight w:val="none"/>
        </w:rPr>
      </w:pPr>
      <w:bookmarkStart w:id="132" w:name="_Toc31140"/>
      <w:r>
        <w:rPr>
          <w:rFonts w:hint="eastAsia" w:ascii="宋体" w:hAnsi="宋体" w:eastAsia="宋体" w:cs="宋体"/>
          <w:color w:val="auto"/>
          <w:sz w:val="21"/>
          <w:szCs w:val="21"/>
          <w:highlight w:val="none"/>
        </w:rPr>
        <w:t>附件10.在经营活动中没有重大违法记录的书面声明格式</w:t>
      </w:r>
      <w:bookmarkEnd w:id="132"/>
    </w:p>
    <w:p w14:paraId="5E81F5DC">
      <w:pPr>
        <w:rPr>
          <w:rFonts w:hint="eastAsia" w:ascii="宋体" w:hAnsi="宋体" w:eastAsia="宋体" w:cs="宋体"/>
          <w:color w:val="auto"/>
          <w:highlight w:val="none"/>
        </w:rPr>
      </w:pPr>
    </w:p>
    <w:p w14:paraId="59BD732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投标人在经营活动中前三年内未有重大违法记录、没有不良信用记录的声明函</w:t>
      </w:r>
    </w:p>
    <w:p w14:paraId="665F5FA9">
      <w:pPr>
        <w:ind w:firstLine="420" w:firstLineChars="200"/>
        <w:rPr>
          <w:rFonts w:hint="eastAsia" w:ascii="宋体" w:hAnsi="宋体" w:eastAsia="宋体" w:cs="宋体"/>
          <w:color w:val="auto"/>
          <w:szCs w:val="21"/>
          <w:highlight w:val="none"/>
        </w:rPr>
      </w:pPr>
    </w:p>
    <w:p w14:paraId="0CABD14E">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东莞市新东粤环保实业有限公司、广东志正招标有限公司东莞分公司</w:t>
      </w:r>
      <w:r>
        <w:rPr>
          <w:rFonts w:hint="eastAsia" w:ascii="宋体" w:hAnsi="宋体" w:eastAsia="宋体" w:cs="宋体"/>
          <w:color w:val="auto"/>
          <w:szCs w:val="21"/>
          <w:highlight w:val="none"/>
        </w:rPr>
        <w:t>：</w:t>
      </w:r>
    </w:p>
    <w:p w14:paraId="2677F03E">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我公司郑重承诺：在参加“</w:t>
      </w:r>
      <w:r>
        <w:rPr>
          <w:rFonts w:hint="eastAsia" w:ascii="宋体" w:hAnsi="宋体" w:eastAsia="宋体" w:cs="宋体"/>
          <w:color w:val="auto"/>
          <w:szCs w:val="21"/>
          <w:highlight w:val="none"/>
          <w:u w:val="single"/>
        </w:rPr>
        <w:t>（采购项目名称）</w:t>
      </w:r>
      <w:r>
        <w:rPr>
          <w:rFonts w:hint="eastAsia" w:ascii="宋体" w:hAnsi="宋体" w:eastAsia="宋体" w:cs="宋体"/>
          <w:color w:val="auto"/>
          <w:szCs w:val="21"/>
          <w:highlight w:val="none"/>
        </w:rPr>
        <w:t>” （项目编号:</w:t>
      </w:r>
      <w:r>
        <w:rPr>
          <w:rFonts w:hint="eastAsia" w:ascii="宋体" w:hAnsi="宋体" w:eastAsia="宋体" w:cs="宋体"/>
          <w:color w:val="auto"/>
          <w:szCs w:val="21"/>
          <w:highlight w:val="none"/>
          <w:lang w:val="en-US" w:eastAsia="zh-CN"/>
        </w:rPr>
        <w:t>XX</w:t>
      </w:r>
      <w:r>
        <w:rPr>
          <w:rFonts w:hint="eastAsia" w:ascii="宋体" w:hAnsi="宋体" w:eastAsia="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41A074B8">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我公司以上承诺均为真实有效，绝无任何虚假、伪造</w:t>
      </w:r>
      <w:r>
        <w:rPr>
          <w:rFonts w:hint="eastAsia" w:ascii="宋体" w:hAnsi="宋体" w:cs="宋体"/>
          <w:color w:val="auto"/>
          <w:szCs w:val="21"/>
          <w:highlight w:val="none"/>
          <w:lang w:eastAsia="zh-CN"/>
        </w:rPr>
        <w:t>的成分</w:t>
      </w:r>
      <w:r>
        <w:rPr>
          <w:rFonts w:hint="eastAsia" w:ascii="宋体" w:hAnsi="宋体" w:eastAsia="宋体" w:cs="宋体"/>
          <w:color w:val="auto"/>
          <w:szCs w:val="21"/>
          <w:highlight w:val="none"/>
        </w:rPr>
        <w:t>，否则，愿承担相应的后果和法律责任。</w:t>
      </w:r>
    </w:p>
    <w:p w14:paraId="269A3575">
      <w:pPr>
        <w:ind w:firstLine="420" w:firstLineChars="200"/>
        <w:rPr>
          <w:rFonts w:hint="eastAsia" w:ascii="宋体" w:hAnsi="宋体" w:eastAsia="宋体" w:cs="宋体"/>
          <w:color w:val="auto"/>
          <w:szCs w:val="21"/>
          <w:highlight w:val="none"/>
        </w:rPr>
      </w:pPr>
    </w:p>
    <w:p w14:paraId="658A4AF4">
      <w:pPr>
        <w:rPr>
          <w:rFonts w:hint="eastAsia" w:ascii="宋体" w:hAnsi="宋体" w:eastAsia="宋体" w:cs="宋体"/>
          <w:color w:val="auto"/>
          <w:szCs w:val="21"/>
          <w:highlight w:val="none"/>
        </w:rPr>
      </w:pPr>
    </w:p>
    <w:p w14:paraId="7AD1EAC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w:t>
      </w:r>
    </w:p>
    <w:p w14:paraId="5E459B3F">
      <w:pPr>
        <w:rPr>
          <w:rFonts w:hint="eastAsia" w:ascii="宋体" w:hAnsi="宋体" w:eastAsia="宋体" w:cs="宋体"/>
          <w:color w:val="auto"/>
          <w:szCs w:val="21"/>
          <w:highlight w:val="none"/>
        </w:rPr>
      </w:pPr>
    </w:p>
    <w:p w14:paraId="017DFCE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3E650251">
      <w:pPr>
        <w:rPr>
          <w:rFonts w:hint="eastAsia" w:ascii="宋体" w:hAnsi="宋体" w:eastAsia="宋体" w:cs="宋体"/>
          <w:color w:val="auto"/>
          <w:highlight w:val="none"/>
        </w:rPr>
      </w:pPr>
    </w:p>
    <w:p w14:paraId="00CF7998">
      <w:pPr>
        <w:rPr>
          <w:rFonts w:hint="eastAsia" w:ascii="宋体" w:hAnsi="宋体" w:eastAsia="宋体" w:cs="宋体"/>
          <w:color w:val="auto"/>
          <w:szCs w:val="21"/>
          <w:highlight w:val="none"/>
        </w:rPr>
      </w:pPr>
    </w:p>
    <w:p w14:paraId="102429CB">
      <w:pPr>
        <w:pStyle w:val="2"/>
        <w:rPr>
          <w:rFonts w:hint="eastAsia" w:ascii="宋体" w:hAnsi="宋体" w:eastAsia="宋体" w:cs="宋体"/>
          <w:color w:val="auto"/>
          <w:sz w:val="21"/>
          <w:szCs w:val="21"/>
          <w:highlight w:val="none"/>
        </w:rPr>
      </w:pPr>
    </w:p>
    <w:p w14:paraId="35BEC05B">
      <w:pPr>
        <w:rPr>
          <w:rFonts w:hint="eastAsia" w:ascii="宋体" w:hAnsi="宋体" w:eastAsia="宋体" w:cs="宋体"/>
          <w:color w:val="auto"/>
          <w:szCs w:val="21"/>
          <w:highlight w:val="none"/>
        </w:rPr>
      </w:pPr>
    </w:p>
    <w:p w14:paraId="5387CC6A">
      <w:pPr>
        <w:pStyle w:val="2"/>
        <w:rPr>
          <w:rFonts w:hint="eastAsia" w:ascii="宋体" w:hAnsi="宋体" w:eastAsia="宋体" w:cs="宋体"/>
          <w:color w:val="auto"/>
          <w:sz w:val="21"/>
          <w:szCs w:val="21"/>
          <w:highlight w:val="none"/>
        </w:rPr>
      </w:pPr>
    </w:p>
    <w:p w14:paraId="0BE8564F">
      <w:pPr>
        <w:rPr>
          <w:rFonts w:hint="eastAsia" w:ascii="宋体" w:hAnsi="宋体" w:eastAsia="宋体" w:cs="宋体"/>
          <w:color w:val="auto"/>
          <w:szCs w:val="21"/>
          <w:highlight w:val="none"/>
        </w:rPr>
      </w:pPr>
    </w:p>
    <w:p w14:paraId="71348895">
      <w:pPr>
        <w:pStyle w:val="2"/>
        <w:rPr>
          <w:rFonts w:hint="eastAsia" w:ascii="宋体" w:hAnsi="宋体" w:eastAsia="宋体" w:cs="宋体"/>
          <w:color w:val="auto"/>
          <w:sz w:val="21"/>
          <w:szCs w:val="21"/>
          <w:highlight w:val="none"/>
        </w:rPr>
      </w:pPr>
    </w:p>
    <w:p w14:paraId="2EC8D642">
      <w:pPr>
        <w:rPr>
          <w:rFonts w:hint="eastAsia" w:ascii="宋体" w:hAnsi="宋体" w:eastAsia="宋体" w:cs="宋体"/>
          <w:color w:val="auto"/>
          <w:szCs w:val="21"/>
          <w:highlight w:val="none"/>
        </w:rPr>
      </w:pPr>
    </w:p>
    <w:p w14:paraId="047F4E48">
      <w:pPr>
        <w:pStyle w:val="2"/>
        <w:rPr>
          <w:rFonts w:hint="eastAsia" w:ascii="宋体" w:hAnsi="宋体" w:eastAsia="宋体" w:cs="宋体"/>
          <w:color w:val="auto"/>
          <w:sz w:val="21"/>
          <w:szCs w:val="21"/>
          <w:highlight w:val="none"/>
        </w:rPr>
      </w:pPr>
    </w:p>
    <w:p w14:paraId="415E3F7F">
      <w:pPr>
        <w:rPr>
          <w:rFonts w:hint="eastAsia" w:ascii="宋体" w:hAnsi="宋体" w:eastAsia="宋体" w:cs="宋体"/>
          <w:color w:val="auto"/>
          <w:szCs w:val="21"/>
          <w:highlight w:val="none"/>
        </w:rPr>
      </w:pPr>
    </w:p>
    <w:p w14:paraId="377399A0">
      <w:pPr>
        <w:pStyle w:val="2"/>
        <w:rPr>
          <w:rFonts w:hint="eastAsia" w:ascii="宋体" w:hAnsi="宋体" w:eastAsia="宋体" w:cs="宋体"/>
          <w:color w:val="auto"/>
          <w:sz w:val="21"/>
          <w:szCs w:val="21"/>
          <w:highlight w:val="none"/>
        </w:rPr>
      </w:pPr>
    </w:p>
    <w:p w14:paraId="32003FAF">
      <w:pPr>
        <w:rPr>
          <w:rFonts w:hint="eastAsia" w:ascii="宋体" w:hAnsi="宋体" w:eastAsia="宋体" w:cs="宋体"/>
          <w:color w:val="auto"/>
          <w:highlight w:val="none"/>
        </w:rPr>
      </w:pPr>
    </w:p>
    <w:p w14:paraId="4CDE8EA3">
      <w:pPr>
        <w:pStyle w:val="7"/>
        <w:widowControl w:val="0"/>
        <w:overflowPunct w:val="0"/>
        <w:spacing w:line="240" w:lineRule="auto"/>
        <w:rPr>
          <w:rFonts w:hint="eastAsia" w:ascii="宋体" w:hAnsi="宋体" w:eastAsia="宋体" w:cs="宋体"/>
          <w:color w:val="auto"/>
          <w:highlight w:val="none"/>
        </w:rPr>
      </w:pPr>
      <w:bookmarkStart w:id="133" w:name="_Toc30940"/>
      <w:r>
        <w:rPr>
          <w:rFonts w:hint="eastAsia" w:ascii="宋体" w:hAnsi="宋体" w:eastAsia="宋体" w:cs="宋体"/>
          <w:color w:val="auto"/>
          <w:sz w:val="21"/>
          <w:szCs w:val="21"/>
          <w:highlight w:val="none"/>
        </w:rPr>
        <w:t>附件11.承诺书格式</w:t>
      </w:r>
      <w:bookmarkEnd w:id="133"/>
    </w:p>
    <w:p w14:paraId="311032C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承诺书</w:t>
      </w:r>
    </w:p>
    <w:p w14:paraId="365CD48D">
      <w:pPr>
        <w:pStyle w:val="42"/>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广东志正招标有限公司东莞分公司</w:t>
      </w:r>
      <w:r>
        <w:rPr>
          <w:rFonts w:hint="eastAsia" w:ascii="宋体" w:hAnsi="宋体" w:eastAsia="宋体" w:cs="宋体"/>
          <w:color w:val="auto"/>
          <w:sz w:val="21"/>
          <w:szCs w:val="21"/>
          <w:highlight w:val="none"/>
        </w:rPr>
        <w:t>：</w:t>
      </w:r>
    </w:p>
    <w:p w14:paraId="048C7B7A">
      <w:pPr>
        <w:jc w:val="center"/>
        <w:rPr>
          <w:rFonts w:hint="eastAsia" w:ascii="宋体" w:hAnsi="宋体" w:eastAsia="宋体" w:cs="宋体"/>
          <w:color w:val="auto"/>
          <w:szCs w:val="21"/>
          <w:highlight w:val="none"/>
        </w:rPr>
      </w:pPr>
    </w:p>
    <w:p w14:paraId="37FEBF9E">
      <w:pPr>
        <w:pStyle w:val="42"/>
        <w:spacing w:line="42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我方已完整阅读了</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hAnsi="宋体" w:eastAsia="宋体" w:cs="宋体"/>
          <w:color w:val="auto"/>
          <w:sz w:val="21"/>
          <w:szCs w:val="21"/>
          <w:highlight w:val="none"/>
        </w:rPr>
        <w:cr/>
      </w:r>
    </w:p>
    <w:p w14:paraId="30157985">
      <w:pPr>
        <w:pStyle w:val="42"/>
        <w:spacing w:line="420" w:lineRule="exact"/>
        <w:ind w:firstLine="433"/>
        <w:rPr>
          <w:rFonts w:hint="eastAsia" w:ascii="宋体" w:hAnsi="宋体" w:eastAsia="宋体" w:cs="宋体"/>
          <w:color w:val="auto"/>
          <w:sz w:val="21"/>
          <w:szCs w:val="21"/>
          <w:highlight w:val="none"/>
        </w:rPr>
      </w:pPr>
    </w:p>
    <w:p w14:paraId="40806FBA">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投标人名称（加盖公章）：</w:t>
      </w:r>
    </w:p>
    <w:p w14:paraId="7A311C3D">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法定代表人或被授权人（签名或盖私章）：</w:t>
      </w:r>
    </w:p>
    <w:p w14:paraId="12F5ADAE">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46BAB7A1">
      <w:pPr>
        <w:rPr>
          <w:rFonts w:hint="eastAsia" w:ascii="宋体" w:hAnsi="宋体" w:eastAsia="宋体" w:cs="宋体"/>
          <w:color w:val="auto"/>
          <w:highlight w:val="none"/>
        </w:rPr>
      </w:pPr>
    </w:p>
    <w:p w14:paraId="035D7E8C">
      <w:pPr>
        <w:rPr>
          <w:rFonts w:hint="eastAsia" w:ascii="宋体" w:hAnsi="宋体" w:eastAsia="宋体" w:cs="宋体"/>
          <w:color w:val="auto"/>
          <w:szCs w:val="21"/>
          <w:highlight w:val="none"/>
        </w:rPr>
      </w:pPr>
    </w:p>
    <w:p w14:paraId="535F82AC">
      <w:pPr>
        <w:pStyle w:val="2"/>
        <w:rPr>
          <w:rFonts w:hint="eastAsia" w:ascii="宋体" w:hAnsi="宋体" w:eastAsia="宋体" w:cs="宋体"/>
          <w:color w:val="auto"/>
          <w:sz w:val="21"/>
          <w:szCs w:val="21"/>
          <w:highlight w:val="none"/>
        </w:rPr>
      </w:pPr>
    </w:p>
    <w:p w14:paraId="5B256309">
      <w:pPr>
        <w:rPr>
          <w:rFonts w:hint="eastAsia" w:ascii="宋体" w:hAnsi="宋体" w:eastAsia="宋体" w:cs="宋体"/>
          <w:color w:val="auto"/>
          <w:szCs w:val="21"/>
          <w:highlight w:val="none"/>
        </w:rPr>
      </w:pPr>
    </w:p>
    <w:p w14:paraId="7A6B8D7F">
      <w:pPr>
        <w:pStyle w:val="2"/>
        <w:rPr>
          <w:rFonts w:hint="eastAsia" w:ascii="宋体" w:hAnsi="宋体" w:eastAsia="宋体" w:cs="宋体"/>
          <w:color w:val="auto"/>
          <w:sz w:val="21"/>
          <w:szCs w:val="21"/>
          <w:highlight w:val="none"/>
        </w:rPr>
      </w:pPr>
    </w:p>
    <w:p w14:paraId="007A8C91">
      <w:pPr>
        <w:rPr>
          <w:rFonts w:hint="eastAsia" w:ascii="宋体" w:hAnsi="宋体" w:eastAsia="宋体" w:cs="宋体"/>
          <w:color w:val="auto"/>
          <w:szCs w:val="21"/>
          <w:highlight w:val="none"/>
        </w:rPr>
      </w:pPr>
    </w:p>
    <w:p w14:paraId="4908C7E1">
      <w:pPr>
        <w:pStyle w:val="2"/>
        <w:rPr>
          <w:rFonts w:hint="eastAsia" w:ascii="宋体" w:hAnsi="宋体" w:eastAsia="宋体" w:cs="宋体"/>
          <w:color w:val="auto"/>
          <w:sz w:val="21"/>
          <w:szCs w:val="21"/>
          <w:highlight w:val="none"/>
        </w:rPr>
      </w:pPr>
    </w:p>
    <w:p w14:paraId="2DD71B7B">
      <w:pPr>
        <w:rPr>
          <w:rFonts w:hint="eastAsia" w:ascii="宋体" w:hAnsi="宋体" w:eastAsia="宋体" w:cs="宋体"/>
          <w:color w:val="auto"/>
          <w:szCs w:val="21"/>
          <w:highlight w:val="none"/>
        </w:rPr>
      </w:pPr>
    </w:p>
    <w:p w14:paraId="07A7C352">
      <w:pPr>
        <w:pStyle w:val="2"/>
        <w:rPr>
          <w:rFonts w:hint="eastAsia" w:ascii="宋体" w:hAnsi="宋体" w:eastAsia="宋体" w:cs="宋体"/>
          <w:color w:val="auto"/>
          <w:sz w:val="21"/>
          <w:szCs w:val="21"/>
          <w:highlight w:val="none"/>
        </w:rPr>
      </w:pPr>
    </w:p>
    <w:p w14:paraId="39F8365D">
      <w:pPr>
        <w:rPr>
          <w:rFonts w:hint="eastAsia" w:ascii="宋体" w:hAnsi="宋体" w:eastAsia="宋体" w:cs="宋体"/>
          <w:color w:val="auto"/>
          <w:szCs w:val="21"/>
          <w:highlight w:val="none"/>
        </w:rPr>
      </w:pPr>
    </w:p>
    <w:p w14:paraId="0FA2F09A">
      <w:pPr>
        <w:pStyle w:val="2"/>
        <w:rPr>
          <w:rFonts w:hint="eastAsia" w:ascii="宋体" w:hAnsi="宋体" w:eastAsia="宋体" w:cs="宋体"/>
          <w:color w:val="auto"/>
          <w:sz w:val="21"/>
          <w:szCs w:val="21"/>
          <w:highlight w:val="none"/>
        </w:rPr>
      </w:pPr>
    </w:p>
    <w:p w14:paraId="3A2145CF">
      <w:pPr>
        <w:rPr>
          <w:rFonts w:hint="eastAsia" w:ascii="宋体" w:hAnsi="宋体" w:eastAsia="宋体" w:cs="宋体"/>
          <w:color w:val="auto"/>
          <w:szCs w:val="21"/>
          <w:highlight w:val="none"/>
        </w:rPr>
      </w:pPr>
    </w:p>
    <w:p w14:paraId="24053409">
      <w:pPr>
        <w:pStyle w:val="2"/>
        <w:rPr>
          <w:rFonts w:hint="eastAsia" w:ascii="宋体" w:hAnsi="宋体" w:eastAsia="宋体" w:cs="宋体"/>
          <w:color w:val="auto"/>
          <w:sz w:val="21"/>
          <w:szCs w:val="21"/>
          <w:highlight w:val="none"/>
        </w:rPr>
      </w:pPr>
    </w:p>
    <w:p w14:paraId="6BC3DFA4">
      <w:pPr>
        <w:rPr>
          <w:rFonts w:hint="eastAsia" w:ascii="宋体" w:hAnsi="宋体" w:eastAsia="宋体" w:cs="宋体"/>
          <w:color w:val="auto"/>
          <w:szCs w:val="21"/>
          <w:highlight w:val="none"/>
        </w:rPr>
      </w:pPr>
    </w:p>
    <w:p w14:paraId="4CB98B30">
      <w:pPr>
        <w:pStyle w:val="2"/>
        <w:rPr>
          <w:rFonts w:hint="eastAsia" w:ascii="宋体" w:hAnsi="宋体" w:eastAsia="宋体" w:cs="宋体"/>
          <w:color w:val="auto"/>
          <w:sz w:val="21"/>
          <w:szCs w:val="21"/>
          <w:highlight w:val="none"/>
        </w:rPr>
      </w:pPr>
    </w:p>
    <w:p w14:paraId="3C0723C8">
      <w:pPr>
        <w:rPr>
          <w:rFonts w:hint="eastAsia" w:ascii="宋体" w:hAnsi="宋体" w:eastAsia="宋体" w:cs="宋体"/>
          <w:color w:val="auto"/>
          <w:szCs w:val="21"/>
          <w:highlight w:val="none"/>
        </w:rPr>
      </w:pPr>
    </w:p>
    <w:p w14:paraId="1BAEB639">
      <w:pPr>
        <w:pStyle w:val="2"/>
        <w:rPr>
          <w:rFonts w:hint="eastAsia" w:ascii="宋体" w:hAnsi="宋体" w:eastAsia="宋体" w:cs="宋体"/>
          <w:color w:val="auto"/>
          <w:sz w:val="21"/>
          <w:szCs w:val="21"/>
          <w:highlight w:val="none"/>
        </w:rPr>
      </w:pPr>
    </w:p>
    <w:p w14:paraId="54851288">
      <w:pPr>
        <w:rPr>
          <w:rFonts w:hint="eastAsia" w:ascii="宋体" w:hAnsi="宋体" w:eastAsia="宋体" w:cs="宋体"/>
          <w:color w:val="auto"/>
          <w:highlight w:val="none"/>
        </w:rPr>
      </w:pPr>
    </w:p>
    <w:p w14:paraId="7AE3C541">
      <w:pPr>
        <w:pStyle w:val="7"/>
        <w:widowControl w:val="0"/>
        <w:overflowPunct w:val="0"/>
        <w:spacing w:line="240" w:lineRule="auto"/>
        <w:rPr>
          <w:rFonts w:hint="eastAsia" w:ascii="宋体" w:hAnsi="宋体" w:eastAsia="宋体" w:cs="宋体"/>
          <w:color w:val="auto"/>
          <w:sz w:val="21"/>
          <w:szCs w:val="21"/>
          <w:highlight w:val="none"/>
        </w:rPr>
      </w:pPr>
      <w:bookmarkStart w:id="134" w:name="_Toc8221"/>
      <w:bookmarkStart w:id="135" w:name="_Toc8279"/>
      <w:r>
        <w:rPr>
          <w:rFonts w:hint="eastAsia" w:ascii="宋体" w:hAnsi="宋体" w:eastAsia="宋体" w:cs="宋体"/>
          <w:color w:val="auto"/>
          <w:sz w:val="21"/>
          <w:szCs w:val="21"/>
          <w:highlight w:val="none"/>
        </w:rPr>
        <w:t>附件12.商务需求条款偏离表格式</w:t>
      </w:r>
      <w:bookmarkEnd w:id="134"/>
      <w:bookmarkEnd w:id="135"/>
    </w:p>
    <w:p w14:paraId="2F224A5D">
      <w:pPr>
        <w:jc w:val="center"/>
        <w:rPr>
          <w:rFonts w:hint="eastAsia" w:ascii="宋体" w:hAnsi="宋体" w:eastAsia="宋体" w:cs="宋体"/>
          <w:color w:val="auto"/>
          <w:sz w:val="28"/>
          <w:szCs w:val="28"/>
          <w:highlight w:val="none"/>
        </w:rPr>
      </w:pPr>
    </w:p>
    <w:p w14:paraId="1400961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商务需求条款偏离表</w:t>
      </w:r>
    </w:p>
    <w:tbl>
      <w:tblPr>
        <w:tblStyle w:val="27"/>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155B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386AA7F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20" w:type="dxa"/>
            <w:vAlign w:val="center"/>
          </w:tcPr>
          <w:p w14:paraId="0D40F2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60" w:type="dxa"/>
            <w:vAlign w:val="center"/>
          </w:tcPr>
          <w:p w14:paraId="5CE94DC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587" w:type="dxa"/>
            <w:vAlign w:val="center"/>
          </w:tcPr>
          <w:p w14:paraId="7616984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133" w:type="dxa"/>
            <w:vAlign w:val="center"/>
          </w:tcPr>
          <w:p w14:paraId="18099FE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是否偏离</w:t>
            </w:r>
          </w:p>
        </w:tc>
        <w:tc>
          <w:tcPr>
            <w:tcW w:w="1730" w:type="dxa"/>
            <w:vAlign w:val="center"/>
          </w:tcPr>
          <w:p w14:paraId="6D9C843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4237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7E9A65A">
            <w:pPr>
              <w:jc w:val="center"/>
              <w:rPr>
                <w:rFonts w:hint="eastAsia" w:ascii="宋体" w:hAnsi="宋体" w:eastAsia="宋体" w:cs="宋体"/>
                <w:color w:val="auto"/>
                <w:szCs w:val="21"/>
                <w:highlight w:val="none"/>
              </w:rPr>
            </w:pPr>
          </w:p>
        </w:tc>
        <w:tc>
          <w:tcPr>
            <w:tcW w:w="1620" w:type="dxa"/>
            <w:vAlign w:val="center"/>
          </w:tcPr>
          <w:p w14:paraId="7B23835F">
            <w:pPr>
              <w:jc w:val="center"/>
              <w:rPr>
                <w:rFonts w:hint="eastAsia" w:ascii="宋体" w:hAnsi="宋体" w:eastAsia="宋体" w:cs="宋体"/>
                <w:color w:val="auto"/>
                <w:szCs w:val="21"/>
                <w:highlight w:val="none"/>
              </w:rPr>
            </w:pPr>
          </w:p>
        </w:tc>
        <w:tc>
          <w:tcPr>
            <w:tcW w:w="1360" w:type="dxa"/>
            <w:vAlign w:val="center"/>
          </w:tcPr>
          <w:p w14:paraId="540F5875">
            <w:pPr>
              <w:jc w:val="center"/>
              <w:rPr>
                <w:rFonts w:hint="eastAsia" w:ascii="宋体" w:hAnsi="宋体" w:eastAsia="宋体" w:cs="宋体"/>
                <w:color w:val="auto"/>
                <w:szCs w:val="21"/>
                <w:highlight w:val="none"/>
              </w:rPr>
            </w:pPr>
          </w:p>
        </w:tc>
        <w:tc>
          <w:tcPr>
            <w:tcW w:w="1587" w:type="dxa"/>
            <w:vAlign w:val="center"/>
          </w:tcPr>
          <w:p w14:paraId="19669331">
            <w:pPr>
              <w:jc w:val="center"/>
              <w:rPr>
                <w:rFonts w:hint="eastAsia" w:ascii="宋体" w:hAnsi="宋体" w:eastAsia="宋体" w:cs="宋体"/>
                <w:color w:val="auto"/>
                <w:szCs w:val="21"/>
                <w:highlight w:val="none"/>
              </w:rPr>
            </w:pPr>
          </w:p>
        </w:tc>
        <w:tc>
          <w:tcPr>
            <w:tcW w:w="1133" w:type="dxa"/>
            <w:vAlign w:val="center"/>
          </w:tcPr>
          <w:p w14:paraId="6A6E24D5">
            <w:pPr>
              <w:jc w:val="center"/>
              <w:rPr>
                <w:rFonts w:hint="eastAsia" w:ascii="宋体" w:hAnsi="宋体" w:eastAsia="宋体" w:cs="宋体"/>
                <w:color w:val="auto"/>
                <w:szCs w:val="21"/>
                <w:highlight w:val="none"/>
              </w:rPr>
            </w:pPr>
          </w:p>
        </w:tc>
        <w:tc>
          <w:tcPr>
            <w:tcW w:w="1730" w:type="dxa"/>
            <w:vAlign w:val="center"/>
          </w:tcPr>
          <w:p w14:paraId="6BE4305B">
            <w:pPr>
              <w:jc w:val="center"/>
              <w:rPr>
                <w:rFonts w:hint="eastAsia" w:ascii="宋体" w:hAnsi="宋体" w:eastAsia="宋体" w:cs="宋体"/>
                <w:color w:val="auto"/>
                <w:szCs w:val="21"/>
                <w:highlight w:val="none"/>
              </w:rPr>
            </w:pPr>
          </w:p>
        </w:tc>
      </w:tr>
      <w:tr w14:paraId="155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0C9D7C0">
            <w:pPr>
              <w:jc w:val="center"/>
              <w:rPr>
                <w:rFonts w:hint="eastAsia" w:ascii="宋体" w:hAnsi="宋体" w:eastAsia="宋体" w:cs="宋体"/>
                <w:color w:val="auto"/>
                <w:szCs w:val="21"/>
                <w:highlight w:val="none"/>
              </w:rPr>
            </w:pPr>
          </w:p>
        </w:tc>
        <w:tc>
          <w:tcPr>
            <w:tcW w:w="1620" w:type="dxa"/>
            <w:vAlign w:val="center"/>
          </w:tcPr>
          <w:p w14:paraId="164AE348">
            <w:pPr>
              <w:jc w:val="center"/>
              <w:rPr>
                <w:rFonts w:hint="eastAsia" w:ascii="宋体" w:hAnsi="宋体" w:eastAsia="宋体" w:cs="宋体"/>
                <w:color w:val="auto"/>
                <w:szCs w:val="21"/>
                <w:highlight w:val="none"/>
              </w:rPr>
            </w:pPr>
          </w:p>
        </w:tc>
        <w:tc>
          <w:tcPr>
            <w:tcW w:w="1360" w:type="dxa"/>
            <w:vAlign w:val="center"/>
          </w:tcPr>
          <w:p w14:paraId="36812380">
            <w:pPr>
              <w:jc w:val="center"/>
              <w:rPr>
                <w:rFonts w:hint="eastAsia" w:ascii="宋体" w:hAnsi="宋体" w:eastAsia="宋体" w:cs="宋体"/>
                <w:color w:val="auto"/>
                <w:szCs w:val="21"/>
                <w:highlight w:val="none"/>
              </w:rPr>
            </w:pPr>
          </w:p>
        </w:tc>
        <w:tc>
          <w:tcPr>
            <w:tcW w:w="1587" w:type="dxa"/>
            <w:vAlign w:val="center"/>
          </w:tcPr>
          <w:p w14:paraId="3D2D3BDA">
            <w:pPr>
              <w:jc w:val="center"/>
              <w:rPr>
                <w:rFonts w:hint="eastAsia" w:ascii="宋体" w:hAnsi="宋体" w:eastAsia="宋体" w:cs="宋体"/>
                <w:color w:val="auto"/>
                <w:szCs w:val="21"/>
                <w:highlight w:val="none"/>
              </w:rPr>
            </w:pPr>
          </w:p>
        </w:tc>
        <w:tc>
          <w:tcPr>
            <w:tcW w:w="1133" w:type="dxa"/>
            <w:vAlign w:val="center"/>
          </w:tcPr>
          <w:p w14:paraId="05C1FBE6">
            <w:pPr>
              <w:jc w:val="center"/>
              <w:rPr>
                <w:rFonts w:hint="eastAsia" w:ascii="宋体" w:hAnsi="宋体" w:eastAsia="宋体" w:cs="宋体"/>
                <w:color w:val="auto"/>
                <w:szCs w:val="21"/>
                <w:highlight w:val="none"/>
              </w:rPr>
            </w:pPr>
          </w:p>
        </w:tc>
        <w:tc>
          <w:tcPr>
            <w:tcW w:w="1730" w:type="dxa"/>
            <w:vAlign w:val="center"/>
          </w:tcPr>
          <w:p w14:paraId="780FBAE2">
            <w:pPr>
              <w:jc w:val="center"/>
              <w:rPr>
                <w:rFonts w:hint="eastAsia" w:ascii="宋体" w:hAnsi="宋体" w:eastAsia="宋体" w:cs="宋体"/>
                <w:color w:val="auto"/>
                <w:szCs w:val="21"/>
                <w:highlight w:val="none"/>
              </w:rPr>
            </w:pPr>
          </w:p>
        </w:tc>
      </w:tr>
      <w:tr w14:paraId="02EE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795CB71">
            <w:pPr>
              <w:jc w:val="center"/>
              <w:rPr>
                <w:rFonts w:hint="eastAsia" w:ascii="宋体" w:hAnsi="宋体" w:eastAsia="宋体" w:cs="宋体"/>
                <w:color w:val="auto"/>
                <w:szCs w:val="21"/>
                <w:highlight w:val="none"/>
              </w:rPr>
            </w:pPr>
          </w:p>
        </w:tc>
        <w:tc>
          <w:tcPr>
            <w:tcW w:w="1620" w:type="dxa"/>
            <w:vAlign w:val="center"/>
          </w:tcPr>
          <w:p w14:paraId="0F868F9E">
            <w:pPr>
              <w:jc w:val="center"/>
              <w:rPr>
                <w:rFonts w:hint="eastAsia" w:ascii="宋体" w:hAnsi="宋体" w:eastAsia="宋体" w:cs="宋体"/>
                <w:color w:val="auto"/>
                <w:szCs w:val="21"/>
                <w:highlight w:val="none"/>
              </w:rPr>
            </w:pPr>
          </w:p>
        </w:tc>
        <w:tc>
          <w:tcPr>
            <w:tcW w:w="1360" w:type="dxa"/>
            <w:vAlign w:val="center"/>
          </w:tcPr>
          <w:p w14:paraId="5A570A85">
            <w:pPr>
              <w:jc w:val="center"/>
              <w:rPr>
                <w:rFonts w:hint="eastAsia" w:ascii="宋体" w:hAnsi="宋体" w:eastAsia="宋体" w:cs="宋体"/>
                <w:color w:val="auto"/>
                <w:szCs w:val="21"/>
                <w:highlight w:val="none"/>
              </w:rPr>
            </w:pPr>
          </w:p>
        </w:tc>
        <w:tc>
          <w:tcPr>
            <w:tcW w:w="1587" w:type="dxa"/>
            <w:vAlign w:val="center"/>
          </w:tcPr>
          <w:p w14:paraId="0BB3BD52">
            <w:pPr>
              <w:jc w:val="center"/>
              <w:rPr>
                <w:rFonts w:hint="eastAsia" w:ascii="宋体" w:hAnsi="宋体" w:eastAsia="宋体" w:cs="宋体"/>
                <w:color w:val="auto"/>
                <w:szCs w:val="21"/>
                <w:highlight w:val="none"/>
              </w:rPr>
            </w:pPr>
          </w:p>
        </w:tc>
        <w:tc>
          <w:tcPr>
            <w:tcW w:w="1133" w:type="dxa"/>
            <w:vAlign w:val="center"/>
          </w:tcPr>
          <w:p w14:paraId="680704D0">
            <w:pPr>
              <w:jc w:val="center"/>
              <w:rPr>
                <w:rFonts w:hint="eastAsia" w:ascii="宋体" w:hAnsi="宋体" w:eastAsia="宋体" w:cs="宋体"/>
                <w:color w:val="auto"/>
                <w:szCs w:val="21"/>
                <w:highlight w:val="none"/>
              </w:rPr>
            </w:pPr>
          </w:p>
        </w:tc>
        <w:tc>
          <w:tcPr>
            <w:tcW w:w="1730" w:type="dxa"/>
            <w:vAlign w:val="center"/>
          </w:tcPr>
          <w:p w14:paraId="60DE39A1">
            <w:pPr>
              <w:jc w:val="center"/>
              <w:rPr>
                <w:rFonts w:hint="eastAsia" w:ascii="宋体" w:hAnsi="宋体" w:eastAsia="宋体" w:cs="宋体"/>
                <w:color w:val="auto"/>
                <w:szCs w:val="21"/>
                <w:highlight w:val="none"/>
              </w:rPr>
            </w:pPr>
          </w:p>
        </w:tc>
      </w:tr>
      <w:tr w14:paraId="055D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DCDCCFD">
            <w:pPr>
              <w:jc w:val="center"/>
              <w:rPr>
                <w:rFonts w:hint="eastAsia" w:ascii="宋体" w:hAnsi="宋体" w:eastAsia="宋体" w:cs="宋体"/>
                <w:color w:val="auto"/>
                <w:szCs w:val="21"/>
                <w:highlight w:val="none"/>
              </w:rPr>
            </w:pPr>
          </w:p>
        </w:tc>
        <w:tc>
          <w:tcPr>
            <w:tcW w:w="1620" w:type="dxa"/>
            <w:vAlign w:val="center"/>
          </w:tcPr>
          <w:p w14:paraId="1B14277D">
            <w:pPr>
              <w:jc w:val="center"/>
              <w:rPr>
                <w:rFonts w:hint="eastAsia" w:ascii="宋体" w:hAnsi="宋体" w:eastAsia="宋体" w:cs="宋体"/>
                <w:color w:val="auto"/>
                <w:szCs w:val="21"/>
                <w:highlight w:val="none"/>
              </w:rPr>
            </w:pPr>
          </w:p>
        </w:tc>
        <w:tc>
          <w:tcPr>
            <w:tcW w:w="1360" w:type="dxa"/>
            <w:vAlign w:val="center"/>
          </w:tcPr>
          <w:p w14:paraId="01A8F504">
            <w:pPr>
              <w:jc w:val="center"/>
              <w:rPr>
                <w:rFonts w:hint="eastAsia" w:ascii="宋体" w:hAnsi="宋体" w:eastAsia="宋体" w:cs="宋体"/>
                <w:color w:val="auto"/>
                <w:szCs w:val="21"/>
                <w:highlight w:val="none"/>
              </w:rPr>
            </w:pPr>
          </w:p>
        </w:tc>
        <w:tc>
          <w:tcPr>
            <w:tcW w:w="1587" w:type="dxa"/>
            <w:vAlign w:val="center"/>
          </w:tcPr>
          <w:p w14:paraId="01128BA9">
            <w:pPr>
              <w:jc w:val="center"/>
              <w:rPr>
                <w:rFonts w:hint="eastAsia" w:ascii="宋体" w:hAnsi="宋体" w:eastAsia="宋体" w:cs="宋体"/>
                <w:color w:val="auto"/>
                <w:szCs w:val="21"/>
                <w:highlight w:val="none"/>
              </w:rPr>
            </w:pPr>
          </w:p>
        </w:tc>
        <w:tc>
          <w:tcPr>
            <w:tcW w:w="1133" w:type="dxa"/>
            <w:vAlign w:val="center"/>
          </w:tcPr>
          <w:p w14:paraId="1C537439">
            <w:pPr>
              <w:jc w:val="center"/>
              <w:rPr>
                <w:rFonts w:hint="eastAsia" w:ascii="宋体" w:hAnsi="宋体" w:eastAsia="宋体" w:cs="宋体"/>
                <w:color w:val="auto"/>
                <w:szCs w:val="21"/>
                <w:highlight w:val="none"/>
              </w:rPr>
            </w:pPr>
          </w:p>
        </w:tc>
        <w:tc>
          <w:tcPr>
            <w:tcW w:w="1730" w:type="dxa"/>
            <w:vAlign w:val="center"/>
          </w:tcPr>
          <w:p w14:paraId="2CE7FB88">
            <w:pPr>
              <w:jc w:val="center"/>
              <w:rPr>
                <w:rFonts w:hint="eastAsia" w:ascii="宋体" w:hAnsi="宋体" w:eastAsia="宋体" w:cs="宋体"/>
                <w:color w:val="auto"/>
                <w:szCs w:val="21"/>
                <w:highlight w:val="none"/>
              </w:rPr>
            </w:pPr>
          </w:p>
        </w:tc>
      </w:tr>
      <w:tr w14:paraId="3910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00E5142">
            <w:pPr>
              <w:jc w:val="center"/>
              <w:rPr>
                <w:rFonts w:hint="eastAsia" w:ascii="宋体" w:hAnsi="宋体" w:eastAsia="宋体" w:cs="宋体"/>
                <w:color w:val="auto"/>
                <w:szCs w:val="21"/>
                <w:highlight w:val="none"/>
              </w:rPr>
            </w:pPr>
          </w:p>
        </w:tc>
        <w:tc>
          <w:tcPr>
            <w:tcW w:w="1620" w:type="dxa"/>
            <w:vAlign w:val="center"/>
          </w:tcPr>
          <w:p w14:paraId="56AC1306">
            <w:pPr>
              <w:jc w:val="center"/>
              <w:rPr>
                <w:rFonts w:hint="eastAsia" w:ascii="宋体" w:hAnsi="宋体" w:eastAsia="宋体" w:cs="宋体"/>
                <w:color w:val="auto"/>
                <w:szCs w:val="21"/>
                <w:highlight w:val="none"/>
              </w:rPr>
            </w:pPr>
          </w:p>
        </w:tc>
        <w:tc>
          <w:tcPr>
            <w:tcW w:w="1360" w:type="dxa"/>
            <w:vAlign w:val="center"/>
          </w:tcPr>
          <w:p w14:paraId="0AD5D5EE">
            <w:pPr>
              <w:jc w:val="center"/>
              <w:rPr>
                <w:rFonts w:hint="eastAsia" w:ascii="宋体" w:hAnsi="宋体" w:eastAsia="宋体" w:cs="宋体"/>
                <w:color w:val="auto"/>
                <w:szCs w:val="21"/>
                <w:highlight w:val="none"/>
              </w:rPr>
            </w:pPr>
          </w:p>
        </w:tc>
        <w:tc>
          <w:tcPr>
            <w:tcW w:w="1587" w:type="dxa"/>
            <w:vAlign w:val="center"/>
          </w:tcPr>
          <w:p w14:paraId="1CEFE844">
            <w:pPr>
              <w:jc w:val="center"/>
              <w:rPr>
                <w:rFonts w:hint="eastAsia" w:ascii="宋体" w:hAnsi="宋体" w:eastAsia="宋体" w:cs="宋体"/>
                <w:color w:val="auto"/>
                <w:szCs w:val="21"/>
                <w:highlight w:val="none"/>
              </w:rPr>
            </w:pPr>
          </w:p>
        </w:tc>
        <w:tc>
          <w:tcPr>
            <w:tcW w:w="1133" w:type="dxa"/>
            <w:vAlign w:val="center"/>
          </w:tcPr>
          <w:p w14:paraId="17B8CA2A">
            <w:pPr>
              <w:jc w:val="center"/>
              <w:rPr>
                <w:rFonts w:hint="eastAsia" w:ascii="宋体" w:hAnsi="宋体" w:eastAsia="宋体" w:cs="宋体"/>
                <w:color w:val="auto"/>
                <w:szCs w:val="21"/>
                <w:highlight w:val="none"/>
              </w:rPr>
            </w:pPr>
          </w:p>
        </w:tc>
        <w:tc>
          <w:tcPr>
            <w:tcW w:w="1730" w:type="dxa"/>
            <w:vAlign w:val="center"/>
          </w:tcPr>
          <w:p w14:paraId="0BC0AE0A">
            <w:pPr>
              <w:jc w:val="center"/>
              <w:rPr>
                <w:rFonts w:hint="eastAsia" w:ascii="宋体" w:hAnsi="宋体" w:eastAsia="宋体" w:cs="宋体"/>
                <w:color w:val="auto"/>
                <w:szCs w:val="21"/>
                <w:highlight w:val="none"/>
              </w:rPr>
            </w:pPr>
          </w:p>
        </w:tc>
      </w:tr>
      <w:tr w14:paraId="6791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4CCFED2">
            <w:pPr>
              <w:jc w:val="center"/>
              <w:rPr>
                <w:rFonts w:hint="eastAsia" w:ascii="宋体" w:hAnsi="宋体" w:eastAsia="宋体" w:cs="宋体"/>
                <w:color w:val="auto"/>
                <w:szCs w:val="21"/>
                <w:highlight w:val="none"/>
              </w:rPr>
            </w:pPr>
          </w:p>
        </w:tc>
        <w:tc>
          <w:tcPr>
            <w:tcW w:w="1620" w:type="dxa"/>
            <w:vAlign w:val="center"/>
          </w:tcPr>
          <w:p w14:paraId="6A6531DE">
            <w:pPr>
              <w:jc w:val="center"/>
              <w:rPr>
                <w:rFonts w:hint="eastAsia" w:ascii="宋体" w:hAnsi="宋体" w:eastAsia="宋体" w:cs="宋体"/>
                <w:color w:val="auto"/>
                <w:szCs w:val="21"/>
                <w:highlight w:val="none"/>
              </w:rPr>
            </w:pPr>
          </w:p>
        </w:tc>
        <w:tc>
          <w:tcPr>
            <w:tcW w:w="1360" w:type="dxa"/>
            <w:vAlign w:val="center"/>
          </w:tcPr>
          <w:p w14:paraId="1B0970AA">
            <w:pPr>
              <w:jc w:val="center"/>
              <w:rPr>
                <w:rFonts w:hint="eastAsia" w:ascii="宋体" w:hAnsi="宋体" w:eastAsia="宋体" w:cs="宋体"/>
                <w:color w:val="auto"/>
                <w:szCs w:val="21"/>
                <w:highlight w:val="none"/>
              </w:rPr>
            </w:pPr>
          </w:p>
        </w:tc>
        <w:tc>
          <w:tcPr>
            <w:tcW w:w="1587" w:type="dxa"/>
            <w:vAlign w:val="center"/>
          </w:tcPr>
          <w:p w14:paraId="119D08EC">
            <w:pPr>
              <w:jc w:val="center"/>
              <w:rPr>
                <w:rFonts w:hint="eastAsia" w:ascii="宋体" w:hAnsi="宋体" w:eastAsia="宋体" w:cs="宋体"/>
                <w:color w:val="auto"/>
                <w:szCs w:val="21"/>
                <w:highlight w:val="none"/>
              </w:rPr>
            </w:pPr>
          </w:p>
        </w:tc>
        <w:tc>
          <w:tcPr>
            <w:tcW w:w="1133" w:type="dxa"/>
            <w:vAlign w:val="center"/>
          </w:tcPr>
          <w:p w14:paraId="0EB455A7">
            <w:pPr>
              <w:jc w:val="center"/>
              <w:rPr>
                <w:rFonts w:hint="eastAsia" w:ascii="宋体" w:hAnsi="宋体" w:eastAsia="宋体" w:cs="宋体"/>
                <w:color w:val="auto"/>
                <w:szCs w:val="21"/>
                <w:highlight w:val="none"/>
              </w:rPr>
            </w:pPr>
          </w:p>
        </w:tc>
        <w:tc>
          <w:tcPr>
            <w:tcW w:w="1730" w:type="dxa"/>
            <w:vAlign w:val="center"/>
          </w:tcPr>
          <w:p w14:paraId="21426BA3">
            <w:pPr>
              <w:jc w:val="center"/>
              <w:rPr>
                <w:rFonts w:hint="eastAsia" w:ascii="宋体" w:hAnsi="宋体" w:eastAsia="宋体" w:cs="宋体"/>
                <w:color w:val="auto"/>
                <w:szCs w:val="21"/>
                <w:highlight w:val="none"/>
              </w:rPr>
            </w:pPr>
          </w:p>
        </w:tc>
      </w:tr>
      <w:tr w14:paraId="45B0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774CC82">
            <w:pPr>
              <w:jc w:val="center"/>
              <w:rPr>
                <w:rFonts w:hint="eastAsia" w:ascii="宋体" w:hAnsi="宋体" w:eastAsia="宋体" w:cs="宋体"/>
                <w:color w:val="auto"/>
                <w:szCs w:val="21"/>
                <w:highlight w:val="none"/>
              </w:rPr>
            </w:pPr>
          </w:p>
        </w:tc>
        <w:tc>
          <w:tcPr>
            <w:tcW w:w="1620" w:type="dxa"/>
            <w:vAlign w:val="center"/>
          </w:tcPr>
          <w:p w14:paraId="270A7A05">
            <w:pPr>
              <w:jc w:val="center"/>
              <w:rPr>
                <w:rFonts w:hint="eastAsia" w:ascii="宋体" w:hAnsi="宋体" w:eastAsia="宋体" w:cs="宋体"/>
                <w:color w:val="auto"/>
                <w:szCs w:val="21"/>
                <w:highlight w:val="none"/>
              </w:rPr>
            </w:pPr>
          </w:p>
        </w:tc>
        <w:tc>
          <w:tcPr>
            <w:tcW w:w="1360" w:type="dxa"/>
            <w:vAlign w:val="center"/>
          </w:tcPr>
          <w:p w14:paraId="53374D48">
            <w:pPr>
              <w:jc w:val="center"/>
              <w:rPr>
                <w:rFonts w:hint="eastAsia" w:ascii="宋体" w:hAnsi="宋体" w:eastAsia="宋体" w:cs="宋体"/>
                <w:color w:val="auto"/>
                <w:szCs w:val="21"/>
                <w:highlight w:val="none"/>
              </w:rPr>
            </w:pPr>
          </w:p>
        </w:tc>
        <w:tc>
          <w:tcPr>
            <w:tcW w:w="1587" w:type="dxa"/>
            <w:vAlign w:val="center"/>
          </w:tcPr>
          <w:p w14:paraId="385B1618">
            <w:pPr>
              <w:jc w:val="center"/>
              <w:rPr>
                <w:rFonts w:hint="eastAsia" w:ascii="宋体" w:hAnsi="宋体" w:eastAsia="宋体" w:cs="宋体"/>
                <w:color w:val="auto"/>
                <w:szCs w:val="21"/>
                <w:highlight w:val="none"/>
              </w:rPr>
            </w:pPr>
          </w:p>
        </w:tc>
        <w:tc>
          <w:tcPr>
            <w:tcW w:w="1133" w:type="dxa"/>
            <w:vAlign w:val="center"/>
          </w:tcPr>
          <w:p w14:paraId="3069E7A3">
            <w:pPr>
              <w:jc w:val="center"/>
              <w:rPr>
                <w:rFonts w:hint="eastAsia" w:ascii="宋体" w:hAnsi="宋体" w:eastAsia="宋体" w:cs="宋体"/>
                <w:color w:val="auto"/>
                <w:szCs w:val="21"/>
                <w:highlight w:val="none"/>
              </w:rPr>
            </w:pPr>
          </w:p>
        </w:tc>
        <w:tc>
          <w:tcPr>
            <w:tcW w:w="1730" w:type="dxa"/>
            <w:vAlign w:val="center"/>
          </w:tcPr>
          <w:p w14:paraId="48A80324">
            <w:pPr>
              <w:jc w:val="center"/>
              <w:rPr>
                <w:rFonts w:hint="eastAsia" w:ascii="宋体" w:hAnsi="宋体" w:eastAsia="宋体" w:cs="宋体"/>
                <w:color w:val="auto"/>
                <w:szCs w:val="21"/>
                <w:highlight w:val="none"/>
              </w:rPr>
            </w:pPr>
          </w:p>
        </w:tc>
      </w:tr>
      <w:tr w14:paraId="0D72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3C2AF84">
            <w:pPr>
              <w:jc w:val="center"/>
              <w:rPr>
                <w:rFonts w:hint="eastAsia" w:ascii="宋体" w:hAnsi="宋体" w:eastAsia="宋体" w:cs="宋体"/>
                <w:color w:val="auto"/>
                <w:szCs w:val="21"/>
                <w:highlight w:val="none"/>
              </w:rPr>
            </w:pPr>
          </w:p>
        </w:tc>
        <w:tc>
          <w:tcPr>
            <w:tcW w:w="1620" w:type="dxa"/>
            <w:vAlign w:val="center"/>
          </w:tcPr>
          <w:p w14:paraId="6E6CF7AA">
            <w:pPr>
              <w:jc w:val="center"/>
              <w:rPr>
                <w:rFonts w:hint="eastAsia" w:ascii="宋体" w:hAnsi="宋体" w:eastAsia="宋体" w:cs="宋体"/>
                <w:color w:val="auto"/>
                <w:szCs w:val="21"/>
                <w:highlight w:val="none"/>
              </w:rPr>
            </w:pPr>
          </w:p>
        </w:tc>
        <w:tc>
          <w:tcPr>
            <w:tcW w:w="1360" w:type="dxa"/>
            <w:vAlign w:val="center"/>
          </w:tcPr>
          <w:p w14:paraId="1049BA0A">
            <w:pPr>
              <w:jc w:val="center"/>
              <w:rPr>
                <w:rFonts w:hint="eastAsia" w:ascii="宋体" w:hAnsi="宋体" w:eastAsia="宋体" w:cs="宋体"/>
                <w:color w:val="auto"/>
                <w:szCs w:val="21"/>
                <w:highlight w:val="none"/>
              </w:rPr>
            </w:pPr>
          </w:p>
        </w:tc>
        <w:tc>
          <w:tcPr>
            <w:tcW w:w="1587" w:type="dxa"/>
            <w:vAlign w:val="center"/>
          </w:tcPr>
          <w:p w14:paraId="598275E2">
            <w:pPr>
              <w:jc w:val="center"/>
              <w:rPr>
                <w:rFonts w:hint="eastAsia" w:ascii="宋体" w:hAnsi="宋体" w:eastAsia="宋体" w:cs="宋体"/>
                <w:color w:val="auto"/>
                <w:szCs w:val="21"/>
                <w:highlight w:val="none"/>
              </w:rPr>
            </w:pPr>
          </w:p>
        </w:tc>
        <w:tc>
          <w:tcPr>
            <w:tcW w:w="1133" w:type="dxa"/>
            <w:vAlign w:val="center"/>
          </w:tcPr>
          <w:p w14:paraId="47DF1C0D">
            <w:pPr>
              <w:jc w:val="center"/>
              <w:rPr>
                <w:rFonts w:hint="eastAsia" w:ascii="宋体" w:hAnsi="宋体" w:eastAsia="宋体" w:cs="宋体"/>
                <w:color w:val="auto"/>
                <w:szCs w:val="21"/>
                <w:highlight w:val="none"/>
              </w:rPr>
            </w:pPr>
          </w:p>
        </w:tc>
        <w:tc>
          <w:tcPr>
            <w:tcW w:w="1730" w:type="dxa"/>
            <w:vAlign w:val="center"/>
          </w:tcPr>
          <w:p w14:paraId="4FDDEECC">
            <w:pPr>
              <w:jc w:val="center"/>
              <w:rPr>
                <w:rFonts w:hint="eastAsia" w:ascii="宋体" w:hAnsi="宋体" w:eastAsia="宋体" w:cs="宋体"/>
                <w:color w:val="auto"/>
                <w:szCs w:val="21"/>
                <w:highlight w:val="none"/>
              </w:rPr>
            </w:pPr>
          </w:p>
        </w:tc>
      </w:tr>
      <w:tr w14:paraId="1CD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375639A">
            <w:pPr>
              <w:jc w:val="center"/>
              <w:rPr>
                <w:rFonts w:hint="eastAsia" w:ascii="宋体" w:hAnsi="宋体" w:eastAsia="宋体" w:cs="宋体"/>
                <w:color w:val="auto"/>
                <w:szCs w:val="21"/>
                <w:highlight w:val="none"/>
              </w:rPr>
            </w:pPr>
          </w:p>
        </w:tc>
        <w:tc>
          <w:tcPr>
            <w:tcW w:w="1620" w:type="dxa"/>
            <w:vAlign w:val="center"/>
          </w:tcPr>
          <w:p w14:paraId="080128D8">
            <w:pPr>
              <w:jc w:val="center"/>
              <w:rPr>
                <w:rFonts w:hint="eastAsia" w:ascii="宋体" w:hAnsi="宋体" w:eastAsia="宋体" w:cs="宋体"/>
                <w:color w:val="auto"/>
                <w:szCs w:val="21"/>
                <w:highlight w:val="none"/>
              </w:rPr>
            </w:pPr>
          </w:p>
        </w:tc>
        <w:tc>
          <w:tcPr>
            <w:tcW w:w="1360" w:type="dxa"/>
            <w:vAlign w:val="center"/>
          </w:tcPr>
          <w:p w14:paraId="4D6021EA">
            <w:pPr>
              <w:jc w:val="center"/>
              <w:rPr>
                <w:rFonts w:hint="eastAsia" w:ascii="宋体" w:hAnsi="宋体" w:eastAsia="宋体" w:cs="宋体"/>
                <w:color w:val="auto"/>
                <w:szCs w:val="21"/>
                <w:highlight w:val="none"/>
              </w:rPr>
            </w:pPr>
          </w:p>
        </w:tc>
        <w:tc>
          <w:tcPr>
            <w:tcW w:w="1587" w:type="dxa"/>
            <w:vAlign w:val="center"/>
          </w:tcPr>
          <w:p w14:paraId="0FDDD1B9">
            <w:pPr>
              <w:jc w:val="center"/>
              <w:rPr>
                <w:rFonts w:hint="eastAsia" w:ascii="宋体" w:hAnsi="宋体" w:eastAsia="宋体" w:cs="宋体"/>
                <w:color w:val="auto"/>
                <w:szCs w:val="21"/>
                <w:highlight w:val="none"/>
              </w:rPr>
            </w:pPr>
          </w:p>
        </w:tc>
        <w:tc>
          <w:tcPr>
            <w:tcW w:w="1133" w:type="dxa"/>
            <w:vAlign w:val="center"/>
          </w:tcPr>
          <w:p w14:paraId="142A8AA5">
            <w:pPr>
              <w:jc w:val="center"/>
              <w:rPr>
                <w:rFonts w:hint="eastAsia" w:ascii="宋体" w:hAnsi="宋体" w:eastAsia="宋体" w:cs="宋体"/>
                <w:color w:val="auto"/>
                <w:szCs w:val="21"/>
                <w:highlight w:val="none"/>
              </w:rPr>
            </w:pPr>
          </w:p>
        </w:tc>
        <w:tc>
          <w:tcPr>
            <w:tcW w:w="1730" w:type="dxa"/>
            <w:vAlign w:val="center"/>
          </w:tcPr>
          <w:p w14:paraId="169480F3">
            <w:pPr>
              <w:jc w:val="center"/>
              <w:rPr>
                <w:rFonts w:hint="eastAsia" w:ascii="宋体" w:hAnsi="宋体" w:eastAsia="宋体" w:cs="宋体"/>
                <w:color w:val="auto"/>
                <w:szCs w:val="21"/>
                <w:highlight w:val="none"/>
              </w:rPr>
            </w:pPr>
          </w:p>
        </w:tc>
      </w:tr>
      <w:tr w14:paraId="743C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01A4FA6">
            <w:pPr>
              <w:jc w:val="center"/>
              <w:rPr>
                <w:rFonts w:hint="eastAsia" w:ascii="宋体" w:hAnsi="宋体" w:eastAsia="宋体" w:cs="宋体"/>
                <w:color w:val="auto"/>
                <w:szCs w:val="21"/>
                <w:highlight w:val="none"/>
              </w:rPr>
            </w:pPr>
          </w:p>
        </w:tc>
        <w:tc>
          <w:tcPr>
            <w:tcW w:w="1620" w:type="dxa"/>
            <w:vAlign w:val="center"/>
          </w:tcPr>
          <w:p w14:paraId="3238B382">
            <w:pPr>
              <w:jc w:val="center"/>
              <w:rPr>
                <w:rFonts w:hint="eastAsia" w:ascii="宋体" w:hAnsi="宋体" w:eastAsia="宋体" w:cs="宋体"/>
                <w:color w:val="auto"/>
                <w:szCs w:val="21"/>
                <w:highlight w:val="none"/>
              </w:rPr>
            </w:pPr>
          </w:p>
        </w:tc>
        <w:tc>
          <w:tcPr>
            <w:tcW w:w="1360" w:type="dxa"/>
            <w:vAlign w:val="center"/>
          </w:tcPr>
          <w:p w14:paraId="135F5B60">
            <w:pPr>
              <w:jc w:val="center"/>
              <w:rPr>
                <w:rFonts w:hint="eastAsia" w:ascii="宋体" w:hAnsi="宋体" w:eastAsia="宋体" w:cs="宋体"/>
                <w:color w:val="auto"/>
                <w:szCs w:val="21"/>
                <w:highlight w:val="none"/>
              </w:rPr>
            </w:pPr>
          </w:p>
        </w:tc>
        <w:tc>
          <w:tcPr>
            <w:tcW w:w="1587" w:type="dxa"/>
            <w:vAlign w:val="center"/>
          </w:tcPr>
          <w:p w14:paraId="081EEB17">
            <w:pPr>
              <w:jc w:val="center"/>
              <w:rPr>
                <w:rFonts w:hint="eastAsia" w:ascii="宋体" w:hAnsi="宋体" w:eastAsia="宋体" w:cs="宋体"/>
                <w:color w:val="auto"/>
                <w:szCs w:val="21"/>
                <w:highlight w:val="none"/>
              </w:rPr>
            </w:pPr>
          </w:p>
        </w:tc>
        <w:tc>
          <w:tcPr>
            <w:tcW w:w="1133" w:type="dxa"/>
            <w:vAlign w:val="center"/>
          </w:tcPr>
          <w:p w14:paraId="701A137D">
            <w:pPr>
              <w:jc w:val="center"/>
              <w:rPr>
                <w:rFonts w:hint="eastAsia" w:ascii="宋体" w:hAnsi="宋体" w:eastAsia="宋体" w:cs="宋体"/>
                <w:color w:val="auto"/>
                <w:szCs w:val="21"/>
                <w:highlight w:val="none"/>
              </w:rPr>
            </w:pPr>
          </w:p>
        </w:tc>
        <w:tc>
          <w:tcPr>
            <w:tcW w:w="1730" w:type="dxa"/>
            <w:vAlign w:val="center"/>
          </w:tcPr>
          <w:p w14:paraId="0128117E">
            <w:pPr>
              <w:jc w:val="center"/>
              <w:rPr>
                <w:rFonts w:hint="eastAsia" w:ascii="宋体" w:hAnsi="宋体" w:eastAsia="宋体" w:cs="宋体"/>
                <w:color w:val="auto"/>
                <w:szCs w:val="21"/>
                <w:highlight w:val="none"/>
              </w:rPr>
            </w:pPr>
          </w:p>
        </w:tc>
      </w:tr>
    </w:tbl>
    <w:p w14:paraId="189C8FB8">
      <w:pPr>
        <w:rPr>
          <w:rFonts w:hint="eastAsia" w:ascii="宋体" w:hAnsi="宋体" w:eastAsia="宋体" w:cs="宋体"/>
          <w:color w:val="auto"/>
          <w:szCs w:val="21"/>
          <w:highlight w:val="none"/>
        </w:rPr>
      </w:pPr>
    </w:p>
    <w:p w14:paraId="122FE48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549A135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07DA1453">
      <w:pPr>
        <w:rPr>
          <w:rFonts w:hint="eastAsia" w:ascii="宋体" w:hAnsi="宋体" w:eastAsia="宋体" w:cs="宋体"/>
          <w:color w:val="auto"/>
          <w:szCs w:val="21"/>
          <w:highlight w:val="none"/>
        </w:rPr>
      </w:pPr>
    </w:p>
    <w:p w14:paraId="59ADE0B1">
      <w:pPr>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35D5B0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1、投标人应对照采购文件商务需求书中商务要求，说明已对采购文件的商务内容做出了实质性的响应。</w:t>
      </w:r>
    </w:p>
    <w:p w14:paraId="5089D19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14:paraId="0A7122A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14:paraId="50923BA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14:paraId="0244078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5、如投标人对用户需求书商务要求的条款全部响应的，也可以在表格下面用文字总括性的说明。</w:t>
      </w:r>
    </w:p>
    <w:p w14:paraId="046CBAF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24C47F4">
      <w:pPr>
        <w:pStyle w:val="7"/>
        <w:widowControl w:val="0"/>
        <w:overflowPunct w:val="0"/>
        <w:spacing w:line="240" w:lineRule="auto"/>
        <w:rPr>
          <w:rFonts w:hint="eastAsia" w:ascii="宋体" w:hAnsi="宋体" w:eastAsia="宋体" w:cs="宋体"/>
          <w:color w:val="auto"/>
          <w:sz w:val="30"/>
          <w:szCs w:val="30"/>
          <w:highlight w:val="none"/>
        </w:rPr>
      </w:pPr>
      <w:bookmarkStart w:id="136" w:name="_Toc12754"/>
      <w:r>
        <w:rPr>
          <w:rFonts w:hint="eastAsia" w:ascii="宋体" w:hAnsi="宋体" w:eastAsia="宋体" w:cs="宋体"/>
          <w:color w:val="auto"/>
          <w:sz w:val="21"/>
          <w:szCs w:val="21"/>
          <w:highlight w:val="none"/>
        </w:rPr>
        <w:t>附件13.业绩表</w:t>
      </w:r>
      <w:bookmarkEnd w:id="136"/>
    </w:p>
    <w:p w14:paraId="3597E7D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业绩表</w:t>
      </w:r>
    </w:p>
    <w:tbl>
      <w:tblPr>
        <w:tblStyle w:val="2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535D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5F47CDEC">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05" w:type="dxa"/>
            <w:vAlign w:val="center"/>
          </w:tcPr>
          <w:p w14:paraId="3878AE5A">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706" w:type="dxa"/>
            <w:vAlign w:val="center"/>
          </w:tcPr>
          <w:p w14:paraId="204AAB85">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项目金额</w:t>
            </w:r>
          </w:p>
        </w:tc>
        <w:tc>
          <w:tcPr>
            <w:tcW w:w="1705" w:type="dxa"/>
            <w:vAlign w:val="center"/>
          </w:tcPr>
          <w:p w14:paraId="06DF951D">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项目合同</w:t>
            </w:r>
          </w:p>
          <w:p w14:paraId="54550651">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签订时间</w:t>
            </w:r>
          </w:p>
        </w:tc>
        <w:tc>
          <w:tcPr>
            <w:tcW w:w="1697" w:type="dxa"/>
            <w:vAlign w:val="center"/>
          </w:tcPr>
          <w:p w14:paraId="595941DA">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41A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0AC3AC06">
            <w:pPr>
              <w:adjustRightInd/>
              <w:snapToGrid/>
              <w:jc w:val="center"/>
              <w:rPr>
                <w:rFonts w:hint="eastAsia" w:ascii="宋体" w:hAnsi="宋体" w:eastAsia="宋体" w:cs="宋体"/>
                <w:color w:val="auto"/>
                <w:szCs w:val="21"/>
                <w:highlight w:val="none"/>
              </w:rPr>
            </w:pPr>
          </w:p>
        </w:tc>
        <w:tc>
          <w:tcPr>
            <w:tcW w:w="1705" w:type="dxa"/>
            <w:vAlign w:val="center"/>
          </w:tcPr>
          <w:p w14:paraId="3B64F8D0">
            <w:pPr>
              <w:adjustRightInd/>
              <w:snapToGrid/>
              <w:jc w:val="center"/>
              <w:rPr>
                <w:rFonts w:hint="eastAsia" w:ascii="宋体" w:hAnsi="宋体" w:eastAsia="宋体" w:cs="宋体"/>
                <w:color w:val="auto"/>
                <w:szCs w:val="21"/>
                <w:highlight w:val="none"/>
              </w:rPr>
            </w:pPr>
          </w:p>
        </w:tc>
        <w:tc>
          <w:tcPr>
            <w:tcW w:w="1706" w:type="dxa"/>
            <w:vAlign w:val="center"/>
          </w:tcPr>
          <w:p w14:paraId="4FDF44CC">
            <w:pPr>
              <w:adjustRightInd/>
              <w:snapToGrid/>
              <w:jc w:val="center"/>
              <w:rPr>
                <w:rFonts w:hint="eastAsia" w:ascii="宋体" w:hAnsi="宋体" w:eastAsia="宋体" w:cs="宋体"/>
                <w:color w:val="auto"/>
                <w:szCs w:val="21"/>
                <w:highlight w:val="none"/>
              </w:rPr>
            </w:pPr>
          </w:p>
        </w:tc>
        <w:tc>
          <w:tcPr>
            <w:tcW w:w="1705" w:type="dxa"/>
            <w:vAlign w:val="center"/>
          </w:tcPr>
          <w:p w14:paraId="725ABE6E">
            <w:pPr>
              <w:adjustRightInd/>
              <w:snapToGrid/>
              <w:jc w:val="center"/>
              <w:rPr>
                <w:rFonts w:hint="eastAsia" w:ascii="宋体" w:hAnsi="宋体" w:eastAsia="宋体" w:cs="宋体"/>
                <w:color w:val="auto"/>
                <w:szCs w:val="21"/>
                <w:highlight w:val="none"/>
              </w:rPr>
            </w:pPr>
          </w:p>
        </w:tc>
        <w:tc>
          <w:tcPr>
            <w:tcW w:w="1697" w:type="dxa"/>
            <w:vAlign w:val="center"/>
          </w:tcPr>
          <w:p w14:paraId="32E57567">
            <w:pPr>
              <w:adjustRightInd/>
              <w:snapToGrid/>
              <w:jc w:val="center"/>
              <w:rPr>
                <w:rFonts w:hint="eastAsia" w:ascii="宋体" w:hAnsi="宋体" w:eastAsia="宋体" w:cs="宋体"/>
                <w:color w:val="auto"/>
                <w:szCs w:val="21"/>
                <w:highlight w:val="none"/>
              </w:rPr>
            </w:pPr>
          </w:p>
        </w:tc>
      </w:tr>
      <w:tr w14:paraId="5E9C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51850F0E">
            <w:pPr>
              <w:adjustRightInd/>
              <w:snapToGrid/>
              <w:rPr>
                <w:rFonts w:hint="eastAsia" w:ascii="宋体" w:hAnsi="宋体" w:eastAsia="宋体" w:cs="宋体"/>
                <w:color w:val="auto"/>
                <w:szCs w:val="21"/>
                <w:highlight w:val="none"/>
              </w:rPr>
            </w:pPr>
          </w:p>
        </w:tc>
        <w:tc>
          <w:tcPr>
            <w:tcW w:w="1705" w:type="dxa"/>
          </w:tcPr>
          <w:p w14:paraId="119482D3">
            <w:pPr>
              <w:adjustRightInd/>
              <w:snapToGrid/>
              <w:rPr>
                <w:rFonts w:hint="eastAsia" w:ascii="宋体" w:hAnsi="宋体" w:eastAsia="宋体" w:cs="宋体"/>
                <w:color w:val="auto"/>
                <w:szCs w:val="21"/>
                <w:highlight w:val="none"/>
              </w:rPr>
            </w:pPr>
          </w:p>
        </w:tc>
        <w:tc>
          <w:tcPr>
            <w:tcW w:w="1706" w:type="dxa"/>
          </w:tcPr>
          <w:p w14:paraId="2B3009CA">
            <w:pPr>
              <w:adjustRightInd/>
              <w:snapToGrid/>
              <w:rPr>
                <w:rFonts w:hint="eastAsia" w:ascii="宋体" w:hAnsi="宋体" w:eastAsia="宋体" w:cs="宋体"/>
                <w:color w:val="auto"/>
                <w:szCs w:val="21"/>
                <w:highlight w:val="none"/>
              </w:rPr>
            </w:pPr>
          </w:p>
        </w:tc>
        <w:tc>
          <w:tcPr>
            <w:tcW w:w="1705" w:type="dxa"/>
          </w:tcPr>
          <w:p w14:paraId="4BECCC8C">
            <w:pPr>
              <w:adjustRightInd/>
              <w:snapToGrid/>
              <w:rPr>
                <w:rFonts w:hint="eastAsia" w:ascii="宋体" w:hAnsi="宋体" w:eastAsia="宋体" w:cs="宋体"/>
                <w:color w:val="auto"/>
                <w:szCs w:val="21"/>
                <w:highlight w:val="none"/>
              </w:rPr>
            </w:pPr>
          </w:p>
        </w:tc>
        <w:tc>
          <w:tcPr>
            <w:tcW w:w="1697" w:type="dxa"/>
          </w:tcPr>
          <w:p w14:paraId="04AC98D7">
            <w:pPr>
              <w:adjustRightInd/>
              <w:snapToGrid/>
              <w:rPr>
                <w:rFonts w:hint="eastAsia" w:ascii="宋体" w:hAnsi="宋体" w:eastAsia="宋体" w:cs="宋体"/>
                <w:color w:val="auto"/>
                <w:szCs w:val="21"/>
                <w:highlight w:val="none"/>
              </w:rPr>
            </w:pPr>
          </w:p>
        </w:tc>
      </w:tr>
      <w:tr w14:paraId="53D9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4F0C7FA">
            <w:pPr>
              <w:adjustRightInd/>
              <w:snapToGrid/>
              <w:rPr>
                <w:rFonts w:hint="eastAsia" w:ascii="宋体" w:hAnsi="宋体" w:eastAsia="宋体" w:cs="宋体"/>
                <w:color w:val="auto"/>
                <w:szCs w:val="21"/>
                <w:highlight w:val="none"/>
              </w:rPr>
            </w:pPr>
          </w:p>
        </w:tc>
        <w:tc>
          <w:tcPr>
            <w:tcW w:w="1705" w:type="dxa"/>
          </w:tcPr>
          <w:p w14:paraId="4106ABF9">
            <w:pPr>
              <w:adjustRightInd/>
              <w:snapToGrid/>
              <w:rPr>
                <w:rFonts w:hint="eastAsia" w:ascii="宋体" w:hAnsi="宋体" w:eastAsia="宋体" w:cs="宋体"/>
                <w:color w:val="auto"/>
                <w:szCs w:val="21"/>
                <w:highlight w:val="none"/>
              </w:rPr>
            </w:pPr>
          </w:p>
        </w:tc>
        <w:tc>
          <w:tcPr>
            <w:tcW w:w="1706" w:type="dxa"/>
          </w:tcPr>
          <w:p w14:paraId="645CC53B">
            <w:pPr>
              <w:adjustRightInd/>
              <w:snapToGrid/>
              <w:rPr>
                <w:rFonts w:hint="eastAsia" w:ascii="宋体" w:hAnsi="宋体" w:eastAsia="宋体" w:cs="宋体"/>
                <w:color w:val="auto"/>
                <w:szCs w:val="21"/>
                <w:highlight w:val="none"/>
              </w:rPr>
            </w:pPr>
          </w:p>
        </w:tc>
        <w:tc>
          <w:tcPr>
            <w:tcW w:w="1705" w:type="dxa"/>
          </w:tcPr>
          <w:p w14:paraId="04604EC4">
            <w:pPr>
              <w:adjustRightInd/>
              <w:snapToGrid/>
              <w:rPr>
                <w:rFonts w:hint="eastAsia" w:ascii="宋体" w:hAnsi="宋体" w:eastAsia="宋体" w:cs="宋体"/>
                <w:color w:val="auto"/>
                <w:szCs w:val="21"/>
                <w:highlight w:val="none"/>
              </w:rPr>
            </w:pPr>
          </w:p>
        </w:tc>
        <w:tc>
          <w:tcPr>
            <w:tcW w:w="1697" w:type="dxa"/>
          </w:tcPr>
          <w:p w14:paraId="4CA3161B">
            <w:pPr>
              <w:adjustRightInd/>
              <w:snapToGrid/>
              <w:rPr>
                <w:rFonts w:hint="eastAsia" w:ascii="宋体" w:hAnsi="宋体" w:eastAsia="宋体" w:cs="宋体"/>
                <w:color w:val="auto"/>
                <w:szCs w:val="21"/>
                <w:highlight w:val="none"/>
              </w:rPr>
            </w:pPr>
          </w:p>
        </w:tc>
      </w:tr>
      <w:tr w14:paraId="42AA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5E49A7D">
            <w:pPr>
              <w:adjustRightInd/>
              <w:snapToGrid/>
              <w:rPr>
                <w:rFonts w:hint="eastAsia" w:ascii="宋体" w:hAnsi="宋体" w:eastAsia="宋体" w:cs="宋体"/>
                <w:color w:val="auto"/>
                <w:szCs w:val="21"/>
                <w:highlight w:val="none"/>
              </w:rPr>
            </w:pPr>
          </w:p>
        </w:tc>
        <w:tc>
          <w:tcPr>
            <w:tcW w:w="1705" w:type="dxa"/>
          </w:tcPr>
          <w:p w14:paraId="5E94770A">
            <w:pPr>
              <w:adjustRightInd/>
              <w:snapToGrid/>
              <w:rPr>
                <w:rFonts w:hint="eastAsia" w:ascii="宋体" w:hAnsi="宋体" w:eastAsia="宋体" w:cs="宋体"/>
                <w:color w:val="auto"/>
                <w:szCs w:val="21"/>
                <w:highlight w:val="none"/>
              </w:rPr>
            </w:pPr>
          </w:p>
        </w:tc>
        <w:tc>
          <w:tcPr>
            <w:tcW w:w="1706" w:type="dxa"/>
          </w:tcPr>
          <w:p w14:paraId="6EDA9D95">
            <w:pPr>
              <w:adjustRightInd/>
              <w:snapToGrid/>
              <w:rPr>
                <w:rFonts w:hint="eastAsia" w:ascii="宋体" w:hAnsi="宋体" w:eastAsia="宋体" w:cs="宋体"/>
                <w:color w:val="auto"/>
                <w:szCs w:val="21"/>
                <w:highlight w:val="none"/>
              </w:rPr>
            </w:pPr>
          </w:p>
        </w:tc>
        <w:tc>
          <w:tcPr>
            <w:tcW w:w="1705" w:type="dxa"/>
          </w:tcPr>
          <w:p w14:paraId="2333F9FE">
            <w:pPr>
              <w:adjustRightInd/>
              <w:snapToGrid/>
              <w:rPr>
                <w:rFonts w:hint="eastAsia" w:ascii="宋体" w:hAnsi="宋体" w:eastAsia="宋体" w:cs="宋体"/>
                <w:color w:val="auto"/>
                <w:szCs w:val="21"/>
                <w:highlight w:val="none"/>
              </w:rPr>
            </w:pPr>
          </w:p>
        </w:tc>
        <w:tc>
          <w:tcPr>
            <w:tcW w:w="1697" w:type="dxa"/>
          </w:tcPr>
          <w:p w14:paraId="5A879458">
            <w:pPr>
              <w:adjustRightInd/>
              <w:snapToGrid/>
              <w:rPr>
                <w:rFonts w:hint="eastAsia" w:ascii="宋体" w:hAnsi="宋体" w:eastAsia="宋体" w:cs="宋体"/>
                <w:color w:val="auto"/>
                <w:szCs w:val="21"/>
                <w:highlight w:val="none"/>
              </w:rPr>
            </w:pPr>
          </w:p>
        </w:tc>
      </w:tr>
      <w:tr w14:paraId="7008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53A84FAE">
            <w:pPr>
              <w:adjustRightInd/>
              <w:snapToGrid/>
              <w:rPr>
                <w:rFonts w:hint="eastAsia" w:ascii="宋体" w:hAnsi="宋体" w:eastAsia="宋体" w:cs="宋体"/>
                <w:color w:val="auto"/>
                <w:szCs w:val="21"/>
                <w:highlight w:val="none"/>
              </w:rPr>
            </w:pPr>
          </w:p>
        </w:tc>
        <w:tc>
          <w:tcPr>
            <w:tcW w:w="1705" w:type="dxa"/>
          </w:tcPr>
          <w:p w14:paraId="0111A6C0">
            <w:pPr>
              <w:adjustRightInd/>
              <w:snapToGrid/>
              <w:rPr>
                <w:rFonts w:hint="eastAsia" w:ascii="宋体" w:hAnsi="宋体" w:eastAsia="宋体" w:cs="宋体"/>
                <w:color w:val="auto"/>
                <w:szCs w:val="21"/>
                <w:highlight w:val="none"/>
              </w:rPr>
            </w:pPr>
          </w:p>
        </w:tc>
        <w:tc>
          <w:tcPr>
            <w:tcW w:w="1706" w:type="dxa"/>
          </w:tcPr>
          <w:p w14:paraId="05F0DCA6">
            <w:pPr>
              <w:adjustRightInd/>
              <w:snapToGrid/>
              <w:rPr>
                <w:rFonts w:hint="eastAsia" w:ascii="宋体" w:hAnsi="宋体" w:eastAsia="宋体" w:cs="宋体"/>
                <w:color w:val="auto"/>
                <w:szCs w:val="21"/>
                <w:highlight w:val="none"/>
              </w:rPr>
            </w:pPr>
          </w:p>
        </w:tc>
        <w:tc>
          <w:tcPr>
            <w:tcW w:w="1705" w:type="dxa"/>
          </w:tcPr>
          <w:p w14:paraId="512A0D80">
            <w:pPr>
              <w:adjustRightInd/>
              <w:snapToGrid/>
              <w:rPr>
                <w:rFonts w:hint="eastAsia" w:ascii="宋体" w:hAnsi="宋体" w:eastAsia="宋体" w:cs="宋体"/>
                <w:color w:val="auto"/>
                <w:szCs w:val="21"/>
                <w:highlight w:val="none"/>
              </w:rPr>
            </w:pPr>
          </w:p>
        </w:tc>
        <w:tc>
          <w:tcPr>
            <w:tcW w:w="1697" w:type="dxa"/>
          </w:tcPr>
          <w:p w14:paraId="5A095FE6">
            <w:pPr>
              <w:adjustRightInd/>
              <w:snapToGrid/>
              <w:rPr>
                <w:rFonts w:hint="eastAsia" w:ascii="宋体" w:hAnsi="宋体" w:eastAsia="宋体" w:cs="宋体"/>
                <w:color w:val="auto"/>
                <w:szCs w:val="21"/>
                <w:highlight w:val="none"/>
              </w:rPr>
            </w:pPr>
          </w:p>
        </w:tc>
      </w:tr>
      <w:tr w14:paraId="1959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B9F7DF8">
            <w:pPr>
              <w:adjustRightInd/>
              <w:snapToGrid/>
              <w:rPr>
                <w:rFonts w:hint="eastAsia" w:ascii="宋体" w:hAnsi="宋体" w:eastAsia="宋体" w:cs="宋体"/>
                <w:color w:val="auto"/>
                <w:szCs w:val="21"/>
                <w:highlight w:val="none"/>
              </w:rPr>
            </w:pPr>
          </w:p>
        </w:tc>
        <w:tc>
          <w:tcPr>
            <w:tcW w:w="1705" w:type="dxa"/>
          </w:tcPr>
          <w:p w14:paraId="2BE9D70E">
            <w:pPr>
              <w:adjustRightInd/>
              <w:snapToGrid/>
              <w:rPr>
                <w:rFonts w:hint="eastAsia" w:ascii="宋体" w:hAnsi="宋体" w:eastAsia="宋体" w:cs="宋体"/>
                <w:color w:val="auto"/>
                <w:szCs w:val="21"/>
                <w:highlight w:val="none"/>
              </w:rPr>
            </w:pPr>
          </w:p>
        </w:tc>
        <w:tc>
          <w:tcPr>
            <w:tcW w:w="1706" w:type="dxa"/>
          </w:tcPr>
          <w:p w14:paraId="0C9F4C42">
            <w:pPr>
              <w:adjustRightInd/>
              <w:snapToGrid/>
              <w:rPr>
                <w:rFonts w:hint="eastAsia" w:ascii="宋体" w:hAnsi="宋体" w:eastAsia="宋体" w:cs="宋体"/>
                <w:color w:val="auto"/>
                <w:szCs w:val="21"/>
                <w:highlight w:val="none"/>
              </w:rPr>
            </w:pPr>
          </w:p>
        </w:tc>
        <w:tc>
          <w:tcPr>
            <w:tcW w:w="1705" w:type="dxa"/>
          </w:tcPr>
          <w:p w14:paraId="086A2E02">
            <w:pPr>
              <w:adjustRightInd/>
              <w:snapToGrid/>
              <w:rPr>
                <w:rFonts w:hint="eastAsia" w:ascii="宋体" w:hAnsi="宋体" w:eastAsia="宋体" w:cs="宋体"/>
                <w:color w:val="auto"/>
                <w:szCs w:val="21"/>
                <w:highlight w:val="none"/>
              </w:rPr>
            </w:pPr>
          </w:p>
        </w:tc>
        <w:tc>
          <w:tcPr>
            <w:tcW w:w="1697" w:type="dxa"/>
          </w:tcPr>
          <w:p w14:paraId="4F12AB5B">
            <w:pPr>
              <w:adjustRightInd/>
              <w:snapToGrid/>
              <w:rPr>
                <w:rFonts w:hint="eastAsia" w:ascii="宋体" w:hAnsi="宋体" w:eastAsia="宋体" w:cs="宋体"/>
                <w:color w:val="auto"/>
                <w:szCs w:val="21"/>
                <w:highlight w:val="none"/>
              </w:rPr>
            </w:pPr>
          </w:p>
        </w:tc>
      </w:tr>
    </w:tbl>
    <w:p w14:paraId="72A00DA2">
      <w:pPr>
        <w:pStyle w:val="39"/>
        <w:rPr>
          <w:rFonts w:hint="eastAsia" w:ascii="宋体" w:hAnsi="宋体" w:eastAsia="宋体" w:cs="宋体"/>
          <w:color w:val="auto"/>
          <w:szCs w:val="21"/>
          <w:highlight w:val="none"/>
        </w:rPr>
      </w:pPr>
    </w:p>
    <w:p w14:paraId="496752BD">
      <w:pPr>
        <w:pStyle w:val="3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4826DBC">
      <w:pPr>
        <w:pStyle w:val="39"/>
        <w:numPr>
          <w:ilvl w:val="0"/>
          <w:numId w:val="11"/>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14:paraId="3E37A3B8">
      <w:pPr>
        <w:pStyle w:val="39"/>
        <w:numPr>
          <w:ilvl w:val="0"/>
          <w:numId w:val="11"/>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业绩表所列出的材料应为真实准确的，并应提供相关证明材料复印件加盖公章。请勿提供虚假、过期材料，否则将依据相关规定严肃处理。</w:t>
      </w:r>
    </w:p>
    <w:p w14:paraId="10CCA01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1BC151C">
      <w:pPr>
        <w:pStyle w:val="7"/>
        <w:widowControl w:val="0"/>
        <w:overflowPunct w:val="0"/>
        <w:spacing w:line="240" w:lineRule="auto"/>
        <w:rPr>
          <w:rFonts w:hint="eastAsia" w:ascii="宋体" w:hAnsi="宋体" w:eastAsia="宋体" w:cs="宋体"/>
          <w:color w:val="auto"/>
          <w:highlight w:val="none"/>
        </w:rPr>
      </w:pPr>
      <w:bookmarkStart w:id="137" w:name="_Toc17335"/>
      <w:bookmarkStart w:id="138" w:name="_Toc1959"/>
      <w:r>
        <w:rPr>
          <w:rFonts w:hint="eastAsia" w:ascii="宋体" w:hAnsi="宋体" w:eastAsia="宋体" w:cs="宋体"/>
          <w:color w:val="auto"/>
          <w:sz w:val="21"/>
          <w:szCs w:val="21"/>
          <w:highlight w:val="none"/>
        </w:rPr>
        <w:t>附件14.联合体协议书</w:t>
      </w:r>
      <w:r>
        <w:rPr>
          <w:rFonts w:hint="eastAsia" w:ascii="宋体" w:hAnsi="宋体" w:eastAsia="宋体" w:cs="宋体"/>
          <w:color w:val="auto"/>
          <w:highlight w:val="none"/>
        </w:rPr>
        <w:t>（如有）</w:t>
      </w:r>
      <w:bookmarkEnd w:id="137"/>
      <w:bookmarkEnd w:id="138"/>
    </w:p>
    <w:p w14:paraId="50CD1DEB">
      <w:pPr>
        <w:rPr>
          <w:rFonts w:hint="eastAsia" w:ascii="宋体" w:hAnsi="宋体" w:eastAsia="宋体" w:cs="宋体"/>
          <w:color w:val="auto"/>
          <w:highlight w:val="none"/>
        </w:rPr>
      </w:pPr>
    </w:p>
    <w:p w14:paraId="7A469821">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联合体共同投标协议书</w:t>
      </w:r>
    </w:p>
    <w:p w14:paraId="716C8D3E">
      <w:pPr>
        <w:jc w:val="center"/>
        <w:rPr>
          <w:rFonts w:hint="eastAsia" w:ascii="宋体" w:hAnsi="宋体" w:eastAsia="宋体" w:cs="宋体"/>
          <w:color w:val="auto"/>
          <w:highlight w:val="none"/>
        </w:rPr>
      </w:pPr>
    </w:p>
    <w:p w14:paraId="722CC46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立约方：（甲公司全称）</w:t>
      </w:r>
    </w:p>
    <w:p w14:paraId="7C5FBBE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（乙公司全称）</w:t>
      </w:r>
    </w:p>
    <w:p w14:paraId="2A7EA4F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（……公司全称）</w:t>
      </w:r>
    </w:p>
    <w:p w14:paraId="1D6602CF">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自愿组成联合体，以一个投标人的身份共同参加</w:t>
      </w:r>
      <w:r>
        <w:rPr>
          <w:rFonts w:hint="eastAsia" w:ascii="宋体" w:hAnsi="宋体" w:eastAsia="宋体" w:cs="宋体"/>
          <w:color w:val="auto"/>
          <w:szCs w:val="21"/>
          <w:highlight w:val="none"/>
          <w:u w:val="single"/>
        </w:rPr>
        <w:t>（xxxx项目） （项目编号：xxxx）</w:t>
      </w:r>
      <w:r>
        <w:rPr>
          <w:rFonts w:hint="eastAsia" w:ascii="宋体" w:hAnsi="宋体" w:eastAsia="宋体" w:cs="宋体"/>
          <w:color w:val="auto"/>
          <w:szCs w:val="21"/>
          <w:highlight w:val="none"/>
        </w:rPr>
        <w:t>的招标活动。经各方充分协商一致，就项目的投标和合同实施阶段的有关事务协商一致订立协议如下：</w:t>
      </w:r>
    </w:p>
    <w:p w14:paraId="7E8D756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一、联合体各方关系</w:t>
      </w:r>
    </w:p>
    <w:p w14:paraId="6D710788">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1.（甲公司全称）、（乙公司全称）、（……公司全称）</w:t>
      </w:r>
      <w:r>
        <w:rPr>
          <w:rFonts w:hint="eastAsia" w:ascii="宋体" w:hAnsi="宋体" w:eastAsia="宋体" w:cs="宋体"/>
          <w:color w:val="auto"/>
          <w:szCs w:val="21"/>
          <w:highlight w:val="none"/>
        </w:rPr>
        <w:t>共同组成一个联合体，以一个投标人的身份共同参加本项目的投标。</w:t>
      </w: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作为联合体成员，若中标，联合体各方共同与</w:t>
      </w:r>
      <w:r>
        <w:rPr>
          <w:rFonts w:hint="eastAsia" w:ascii="宋体" w:hAnsi="宋体" w:eastAsia="宋体" w:cs="宋体"/>
          <w:color w:val="auto"/>
          <w:szCs w:val="21"/>
          <w:highlight w:val="none"/>
          <w:u w:val="single"/>
        </w:rPr>
        <w:t>（采购人）</w:t>
      </w:r>
      <w:r>
        <w:rPr>
          <w:rFonts w:hint="eastAsia" w:ascii="宋体" w:hAnsi="宋体" w:eastAsia="宋体" w:cs="宋体"/>
          <w:color w:val="auto"/>
          <w:szCs w:val="21"/>
          <w:highlight w:val="none"/>
        </w:rPr>
        <w:t>签订合同。</w:t>
      </w:r>
    </w:p>
    <w:p w14:paraId="01F2ECA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2.本次投标中，以</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为联合体牵头人。</w:t>
      </w:r>
    </w:p>
    <w:p w14:paraId="2FBAA44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二、联合体内部有关事项约定如下：</w:t>
      </w:r>
    </w:p>
    <w:p w14:paraId="06B4458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0F3A658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59317B8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3.如中标，联合体各方共同与（采购人）签订合同书，并就中标项目向采购人负有连带的和各自的法律责任；</w:t>
      </w:r>
    </w:p>
    <w:p w14:paraId="25F20AF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14:paraId="5AF1B4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3ADEDC4F">
      <w:pPr>
        <w:rPr>
          <w:rFonts w:hint="eastAsia" w:ascii="宋体" w:hAnsi="宋体" w:eastAsia="宋体" w:cs="宋体"/>
          <w:color w:val="auto"/>
          <w:highlight w:val="none"/>
        </w:rPr>
      </w:pPr>
      <w:r>
        <w:rPr>
          <w:rFonts w:hint="eastAsia" w:ascii="宋体" w:hAnsi="宋体" w:eastAsia="宋体" w:cs="宋体"/>
          <w:color w:val="auto"/>
          <w:szCs w:val="21"/>
          <w:highlight w:val="none"/>
        </w:rPr>
        <w:t>（2）</w:t>
      </w:r>
    </w:p>
    <w:p w14:paraId="15FAE25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00C1CEC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四、联合体如因违约过失责任而导致采购人经济损失或被索赔时，本联合体任何一方均同意无条件优先清偿采购人的一切债务和经济赔偿。</w:t>
      </w:r>
    </w:p>
    <w:p w14:paraId="4B06F82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五、联合体中标后，本联合体协议是合同的附件，对联合体各成员单位有合同约束力。</w:t>
      </w:r>
    </w:p>
    <w:p w14:paraId="6F1C168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六、本协议在自签署之日起生效，投标有效期内有效，如获中标资格，本协议有效期延续至合同履行完毕之日。</w:t>
      </w:r>
    </w:p>
    <w:p w14:paraId="01A4905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七、本协议书一式____份，联合体成员和采购人各执一份。 </w:t>
      </w:r>
    </w:p>
    <w:p w14:paraId="0ABED014">
      <w:pPr>
        <w:rPr>
          <w:rFonts w:hint="eastAsia" w:ascii="宋体" w:hAnsi="宋体" w:eastAsia="宋体" w:cs="宋体"/>
          <w:color w:val="auto"/>
          <w:szCs w:val="21"/>
          <w:highlight w:val="none"/>
        </w:rPr>
      </w:pPr>
    </w:p>
    <w:p w14:paraId="13743E26">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注：本协议书由委托人签字的，应附法定代表人签字的授权委托书。</w:t>
      </w:r>
    </w:p>
    <w:p w14:paraId="003F7889">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牵头人名称：_______________________（盖单位公章）</w:t>
      </w:r>
    </w:p>
    <w:p w14:paraId="5F31AA55">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358341CC">
      <w:pPr>
        <w:pStyle w:val="2"/>
        <w:rPr>
          <w:rFonts w:hint="eastAsia" w:ascii="宋体" w:hAnsi="宋体" w:eastAsia="宋体" w:cs="宋体"/>
          <w:color w:val="auto"/>
          <w:sz w:val="21"/>
          <w:szCs w:val="21"/>
          <w:highlight w:val="none"/>
        </w:rPr>
      </w:pPr>
    </w:p>
    <w:p w14:paraId="194EB420">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成员一名称：_______________________（盖单位公章）</w:t>
      </w:r>
    </w:p>
    <w:p w14:paraId="030E9E50">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5D593EE1">
      <w:pPr>
        <w:pStyle w:val="2"/>
        <w:rPr>
          <w:rFonts w:hint="eastAsia" w:ascii="宋体" w:hAnsi="宋体" w:eastAsia="宋体" w:cs="宋体"/>
          <w:color w:val="auto"/>
          <w:sz w:val="21"/>
          <w:szCs w:val="21"/>
          <w:highlight w:val="none"/>
        </w:rPr>
      </w:pPr>
    </w:p>
    <w:p w14:paraId="4E7921EE">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成员二名称：_______________________（盖单位公章）</w:t>
      </w:r>
    </w:p>
    <w:p w14:paraId="79691770">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085B6648">
      <w:pPr>
        <w:pStyle w:val="2"/>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4828A6BE">
      <w:pPr>
        <w:pStyle w:val="2"/>
        <w:rPr>
          <w:rFonts w:hint="eastAsia" w:ascii="宋体" w:hAnsi="宋体" w:eastAsia="宋体" w:cs="宋体"/>
          <w:color w:val="auto"/>
          <w:highlight w:val="none"/>
          <w:lang w:val="en-US"/>
        </w:rPr>
        <w:sectPr>
          <w:headerReference r:id="rId12" w:type="first"/>
          <w:footerReference r:id="rId14" w:type="first"/>
          <w:headerReference r:id="rId11" w:type="default"/>
          <w:footerReference r:id="rId13" w:type="default"/>
          <w:pgSz w:w="11906" w:h="16838"/>
          <w:pgMar w:top="1440" w:right="1686" w:bottom="1338" w:left="1180" w:header="708" w:footer="708" w:gutter="0"/>
          <w:cols w:space="708" w:num="1"/>
          <w:titlePg/>
          <w:docGrid w:type="lines" w:linePitch="360" w:charSpace="0"/>
        </w:sectPr>
      </w:pPr>
      <w:r>
        <w:rPr>
          <w:rFonts w:hint="eastAsia" w:ascii="宋体" w:hAnsi="宋体" w:eastAsia="宋体" w:cs="宋体"/>
          <w:color w:val="auto"/>
          <w:sz w:val="21"/>
          <w:szCs w:val="21"/>
          <w:highlight w:val="none"/>
        </w:rPr>
        <w:t xml:space="preserve">        年     月     日</w:t>
      </w:r>
    </w:p>
    <w:p w14:paraId="7A3682CD">
      <w:pPr>
        <w:pStyle w:val="2"/>
        <w:rPr>
          <w:rFonts w:hint="eastAsia" w:ascii="宋体" w:hAnsi="宋体" w:eastAsia="宋体" w:cs="宋体"/>
          <w:color w:val="auto"/>
          <w:highlight w:val="none"/>
        </w:rPr>
      </w:pPr>
    </w:p>
    <w:p w14:paraId="347C0D78">
      <w:pPr>
        <w:pStyle w:val="5"/>
        <w:spacing w:before="0" w:after="0" w:line="360" w:lineRule="auto"/>
        <w:jc w:val="center"/>
        <w:rPr>
          <w:rFonts w:hint="eastAsia" w:ascii="宋体" w:hAnsi="宋体" w:eastAsia="宋体" w:cs="宋体"/>
          <w:color w:val="auto"/>
          <w:sz w:val="72"/>
          <w:szCs w:val="72"/>
          <w:highlight w:val="none"/>
        </w:rPr>
      </w:pPr>
      <w:bookmarkStart w:id="139" w:name="_Toc24743"/>
      <w:r>
        <w:rPr>
          <w:rFonts w:hint="eastAsia" w:ascii="宋体" w:hAnsi="宋体" w:eastAsia="宋体" w:cs="宋体"/>
          <w:color w:val="auto"/>
          <w:sz w:val="72"/>
          <w:szCs w:val="72"/>
          <w:highlight w:val="none"/>
        </w:rPr>
        <w:t>技术文件</w:t>
      </w:r>
      <w:bookmarkEnd w:id="139"/>
    </w:p>
    <w:p w14:paraId="21123CCD">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14:paraId="798C051B">
      <w:pPr>
        <w:rPr>
          <w:rFonts w:hint="eastAsia" w:ascii="宋体" w:hAnsi="宋体" w:eastAsia="宋体" w:cs="宋体"/>
          <w:color w:val="auto"/>
          <w:highlight w:val="none"/>
        </w:rPr>
      </w:pPr>
    </w:p>
    <w:p w14:paraId="51E6271A">
      <w:pPr>
        <w:pStyle w:val="2"/>
        <w:rPr>
          <w:rFonts w:hint="eastAsia" w:ascii="宋体" w:hAnsi="宋体" w:eastAsia="宋体" w:cs="宋体"/>
          <w:color w:val="auto"/>
          <w:highlight w:val="none"/>
        </w:rPr>
      </w:pPr>
    </w:p>
    <w:p w14:paraId="16F5D175">
      <w:pPr>
        <w:pStyle w:val="26"/>
        <w:ind w:firstLine="240"/>
        <w:rPr>
          <w:rFonts w:hint="eastAsia" w:ascii="宋体" w:hAnsi="宋体" w:eastAsia="宋体" w:cs="宋体"/>
          <w:color w:val="auto"/>
          <w:highlight w:val="none"/>
        </w:rPr>
      </w:pPr>
    </w:p>
    <w:p w14:paraId="230B8E7A">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106"/>
          <w:kern w:val="0"/>
          <w:sz w:val="32"/>
          <w:szCs w:val="32"/>
          <w:highlight w:val="none"/>
          <w:fitText w:val="1600" w:id="8"/>
        </w:rPr>
        <w:t>项目名</w:t>
      </w:r>
      <w:r>
        <w:rPr>
          <w:rFonts w:hint="eastAsia" w:ascii="宋体" w:hAnsi="宋体" w:eastAsia="宋体" w:cs="宋体"/>
          <w:b/>
          <w:bCs/>
          <w:color w:val="auto"/>
          <w:spacing w:val="2"/>
          <w:kern w:val="0"/>
          <w:sz w:val="32"/>
          <w:szCs w:val="32"/>
          <w:highlight w:val="none"/>
          <w:fitText w:val="1600" w:id="8"/>
        </w:rPr>
        <w:t>称</w:t>
      </w:r>
      <w:r>
        <w:rPr>
          <w:rFonts w:hint="eastAsia" w:ascii="宋体" w:hAnsi="宋体" w:eastAsia="宋体" w:cs="宋体"/>
          <w:b/>
          <w:bCs/>
          <w:color w:val="auto"/>
          <w:spacing w:val="-6"/>
          <w:sz w:val="32"/>
          <w:szCs w:val="32"/>
          <w:highlight w:val="none"/>
        </w:rPr>
        <w:t>：</w:t>
      </w:r>
    </w:p>
    <w:p w14:paraId="41D220C7">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106"/>
          <w:kern w:val="0"/>
          <w:sz w:val="32"/>
          <w:szCs w:val="32"/>
          <w:highlight w:val="none"/>
          <w:fitText w:val="1600" w:id="9"/>
        </w:rPr>
        <w:t>项目编</w:t>
      </w:r>
      <w:r>
        <w:rPr>
          <w:rFonts w:hint="eastAsia" w:ascii="宋体" w:hAnsi="宋体" w:eastAsia="宋体" w:cs="宋体"/>
          <w:b/>
          <w:bCs/>
          <w:color w:val="auto"/>
          <w:spacing w:val="2"/>
          <w:kern w:val="0"/>
          <w:sz w:val="32"/>
          <w:szCs w:val="32"/>
          <w:highlight w:val="none"/>
          <w:fitText w:val="1600" w:id="9"/>
        </w:rPr>
        <w:t>号</w:t>
      </w:r>
      <w:r>
        <w:rPr>
          <w:rFonts w:hint="eastAsia" w:ascii="宋体" w:hAnsi="宋体" w:eastAsia="宋体" w:cs="宋体"/>
          <w:b/>
          <w:bCs/>
          <w:color w:val="auto"/>
          <w:sz w:val="32"/>
          <w:szCs w:val="32"/>
          <w:highlight w:val="none"/>
        </w:rPr>
        <w:t>：</w:t>
      </w:r>
    </w:p>
    <w:p w14:paraId="3B71DB5E">
      <w:pPr>
        <w:pStyle w:val="2"/>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14:paraId="6C724903">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10"/>
        </w:rPr>
        <w:t>投标人名称</w:t>
      </w:r>
      <w:r>
        <w:rPr>
          <w:rFonts w:hint="eastAsia" w:ascii="宋体" w:hAnsi="宋体" w:eastAsia="宋体" w:cs="宋体"/>
          <w:b/>
          <w:color w:val="auto"/>
          <w:sz w:val="32"/>
          <w:szCs w:val="32"/>
          <w:highlight w:val="none"/>
        </w:rPr>
        <w:t>：</w:t>
      </w:r>
    </w:p>
    <w:p w14:paraId="73D9C125">
      <w:pPr>
        <w:rPr>
          <w:rFonts w:hint="eastAsia" w:ascii="宋体" w:hAnsi="宋体" w:eastAsia="宋体" w:cs="宋体"/>
          <w:b/>
          <w:color w:val="auto"/>
          <w:sz w:val="32"/>
          <w:szCs w:val="32"/>
          <w:highlight w:val="none"/>
        </w:rPr>
      </w:pPr>
      <w:r>
        <w:rPr>
          <w:rFonts w:hint="eastAsia" w:ascii="宋体" w:hAnsi="宋体" w:eastAsia="宋体" w:cs="宋体"/>
          <w:b/>
          <w:color w:val="auto"/>
          <w:spacing w:val="64"/>
          <w:kern w:val="0"/>
          <w:sz w:val="32"/>
          <w:szCs w:val="32"/>
          <w:highlight w:val="none"/>
          <w:fitText w:val="1600" w:id="11"/>
        </w:rPr>
        <w:t xml:space="preserve">日    </w:t>
      </w:r>
      <w:r>
        <w:rPr>
          <w:rFonts w:hint="eastAsia" w:ascii="宋体" w:hAnsi="宋体" w:eastAsia="宋体" w:cs="宋体"/>
          <w:b/>
          <w:color w:val="auto"/>
          <w:spacing w:val="0"/>
          <w:kern w:val="0"/>
          <w:sz w:val="32"/>
          <w:szCs w:val="32"/>
          <w:highlight w:val="none"/>
          <w:fitText w:val="1600" w:id="11"/>
        </w:rPr>
        <w:t>期</w:t>
      </w:r>
      <w:r>
        <w:rPr>
          <w:rFonts w:hint="eastAsia" w:ascii="宋体" w:hAnsi="宋体" w:eastAsia="宋体" w:cs="宋体"/>
          <w:b/>
          <w:color w:val="auto"/>
          <w:sz w:val="32"/>
          <w:szCs w:val="32"/>
          <w:highlight w:val="none"/>
        </w:rPr>
        <w:t>：</w:t>
      </w:r>
    </w:p>
    <w:p w14:paraId="026413D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A1B1A0F">
      <w:pPr>
        <w:pStyle w:val="7"/>
        <w:widowControl w:val="0"/>
        <w:overflowPunct w:val="0"/>
        <w:spacing w:line="240" w:lineRule="auto"/>
        <w:rPr>
          <w:rFonts w:hint="eastAsia" w:ascii="宋体" w:hAnsi="宋体" w:eastAsia="宋体" w:cs="宋体"/>
          <w:color w:val="auto"/>
          <w:sz w:val="21"/>
          <w:szCs w:val="21"/>
          <w:highlight w:val="none"/>
        </w:rPr>
      </w:pPr>
      <w:bookmarkStart w:id="140" w:name="_Toc23280"/>
      <w:r>
        <w:rPr>
          <w:rFonts w:hint="eastAsia" w:ascii="宋体" w:hAnsi="宋体" w:eastAsia="宋体" w:cs="宋体"/>
          <w:color w:val="auto"/>
          <w:sz w:val="21"/>
          <w:szCs w:val="21"/>
          <w:highlight w:val="none"/>
        </w:rPr>
        <w:t>附件15. 技术规格偏离表格式</w:t>
      </w:r>
      <w:bookmarkEnd w:id="140"/>
    </w:p>
    <w:p w14:paraId="59A49BAC">
      <w:pPr>
        <w:jc w:val="center"/>
        <w:rPr>
          <w:rFonts w:hint="eastAsia" w:ascii="宋体" w:hAnsi="宋体" w:eastAsia="宋体" w:cs="宋体"/>
          <w:color w:val="auto"/>
          <w:sz w:val="28"/>
          <w:szCs w:val="28"/>
          <w:highlight w:val="none"/>
        </w:rPr>
      </w:pPr>
    </w:p>
    <w:p w14:paraId="5C8D73E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技术规格偏离表</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54C7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60718F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02" w:type="dxa"/>
            <w:vAlign w:val="center"/>
          </w:tcPr>
          <w:p w14:paraId="6AFF6B2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70" w:type="dxa"/>
            <w:vAlign w:val="center"/>
          </w:tcPr>
          <w:p w14:paraId="59A056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629" w:type="dxa"/>
            <w:vAlign w:val="center"/>
          </w:tcPr>
          <w:p w14:paraId="6CBB5FC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239" w:type="dxa"/>
            <w:vAlign w:val="center"/>
          </w:tcPr>
          <w:p w14:paraId="41FB3B5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是否偏离</w:t>
            </w:r>
          </w:p>
        </w:tc>
        <w:tc>
          <w:tcPr>
            <w:tcW w:w="1544" w:type="dxa"/>
            <w:vAlign w:val="center"/>
          </w:tcPr>
          <w:p w14:paraId="3FA07F3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5F96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8123771">
            <w:pPr>
              <w:jc w:val="center"/>
              <w:rPr>
                <w:rFonts w:hint="eastAsia" w:ascii="宋体" w:hAnsi="宋体" w:eastAsia="宋体" w:cs="宋体"/>
                <w:color w:val="auto"/>
                <w:szCs w:val="21"/>
                <w:highlight w:val="none"/>
              </w:rPr>
            </w:pPr>
          </w:p>
        </w:tc>
        <w:tc>
          <w:tcPr>
            <w:tcW w:w="1902" w:type="dxa"/>
            <w:vAlign w:val="center"/>
          </w:tcPr>
          <w:p w14:paraId="6F34D275">
            <w:pPr>
              <w:jc w:val="center"/>
              <w:rPr>
                <w:rFonts w:hint="eastAsia" w:ascii="宋体" w:hAnsi="宋体" w:eastAsia="宋体" w:cs="宋体"/>
                <w:color w:val="auto"/>
                <w:szCs w:val="21"/>
                <w:highlight w:val="none"/>
              </w:rPr>
            </w:pPr>
          </w:p>
        </w:tc>
        <w:tc>
          <w:tcPr>
            <w:tcW w:w="1370" w:type="dxa"/>
            <w:vAlign w:val="center"/>
          </w:tcPr>
          <w:p w14:paraId="72191144">
            <w:pPr>
              <w:jc w:val="center"/>
              <w:rPr>
                <w:rFonts w:hint="eastAsia" w:ascii="宋体" w:hAnsi="宋体" w:eastAsia="宋体" w:cs="宋体"/>
                <w:color w:val="auto"/>
                <w:szCs w:val="21"/>
                <w:highlight w:val="none"/>
              </w:rPr>
            </w:pPr>
          </w:p>
        </w:tc>
        <w:tc>
          <w:tcPr>
            <w:tcW w:w="1629" w:type="dxa"/>
            <w:vAlign w:val="center"/>
          </w:tcPr>
          <w:p w14:paraId="6415E728">
            <w:pPr>
              <w:jc w:val="center"/>
              <w:rPr>
                <w:rFonts w:hint="eastAsia" w:ascii="宋体" w:hAnsi="宋体" w:eastAsia="宋体" w:cs="宋体"/>
                <w:color w:val="auto"/>
                <w:szCs w:val="21"/>
                <w:highlight w:val="none"/>
              </w:rPr>
            </w:pPr>
          </w:p>
        </w:tc>
        <w:tc>
          <w:tcPr>
            <w:tcW w:w="1239" w:type="dxa"/>
            <w:vAlign w:val="center"/>
          </w:tcPr>
          <w:p w14:paraId="181BC54A">
            <w:pPr>
              <w:jc w:val="center"/>
              <w:rPr>
                <w:rFonts w:hint="eastAsia" w:ascii="宋体" w:hAnsi="宋体" w:eastAsia="宋体" w:cs="宋体"/>
                <w:color w:val="auto"/>
                <w:szCs w:val="21"/>
                <w:highlight w:val="none"/>
              </w:rPr>
            </w:pPr>
          </w:p>
        </w:tc>
        <w:tc>
          <w:tcPr>
            <w:tcW w:w="1544" w:type="dxa"/>
            <w:vAlign w:val="center"/>
          </w:tcPr>
          <w:p w14:paraId="60D24D86">
            <w:pPr>
              <w:jc w:val="center"/>
              <w:rPr>
                <w:rFonts w:hint="eastAsia" w:ascii="宋体" w:hAnsi="宋体" w:eastAsia="宋体" w:cs="宋体"/>
                <w:color w:val="auto"/>
                <w:szCs w:val="21"/>
                <w:highlight w:val="none"/>
              </w:rPr>
            </w:pPr>
          </w:p>
        </w:tc>
      </w:tr>
      <w:tr w14:paraId="23E5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EC64FA3">
            <w:pPr>
              <w:jc w:val="center"/>
              <w:rPr>
                <w:rFonts w:hint="eastAsia" w:ascii="宋体" w:hAnsi="宋体" w:eastAsia="宋体" w:cs="宋体"/>
                <w:color w:val="auto"/>
                <w:szCs w:val="21"/>
                <w:highlight w:val="none"/>
              </w:rPr>
            </w:pPr>
          </w:p>
        </w:tc>
        <w:tc>
          <w:tcPr>
            <w:tcW w:w="1902" w:type="dxa"/>
            <w:vAlign w:val="center"/>
          </w:tcPr>
          <w:p w14:paraId="1EC67444">
            <w:pPr>
              <w:jc w:val="center"/>
              <w:rPr>
                <w:rFonts w:hint="eastAsia" w:ascii="宋体" w:hAnsi="宋体" w:eastAsia="宋体" w:cs="宋体"/>
                <w:color w:val="auto"/>
                <w:szCs w:val="21"/>
                <w:highlight w:val="none"/>
              </w:rPr>
            </w:pPr>
          </w:p>
        </w:tc>
        <w:tc>
          <w:tcPr>
            <w:tcW w:w="1370" w:type="dxa"/>
            <w:vAlign w:val="center"/>
          </w:tcPr>
          <w:p w14:paraId="0841DC80">
            <w:pPr>
              <w:jc w:val="center"/>
              <w:rPr>
                <w:rFonts w:hint="eastAsia" w:ascii="宋体" w:hAnsi="宋体" w:eastAsia="宋体" w:cs="宋体"/>
                <w:color w:val="auto"/>
                <w:szCs w:val="21"/>
                <w:highlight w:val="none"/>
              </w:rPr>
            </w:pPr>
          </w:p>
        </w:tc>
        <w:tc>
          <w:tcPr>
            <w:tcW w:w="1629" w:type="dxa"/>
            <w:vAlign w:val="center"/>
          </w:tcPr>
          <w:p w14:paraId="489AA301">
            <w:pPr>
              <w:jc w:val="center"/>
              <w:rPr>
                <w:rFonts w:hint="eastAsia" w:ascii="宋体" w:hAnsi="宋体" w:eastAsia="宋体" w:cs="宋体"/>
                <w:color w:val="auto"/>
                <w:szCs w:val="21"/>
                <w:highlight w:val="none"/>
              </w:rPr>
            </w:pPr>
          </w:p>
        </w:tc>
        <w:tc>
          <w:tcPr>
            <w:tcW w:w="1239" w:type="dxa"/>
            <w:vAlign w:val="center"/>
          </w:tcPr>
          <w:p w14:paraId="1FF14654">
            <w:pPr>
              <w:jc w:val="center"/>
              <w:rPr>
                <w:rFonts w:hint="eastAsia" w:ascii="宋体" w:hAnsi="宋体" w:eastAsia="宋体" w:cs="宋体"/>
                <w:color w:val="auto"/>
                <w:szCs w:val="21"/>
                <w:highlight w:val="none"/>
              </w:rPr>
            </w:pPr>
          </w:p>
        </w:tc>
        <w:tc>
          <w:tcPr>
            <w:tcW w:w="1544" w:type="dxa"/>
            <w:vAlign w:val="center"/>
          </w:tcPr>
          <w:p w14:paraId="7253D270">
            <w:pPr>
              <w:jc w:val="center"/>
              <w:rPr>
                <w:rFonts w:hint="eastAsia" w:ascii="宋体" w:hAnsi="宋体" w:eastAsia="宋体" w:cs="宋体"/>
                <w:color w:val="auto"/>
                <w:szCs w:val="21"/>
                <w:highlight w:val="none"/>
              </w:rPr>
            </w:pPr>
          </w:p>
        </w:tc>
      </w:tr>
      <w:tr w14:paraId="2224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B22E8D1">
            <w:pPr>
              <w:jc w:val="center"/>
              <w:rPr>
                <w:rFonts w:hint="eastAsia" w:ascii="宋体" w:hAnsi="宋体" w:eastAsia="宋体" w:cs="宋体"/>
                <w:color w:val="auto"/>
                <w:szCs w:val="21"/>
                <w:highlight w:val="none"/>
              </w:rPr>
            </w:pPr>
          </w:p>
        </w:tc>
        <w:tc>
          <w:tcPr>
            <w:tcW w:w="1902" w:type="dxa"/>
            <w:vAlign w:val="center"/>
          </w:tcPr>
          <w:p w14:paraId="16611BFB">
            <w:pPr>
              <w:jc w:val="center"/>
              <w:rPr>
                <w:rFonts w:hint="eastAsia" w:ascii="宋体" w:hAnsi="宋体" w:eastAsia="宋体" w:cs="宋体"/>
                <w:color w:val="auto"/>
                <w:szCs w:val="21"/>
                <w:highlight w:val="none"/>
              </w:rPr>
            </w:pPr>
          </w:p>
        </w:tc>
        <w:tc>
          <w:tcPr>
            <w:tcW w:w="1370" w:type="dxa"/>
            <w:vAlign w:val="center"/>
          </w:tcPr>
          <w:p w14:paraId="7831460D">
            <w:pPr>
              <w:jc w:val="center"/>
              <w:rPr>
                <w:rFonts w:hint="eastAsia" w:ascii="宋体" w:hAnsi="宋体" w:eastAsia="宋体" w:cs="宋体"/>
                <w:color w:val="auto"/>
                <w:szCs w:val="21"/>
                <w:highlight w:val="none"/>
              </w:rPr>
            </w:pPr>
          </w:p>
        </w:tc>
        <w:tc>
          <w:tcPr>
            <w:tcW w:w="1629" w:type="dxa"/>
            <w:vAlign w:val="center"/>
          </w:tcPr>
          <w:p w14:paraId="464EAD90">
            <w:pPr>
              <w:jc w:val="center"/>
              <w:rPr>
                <w:rFonts w:hint="eastAsia" w:ascii="宋体" w:hAnsi="宋体" w:eastAsia="宋体" w:cs="宋体"/>
                <w:color w:val="auto"/>
                <w:szCs w:val="21"/>
                <w:highlight w:val="none"/>
              </w:rPr>
            </w:pPr>
          </w:p>
        </w:tc>
        <w:tc>
          <w:tcPr>
            <w:tcW w:w="1239" w:type="dxa"/>
            <w:vAlign w:val="center"/>
          </w:tcPr>
          <w:p w14:paraId="3975D340">
            <w:pPr>
              <w:jc w:val="center"/>
              <w:rPr>
                <w:rFonts w:hint="eastAsia" w:ascii="宋体" w:hAnsi="宋体" w:eastAsia="宋体" w:cs="宋体"/>
                <w:color w:val="auto"/>
                <w:szCs w:val="21"/>
                <w:highlight w:val="none"/>
              </w:rPr>
            </w:pPr>
          </w:p>
        </w:tc>
        <w:tc>
          <w:tcPr>
            <w:tcW w:w="1544" w:type="dxa"/>
            <w:vAlign w:val="center"/>
          </w:tcPr>
          <w:p w14:paraId="7FDB8B91">
            <w:pPr>
              <w:jc w:val="center"/>
              <w:rPr>
                <w:rFonts w:hint="eastAsia" w:ascii="宋体" w:hAnsi="宋体" w:eastAsia="宋体" w:cs="宋体"/>
                <w:color w:val="auto"/>
                <w:szCs w:val="21"/>
                <w:highlight w:val="none"/>
              </w:rPr>
            </w:pPr>
          </w:p>
        </w:tc>
      </w:tr>
      <w:tr w14:paraId="6A08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0E46D59">
            <w:pPr>
              <w:jc w:val="center"/>
              <w:rPr>
                <w:rFonts w:hint="eastAsia" w:ascii="宋体" w:hAnsi="宋体" w:eastAsia="宋体" w:cs="宋体"/>
                <w:color w:val="auto"/>
                <w:szCs w:val="21"/>
                <w:highlight w:val="none"/>
              </w:rPr>
            </w:pPr>
          </w:p>
        </w:tc>
        <w:tc>
          <w:tcPr>
            <w:tcW w:w="1902" w:type="dxa"/>
            <w:vAlign w:val="center"/>
          </w:tcPr>
          <w:p w14:paraId="38FE29DD">
            <w:pPr>
              <w:jc w:val="center"/>
              <w:rPr>
                <w:rFonts w:hint="eastAsia" w:ascii="宋体" w:hAnsi="宋体" w:eastAsia="宋体" w:cs="宋体"/>
                <w:color w:val="auto"/>
                <w:szCs w:val="21"/>
                <w:highlight w:val="none"/>
              </w:rPr>
            </w:pPr>
          </w:p>
        </w:tc>
        <w:tc>
          <w:tcPr>
            <w:tcW w:w="1370" w:type="dxa"/>
            <w:vAlign w:val="center"/>
          </w:tcPr>
          <w:p w14:paraId="38EB3E82">
            <w:pPr>
              <w:jc w:val="center"/>
              <w:rPr>
                <w:rFonts w:hint="eastAsia" w:ascii="宋体" w:hAnsi="宋体" w:eastAsia="宋体" w:cs="宋体"/>
                <w:color w:val="auto"/>
                <w:szCs w:val="21"/>
                <w:highlight w:val="none"/>
              </w:rPr>
            </w:pPr>
          </w:p>
        </w:tc>
        <w:tc>
          <w:tcPr>
            <w:tcW w:w="1629" w:type="dxa"/>
            <w:vAlign w:val="center"/>
          </w:tcPr>
          <w:p w14:paraId="51661A04">
            <w:pPr>
              <w:jc w:val="center"/>
              <w:rPr>
                <w:rFonts w:hint="eastAsia" w:ascii="宋体" w:hAnsi="宋体" w:eastAsia="宋体" w:cs="宋体"/>
                <w:color w:val="auto"/>
                <w:szCs w:val="21"/>
                <w:highlight w:val="none"/>
              </w:rPr>
            </w:pPr>
          </w:p>
        </w:tc>
        <w:tc>
          <w:tcPr>
            <w:tcW w:w="1239" w:type="dxa"/>
            <w:vAlign w:val="center"/>
          </w:tcPr>
          <w:p w14:paraId="0CBDBD45">
            <w:pPr>
              <w:jc w:val="center"/>
              <w:rPr>
                <w:rFonts w:hint="eastAsia" w:ascii="宋体" w:hAnsi="宋体" w:eastAsia="宋体" w:cs="宋体"/>
                <w:color w:val="auto"/>
                <w:szCs w:val="21"/>
                <w:highlight w:val="none"/>
              </w:rPr>
            </w:pPr>
          </w:p>
        </w:tc>
        <w:tc>
          <w:tcPr>
            <w:tcW w:w="1544" w:type="dxa"/>
            <w:vAlign w:val="center"/>
          </w:tcPr>
          <w:p w14:paraId="45D0B64B">
            <w:pPr>
              <w:jc w:val="center"/>
              <w:rPr>
                <w:rFonts w:hint="eastAsia" w:ascii="宋体" w:hAnsi="宋体" w:eastAsia="宋体" w:cs="宋体"/>
                <w:color w:val="auto"/>
                <w:szCs w:val="21"/>
                <w:highlight w:val="none"/>
              </w:rPr>
            </w:pPr>
          </w:p>
        </w:tc>
      </w:tr>
      <w:tr w14:paraId="61F0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5EC412F">
            <w:pPr>
              <w:jc w:val="center"/>
              <w:rPr>
                <w:rFonts w:hint="eastAsia" w:ascii="宋体" w:hAnsi="宋体" w:eastAsia="宋体" w:cs="宋体"/>
                <w:color w:val="auto"/>
                <w:szCs w:val="21"/>
                <w:highlight w:val="none"/>
              </w:rPr>
            </w:pPr>
          </w:p>
        </w:tc>
        <w:tc>
          <w:tcPr>
            <w:tcW w:w="1902" w:type="dxa"/>
            <w:vAlign w:val="center"/>
          </w:tcPr>
          <w:p w14:paraId="5C67A607">
            <w:pPr>
              <w:jc w:val="center"/>
              <w:rPr>
                <w:rFonts w:hint="eastAsia" w:ascii="宋体" w:hAnsi="宋体" w:eastAsia="宋体" w:cs="宋体"/>
                <w:color w:val="auto"/>
                <w:szCs w:val="21"/>
                <w:highlight w:val="none"/>
              </w:rPr>
            </w:pPr>
          </w:p>
        </w:tc>
        <w:tc>
          <w:tcPr>
            <w:tcW w:w="1370" w:type="dxa"/>
            <w:vAlign w:val="center"/>
          </w:tcPr>
          <w:p w14:paraId="6745BDDD">
            <w:pPr>
              <w:jc w:val="center"/>
              <w:rPr>
                <w:rFonts w:hint="eastAsia" w:ascii="宋体" w:hAnsi="宋体" w:eastAsia="宋体" w:cs="宋体"/>
                <w:color w:val="auto"/>
                <w:szCs w:val="21"/>
                <w:highlight w:val="none"/>
              </w:rPr>
            </w:pPr>
          </w:p>
        </w:tc>
        <w:tc>
          <w:tcPr>
            <w:tcW w:w="1629" w:type="dxa"/>
            <w:vAlign w:val="center"/>
          </w:tcPr>
          <w:p w14:paraId="06C4A972">
            <w:pPr>
              <w:jc w:val="center"/>
              <w:rPr>
                <w:rFonts w:hint="eastAsia" w:ascii="宋体" w:hAnsi="宋体" w:eastAsia="宋体" w:cs="宋体"/>
                <w:color w:val="auto"/>
                <w:szCs w:val="21"/>
                <w:highlight w:val="none"/>
              </w:rPr>
            </w:pPr>
          </w:p>
        </w:tc>
        <w:tc>
          <w:tcPr>
            <w:tcW w:w="1239" w:type="dxa"/>
            <w:vAlign w:val="center"/>
          </w:tcPr>
          <w:p w14:paraId="15019C87">
            <w:pPr>
              <w:jc w:val="center"/>
              <w:rPr>
                <w:rFonts w:hint="eastAsia" w:ascii="宋体" w:hAnsi="宋体" w:eastAsia="宋体" w:cs="宋体"/>
                <w:color w:val="auto"/>
                <w:szCs w:val="21"/>
                <w:highlight w:val="none"/>
              </w:rPr>
            </w:pPr>
          </w:p>
        </w:tc>
        <w:tc>
          <w:tcPr>
            <w:tcW w:w="1544" w:type="dxa"/>
            <w:vAlign w:val="center"/>
          </w:tcPr>
          <w:p w14:paraId="535F8043">
            <w:pPr>
              <w:jc w:val="center"/>
              <w:rPr>
                <w:rFonts w:hint="eastAsia" w:ascii="宋体" w:hAnsi="宋体" w:eastAsia="宋体" w:cs="宋体"/>
                <w:color w:val="auto"/>
                <w:szCs w:val="21"/>
                <w:highlight w:val="none"/>
              </w:rPr>
            </w:pPr>
          </w:p>
        </w:tc>
      </w:tr>
      <w:tr w14:paraId="7C7D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BBB1979">
            <w:pPr>
              <w:jc w:val="center"/>
              <w:rPr>
                <w:rFonts w:hint="eastAsia" w:ascii="宋体" w:hAnsi="宋体" w:eastAsia="宋体" w:cs="宋体"/>
                <w:color w:val="auto"/>
                <w:szCs w:val="21"/>
                <w:highlight w:val="none"/>
              </w:rPr>
            </w:pPr>
          </w:p>
        </w:tc>
        <w:tc>
          <w:tcPr>
            <w:tcW w:w="1902" w:type="dxa"/>
            <w:vAlign w:val="center"/>
          </w:tcPr>
          <w:p w14:paraId="44AC1C4F">
            <w:pPr>
              <w:jc w:val="center"/>
              <w:rPr>
                <w:rFonts w:hint="eastAsia" w:ascii="宋体" w:hAnsi="宋体" w:eastAsia="宋体" w:cs="宋体"/>
                <w:color w:val="auto"/>
                <w:szCs w:val="21"/>
                <w:highlight w:val="none"/>
              </w:rPr>
            </w:pPr>
          </w:p>
        </w:tc>
        <w:tc>
          <w:tcPr>
            <w:tcW w:w="1370" w:type="dxa"/>
            <w:vAlign w:val="center"/>
          </w:tcPr>
          <w:p w14:paraId="67AB51A1">
            <w:pPr>
              <w:jc w:val="center"/>
              <w:rPr>
                <w:rFonts w:hint="eastAsia" w:ascii="宋体" w:hAnsi="宋体" w:eastAsia="宋体" w:cs="宋体"/>
                <w:color w:val="auto"/>
                <w:szCs w:val="21"/>
                <w:highlight w:val="none"/>
              </w:rPr>
            </w:pPr>
          </w:p>
        </w:tc>
        <w:tc>
          <w:tcPr>
            <w:tcW w:w="1629" w:type="dxa"/>
            <w:vAlign w:val="center"/>
          </w:tcPr>
          <w:p w14:paraId="7FDC2511">
            <w:pPr>
              <w:jc w:val="center"/>
              <w:rPr>
                <w:rFonts w:hint="eastAsia" w:ascii="宋体" w:hAnsi="宋体" w:eastAsia="宋体" w:cs="宋体"/>
                <w:color w:val="auto"/>
                <w:szCs w:val="21"/>
                <w:highlight w:val="none"/>
              </w:rPr>
            </w:pPr>
          </w:p>
        </w:tc>
        <w:tc>
          <w:tcPr>
            <w:tcW w:w="1239" w:type="dxa"/>
            <w:vAlign w:val="center"/>
          </w:tcPr>
          <w:p w14:paraId="3918404B">
            <w:pPr>
              <w:jc w:val="center"/>
              <w:rPr>
                <w:rFonts w:hint="eastAsia" w:ascii="宋体" w:hAnsi="宋体" w:eastAsia="宋体" w:cs="宋体"/>
                <w:color w:val="auto"/>
                <w:szCs w:val="21"/>
                <w:highlight w:val="none"/>
              </w:rPr>
            </w:pPr>
          </w:p>
        </w:tc>
        <w:tc>
          <w:tcPr>
            <w:tcW w:w="1544" w:type="dxa"/>
            <w:vAlign w:val="center"/>
          </w:tcPr>
          <w:p w14:paraId="059217DF">
            <w:pPr>
              <w:jc w:val="center"/>
              <w:rPr>
                <w:rFonts w:hint="eastAsia" w:ascii="宋体" w:hAnsi="宋体" w:eastAsia="宋体" w:cs="宋体"/>
                <w:color w:val="auto"/>
                <w:szCs w:val="21"/>
                <w:highlight w:val="none"/>
              </w:rPr>
            </w:pPr>
          </w:p>
        </w:tc>
      </w:tr>
      <w:tr w14:paraId="6134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33A59DB">
            <w:pPr>
              <w:jc w:val="center"/>
              <w:rPr>
                <w:rFonts w:hint="eastAsia" w:ascii="宋体" w:hAnsi="宋体" w:eastAsia="宋体" w:cs="宋体"/>
                <w:color w:val="auto"/>
                <w:szCs w:val="21"/>
                <w:highlight w:val="none"/>
              </w:rPr>
            </w:pPr>
          </w:p>
        </w:tc>
        <w:tc>
          <w:tcPr>
            <w:tcW w:w="1902" w:type="dxa"/>
            <w:vAlign w:val="center"/>
          </w:tcPr>
          <w:p w14:paraId="58270D8F">
            <w:pPr>
              <w:jc w:val="center"/>
              <w:rPr>
                <w:rFonts w:hint="eastAsia" w:ascii="宋体" w:hAnsi="宋体" w:eastAsia="宋体" w:cs="宋体"/>
                <w:color w:val="auto"/>
                <w:szCs w:val="21"/>
                <w:highlight w:val="none"/>
              </w:rPr>
            </w:pPr>
          </w:p>
        </w:tc>
        <w:tc>
          <w:tcPr>
            <w:tcW w:w="1370" w:type="dxa"/>
            <w:vAlign w:val="center"/>
          </w:tcPr>
          <w:p w14:paraId="29A46D8D">
            <w:pPr>
              <w:jc w:val="center"/>
              <w:rPr>
                <w:rFonts w:hint="eastAsia" w:ascii="宋体" w:hAnsi="宋体" w:eastAsia="宋体" w:cs="宋体"/>
                <w:color w:val="auto"/>
                <w:szCs w:val="21"/>
                <w:highlight w:val="none"/>
              </w:rPr>
            </w:pPr>
          </w:p>
        </w:tc>
        <w:tc>
          <w:tcPr>
            <w:tcW w:w="1629" w:type="dxa"/>
            <w:vAlign w:val="center"/>
          </w:tcPr>
          <w:p w14:paraId="31CBB2B9">
            <w:pPr>
              <w:jc w:val="center"/>
              <w:rPr>
                <w:rFonts w:hint="eastAsia" w:ascii="宋体" w:hAnsi="宋体" w:eastAsia="宋体" w:cs="宋体"/>
                <w:color w:val="auto"/>
                <w:szCs w:val="21"/>
                <w:highlight w:val="none"/>
              </w:rPr>
            </w:pPr>
          </w:p>
        </w:tc>
        <w:tc>
          <w:tcPr>
            <w:tcW w:w="1239" w:type="dxa"/>
            <w:vAlign w:val="center"/>
          </w:tcPr>
          <w:p w14:paraId="3B1042CB">
            <w:pPr>
              <w:jc w:val="center"/>
              <w:rPr>
                <w:rFonts w:hint="eastAsia" w:ascii="宋体" w:hAnsi="宋体" w:eastAsia="宋体" w:cs="宋体"/>
                <w:color w:val="auto"/>
                <w:szCs w:val="21"/>
                <w:highlight w:val="none"/>
              </w:rPr>
            </w:pPr>
          </w:p>
        </w:tc>
        <w:tc>
          <w:tcPr>
            <w:tcW w:w="1544" w:type="dxa"/>
            <w:vAlign w:val="center"/>
          </w:tcPr>
          <w:p w14:paraId="626D2594">
            <w:pPr>
              <w:jc w:val="center"/>
              <w:rPr>
                <w:rFonts w:hint="eastAsia" w:ascii="宋体" w:hAnsi="宋体" w:eastAsia="宋体" w:cs="宋体"/>
                <w:color w:val="auto"/>
                <w:szCs w:val="21"/>
                <w:highlight w:val="none"/>
              </w:rPr>
            </w:pPr>
          </w:p>
        </w:tc>
      </w:tr>
      <w:tr w14:paraId="654A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94BB3A4">
            <w:pPr>
              <w:jc w:val="center"/>
              <w:rPr>
                <w:rFonts w:hint="eastAsia" w:ascii="宋体" w:hAnsi="宋体" w:eastAsia="宋体" w:cs="宋体"/>
                <w:color w:val="auto"/>
                <w:szCs w:val="21"/>
                <w:highlight w:val="none"/>
              </w:rPr>
            </w:pPr>
          </w:p>
        </w:tc>
        <w:tc>
          <w:tcPr>
            <w:tcW w:w="1902" w:type="dxa"/>
            <w:vAlign w:val="center"/>
          </w:tcPr>
          <w:p w14:paraId="0CDAC26A">
            <w:pPr>
              <w:jc w:val="center"/>
              <w:rPr>
                <w:rFonts w:hint="eastAsia" w:ascii="宋体" w:hAnsi="宋体" w:eastAsia="宋体" w:cs="宋体"/>
                <w:color w:val="auto"/>
                <w:szCs w:val="21"/>
                <w:highlight w:val="none"/>
              </w:rPr>
            </w:pPr>
          </w:p>
        </w:tc>
        <w:tc>
          <w:tcPr>
            <w:tcW w:w="1370" w:type="dxa"/>
            <w:vAlign w:val="center"/>
          </w:tcPr>
          <w:p w14:paraId="5D37A490">
            <w:pPr>
              <w:jc w:val="center"/>
              <w:rPr>
                <w:rFonts w:hint="eastAsia" w:ascii="宋体" w:hAnsi="宋体" w:eastAsia="宋体" w:cs="宋体"/>
                <w:color w:val="auto"/>
                <w:szCs w:val="21"/>
                <w:highlight w:val="none"/>
              </w:rPr>
            </w:pPr>
          </w:p>
        </w:tc>
        <w:tc>
          <w:tcPr>
            <w:tcW w:w="1629" w:type="dxa"/>
            <w:vAlign w:val="center"/>
          </w:tcPr>
          <w:p w14:paraId="2B49D964">
            <w:pPr>
              <w:jc w:val="center"/>
              <w:rPr>
                <w:rFonts w:hint="eastAsia" w:ascii="宋体" w:hAnsi="宋体" w:eastAsia="宋体" w:cs="宋体"/>
                <w:color w:val="auto"/>
                <w:szCs w:val="21"/>
                <w:highlight w:val="none"/>
              </w:rPr>
            </w:pPr>
          </w:p>
        </w:tc>
        <w:tc>
          <w:tcPr>
            <w:tcW w:w="1239" w:type="dxa"/>
            <w:vAlign w:val="center"/>
          </w:tcPr>
          <w:p w14:paraId="2AD5CAF3">
            <w:pPr>
              <w:jc w:val="center"/>
              <w:rPr>
                <w:rFonts w:hint="eastAsia" w:ascii="宋体" w:hAnsi="宋体" w:eastAsia="宋体" w:cs="宋体"/>
                <w:color w:val="auto"/>
                <w:szCs w:val="21"/>
                <w:highlight w:val="none"/>
              </w:rPr>
            </w:pPr>
          </w:p>
        </w:tc>
        <w:tc>
          <w:tcPr>
            <w:tcW w:w="1544" w:type="dxa"/>
            <w:vAlign w:val="center"/>
          </w:tcPr>
          <w:p w14:paraId="36F3DFD1">
            <w:pPr>
              <w:jc w:val="center"/>
              <w:rPr>
                <w:rFonts w:hint="eastAsia" w:ascii="宋体" w:hAnsi="宋体" w:eastAsia="宋体" w:cs="宋体"/>
                <w:color w:val="auto"/>
                <w:szCs w:val="21"/>
                <w:highlight w:val="none"/>
              </w:rPr>
            </w:pPr>
          </w:p>
        </w:tc>
      </w:tr>
      <w:tr w14:paraId="2064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AC3D00D">
            <w:pPr>
              <w:jc w:val="center"/>
              <w:rPr>
                <w:rFonts w:hint="eastAsia" w:ascii="宋体" w:hAnsi="宋体" w:eastAsia="宋体" w:cs="宋体"/>
                <w:color w:val="auto"/>
                <w:szCs w:val="21"/>
                <w:highlight w:val="none"/>
              </w:rPr>
            </w:pPr>
          </w:p>
        </w:tc>
        <w:tc>
          <w:tcPr>
            <w:tcW w:w="1902" w:type="dxa"/>
            <w:vAlign w:val="center"/>
          </w:tcPr>
          <w:p w14:paraId="3D09FC79">
            <w:pPr>
              <w:jc w:val="center"/>
              <w:rPr>
                <w:rFonts w:hint="eastAsia" w:ascii="宋体" w:hAnsi="宋体" w:eastAsia="宋体" w:cs="宋体"/>
                <w:color w:val="auto"/>
                <w:szCs w:val="21"/>
                <w:highlight w:val="none"/>
              </w:rPr>
            </w:pPr>
          </w:p>
        </w:tc>
        <w:tc>
          <w:tcPr>
            <w:tcW w:w="1370" w:type="dxa"/>
            <w:vAlign w:val="center"/>
          </w:tcPr>
          <w:p w14:paraId="236EA0A9">
            <w:pPr>
              <w:jc w:val="center"/>
              <w:rPr>
                <w:rFonts w:hint="eastAsia" w:ascii="宋体" w:hAnsi="宋体" w:eastAsia="宋体" w:cs="宋体"/>
                <w:color w:val="auto"/>
                <w:szCs w:val="21"/>
                <w:highlight w:val="none"/>
              </w:rPr>
            </w:pPr>
          </w:p>
        </w:tc>
        <w:tc>
          <w:tcPr>
            <w:tcW w:w="1629" w:type="dxa"/>
            <w:vAlign w:val="center"/>
          </w:tcPr>
          <w:p w14:paraId="6CD6FB0F">
            <w:pPr>
              <w:jc w:val="center"/>
              <w:rPr>
                <w:rFonts w:hint="eastAsia" w:ascii="宋体" w:hAnsi="宋体" w:eastAsia="宋体" w:cs="宋体"/>
                <w:color w:val="auto"/>
                <w:szCs w:val="21"/>
                <w:highlight w:val="none"/>
              </w:rPr>
            </w:pPr>
          </w:p>
        </w:tc>
        <w:tc>
          <w:tcPr>
            <w:tcW w:w="1239" w:type="dxa"/>
            <w:vAlign w:val="center"/>
          </w:tcPr>
          <w:p w14:paraId="42510134">
            <w:pPr>
              <w:jc w:val="center"/>
              <w:rPr>
                <w:rFonts w:hint="eastAsia" w:ascii="宋体" w:hAnsi="宋体" w:eastAsia="宋体" w:cs="宋体"/>
                <w:color w:val="auto"/>
                <w:szCs w:val="21"/>
                <w:highlight w:val="none"/>
              </w:rPr>
            </w:pPr>
          </w:p>
        </w:tc>
        <w:tc>
          <w:tcPr>
            <w:tcW w:w="1544" w:type="dxa"/>
            <w:vAlign w:val="center"/>
          </w:tcPr>
          <w:p w14:paraId="009019A1">
            <w:pPr>
              <w:jc w:val="center"/>
              <w:rPr>
                <w:rFonts w:hint="eastAsia" w:ascii="宋体" w:hAnsi="宋体" w:eastAsia="宋体" w:cs="宋体"/>
                <w:color w:val="auto"/>
                <w:szCs w:val="21"/>
                <w:highlight w:val="none"/>
              </w:rPr>
            </w:pPr>
          </w:p>
        </w:tc>
      </w:tr>
      <w:tr w14:paraId="2005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CB1FDBD">
            <w:pPr>
              <w:jc w:val="center"/>
              <w:rPr>
                <w:rFonts w:hint="eastAsia" w:ascii="宋体" w:hAnsi="宋体" w:eastAsia="宋体" w:cs="宋体"/>
                <w:color w:val="auto"/>
                <w:szCs w:val="21"/>
                <w:highlight w:val="none"/>
              </w:rPr>
            </w:pPr>
          </w:p>
        </w:tc>
        <w:tc>
          <w:tcPr>
            <w:tcW w:w="1902" w:type="dxa"/>
            <w:vAlign w:val="center"/>
          </w:tcPr>
          <w:p w14:paraId="6135E24E">
            <w:pPr>
              <w:jc w:val="center"/>
              <w:rPr>
                <w:rFonts w:hint="eastAsia" w:ascii="宋体" w:hAnsi="宋体" w:eastAsia="宋体" w:cs="宋体"/>
                <w:color w:val="auto"/>
                <w:szCs w:val="21"/>
                <w:highlight w:val="none"/>
              </w:rPr>
            </w:pPr>
          </w:p>
        </w:tc>
        <w:tc>
          <w:tcPr>
            <w:tcW w:w="1370" w:type="dxa"/>
            <w:vAlign w:val="center"/>
          </w:tcPr>
          <w:p w14:paraId="344F36BA">
            <w:pPr>
              <w:jc w:val="center"/>
              <w:rPr>
                <w:rFonts w:hint="eastAsia" w:ascii="宋体" w:hAnsi="宋体" w:eastAsia="宋体" w:cs="宋体"/>
                <w:color w:val="auto"/>
                <w:szCs w:val="21"/>
                <w:highlight w:val="none"/>
              </w:rPr>
            </w:pPr>
          </w:p>
        </w:tc>
        <w:tc>
          <w:tcPr>
            <w:tcW w:w="1629" w:type="dxa"/>
            <w:vAlign w:val="center"/>
          </w:tcPr>
          <w:p w14:paraId="264BE1A5">
            <w:pPr>
              <w:jc w:val="center"/>
              <w:rPr>
                <w:rFonts w:hint="eastAsia" w:ascii="宋体" w:hAnsi="宋体" w:eastAsia="宋体" w:cs="宋体"/>
                <w:color w:val="auto"/>
                <w:szCs w:val="21"/>
                <w:highlight w:val="none"/>
              </w:rPr>
            </w:pPr>
          </w:p>
        </w:tc>
        <w:tc>
          <w:tcPr>
            <w:tcW w:w="1239" w:type="dxa"/>
            <w:vAlign w:val="center"/>
          </w:tcPr>
          <w:p w14:paraId="77944FF1">
            <w:pPr>
              <w:jc w:val="center"/>
              <w:rPr>
                <w:rFonts w:hint="eastAsia" w:ascii="宋体" w:hAnsi="宋体" w:eastAsia="宋体" w:cs="宋体"/>
                <w:color w:val="auto"/>
                <w:szCs w:val="21"/>
                <w:highlight w:val="none"/>
              </w:rPr>
            </w:pPr>
          </w:p>
        </w:tc>
        <w:tc>
          <w:tcPr>
            <w:tcW w:w="1544" w:type="dxa"/>
            <w:vAlign w:val="center"/>
          </w:tcPr>
          <w:p w14:paraId="548FC745">
            <w:pPr>
              <w:jc w:val="center"/>
              <w:rPr>
                <w:rFonts w:hint="eastAsia" w:ascii="宋体" w:hAnsi="宋体" w:eastAsia="宋体" w:cs="宋体"/>
                <w:color w:val="auto"/>
                <w:szCs w:val="21"/>
                <w:highlight w:val="none"/>
              </w:rPr>
            </w:pPr>
          </w:p>
        </w:tc>
      </w:tr>
    </w:tbl>
    <w:p w14:paraId="24E2F5E5">
      <w:pPr>
        <w:rPr>
          <w:rFonts w:hint="eastAsia" w:ascii="宋体" w:hAnsi="宋体" w:eastAsia="宋体" w:cs="宋体"/>
          <w:color w:val="auto"/>
          <w:szCs w:val="21"/>
          <w:highlight w:val="none"/>
        </w:rPr>
      </w:pPr>
    </w:p>
    <w:p w14:paraId="4DC914E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0C79EF9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4862B771">
      <w:pPr>
        <w:ind w:firstLine="178" w:firstLineChars="85"/>
        <w:rPr>
          <w:rFonts w:hint="eastAsia" w:ascii="宋体" w:hAnsi="宋体" w:eastAsia="宋体" w:cs="宋体"/>
          <w:color w:val="auto"/>
          <w:szCs w:val="21"/>
          <w:highlight w:val="none"/>
        </w:rPr>
      </w:pPr>
    </w:p>
    <w:p w14:paraId="4BB97B4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5E466F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576D98A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14:paraId="11CD9EB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14:paraId="176F9B2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14:paraId="7D0D2FF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5、如投标人对用户需求书</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要求的条款全部响应的，也可以在表格下面用文字总括性的说明。</w:t>
      </w:r>
    </w:p>
    <w:p w14:paraId="5460C914">
      <w:pPr>
        <w:rPr>
          <w:rFonts w:hint="eastAsia" w:ascii="宋体" w:hAnsi="宋体" w:eastAsia="宋体" w:cs="宋体"/>
          <w:color w:val="auto"/>
          <w:szCs w:val="21"/>
          <w:highlight w:val="none"/>
        </w:rPr>
      </w:pPr>
    </w:p>
    <w:p w14:paraId="04A050E6">
      <w:pPr>
        <w:adjustRightInd/>
        <w:snapToGrid/>
        <w:spacing w:line="276" w:lineRule="auto"/>
        <w:rPr>
          <w:rFonts w:hint="eastAsia" w:ascii="宋体" w:hAnsi="宋体" w:eastAsia="宋体" w:cs="宋体"/>
          <w:color w:val="auto"/>
          <w:highlight w:val="none"/>
        </w:rPr>
      </w:pPr>
    </w:p>
    <w:p w14:paraId="304B6242">
      <w:pPr>
        <w:rPr>
          <w:rFonts w:hint="eastAsia" w:ascii="宋体" w:hAnsi="宋体" w:eastAsia="宋体" w:cs="宋体"/>
          <w:color w:val="auto"/>
          <w:szCs w:val="21"/>
          <w:highlight w:val="none"/>
        </w:rPr>
      </w:pPr>
      <w:bookmarkStart w:id="141" w:name="_Toc17691"/>
      <w:r>
        <w:rPr>
          <w:rFonts w:hint="eastAsia" w:ascii="宋体" w:hAnsi="宋体" w:eastAsia="宋体" w:cs="宋体"/>
          <w:color w:val="auto"/>
          <w:szCs w:val="21"/>
          <w:highlight w:val="none"/>
        </w:rPr>
        <w:br w:type="page"/>
      </w:r>
    </w:p>
    <w:bookmarkEnd w:id="141"/>
    <w:p w14:paraId="3AC26175">
      <w:pPr>
        <w:pStyle w:val="7"/>
        <w:widowControl w:val="0"/>
        <w:overflowPunct w:val="0"/>
        <w:spacing w:line="240" w:lineRule="auto"/>
        <w:rPr>
          <w:rFonts w:hint="eastAsia" w:ascii="宋体" w:hAnsi="宋体" w:eastAsia="宋体" w:cs="宋体"/>
          <w:color w:val="auto"/>
          <w:sz w:val="21"/>
          <w:szCs w:val="21"/>
          <w:highlight w:val="none"/>
        </w:rPr>
      </w:pPr>
      <w:bookmarkStart w:id="142" w:name="_Toc24061"/>
      <w:r>
        <w:rPr>
          <w:rFonts w:hint="eastAsia" w:ascii="宋体" w:hAnsi="宋体" w:eastAsia="宋体" w:cs="宋体"/>
          <w:color w:val="auto"/>
          <w:sz w:val="21"/>
          <w:szCs w:val="21"/>
          <w:highlight w:val="none"/>
        </w:rPr>
        <w:t>附件16.项目实施方案格式</w:t>
      </w:r>
      <w:bookmarkEnd w:id="142"/>
    </w:p>
    <w:p w14:paraId="465D299E">
      <w:pPr>
        <w:jc w:val="center"/>
        <w:rPr>
          <w:rFonts w:hint="eastAsia" w:ascii="宋体" w:hAnsi="宋体" w:eastAsia="宋体" w:cs="宋体"/>
          <w:color w:val="auto"/>
          <w:sz w:val="32"/>
          <w:szCs w:val="32"/>
          <w:highlight w:val="none"/>
        </w:rPr>
      </w:pPr>
    </w:p>
    <w:p w14:paraId="5D7F376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项目实施方案</w:t>
      </w:r>
    </w:p>
    <w:p w14:paraId="02EBD7DB">
      <w:pPr>
        <w:jc w:val="center"/>
        <w:rPr>
          <w:rFonts w:hint="eastAsia" w:ascii="宋体" w:hAnsi="宋体" w:eastAsia="宋体" w:cs="宋体"/>
          <w:color w:val="auto"/>
          <w:sz w:val="32"/>
          <w:szCs w:val="32"/>
          <w:highlight w:val="none"/>
        </w:rPr>
      </w:pPr>
    </w:p>
    <w:p w14:paraId="72238950">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1、为完成本项目投标人临时投入的设备</w:t>
      </w:r>
    </w:p>
    <w:p w14:paraId="7E6059AB">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2、为完成本项目投标人投入的人员以及具体工作安排</w:t>
      </w:r>
    </w:p>
    <w:p w14:paraId="6AE9B9D7">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3、投标人为本项目制定的具体项目实施方案与项目实施流程</w:t>
      </w:r>
    </w:p>
    <w:p w14:paraId="0A06F4A6">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4、服务方案</w:t>
      </w:r>
    </w:p>
    <w:p w14:paraId="0955858E">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p w14:paraId="7DB2F9AE">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自行编写。</w:t>
      </w:r>
    </w:p>
    <w:p w14:paraId="25BC72EE">
      <w:pPr>
        <w:ind w:left="718" w:leftChars="200" w:hanging="298" w:hangingChars="142"/>
        <w:rPr>
          <w:rFonts w:hint="eastAsia" w:ascii="宋体" w:hAnsi="宋体" w:eastAsia="宋体" w:cs="宋体"/>
          <w:color w:val="auto"/>
          <w:szCs w:val="21"/>
          <w:highlight w:val="none"/>
        </w:rPr>
      </w:pPr>
    </w:p>
    <w:p w14:paraId="234C1D2C">
      <w:pPr>
        <w:ind w:left="718" w:leftChars="200" w:hanging="298" w:hangingChars="142"/>
        <w:rPr>
          <w:rFonts w:hint="eastAsia" w:ascii="宋体" w:hAnsi="宋体" w:eastAsia="宋体" w:cs="宋体"/>
          <w:color w:val="auto"/>
          <w:szCs w:val="21"/>
          <w:highlight w:val="none"/>
        </w:rPr>
      </w:pPr>
    </w:p>
    <w:p w14:paraId="3D47D748">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7F7C130">
      <w:pPr>
        <w:pStyle w:val="7"/>
        <w:widowControl w:val="0"/>
        <w:overflowPunct w:val="0"/>
        <w:spacing w:line="240" w:lineRule="auto"/>
        <w:rPr>
          <w:rFonts w:hint="eastAsia" w:ascii="宋体" w:hAnsi="宋体" w:eastAsia="宋体" w:cs="宋体"/>
          <w:color w:val="auto"/>
          <w:sz w:val="21"/>
          <w:szCs w:val="21"/>
          <w:highlight w:val="none"/>
        </w:rPr>
      </w:pPr>
      <w:bookmarkStart w:id="143" w:name="_Toc3977"/>
      <w:r>
        <w:rPr>
          <w:rFonts w:hint="eastAsia" w:ascii="宋体" w:hAnsi="宋体" w:eastAsia="宋体" w:cs="宋体"/>
          <w:color w:val="auto"/>
          <w:sz w:val="21"/>
          <w:szCs w:val="21"/>
          <w:highlight w:val="none"/>
        </w:rPr>
        <w:t>附件17.实施本项目的有关人员资料表格式</w:t>
      </w:r>
      <w:bookmarkEnd w:id="143"/>
    </w:p>
    <w:p w14:paraId="50FF3E15">
      <w:pPr>
        <w:jc w:val="center"/>
        <w:rPr>
          <w:rFonts w:hint="eastAsia" w:ascii="宋体" w:hAnsi="宋体" w:eastAsia="宋体" w:cs="宋体"/>
          <w:color w:val="auto"/>
          <w:szCs w:val="21"/>
          <w:highlight w:val="none"/>
        </w:rPr>
      </w:pPr>
    </w:p>
    <w:p w14:paraId="445347E2">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实施本项目的有关人员资料表</w:t>
      </w:r>
    </w:p>
    <w:tbl>
      <w:tblPr>
        <w:tblStyle w:val="2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27AC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114401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02" w:type="dxa"/>
            <w:vAlign w:val="center"/>
          </w:tcPr>
          <w:p w14:paraId="5618ABE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61" w:type="dxa"/>
            <w:vAlign w:val="center"/>
          </w:tcPr>
          <w:p w14:paraId="11968BE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本项目拟任岗位</w:t>
            </w:r>
          </w:p>
        </w:tc>
        <w:tc>
          <w:tcPr>
            <w:tcW w:w="702" w:type="dxa"/>
            <w:vAlign w:val="center"/>
          </w:tcPr>
          <w:p w14:paraId="1D73BD3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02" w:type="dxa"/>
            <w:vAlign w:val="center"/>
          </w:tcPr>
          <w:p w14:paraId="327F630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64" w:type="dxa"/>
            <w:vAlign w:val="center"/>
          </w:tcPr>
          <w:p w14:paraId="6589E48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818" w:type="dxa"/>
            <w:vAlign w:val="center"/>
          </w:tcPr>
          <w:p w14:paraId="2F8BEAD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 业</w:t>
            </w:r>
          </w:p>
        </w:tc>
        <w:tc>
          <w:tcPr>
            <w:tcW w:w="1165" w:type="dxa"/>
            <w:vAlign w:val="center"/>
          </w:tcPr>
          <w:p w14:paraId="161FBE3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资质证书</w:t>
            </w:r>
          </w:p>
        </w:tc>
        <w:tc>
          <w:tcPr>
            <w:tcW w:w="703" w:type="dxa"/>
            <w:tcBorders>
              <w:right w:val="single" w:color="auto" w:sz="6" w:space="0"/>
            </w:tcBorders>
            <w:vAlign w:val="center"/>
          </w:tcPr>
          <w:p w14:paraId="130AC45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9A6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FEC6971">
            <w:pPr>
              <w:spacing w:line="288" w:lineRule="auto"/>
              <w:jc w:val="center"/>
              <w:rPr>
                <w:rFonts w:hint="eastAsia" w:ascii="宋体" w:hAnsi="宋体" w:eastAsia="宋体" w:cs="宋体"/>
                <w:color w:val="auto"/>
                <w:szCs w:val="21"/>
                <w:highlight w:val="none"/>
              </w:rPr>
            </w:pPr>
          </w:p>
        </w:tc>
        <w:tc>
          <w:tcPr>
            <w:tcW w:w="702" w:type="dxa"/>
            <w:vAlign w:val="center"/>
          </w:tcPr>
          <w:p w14:paraId="4F47D36C">
            <w:pPr>
              <w:spacing w:line="288" w:lineRule="auto"/>
              <w:jc w:val="center"/>
              <w:rPr>
                <w:rFonts w:hint="eastAsia" w:ascii="宋体" w:hAnsi="宋体" w:eastAsia="宋体" w:cs="宋体"/>
                <w:color w:val="auto"/>
                <w:szCs w:val="21"/>
                <w:highlight w:val="none"/>
              </w:rPr>
            </w:pPr>
          </w:p>
        </w:tc>
        <w:tc>
          <w:tcPr>
            <w:tcW w:w="1861" w:type="dxa"/>
            <w:vAlign w:val="center"/>
          </w:tcPr>
          <w:p w14:paraId="79ECDC15">
            <w:pPr>
              <w:spacing w:line="288" w:lineRule="auto"/>
              <w:jc w:val="center"/>
              <w:rPr>
                <w:rFonts w:hint="eastAsia" w:ascii="宋体" w:hAnsi="宋体" w:eastAsia="宋体" w:cs="宋体"/>
                <w:color w:val="auto"/>
                <w:szCs w:val="21"/>
                <w:highlight w:val="none"/>
              </w:rPr>
            </w:pPr>
          </w:p>
        </w:tc>
        <w:tc>
          <w:tcPr>
            <w:tcW w:w="702" w:type="dxa"/>
            <w:vAlign w:val="center"/>
          </w:tcPr>
          <w:p w14:paraId="127F3601">
            <w:pPr>
              <w:spacing w:line="288" w:lineRule="auto"/>
              <w:jc w:val="center"/>
              <w:rPr>
                <w:rFonts w:hint="eastAsia" w:ascii="宋体" w:hAnsi="宋体" w:eastAsia="宋体" w:cs="宋体"/>
                <w:color w:val="auto"/>
                <w:szCs w:val="21"/>
                <w:highlight w:val="none"/>
              </w:rPr>
            </w:pPr>
          </w:p>
        </w:tc>
        <w:tc>
          <w:tcPr>
            <w:tcW w:w="702" w:type="dxa"/>
            <w:vAlign w:val="center"/>
          </w:tcPr>
          <w:p w14:paraId="45F94F75">
            <w:pPr>
              <w:spacing w:line="288" w:lineRule="auto"/>
              <w:jc w:val="center"/>
              <w:rPr>
                <w:rFonts w:hint="eastAsia" w:ascii="宋体" w:hAnsi="宋体" w:eastAsia="宋体" w:cs="宋体"/>
                <w:color w:val="auto"/>
                <w:szCs w:val="21"/>
                <w:highlight w:val="none"/>
              </w:rPr>
            </w:pPr>
          </w:p>
        </w:tc>
        <w:tc>
          <w:tcPr>
            <w:tcW w:w="1164" w:type="dxa"/>
            <w:vAlign w:val="center"/>
          </w:tcPr>
          <w:p w14:paraId="1EB7FA85">
            <w:pPr>
              <w:spacing w:line="288" w:lineRule="auto"/>
              <w:jc w:val="center"/>
              <w:rPr>
                <w:rFonts w:hint="eastAsia" w:ascii="宋体" w:hAnsi="宋体" w:eastAsia="宋体" w:cs="宋体"/>
                <w:color w:val="auto"/>
                <w:szCs w:val="21"/>
                <w:highlight w:val="none"/>
              </w:rPr>
            </w:pPr>
          </w:p>
        </w:tc>
        <w:tc>
          <w:tcPr>
            <w:tcW w:w="818" w:type="dxa"/>
            <w:vAlign w:val="center"/>
          </w:tcPr>
          <w:p w14:paraId="311927B2">
            <w:pPr>
              <w:spacing w:line="288" w:lineRule="auto"/>
              <w:jc w:val="center"/>
              <w:rPr>
                <w:rFonts w:hint="eastAsia" w:ascii="宋体" w:hAnsi="宋体" w:eastAsia="宋体" w:cs="宋体"/>
                <w:color w:val="auto"/>
                <w:szCs w:val="21"/>
                <w:highlight w:val="none"/>
              </w:rPr>
            </w:pPr>
          </w:p>
        </w:tc>
        <w:tc>
          <w:tcPr>
            <w:tcW w:w="1165" w:type="dxa"/>
            <w:vAlign w:val="center"/>
          </w:tcPr>
          <w:p w14:paraId="725C3464">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2E693B0D">
            <w:pPr>
              <w:spacing w:line="288" w:lineRule="auto"/>
              <w:jc w:val="center"/>
              <w:rPr>
                <w:rFonts w:hint="eastAsia" w:ascii="宋体" w:hAnsi="宋体" w:eastAsia="宋体" w:cs="宋体"/>
                <w:color w:val="auto"/>
                <w:szCs w:val="21"/>
                <w:highlight w:val="none"/>
              </w:rPr>
            </w:pPr>
          </w:p>
        </w:tc>
      </w:tr>
      <w:tr w14:paraId="4AB6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892F489">
            <w:pPr>
              <w:spacing w:line="288" w:lineRule="auto"/>
              <w:jc w:val="center"/>
              <w:rPr>
                <w:rFonts w:hint="eastAsia" w:ascii="宋体" w:hAnsi="宋体" w:eastAsia="宋体" w:cs="宋体"/>
                <w:color w:val="auto"/>
                <w:szCs w:val="21"/>
                <w:highlight w:val="none"/>
              </w:rPr>
            </w:pPr>
          </w:p>
        </w:tc>
        <w:tc>
          <w:tcPr>
            <w:tcW w:w="702" w:type="dxa"/>
            <w:vAlign w:val="center"/>
          </w:tcPr>
          <w:p w14:paraId="3CD34B0A">
            <w:pPr>
              <w:spacing w:line="288" w:lineRule="auto"/>
              <w:jc w:val="center"/>
              <w:rPr>
                <w:rFonts w:hint="eastAsia" w:ascii="宋体" w:hAnsi="宋体" w:eastAsia="宋体" w:cs="宋体"/>
                <w:color w:val="auto"/>
                <w:szCs w:val="21"/>
                <w:highlight w:val="none"/>
              </w:rPr>
            </w:pPr>
          </w:p>
        </w:tc>
        <w:tc>
          <w:tcPr>
            <w:tcW w:w="1861" w:type="dxa"/>
            <w:vAlign w:val="center"/>
          </w:tcPr>
          <w:p w14:paraId="674506C6">
            <w:pPr>
              <w:spacing w:line="288" w:lineRule="auto"/>
              <w:jc w:val="center"/>
              <w:rPr>
                <w:rFonts w:hint="eastAsia" w:ascii="宋体" w:hAnsi="宋体" w:eastAsia="宋体" w:cs="宋体"/>
                <w:color w:val="auto"/>
                <w:szCs w:val="21"/>
                <w:highlight w:val="none"/>
              </w:rPr>
            </w:pPr>
          </w:p>
        </w:tc>
        <w:tc>
          <w:tcPr>
            <w:tcW w:w="702" w:type="dxa"/>
            <w:vAlign w:val="center"/>
          </w:tcPr>
          <w:p w14:paraId="7ACB67D1">
            <w:pPr>
              <w:spacing w:line="288" w:lineRule="auto"/>
              <w:jc w:val="center"/>
              <w:rPr>
                <w:rFonts w:hint="eastAsia" w:ascii="宋体" w:hAnsi="宋体" w:eastAsia="宋体" w:cs="宋体"/>
                <w:color w:val="auto"/>
                <w:szCs w:val="21"/>
                <w:highlight w:val="none"/>
              </w:rPr>
            </w:pPr>
          </w:p>
        </w:tc>
        <w:tc>
          <w:tcPr>
            <w:tcW w:w="702" w:type="dxa"/>
            <w:vAlign w:val="center"/>
          </w:tcPr>
          <w:p w14:paraId="363014F6">
            <w:pPr>
              <w:spacing w:line="288" w:lineRule="auto"/>
              <w:jc w:val="center"/>
              <w:rPr>
                <w:rFonts w:hint="eastAsia" w:ascii="宋体" w:hAnsi="宋体" w:eastAsia="宋体" w:cs="宋体"/>
                <w:color w:val="auto"/>
                <w:szCs w:val="21"/>
                <w:highlight w:val="none"/>
              </w:rPr>
            </w:pPr>
          </w:p>
        </w:tc>
        <w:tc>
          <w:tcPr>
            <w:tcW w:w="1164" w:type="dxa"/>
            <w:vAlign w:val="center"/>
          </w:tcPr>
          <w:p w14:paraId="7E139B23">
            <w:pPr>
              <w:spacing w:line="288" w:lineRule="auto"/>
              <w:jc w:val="center"/>
              <w:rPr>
                <w:rFonts w:hint="eastAsia" w:ascii="宋体" w:hAnsi="宋体" w:eastAsia="宋体" w:cs="宋体"/>
                <w:color w:val="auto"/>
                <w:szCs w:val="21"/>
                <w:highlight w:val="none"/>
              </w:rPr>
            </w:pPr>
          </w:p>
        </w:tc>
        <w:tc>
          <w:tcPr>
            <w:tcW w:w="818" w:type="dxa"/>
            <w:vAlign w:val="center"/>
          </w:tcPr>
          <w:p w14:paraId="73E14F0E">
            <w:pPr>
              <w:spacing w:line="288" w:lineRule="auto"/>
              <w:jc w:val="center"/>
              <w:rPr>
                <w:rFonts w:hint="eastAsia" w:ascii="宋体" w:hAnsi="宋体" w:eastAsia="宋体" w:cs="宋体"/>
                <w:color w:val="auto"/>
                <w:szCs w:val="21"/>
                <w:highlight w:val="none"/>
              </w:rPr>
            </w:pPr>
          </w:p>
        </w:tc>
        <w:tc>
          <w:tcPr>
            <w:tcW w:w="1165" w:type="dxa"/>
            <w:vAlign w:val="center"/>
          </w:tcPr>
          <w:p w14:paraId="3B20B0FF">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2C90F743">
            <w:pPr>
              <w:spacing w:line="288" w:lineRule="auto"/>
              <w:jc w:val="center"/>
              <w:rPr>
                <w:rFonts w:hint="eastAsia" w:ascii="宋体" w:hAnsi="宋体" w:eastAsia="宋体" w:cs="宋体"/>
                <w:color w:val="auto"/>
                <w:szCs w:val="21"/>
                <w:highlight w:val="none"/>
              </w:rPr>
            </w:pPr>
          </w:p>
        </w:tc>
      </w:tr>
      <w:tr w14:paraId="6DD3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57B4D43">
            <w:pPr>
              <w:spacing w:line="288" w:lineRule="auto"/>
              <w:jc w:val="center"/>
              <w:rPr>
                <w:rFonts w:hint="eastAsia" w:ascii="宋体" w:hAnsi="宋体" w:eastAsia="宋体" w:cs="宋体"/>
                <w:color w:val="auto"/>
                <w:szCs w:val="21"/>
                <w:highlight w:val="none"/>
              </w:rPr>
            </w:pPr>
          </w:p>
        </w:tc>
        <w:tc>
          <w:tcPr>
            <w:tcW w:w="702" w:type="dxa"/>
            <w:vAlign w:val="center"/>
          </w:tcPr>
          <w:p w14:paraId="513D3C05">
            <w:pPr>
              <w:spacing w:line="288" w:lineRule="auto"/>
              <w:jc w:val="center"/>
              <w:rPr>
                <w:rFonts w:hint="eastAsia" w:ascii="宋体" w:hAnsi="宋体" w:eastAsia="宋体" w:cs="宋体"/>
                <w:color w:val="auto"/>
                <w:szCs w:val="21"/>
                <w:highlight w:val="none"/>
              </w:rPr>
            </w:pPr>
          </w:p>
        </w:tc>
        <w:tc>
          <w:tcPr>
            <w:tcW w:w="1861" w:type="dxa"/>
            <w:vAlign w:val="center"/>
          </w:tcPr>
          <w:p w14:paraId="54E2C72E">
            <w:pPr>
              <w:spacing w:line="288" w:lineRule="auto"/>
              <w:jc w:val="center"/>
              <w:rPr>
                <w:rFonts w:hint="eastAsia" w:ascii="宋体" w:hAnsi="宋体" w:eastAsia="宋体" w:cs="宋体"/>
                <w:color w:val="auto"/>
                <w:szCs w:val="21"/>
                <w:highlight w:val="none"/>
              </w:rPr>
            </w:pPr>
          </w:p>
        </w:tc>
        <w:tc>
          <w:tcPr>
            <w:tcW w:w="702" w:type="dxa"/>
            <w:vAlign w:val="center"/>
          </w:tcPr>
          <w:p w14:paraId="34CF840B">
            <w:pPr>
              <w:spacing w:line="288" w:lineRule="auto"/>
              <w:jc w:val="center"/>
              <w:rPr>
                <w:rFonts w:hint="eastAsia" w:ascii="宋体" w:hAnsi="宋体" w:eastAsia="宋体" w:cs="宋体"/>
                <w:color w:val="auto"/>
                <w:szCs w:val="21"/>
                <w:highlight w:val="none"/>
              </w:rPr>
            </w:pPr>
          </w:p>
        </w:tc>
        <w:tc>
          <w:tcPr>
            <w:tcW w:w="702" w:type="dxa"/>
            <w:vAlign w:val="center"/>
          </w:tcPr>
          <w:p w14:paraId="09BBFD1C">
            <w:pPr>
              <w:spacing w:line="288" w:lineRule="auto"/>
              <w:jc w:val="center"/>
              <w:rPr>
                <w:rFonts w:hint="eastAsia" w:ascii="宋体" w:hAnsi="宋体" w:eastAsia="宋体" w:cs="宋体"/>
                <w:color w:val="auto"/>
                <w:szCs w:val="21"/>
                <w:highlight w:val="none"/>
              </w:rPr>
            </w:pPr>
          </w:p>
        </w:tc>
        <w:tc>
          <w:tcPr>
            <w:tcW w:w="1164" w:type="dxa"/>
            <w:vAlign w:val="center"/>
          </w:tcPr>
          <w:p w14:paraId="464A5515">
            <w:pPr>
              <w:spacing w:line="288" w:lineRule="auto"/>
              <w:jc w:val="center"/>
              <w:rPr>
                <w:rFonts w:hint="eastAsia" w:ascii="宋体" w:hAnsi="宋体" w:eastAsia="宋体" w:cs="宋体"/>
                <w:color w:val="auto"/>
                <w:szCs w:val="21"/>
                <w:highlight w:val="none"/>
              </w:rPr>
            </w:pPr>
          </w:p>
        </w:tc>
        <w:tc>
          <w:tcPr>
            <w:tcW w:w="818" w:type="dxa"/>
            <w:vAlign w:val="center"/>
          </w:tcPr>
          <w:p w14:paraId="1972FA9E">
            <w:pPr>
              <w:spacing w:line="288" w:lineRule="auto"/>
              <w:jc w:val="center"/>
              <w:rPr>
                <w:rFonts w:hint="eastAsia" w:ascii="宋体" w:hAnsi="宋体" w:eastAsia="宋体" w:cs="宋体"/>
                <w:color w:val="auto"/>
                <w:szCs w:val="21"/>
                <w:highlight w:val="none"/>
              </w:rPr>
            </w:pPr>
          </w:p>
        </w:tc>
        <w:tc>
          <w:tcPr>
            <w:tcW w:w="1165" w:type="dxa"/>
            <w:vAlign w:val="center"/>
          </w:tcPr>
          <w:p w14:paraId="09FF34C5">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60FA8CF3">
            <w:pPr>
              <w:spacing w:line="288" w:lineRule="auto"/>
              <w:jc w:val="center"/>
              <w:rPr>
                <w:rFonts w:hint="eastAsia" w:ascii="宋体" w:hAnsi="宋体" w:eastAsia="宋体" w:cs="宋体"/>
                <w:color w:val="auto"/>
                <w:szCs w:val="21"/>
                <w:highlight w:val="none"/>
              </w:rPr>
            </w:pPr>
          </w:p>
        </w:tc>
      </w:tr>
      <w:tr w14:paraId="5347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43DE57D">
            <w:pPr>
              <w:spacing w:line="288" w:lineRule="auto"/>
              <w:jc w:val="center"/>
              <w:rPr>
                <w:rFonts w:hint="eastAsia" w:ascii="宋体" w:hAnsi="宋体" w:eastAsia="宋体" w:cs="宋体"/>
                <w:color w:val="auto"/>
                <w:szCs w:val="21"/>
                <w:highlight w:val="none"/>
              </w:rPr>
            </w:pPr>
          </w:p>
        </w:tc>
        <w:tc>
          <w:tcPr>
            <w:tcW w:w="702" w:type="dxa"/>
            <w:vAlign w:val="center"/>
          </w:tcPr>
          <w:p w14:paraId="470D64CB">
            <w:pPr>
              <w:spacing w:line="288" w:lineRule="auto"/>
              <w:jc w:val="center"/>
              <w:rPr>
                <w:rFonts w:hint="eastAsia" w:ascii="宋体" w:hAnsi="宋体" w:eastAsia="宋体" w:cs="宋体"/>
                <w:color w:val="auto"/>
                <w:szCs w:val="21"/>
                <w:highlight w:val="none"/>
              </w:rPr>
            </w:pPr>
          </w:p>
        </w:tc>
        <w:tc>
          <w:tcPr>
            <w:tcW w:w="1861" w:type="dxa"/>
            <w:vAlign w:val="center"/>
          </w:tcPr>
          <w:p w14:paraId="26A81E2A">
            <w:pPr>
              <w:spacing w:line="288" w:lineRule="auto"/>
              <w:jc w:val="center"/>
              <w:rPr>
                <w:rFonts w:hint="eastAsia" w:ascii="宋体" w:hAnsi="宋体" w:eastAsia="宋体" w:cs="宋体"/>
                <w:color w:val="auto"/>
                <w:szCs w:val="21"/>
                <w:highlight w:val="none"/>
              </w:rPr>
            </w:pPr>
          </w:p>
        </w:tc>
        <w:tc>
          <w:tcPr>
            <w:tcW w:w="702" w:type="dxa"/>
            <w:vAlign w:val="center"/>
          </w:tcPr>
          <w:p w14:paraId="107A167C">
            <w:pPr>
              <w:spacing w:line="288" w:lineRule="auto"/>
              <w:jc w:val="center"/>
              <w:rPr>
                <w:rFonts w:hint="eastAsia" w:ascii="宋体" w:hAnsi="宋体" w:eastAsia="宋体" w:cs="宋体"/>
                <w:color w:val="auto"/>
                <w:szCs w:val="21"/>
                <w:highlight w:val="none"/>
              </w:rPr>
            </w:pPr>
          </w:p>
        </w:tc>
        <w:tc>
          <w:tcPr>
            <w:tcW w:w="702" w:type="dxa"/>
            <w:vAlign w:val="center"/>
          </w:tcPr>
          <w:p w14:paraId="12E0EE9D">
            <w:pPr>
              <w:spacing w:line="288" w:lineRule="auto"/>
              <w:jc w:val="center"/>
              <w:rPr>
                <w:rFonts w:hint="eastAsia" w:ascii="宋体" w:hAnsi="宋体" w:eastAsia="宋体" w:cs="宋体"/>
                <w:color w:val="auto"/>
                <w:szCs w:val="21"/>
                <w:highlight w:val="none"/>
              </w:rPr>
            </w:pPr>
          </w:p>
        </w:tc>
        <w:tc>
          <w:tcPr>
            <w:tcW w:w="1164" w:type="dxa"/>
            <w:vAlign w:val="center"/>
          </w:tcPr>
          <w:p w14:paraId="209FCA3A">
            <w:pPr>
              <w:spacing w:line="288" w:lineRule="auto"/>
              <w:jc w:val="center"/>
              <w:rPr>
                <w:rFonts w:hint="eastAsia" w:ascii="宋体" w:hAnsi="宋体" w:eastAsia="宋体" w:cs="宋体"/>
                <w:color w:val="auto"/>
                <w:szCs w:val="21"/>
                <w:highlight w:val="none"/>
              </w:rPr>
            </w:pPr>
          </w:p>
        </w:tc>
        <w:tc>
          <w:tcPr>
            <w:tcW w:w="818" w:type="dxa"/>
            <w:vAlign w:val="center"/>
          </w:tcPr>
          <w:p w14:paraId="7D53FA46">
            <w:pPr>
              <w:spacing w:line="288" w:lineRule="auto"/>
              <w:jc w:val="center"/>
              <w:rPr>
                <w:rFonts w:hint="eastAsia" w:ascii="宋体" w:hAnsi="宋体" w:eastAsia="宋体" w:cs="宋体"/>
                <w:color w:val="auto"/>
                <w:szCs w:val="21"/>
                <w:highlight w:val="none"/>
              </w:rPr>
            </w:pPr>
          </w:p>
        </w:tc>
        <w:tc>
          <w:tcPr>
            <w:tcW w:w="1165" w:type="dxa"/>
            <w:vAlign w:val="center"/>
          </w:tcPr>
          <w:p w14:paraId="714AB247">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718796FB">
            <w:pPr>
              <w:spacing w:line="288" w:lineRule="auto"/>
              <w:jc w:val="center"/>
              <w:rPr>
                <w:rFonts w:hint="eastAsia" w:ascii="宋体" w:hAnsi="宋体" w:eastAsia="宋体" w:cs="宋体"/>
                <w:color w:val="auto"/>
                <w:szCs w:val="21"/>
                <w:highlight w:val="none"/>
              </w:rPr>
            </w:pPr>
          </w:p>
        </w:tc>
      </w:tr>
      <w:tr w14:paraId="0540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797CEC7">
            <w:pPr>
              <w:spacing w:line="288" w:lineRule="auto"/>
              <w:jc w:val="center"/>
              <w:rPr>
                <w:rFonts w:hint="eastAsia" w:ascii="宋体" w:hAnsi="宋体" w:eastAsia="宋体" w:cs="宋体"/>
                <w:color w:val="auto"/>
                <w:szCs w:val="21"/>
                <w:highlight w:val="none"/>
              </w:rPr>
            </w:pPr>
          </w:p>
        </w:tc>
        <w:tc>
          <w:tcPr>
            <w:tcW w:w="702" w:type="dxa"/>
            <w:vAlign w:val="center"/>
          </w:tcPr>
          <w:p w14:paraId="15AA7BB2">
            <w:pPr>
              <w:spacing w:line="288" w:lineRule="auto"/>
              <w:jc w:val="center"/>
              <w:rPr>
                <w:rFonts w:hint="eastAsia" w:ascii="宋体" w:hAnsi="宋体" w:eastAsia="宋体" w:cs="宋体"/>
                <w:color w:val="auto"/>
                <w:szCs w:val="21"/>
                <w:highlight w:val="none"/>
              </w:rPr>
            </w:pPr>
          </w:p>
        </w:tc>
        <w:tc>
          <w:tcPr>
            <w:tcW w:w="1861" w:type="dxa"/>
            <w:vAlign w:val="center"/>
          </w:tcPr>
          <w:p w14:paraId="2BFC72FF">
            <w:pPr>
              <w:spacing w:line="288" w:lineRule="auto"/>
              <w:jc w:val="center"/>
              <w:rPr>
                <w:rFonts w:hint="eastAsia" w:ascii="宋体" w:hAnsi="宋体" w:eastAsia="宋体" w:cs="宋体"/>
                <w:color w:val="auto"/>
                <w:szCs w:val="21"/>
                <w:highlight w:val="none"/>
              </w:rPr>
            </w:pPr>
          </w:p>
        </w:tc>
        <w:tc>
          <w:tcPr>
            <w:tcW w:w="702" w:type="dxa"/>
            <w:vAlign w:val="center"/>
          </w:tcPr>
          <w:p w14:paraId="473FCA4D">
            <w:pPr>
              <w:spacing w:line="288" w:lineRule="auto"/>
              <w:jc w:val="center"/>
              <w:rPr>
                <w:rFonts w:hint="eastAsia" w:ascii="宋体" w:hAnsi="宋体" w:eastAsia="宋体" w:cs="宋体"/>
                <w:color w:val="auto"/>
                <w:szCs w:val="21"/>
                <w:highlight w:val="none"/>
              </w:rPr>
            </w:pPr>
          </w:p>
        </w:tc>
        <w:tc>
          <w:tcPr>
            <w:tcW w:w="702" w:type="dxa"/>
            <w:vAlign w:val="center"/>
          </w:tcPr>
          <w:p w14:paraId="5F433329">
            <w:pPr>
              <w:spacing w:line="288" w:lineRule="auto"/>
              <w:jc w:val="center"/>
              <w:rPr>
                <w:rFonts w:hint="eastAsia" w:ascii="宋体" w:hAnsi="宋体" w:eastAsia="宋体" w:cs="宋体"/>
                <w:color w:val="auto"/>
                <w:szCs w:val="21"/>
                <w:highlight w:val="none"/>
              </w:rPr>
            </w:pPr>
          </w:p>
        </w:tc>
        <w:tc>
          <w:tcPr>
            <w:tcW w:w="1164" w:type="dxa"/>
            <w:vAlign w:val="center"/>
          </w:tcPr>
          <w:p w14:paraId="165D9077">
            <w:pPr>
              <w:spacing w:line="288" w:lineRule="auto"/>
              <w:jc w:val="center"/>
              <w:rPr>
                <w:rFonts w:hint="eastAsia" w:ascii="宋体" w:hAnsi="宋体" w:eastAsia="宋体" w:cs="宋体"/>
                <w:color w:val="auto"/>
                <w:szCs w:val="21"/>
                <w:highlight w:val="none"/>
              </w:rPr>
            </w:pPr>
          </w:p>
        </w:tc>
        <w:tc>
          <w:tcPr>
            <w:tcW w:w="818" w:type="dxa"/>
            <w:vAlign w:val="center"/>
          </w:tcPr>
          <w:p w14:paraId="6F215FBD">
            <w:pPr>
              <w:spacing w:line="288" w:lineRule="auto"/>
              <w:jc w:val="center"/>
              <w:rPr>
                <w:rFonts w:hint="eastAsia" w:ascii="宋体" w:hAnsi="宋体" w:eastAsia="宋体" w:cs="宋体"/>
                <w:color w:val="auto"/>
                <w:szCs w:val="21"/>
                <w:highlight w:val="none"/>
              </w:rPr>
            </w:pPr>
          </w:p>
        </w:tc>
        <w:tc>
          <w:tcPr>
            <w:tcW w:w="1165" w:type="dxa"/>
            <w:vAlign w:val="center"/>
          </w:tcPr>
          <w:p w14:paraId="511A825A">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798FBC10">
            <w:pPr>
              <w:spacing w:line="288" w:lineRule="auto"/>
              <w:jc w:val="center"/>
              <w:rPr>
                <w:rFonts w:hint="eastAsia" w:ascii="宋体" w:hAnsi="宋体" w:eastAsia="宋体" w:cs="宋体"/>
                <w:color w:val="auto"/>
                <w:szCs w:val="21"/>
                <w:highlight w:val="none"/>
              </w:rPr>
            </w:pPr>
          </w:p>
        </w:tc>
      </w:tr>
      <w:tr w14:paraId="4FE0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10F3003">
            <w:pPr>
              <w:spacing w:line="288" w:lineRule="auto"/>
              <w:jc w:val="center"/>
              <w:rPr>
                <w:rFonts w:hint="eastAsia" w:ascii="宋体" w:hAnsi="宋体" w:eastAsia="宋体" w:cs="宋体"/>
                <w:color w:val="auto"/>
                <w:szCs w:val="21"/>
                <w:highlight w:val="none"/>
              </w:rPr>
            </w:pPr>
          </w:p>
        </w:tc>
        <w:tc>
          <w:tcPr>
            <w:tcW w:w="702" w:type="dxa"/>
            <w:vAlign w:val="center"/>
          </w:tcPr>
          <w:p w14:paraId="7E1B605E">
            <w:pPr>
              <w:spacing w:line="288" w:lineRule="auto"/>
              <w:jc w:val="center"/>
              <w:rPr>
                <w:rFonts w:hint="eastAsia" w:ascii="宋体" w:hAnsi="宋体" w:eastAsia="宋体" w:cs="宋体"/>
                <w:color w:val="auto"/>
                <w:szCs w:val="21"/>
                <w:highlight w:val="none"/>
              </w:rPr>
            </w:pPr>
          </w:p>
        </w:tc>
        <w:tc>
          <w:tcPr>
            <w:tcW w:w="1861" w:type="dxa"/>
            <w:vAlign w:val="center"/>
          </w:tcPr>
          <w:p w14:paraId="7C20C623">
            <w:pPr>
              <w:spacing w:line="288" w:lineRule="auto"/>
              <w:jc w:val="center"/>
              <w:rPr>
                <w:rFonts w:hint="eastAsia" w:ascii="宋体" w:hAnsi="宋体" w:eastAsia="宋体" w:cs="宋体"/>
                <w:color w:val="auto"/>
                <w:szCs w:val="21"/>
                <w:highlight w:val="none"/>
              </w:rPr>
            </w:pPr>
          </w:p>
        </w:tc>
        <w:tc>
          <w:tcPr>
            <w:tcW w:w="702" w:type="dxa"/>
            <w:vAlign w:val="center"/>
          </w:tcPr>
          <w:p w14:paraId="234EF4EC">
            <w:pPr>
              <w:spacing w:line="288" w:lineRule="auto"/>
              <w:jc w:val="center"/>
              <w:rPr>
                <w:rFonts w:hint="eastAsia" w:ascii="宋体" w:hAnsi="宋体" w:eastAsia="宋体" w:cs="宋体"/>
                <w:color w:val="auto"/>
                <w:szCs w:val="21"/>
                <w:highlight w:val="none"/>
              </w:rPr>
            </w:pPr>
          </w:p>
        </w:tc>
        <w:tc>
          <w:tcPr>
            <w:tcW w:w="702" w:type="dxa"/>
            <w:vAlign w:val="center"/>
          </w:tcPr>
          <w:p w14:paraId="4449FAAE">
            <w:pPr>
              <w:spacing w:line="288" w:lineRule="auto"/>
              <w:jc w:val="center"/>
              <w:rPr>
                <w:rFonts w:hint="eastAsia" w:ascii="宋体" w:hAnsi="宋体" w:eastAsia="宋体" w:cs="宋体"/>
                <w:color w:val="auto"/>
                <w:szCs w:val="21"/>
                <w:highlight w:val="none"/>
              </w:rPr>
            </w:pPr>
          </w:p>
        </w:tc>
        <w:tc>
          <w:tcPr>
            <w:tcW w:w="1164" w:type="dxa"/>
            <w:vAlign w:val="center"/>
          </w:tcPr>
          <w:p w14:paraId="104A5963">
            <w:pPr>
              <w:spacing w:line="288" w:lineRule="auto"/>
              <w:jc w:val="center"/>
              <w:rPr>
                <w:rFonts w:hint="eastAsia" w:ascii="宋体" w:hAnsi="宋体" w:eastAsia="宋体" w:cs="宋体"/>
                <w:color w:val="auto"/>
                <w:szCs w:val="21"/>
                <w:highlight w:val="none"/>
              </w:rPr>
            </w:pPr>
          </w:p>
        </w:tc>
        <w:tc>
          <w:tcPr>
            <w:tcW w:w="818" w:type="dxa"/>
            <w:vAlign w:val="center"/>
          </w:tcPr>
          <w:p w14:paraId="6AA30AFD">
            <w:pPr>
              <w:spacing w:line="288" w:lineRule="auto"/>
              <w:jc w:val="center"/>
              <w:rPr>
                <w:rFonts w:hint="eastAsia" w:ascii="宋体" w:hAnsi="宋体" w:eastAsia="宋体" w:cs="宋体"/>
                <w:color w:val="auto"/>
                <w:szCs w:val="21"/>
                <w:highlight w:val="none"/>
              </w:rPr>
            </w:pPr>
          </w:p>
        </w:tc>
        <w:tc>
          <w:tcPr>
            <w:tcW w:w="1165" w:type="dxa"/>
            <w:vAlign w:val="center"/>
          </w:tcPr>
          <w:p w14:paraId="66D2BE69">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35B91A02">
            <w:pPr>
              <w:spacing w:line="288" w:lineRule="auto"/>
              <w:jc w:val="center"/>
              <w:rPr>
                <w:rFonts w:hint="eastAsia" w:ascii="宋体" w:hAnsi="宋体" w:eastAsia="宋体" w:cs="宋体"/>
                <w:color w:val="auto"/>
                <w:szCs w:val="21"/>
                <w:highlight w:val="none"/>
              </w:rPr>
            </w:pPr>
          </w:p>
        </w:tc>
      </w:tr>
      <w:tr w14:paraId="1C4B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2452DF70">
            <w:pPr>
              <w:spacing w:line="288" w:lineRule="auto"/>
              <w:jc w:val="center"/>
              <w:rPr>
                <w:rFonts w:hint="eastAsia" w:ascii="宋体" w:hAnsi="宋体" w:eastAsia="宋体" w:cs="宋体"/>
                <w:color w:val="auto"/>
                <w:szCs w:val="21"/>
                <w:highlight w:val="none"/>
              </w:rPr>
            </w:pPr>
          </w:p>
        </w:tc>
        <w:tc>
          <w:tcPr>
            <w:tcW w:w="702" w:type="dxa"/>
            <w:vAlign w:val="center"/>
          </w:tcPr>
          <w:p w14:paraId="2947A1F6">
            <w:pPr>
              <w:spacing w:line="288" w:lineRule="auto"/>
              <w:jc w:val="center"/>
              <w:rPr>
                <w:rFonts w:hint="eastAsia" w:ascii="宋体" w:hAnsi="宋体" w:eastAsia="宋体" w:cs="宋体"/>
                <w:color w:val="auto"/>
                <w:szCs w:val="21"/>
                <w:highlight w:val="none"/>
              </w:rPr>
            </w:pPr>
          </w:p>
        </w:tc>
        <w:tc>
          <w:tcPr>
            <w:tcW w:w="1861" w:type="dxa"/>
            <w:vAlign w:val="center"/>
          </w:tcPr>
          <w:p w14:paraId="410EB157">
            <w:pPr>
              <w:spacing w:line="288" w:lineRule="auto"/>
              <w:jc w:val="center"/>
              <w:rPr>
                <w:rFonts w:hint="eastAsia" w:ascii="宋体" w:hAnsi="宋体" w:eastAsia="宋体" w:cs="宋体"/>
                <w:color w:val="auto"/>
                <w:szCs w:val="21"/>
                <w:highlight w:val="none"/>
              </w:rPr>
            </w:pPr>
          </w:p>
        </w:tc>
        <w:tc>
          <w:tcPr>
            <w:tcW w:w="702" w:type="dxa"/>
            <w:vAlign w:val="center"/>
          </w:tcPr>
          <w:p w14:paraId="7390B8FC">
            <w:pPr>
              <w:spacing w:line="288" w:lineRule="auto"/>
              <w:jc w:val="center"/>
              <w:rPr>
                <w:rFonts w:hint="eastAsia" w:ascii="宋体" w:hAnsi="宋体" w:eastAsia="宋体" w:cs="宋体"/>
                <w:color w:val="auto"/>
                <w:szCs w:val="21"/>
                <w:highlight w:val="none"/>
              </w:rPr>
            </w:pPr>
          </w:p>
        </w:tc>
        <w:tc>
          <w:tcPr>
            <w:tcW w:w="702" w:type="dxa"/>
            <w:vAlign w:val="center"/>
          </w:tcPr>
          <w:p w14:paraId="01E20341">
            <w:pPr>
              <w:spacing w:line="288" w:lineRule="auto"/>
              <w:jc w:val="center"/>
              <w:rPr>
                <w:rFonts w:hint="eastAsia" w:ascii="宋体" w:hAnsi="宋体" w:eastAsia="宋体" w:cs="宋体"/>
                <w:color w:val="auto"/>
                <w:szCs w:val="21"/>
                <w:highlight w:val="none"/>
              </w:rPr>
            </w:pPr>
          </w:p>
        </w:tc>
        <w:tc>
          <w:tcPr>
            <w:tcW w:w="1164" w:type="dxa"/>
            <w:vAlign w:val="center"/>
          </w:tcPr>
          <w:p w14:paraId="70C9E927">
            <w:pPr>
              <w:spacing w:line="288" w:lineRule="auto"/>
              <w:jc w:val="center"/>
              <w:rPr>
                <w:rFonts w:hint="eastAsia" w:ascii="宋体" w:hAnsi="宋体" w:eastAsia="宋体" w:cs="宋体"/>
                <w:color w:val="auto"/>
                <w:szCs w:val="21"/>
                <w:highlight w:val="none"/>
              </w:rPr>
            </w:pPr>
          </w:p>
        </w:tc>
        <w:tc>
          <w:tcPr>
            <w:tcW w:w="818" w:type="dxa"/>
            <w:vAlign w:val="center"/>
          </w:tcPr>
          <w:p w14:paraId="3F737CA9">
            <w:pPr>
              <w:spacing w:line="288" w:lineRule="auto"/>
              <w:jc w:val="center"/>
              <w:rPr>
                <w:rFonts w:hint="eastAsia" w:ascii="宋体" w:hAnsi="宋体" w:eastAsia="宋体" w:cs="宋体"/>
                <w:color w:val="auto"/>
                <w:szCs w:val="21"/>
                <w:highlight w:val="none"/>
              </w:rPr>
            </w:pPr>
          </w:p>
        </w:tc>
        <w:tc>
          <w:tcPr>
            <w:tcW w:w="1165" w:type="dxa"/>
            <w:vAlign w:val="center"/>
          </w:tcPr>
          <w:p w14:paraId="2D35A007">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1636CCC9">
            <w:pPr>
              <w:spacing w:line="288" w:lineRule="auto"/>
              <w:jc w:val="center"/>
              <w:rPr>
                <w:rFonts w:hint="eastAsia" w:ascii="宋体" w:hAnsi="宋体" w:eastAsia="宋体" w:cs="宋体"/>
                <w:color w:val="auto"/>
                <w:szCs w:val="21"/>
                <w:highlight w:val="none"/>
              </w:rPr>
            </w:pPr>
          </w:p>
        </w:tc>
      </w:tr>
      <w:tr w14:paraId="209C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524505A">
            <w:pPr>
              <w:spacing w:line="288" w:lineRule="auto"/>
              <w:jc w:val="center"/>
              <w:rPr>
                <w:rFonts w:hint="eastAsia" w:ascii="宋体" w:hAnsi="宋体" w:eastAsia="宋体" w:cs="宋体"/>
                <w:color w:val="auto"/>
                <w:szCs w:val="21"/>
                <w:highlight w:val="none"/>
              </w:rPr>
            </w:pPr>
          </w:p>
        </w:tc>
        <w:tc>
          <w:tcPr>
            <w:tcW w:w="702" w:type="dxa"/>
            <w:vAlign w:val="center"/>
          </w:tcPr>
          <w:p w14:paraId="661874BF">
            <w:pPr>
              <w:spacing w:line="288" w:lineRule="auto"/>
              <w:jc w:val="center"/>
              <w:rPr>
                <w:rFonts w:hint="eastAsia" w:ascii="宋体" w:hAnsi="宋体" w:eastAsia="宋体" w:cs="宋体"/>
                <w:color w:val="auto"/>
                <w:szCs w:val="21"/>
                <w:highlight w:val="none"/>
              </w:rPr>
            </w:pPr>
          </w:p>
        </w:tc>
        <w:tc>
          <w:tcPr>
            <w:tcW w:w="1861" w:type="dxa"/>
            <w:vAlign w:val="center"/>
          </w:tcPr>
          <w:p w14:paraId="1BC3FDE2">
            <w:pPr>
              <w:spacing w:line="288" w:lineRule="auto"/>
              <w:jc w:val="center"/>
              <w:rPr>
                <w:rFonts w:hint="eastAsia" w:ascii="宋体" w:hAnsi="宋体" w:eastAsia="宋体" w:cs="宋体"/>
                <w:color w:val="auto"/>
                <w:szCs w:val="21"/>
                <w:highlight w:val="none"/>
              </w:rPr>
            </w:pPr>
          </w:p>
        </w:tc>
        <w:tc>
          <w:tcPr>
            <w:tcW w:w="702" w:type="dxa"/>
            <w:vAlign w:val="center"/>
          </w:tcPr>
          <w:p w14:paraId="54DDA6F9">
            <w:pPr>
              <w:spacing w:line="288" w:lineRule="auto"/>
              <w:jc w:val="center"/>
              <w:rPr>
                <w:rFonts w:hint="eastAsia" w:ascii="宋体" w:hAnsi="宋体" w:eastAsia="宋体" w:cs="宋体"/>
                <w:color w:val="auto"/>
                <w:szCs w:val="21"/>
                <w:highlight w:val="none"/>
              </w:rPr>
            </w:pPr>
          </w:p>
        </w:tc>
        <w:tc>
          <w:tcPr>
            <w:tcW w:w="702" w:type="dxa"/>
            <w:vAlign w:val="center"/>
          </w:tcPr>
          <w:p w14:paraId="681A321E">
            <w:pPr>
              <w:spacing w:line="288" w:lineRule="auto"/>
              <w:jc w:val="center"/>
              <w:rPr>
                <w:rFonts w:hint="eastAsia" w:ascii="宋体" w:hAnsi="宋体" w:eastAsia="宋体" w:cs="宋体"/>
                <w:color w:val="auto"/>
                <w:szCs w:val="21"/>
                <w:highlight w:val="none"/>
              </w:rPr>
            </w:pPr>
          </w:p>
        </w:tc>
        <w:tc>
          <w:tcPr>
            <w:tcW w:w="1164" w:type="dxa"/>
            <w:vAlign w:val="center"/>
          </w:tcPr>
          <w:p w14:paraId="300719DF">
            <w:pPr>
              <w:spacing w:line="288" w:lineRule="auto"/>
              <w:jc w:val="center"/>
              <w:rPr>
                <w:rFonts w:hint="eastAsia" w:ascii="宋体" w:hAnsi="宋体" w:eastAsia="宋体" w:cs="宋体"/>
                <w:color w:val="auto"/>
                <w:szCs w:val="21"/>
                <w:highlight w:val="none"/>
              </w:rPr>
            </w:pPr>
          </w:p>
        </w:tc>
        <w:tc>
          <w:tcPr>
            <w:tcW w:w="818" w:type="dxa"/>
            <w:vAlign w:val="center"/>
          </w:tcPr>
          <w:p w14:paraId="389CE397">
            <w:pPr>
              <w:spacing w:line="288" w:lineRule="auto"/>
              <w:jc w:val="center"/>
              <w:rPr>
                <w:rFonts w:hint="eastAsia" w:ascii="宋体" w:hAnsi="宋体" w:eastAsia="宋体" w:cs="宋体"/>
                <w:color w:val="auto"/>
                <w:szCs w:val="21"/>
                <w:highlight w:val="none"/>
              </w:rPr>
            </w:pPr>
          </w:p>
        </w:tc>
        <w:tc>
          <w:tcPr>
            <w:tcW w:w="1165" w:type="dxa"/>
            <w:vAlign w:val="center"/>
          </w:tcPr>
          <w:p w14:paraId="262609B3">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537E443B">
            <w:pPr>
              <w:spacing w:line="288" w:lineRule="auto"/>
              <w:jc w:val="center"/>
              <w:rPr>
                <w:rFonts w:hint="eastAsia" w:ascii="宋体" w:hAnsi="宋体" w:eastAsia="宋体" w:cs="宋体"/>
                <w:color w:val="auto"/>
                <w:szCs w:val="21"/>
                <w:highlight w:val="none"/>
              </w:rPr>
            </w:pPr>
          </w:p>
        </w:tc>
      </w:tr>
      <w:tr w14:paraId="1D93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71865B1">
            <w:pPr>
              <w:spacing w:line="288" w:lineRule="auto"/>
              <w:jc w:val="center"/>
              <w:rPr>
                <w:rFonts w:hint="eastAsia" w:ascii="宋体" w:hAnsi="宋体" w:eastAsia="宋体" w:cs="宋体"/>
                <w:color w:val="auto"/>
                <w:szCs w:val="21"/>
                <w:highlight w:val="none"/>
              </w:rPr>
            </w:pPr>
          </w:p>
        </w:tc>
        <w:tc>
          <w:tcPr>
            <w:tcW w:w="702" w:type="dxa"/>
            <w:vAlign w:val="center"/>
          </w:tcPr>
          <w:p w14:paraId="6B430CCC">
            <w:pPr>
              <w:spacing w:line="288" w:lineRule="auto"/>
              <w:jc w:val="center"/>
              <w:rPr>
                <w:rFonts w:hint="eastAsia" w:ascii="宋体" w:hAnsi="宋体" w:eastAsia="宋体" w:cs="宋体"/>
                <w:color w:val="auto"/>
                <w:szCs w:val="21"/>
                <w:highlight w:val="none"/>
              </w:rPr>
            </w:pPr>
          </w:p>
        </w:tc>
        <w:tc>
          <w:tcPr>
            <w:tcW w:w="1861" w:type="dxa"/>
            <w:vAlign w:val="center"/>
          </w:tcPr>
          <w:p w14:paraId="68A0B90C">
            <w:pPr>
              <w:spacing w:line="288" w:lineRule="auto"/>
              <w:jc w:val="center"/>
              <w:rPr>
                <w:rFonts w:hint="eastAsia" w:ascii="宋体" w:hAnsi="宋体" w:eastAsia="宋体" w:cs="宋体"/>
                <w:color w:val="auto"/>
                <w:szCs w:val="21"/>
                <w:highlight w:val="none"/>
              </w:rPr>
            </w:pPr>
          </w:p>
        </w:tc>
        <w:tc>
          <w:tcPr>
            <w:tcW w:w="702" w:type="dxa"/>
            <w:vAlign w:val="center"/>
          </w:tcPr>
          <w:p w14:paraId="6E963E2A">
            <w:pPr>
              <w:spacing w:line="288" w:lineRule="auto"/>
              <w:jc w:val="center"/>
              <w:rPr>
                <w:rFonts w:hint="eastAsia" w:ascii="宋体" w:hAnsi="宋体" w:eastAsia="宋体" w:cs="宋体"/>
                <w:color w:val="auto"/>
                <w:szCs w:val="21"/>
                <w:highlight w:val="none"/>
              </w:rPr>
            </w:pPr>
          </w:p>
        </w:tc>
        <w:tc>
          <w:tcPr>
            <w:tcW w:w="702" w:type="dxa"/>
            <w:vAlign w:val="center"/>
          </w:tcPr>
          <w:p w14:paraId="068C561C">
            <w:pPr>
              <w:spacing w:line="288" w:lineRule="auto"/>
              <w:jc w:val="center"/>
              <w:rPr>
                <w:rFonts w:hint="eastAsia" w:ascii="宋体" w:hAnsi="宋体" w:eastAsia="宋体" w:cs="宋体"/>
                <w:color w:val="auto"/>
                <w:szCs w:val="21"/>
                <w:highlight w:val="none"/>
              </w:rPr>
            </w:pPr>
          </w:p>
        </w:tc>
        <w:tc>
          <w:tcPr>
            <w:tcW w:w="1164" w:type="dxa"/>
            <w:vAlign w:val="center"/>
          </w:tcPr>
          <w:p w14:paraId="351CDDB2">
            <w:pPr>
              <w:spacing w:line="288" w:lineRule="auto"/>
              <w:jc w:val="center"/>
              <w:rPr>
                <w:rFonts w:hint="eastAsia" w:ascii="宋体" w:hAnsi="宋体" w:eastAsia="宋体" w:cs="宋体"/>
                <w:color w:val="auto"/>
                <w:szCs w:val="21"/>
                <w:highlight w:val="none"/>
              </w:rPr>
            </w:pPr>
          </w:p>
        </w:tc>
        <w:tc>
          <w:tcPr>
            <w:tcW w:w="818" w:type="dxa"/>
            <w:vAlign w:val="center"/>
          </w:tcPr>
          <w:p w14:paraId="7C86B10F">
            <w:pPr>
              <w:spacing w:line="288" w:lineRule="auto"/>
              <w:jc w:val="center"/>
              <w:rPr>
                <w:rFonts w:hint="eastAsia" w:ascii="宋体" w:hAnsi="宋体" w:eastAsia="宋体" w:cs="宋体"/>
                <w:color w:val="auto"/>
                <w:szCs w:val="21"/>
                <w:highlight w:val="none"/>
              </w:rPr>
            </w:pPr>
          </w:p>
        </w:tc>
        <w:tc>
          <w:tcPr>
            <w:tcW w:w="1165" w:type="dxa"/>
            <w:vAlign w:val="center"/>
          </w:tcPr>
          <w:p w14:paraId="073995AE">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34145F9A">
            <w:pPr>
              <w:spacing w:line="288" w:lineRule="auto"/>
              <w:jc w:val="center"/>
              <w:rPr>
                <w:rFonts w:hint="eastAsia" w:ascii="宋体" w:hAnsi="宋体" w:eastAsia="宋体" w:cs="宋体"/>
                <w:color w:val="auto"/>
                <w:szCs w:val="21"/>
                <w:highlight w:val="none"/>
              </w:rPr>
            </w:pPr>
          </w:p>
        </w:tc>
      </w:tr>
      <w:tr w14:paraId="7A1C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8F86290">
            <w:pPr>
              <w:spacing w:line="288" w:lineRule="auto"/>
              <w:jc w:val="center"/>
              <w:rPr>
                <w:rFonts w:hint="eastAsia" w:ascii="宋体" w:hAnsi="宋体" w:eastAsia="宋体" w:cs="宋体"/>
                <w:color w:val="auto"/>
                <w:szCs w:val="21"/>
                <w:highlight w:val="none"/>
              </w:rPr>
            </w:pPr>
          </w:p>
        </w:tc>
        <w:tc>
          <w:tcPr>
            <w:tcW w:w="702" w:type="dxa"/>
            <w:vAlign w:val="center"/>
          </w:tcPr>
          <w:p w14:paraId="413FB04E">
            <w:pPr>
              <w:spacing w:line="288" w:lineRule="auto"/>
              <w:jc w:val="center"/>
              <w:rPr>
                <w:rFonts w:hint="eastAsia" w:ascii="宋体" w:hAnsi="宋体" w:eastAsia="宋体" w:cs="宋体"/>
                <w:color w:val="auto"/>
                <w:szCs w:val="21"/>
                <w:highlight w:val="none"/>
              </w:rPr>
            </w:pPr>
          </w:p>
        </w:tc>
        <w:tc>
          <w:tcPr>
            <w:tcW w:w="1861" w:type="dxa"/>
            <w:vAlign w:val="center"/>
          </w:tcPr>
          <w:p w14:paraId="2E75097B">
            <w:pPr>
              <w:spacing w:line="288" w:lineRule="auto"/>
              <w:jc w:val="center"/>
              <w:rPr>
                <w:rFonts w:hint="eastAsia" w:ascii="宋体" w:hAnsi="宋体" w:eastAsia="宋体" w:cs="宋体"/>
                <w:color w:val="auto"/>
                <w:szCs w:val="21"/>
                <w:highlight w:val="none"/>
              </w:rPr>
            </w:pPr>
          </w:p>
        </w:tc>
        <w:tc>
          <w:tcPr>
            <w:tcW w:w="702" w:type="dxa"/>
            <w:vAlign w:val="center"/>
          </w:tcPr>
          <w:p w14:paraId="79B54985">
            <w:pPr>
              <w:spacing w:line="288" w:lineRule="auto"/>
              <w:jc w:val="center"/>
              <w:rPr>
                <w:rFonts w:hint="eastAsia" w:ascii="宋体" w:hAnsi="宋体" w:eastAsia="宋体" w:cs="宋体"/>
                <w:color w:val="auto"/>
                <w:szCs w:val="21"/>
                <w:highlight w:val="none"/>
              </w:rPr>
            </w:pPr>
          </w:p>
        </w:tc>
        <w:tc>
          <w:tcPr>
            <w:tcW w:w="702" w:type="dxa"/>
            <w:vAlign w:val="center"/>
          </w:tcPr>
          <w:p w14:paraId="2021854F">
            <w:pPr>
              <w:spacing w:line="288" w:lineRule="auto"/>
              <w:jc w:val="center"/>
              <w:rPr>
                <w:rFonts w:hint="eastAsia" w:ascii="宋体" w:hAnsi="宋体" w:eastAsia="宋体" w:cs="宋体"/>
                <w:color w:val="auto"/>
                <w:szCs w:val="21"/>
                <w:highlight w:val="none"/>
              </w:rPr>
            </w:pPr>
          </w:p>
        </w:tc>
        <w:tc>
          <w:tcPr>
            <w:tcW w:w="1164" w:type="dxa"/>
            <w:vAlign w:val="center"/>
          </w:tcPr>
          <w:p w14:paraId="4C77F7F0">
            <w:pPr>
              <w:spacing w:line="288" w:lineRule="auto"/>
              <w:jc w:val="center"/>
              <w:rPr>
                <w:rFonts w:hint="eastAsia" w:ascii="宋体" w:hAnsi="宋体" w:eastAsia="宋体" w:cs="宋体"/>
                <w:color w:val="auto"/>
                <w:szCs w:val="21"/>
                <w:highlight w:val="none"/>
              </w:rPr>
            </w:pPr>
          </w:p>
        </w:tc>
        <w:tc>
          <w:tcPr>
            <w:tcW w:w="818" w:type="dxa"/>
            <w:vAlign w:val="center"/>
          </w:tcPr>
          <w:p w14:paraId="5EFC9F20">
            <w:pPr>
              <w:spacing w:line="288" w:lineRule="auto"/>
              <w:jc w:val="center"/>
              <w:rPr>
                <w:rFonts w:hint="eastAsia" w:ascii="宋体" w:hAnsi="宋体" w:eastAsia="宋体" w:cs="宋体"/>
                <w:color w:val="auto"/>
                <w:szCs w:val="21"/>
                <w:highlight w:val="none"/>
              </w:rPr>
            </w:pPr>
          </w:p>
        </w:tc>
        <w:tc>
          <w:tcPr>
            <w:tcW w:w="1165" w:type="dxa"/>
            <w:vAlign w:val="center"/>
          </w:tcPr>
          <w:p w14:paraId="1A46BB5B">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7AEEC55F">
            <w:pPr>
              <w:spacing w:line="288" w:lineRule="auto"/>
              <w:jc w:val="center"/>
              <w:rPr>
                <w:rFonts w:hint="eastAsia" w:ascii="宋体" w:hAnsi="宋体" w:eastAsia="宋体" w:cs="宋体"/>
                <w:color w:val="auto"/>
                <w:szCs w:val="21"/>
                <w:highlight w:val="none"/>
              </w:rPr>
            </w:pPr>
          </w:p>
        </w:tc>
      </w:tr>
    </w:tbl>
    <w:p w14:paraId="2C60BA6D">
      <w:pPr>
        <w:ind w:firstLine="178" w:firstLineChars="85"/>
        <w:rPr>
          <w:rFonts w:hint="eastAsia" w:ascii="宋体" w:hAnsi="宋体" w:eastAsia="宋体" w:cs="宋体"/>
          <w:color w:val="auto"/>
          <w:szCs w:val="21"/>
          <w:highlight w:val="none"/>
        </w:rPr>
      </w:pPr>
    </w:p>
    <w:p w14:paraId="3DF242C4">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附有关证明文件（复印件加盖公章）</w:t>
      </w:r>
    </w:p>
    <w:p w14:paraId="6722D9A0">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6CCEC959">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7E53F7B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1F0610E">
      <w:pPr>
        <w:pStyle w:val="39"/>
        <w:numPr>
          <w:ilvl w:val="0"/>
          <w:numId w:val="12"/>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投标人可按项目的实际需要提供本表格。</w:t>
      </w:r>
    </w:p>
    <w:p w14:paraId="7EB76744">
      <w:pPr>
        <w:pStyle w:val="39"/>
        <w:numPr>
          <w:ilvl w:val="0"/>
          <w:numId w:val="12"/>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14:paraId="4FA51DF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3、投标人若未提供或未填写完整则视为完全响应采购文件的人员要求，因此对投标人投标产生负面影响的，投标人自行承担后果。</w:t>
      </w:r>
    </w:p>
    <w:p w14:paraId="2733DF24">
      <w:pPr>
        <w:pStyle w:val="39"/>
        <w:numPr>
          <w:ilvl w:val="0"/>
          <w:numId w:val="12"/>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9403F6B">
      <w:pPr>
        <w:pStyle w:val="7"/>
        <w:widowControl w:val="0"/>
        <w:overflowPunct w:val="0"/>
        <w:spacing w:line="240" w:lineRule="auto"/>
        <w:rPr>
          <w:rFonts w:hint="eastAsia" w:ascii="宋体" w:hAnsi="宋体" w:eastAsia="宋体" w:cs="宋体"/>
          <w:color w:val="auto"/>
          <w:highlight w:val="none"/>
        </w:rPr>
      </w:pPr>
      <w:bookmarkStart w:id="144" w:name="_Toc22906"/>
      <w:r>
        <w:rPr>
          <w:rFonts w:hint="eastAsia" w:ascii="宋体" w:hAnsi="宋体" w:eastAsia="宋体" w:cs="宋体"/>
          <w:color w:val="auto"/>
          <w:sz w:val="21"/>
          <w:szCs w:val="21"/>
          <w:highlight w:val="none"/>
        </w:rPr>
        <w:t>附件18.投标保证金汇入情况说明格式</w:t>
      </w:r>
      <w:bookmarkEnd w:id="144"/>
    </w:p>
    <w:p w14:paraId="1CBB2DC0">
      <w:pPr>
        <w:rPr>
          <w:rFonts w:hint="eastAsia" w:ascii="宋体" w:hAnsi="宋体" w:eastAsia="宋体" w:cs="宋体"/>
          <w:color w:val="auto"/>
          <w:highlight w:val="none"/>
        </w:rPr>
      </w:pPr>
    </w:p>
    <w:p w14:paraId="288073D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投标保证金汇入情况说明</w:t>
      </w:r>
    </w:p>
    <w:p w14:paraId="4D736037">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广东志正招标有限公司东莞分公司</w:t>
      </w:r>
      <w:r>
        <w:rPr>
          <w:rFonts w:hint="eastAsia" w:ascii="宋体" w:hAnsi="宋体" w:eastAsia="宋体" w:cs="宋体"/>
          <w:color w:val="auto"/>
          <w:szCs w:val="21"/>
          <w:highlight w:val="none"/>
        </w:rPr>
        <w:t>：</w:t>
      </w:r>
    </w:p>
    <w:p w14:paraId="53D609B7">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项目（采购项目编号：）的采购文件要求，于年月日前以</w:t>
      </w:r>
      <w:r>
        <w:rPr>
          <w:rFonts w:hint="eastAsia" w:ascii="宋体" w:hAnsi="宋体" w:eastAsia="宋体" w:cs="宋体"/>
          <w:color w:val="auto"/>
          <w:szCs w:val="21"/>
          <w:highlight w:val="none"/>
          <w:u w:val="single"/>
        </w:rPr>
        <w:t xml:space="preserve">           （付款形式）</w:t>
      </w:r>
      <w:r>
        <w:rPr>
          <w:rFonts w:hint="eastAsia" w:ascii="宋体" w:hAnsi="宋体" w:eastAsia="宋体" w:cs="宋体"/>
          <w:color w:val="auto"/>
          <w:szCs w:val="21"/>
          <w:highlight w:val="none"/>
        </w:rPr>
        <w:t>方式汇入</w:t>
      </w:r>
      <w:r>
        <w:rPr>
          <w:rFonts w:hint="eastAsia" w:ascii="宋体" w:hAnsi="宋体" w:cs="宋体"/>
          <w:color w:val="auto"/>
          <w:szCs w:val="21"/>
          <w:highlight w:val="none"/>
          <w:lang w:eastAsia="zh-CN"/>
        </w:rPr>
        <w:t>指定账户</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账户名称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账号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C4519FF">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w:t>
      </w:r>
      <w:r>
        <w:rPr>
          <w:rFonts w:hint="eastAsia" w:ascii="宋体" w:hAnsi="宋体" w:cs="宋体"/>
          <w:color w:val="auto"/>
          <w:szCs w:val="21"/>
          <w:highlight w:val="none"/>
          <w:lang w:eastAsia="zh-CN"/>
        </w:rPr>
        <w:t>进账单</w:t>
      </w:r>
      <w:r>
        <w:rPr>
          <w:rFonts w:hint="eastAsia" w:ascii="宋体" w:hAnsi="宋体" w:eastAsia="宋体" w:cs="宋体"/>
          <w:color w:val="auto"/>
          <w:szCs w:val="21"/>
          <w:highlight w:val="none"/>
        </w:rPr>
        <w:t>）</w:t>
      </w:r>
    </w:p>
    <w:p w14:paraId="5E2F700F">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C598ABB">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汇款金额：（大写）人民币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5DBD7E42">
      <w:pPr>
        <w:spacing w:line="48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汇款账户</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（必须是投标时使用的</w:t>
      </w:r>
      <w:r>
        <w:rPr>
          <w:rFonts w:hint="eastAsia" w:ascii="宋体" w:hAnsi="宋体" w:cs="宋体"/>
          <w:color w:val="auto"/>
          <w:szCs w:val="21"/>
          <w:highlight w:val="none"/>
          <w:u w:val="single"/>
          <w:lang w:eastAsia="zh-CN"/>
        </w:rPr>
        <w:t>账户名</w:t>
      </w:r>
      <w:r>
        <w:rPr>
          <w:rFonts w:hint="eastAsia" w:ascii="宋体" w:hAnsi="宋体" w:eastAsia="宋体" w:cs="宋体"/>
          <w:color w:val="auto"/>
          <w:szCs w:val="21"/>
          <w:highlight w:val="none"/>
          <w:u w:val="single"/>
        </w:rPr>
        <w:t xml:space="preserve">）   </w:t>
      </w:r>
    </w:p>
    <w:p w14:paraId="407BB0DA">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        号：</w:t>
      </w:r>
      <w:r>
        <w:rPr>
          <w:rFonts w:hint="eastAsia" w:ascii="宋体" w:hAnsi="宋体" w:eastAsia="宋体" w:cs="宋体"/>
          <w:color w:val="auto"/>
          <w:szCs w:val="21"/>
          <w:highlight w:val="none"/>
          <w:u w:val="single"/>
        </w:rPr>
        <w:t xml:space="preserve">  （必须是投标时使用</w:t>
      </w:r>
      <w:r>
        <w:rPr>
          <w:rFonts w:hint="eastAsia" w:ascii="宋体" w:hAnsi="宋体" w:cs="宋体"/>
          <w:color w:val="auto"/>
          <w:szCs w:val="21"/>
          <w:highlight w:val="none"/>
          <w:u w:val="single"/>
          <w:lang w:eastAsia="zh-CN"/>
        </w:rPr>
        <w:t>的账号</w:t>
      </w:r>
      <w:r>
        <w:rPr>
          <w:rFonts w:hint="eastAsia" w:ascii="宋体" w:hAnsi="宋体" w:eastAsia="宋体" w:cs="宋体"/>
          <w:color w:val="auto"/>
          <w:szCs w:val="21"/>
          <w:highlight w:val="none"/>
          <w:u w:val="single"/>
        </w:rPr>
        <w:t xml:space="preserve">）        </w:t>
      </w:r>
    </w:p>
    <w:p w14:paraId="393E6767">
      <w:pPr>
        <w:spacing w:line="48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 户  银 行：</w:t>
      </w:r>
      <w:r>
        <w:rPr>
          <w:rFonts w:hint="eastAsia" w:ascii="宋体" w:hAnsi="宋体" w:eastAsia="宋体" w:cs="宋体"/>
          <w:color w:val="auto"/>
          <w:szCs w:val="21"/>
          <w:highlight w:val="none"/>
          <w:u w:val="single"/>
        </w:rPr>
        <w:t xml:space="preserve">  （  XX 银行 XX 分行 XX 支行   ）</w:t>
      </w:r>
    </w:p>
    <w:p w14:paraId="4F90F75D">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EB34566">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09081771">
      <w:pPr>
        <w:spacing w:line="480" w:lineRule="auto"/>
        <w:ind w:right="844" w:rightChars="402"/>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（单位公章）</w:t>
      </w:r>
    </w:p>
    <w:p w14:paraId="2DD1614A">
      <w:pPr>
        <w:spacing w:line="480" w:lineRule="auto"/>
        <w:ind w:right="628" w:rightChars="299"/>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3108FC8C">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56797E54">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p w14:paraId="3A94E98C">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p w14:paraId="52A6388F">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单位电话： </w:t>
      </w:r>
    </w:p>
    <w:p w14:paraId="6A3C3DB4">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联系人手机：</w:t>
      </w:r>
    </w:p>
    <w:p w14:paraId="6E122D78">
      <w:pPr>
        <w:rPr>
          <w:rFonts w:hint="eastAsia" w:ascii="宋体" w:hAnsi="宋体" w:eastAsia="宋体" w:cs="宋体"/>
          <w:color w:val="auto"/>
          <w:szCs w:val="21"/>
          <w:highlight w:val="none"/>
        </w:rPr>
      </w:pPr>
    </w:p>
    <w:p w14:paraId="10FA257C">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FA72542">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附：我方投标保证金汇款凭证</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F8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522" w:type="dxa"/>
            <w:vAlign w:val="center"/>
          </w:tcPr>
          <w:p w14:paraId="46105906">
            <w:pPr>
              <w:tabs>
                <w:tab w:val="left" w:pos="3885"/>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（粘贴汇款单或转账凭证复印件，并在骑缝上加盖投标人公章，或是直接把转账凭证复印到此张纸上）</w:t>
            </w:r>
          </w:p>
        </w:tc>
      </w:tr>
    </w:tbl>
    <w:p w14:paraId="432BE61E">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注：此表既要装订在投标文件中，又要按投标人须知的规定与开标一览表、投标保证金汇款底单复印件及授权委托书一同密封装入唱标信封，唱标信封单独提交。</w:t>
      </w:r>
    </w:p>
    <w:p w14:paraId="2A691663">
      <w:pPr>
        <w:rPr>
          <w:rFonts w:hint="eastAsia" w:ascii="宋体" w:hAnsi="宋体" w:eastAsia="宋体" w:cs="宋体"/>
          <w:color w:val="auto"/>
          <w:szCs w:val="21"/>
          <w:highlight w:val="none"/>
        </w:rPr>
      </w:pPr>
    </w:p>
    <w:p w14:paraId="3B0741D4">
      <w:pPr>
        <w:rPr>
          <w:rFonts w:hint="eastAsia" w:ascii="宋体" w:hAnsi="宋体" w:eastAsia="宋体" w:cs="宋体"/>
          <w:color w:val="auto"/>
          <w:szCs w:val="21"/>
          <w:highlight w:val="none"/>
        </w:rPr>
      </w:pPr>
    </w:p>
    <w:p w14:paraId="585D1A93">
      <w:pPr>
        <w:rPr>
          <w:rFonts w:hint="eastAsia" w:ascii="宋体" w:hAnsi="宋体" w:eastAsia="宋体" w:cs="宋体"/>
          <w:color w:val="auto"/>
          <w:szCs w:val="21"/>
          <w:highlight w:val="none"/>
        </w:rPr>
      </w:pPr>
    </w:p>
    <w:p w14:paraId="0213531C">
      <w:pPr>
        <w:rPr>
          <w:rFonts w:hint="eastAsia" w:ascii="宋体" w:hAnsi="宋体" w:eastAsia="宋体" w:cs="宋体"/>
          <w:color w:val="auto"/>
          <w:szCs w:val="21"/>
          <w:highlight w:val="none"/>
        </w:rPr>
      </w:pPr>
    </w:p>
    <w:p w14:paraId="18BD5E98">
      <w:pPr>
        <w:rPr>
          <w:rFonts w:hint="eastAsia" w:ascii="宋体" w:hAnsi="宋体" w:eastAsia="宋体" w:cs="宋体"/>
          <w:color w:val="auto"/>
          <w:szCs w:val="21"/>
          <w:highlight w:val="none"/>
        </w:rPr>
      </w:pPr>
    </w:p>
    <w:p w14:paraId="0EC625C0">
      <w:pPr>
        <w:rPr>
          <w:rFonts w:hint="eastAsia" w:ascii="宋体" w:hAnsi="宋体" w:eastAsia="宋体" w:cs="宋体"/>
          <w:color w:val="auto"/>
          <w:szCs w:val="21"/>
          <w:highlight w:val="none"/>
        </w:rPr>
      </w:pPr>
    </w:p>
    <w:p w14:paraId="422A4D20">
      <w:pPr>
        <w:rPr>
          <w:rFonts w:hint="eastAsia" w:ascii="宋体" w:hAnsi="宋体" w:eastAsia="宋体" w:cs="宋体"/>
          <w:color w:val="auto"/>
          <w:szCs w:val="21"/>
          <w:highlight w:val="none"/>
        </w:rPr>
      </w:pPr>
    </w:p>
    <w:p w14:paraId="0BC91AC6">
      <w:pPr>
        <w:rPr>
          <w:rFonts w:hint="eastAsia" w:ascii="宋体" w:hAnsi="宋体" w:eastAsia="宋体" w:cs="宋体"/>
          <w:color w:val="auto"/>
          <w:szCs w:val="21"/>
          <w:highlight w:val="none"/>
        </w:rPr>
      </w:pPr>
    </w:p>
    <w:p w14:paraId="5D23110C">
      <w:pPr>
        <w:rPr>
          <w:rFonts w:hint="eastAsia" w:ascii="宋体" w:hAnsi="宋体" w:eastAsia="宋体" w:cs="宋体"/>
          <w:color w:val="auto"/>
          <w:szCs w:val="21"/>
          <w:highlight w:val="none"/>
        </w:rPr>
      </w:pPr>
    </w:p>
    <w:p w14:paraId="4A90BF23">
      <w:pPr>
        <w:rPr>
          <w:rFonts w:hint="eastAsia" w:ascii="宋体" w:hAnsi="宋体" w:eastAsia="宋体" w:cs="宋体"/>
          <w:color w:val="auto"/>
          <w:szCs w:val="21"/>
          <w:highlight w:val="none"/>
        </w:rPr>
      </w:pPr>
    </w:p>
    <w:p w14:paraId="00F6EB22">
      <w:pPr>
        <w:rPr>
          <w:rFonts w:hint="eastAsia" w:ascii="宋体" w:hAnsi="宋体" w:eastAsia="宋体" w:cs="宋体"/>
          <w:color w:val="auto"/>
          <w:szCs w:val="21"/>
          <w:highlight w:val="none"/>
        </w:rPr>
      </w:pPr>
    </w:p>
    <w:p w14:paraId="575BDD04">
      <w:pPr>
        <w:rPr>
          <w:rFonts w:hint="eastAsia" w:ascii="宋体" w:hAnsi="宋体" w:eastAsia="宋体" w:cs="宋体"/>
          <w:color w:val="auto"/>
          <w:szCs w:val="21"/>
          <w:highlight w:val="none"/>
        </w:rPr>
      </w:pPr>
    </w:p>
    <w:p w14:paraId="32C72EEE">
      <w:pPr>
        <w:rPr>
          <w:rFonts w:hint="eastAsia" w:ascii="宋体" w:hAnsi="宋体" w:eastAsia="宋体" w:cs="宋体"/>
          <w:color w:val="auto"/>
          <w:szCs w:val="21"/>
          <w:highlight w:val="none"/>
        </w:rPr>
      </w:pPr>
    </w:p>
    <w:p w14:paraId="78471748">
      <w:pPr>
        <w:rPr>
          <w:rFonts w:hint="eastAsia" w:ascii="宋体" w:hAnsi="宋体" w:eastAsia="宋体" w:cs="宋体"/>
          <w:color w:val="auto"/>
          <w:szCs w:val="21"/>
          <w:highlight w:val="none"/>
        </w:rPr>
      </w:pPr>
    </w:p>
    <w:p w14:paraId="54C6CC4E">
      <w:pPr>
        <w:rPr>
          <w:rFonts w:hint="eastAsia" w:ascii="宋体" w:hAnsi="宋体" w:eastAsia="宋体" w:cs="宋体"/>
          <w:color w:val="auto"/>
          <w:szCs w:val="21"/>
          <w:highlight w:val="none"/>
        </w:rPr>
      </w:pPr>
    </w:p>
    <w:p w14:paraId="5EFB60DF">
      <w:pPr>
        <w:rPr>
          <w:rFonts w:hint="eastAsia" w:ascii="宋体" w:hAnsi="宋体" w:eastAsia="宋体" w:cs="宋体"/>
          <w:color w:val="auto"/>
          <w:szCs w:val="21"/>
          <w:highlight w:val="none"/>
        </w:rPr>
      </w:pPr>
    </w:p>
    <w:p w14:paraId="4C1FDDD6">
      <w:pPr>
        <w:rPr>
          <w:rFonts w:hint="eastAsia" w:ascii="宋体" w:hAnsi="宋体" w:eastAsia="宋体" w:cs="宋体"/>
          <w:color w:val="auto"/>
          <w:szCs w:val="21"/>
          <w:highlight w:val="none"/>
        </w:rPr>
      </w:pPr>
    </w:p>
    <w:p w14:paraId="124F78C1">
      <w:pPr>
        <w:rPr>
          <w:rFonts w:hint="eastAsia" w:ascii="宋体" w:hAnsi="宋体" w:eastAsia="宋体" w:cs="宋体"/>
          <w:color w:val="auto"/>
          <w:szCs w:val="21"/>
          <w:highlight w:val="none"/>
        </w:rPr>
      </w:pPr>
    </w:p>
    <w:p w14:paraId="0F43F093">
      <w:pPr>
        <w:rPr>
          <w:rFonts w:hint="eastAsia" w:ascii="宋体" w:hAnsi="宋体" w:eastAsia="宋体" w:cs="宋体"/>
          <w:color w:val="auto"/>
          <w:szCs w:val="21"/>
          <w:highlight w:val="none"/>
        </w:rPr>
      </w:pPr>
    </w:p>
    <w:p w14:paraId="534998CD">
      <w:pPr>
        <w:rPr>
          <w:rFonts w:hint="eastAsia" w:ascii="宋体" w:hAnsi="宋体" w:eastAsia="宋体" w:cs="宋体"/>
          <w:color w:val="auto"/>
          <w:szCs w:val="21"/>
          <w:highlight w:val="none"/>
        </w:rPr>
      </w:pPr>
    </w:p>
    <w:p w14:paraId="7BC60D9B">
      <w:pPr>
        <w:rPr>
          <w:rFonts w:hint="eastAsia" w:ascii="宋体" w:hAnsi="宋体" w:eastAsia="宋体" w:cs="宋体"/>
          <w:color w:val="auto"/>
          <w:szCs w:val="21"/>
          <w:highlight w:val="none"/>
        </w:rPr>
      </w:pPr>
    </w:p>
    <w:p w14:paraId="3FC2ED5C">
      <w:pPr>
        <w:pStyle w:val="7"/>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145" w:name="_Toc19947"/>
      <w:bookmarkStart w:id="146" w:name="_Toc29658"/>
      <w:bookmarkStart w:id="147" w:name="_Toc25861"/>
      <w:bookmarkStart w:id="148" w:name="_Toc2144"/>
      <w:bookmarkStart w:id="149" w:name="_Toc29855"/>
      <w:bookmarkStart w:id="150" w:name="_Toc17028"/>
      <w:bookmarkStart w:id="151" w:name="_Toc28623"/>
      <w:bookmarkStart w:id="152" w:name="_Toc1562"/>
      <w:bookmarkStart w:id="153" w:name="_Toc4866"/>
      <w:bookmarkStart w:id="154" w:name="_Toc14605"/>
      <w:bookmarkStart w:id="155" w:name="_Toc18296"/>
      <w:r>
        <w:rPr>
          <w:rFonts w:hint="eastAsia" w:ascii="宋体" w:hAnsi="宋体" w:eastAsia="宋体" w:cs="宋体"/>
          <w:color w:val="auto"/>
          <w:sz w:val="21"/>
          <w:szCs w:val="21"/>
          <w:highlight w:val="none"/>
        </w:rPr>
        <w:t>附件19.不可撤销履约保函</w:t>
      </w:r>
      <w:bookmarkEnd w:id="145"/>
      <w:bookmarkEnd w:id="146"/>
      <w:bookmarkEnd w:id="147"/>
      <w:bookmarkEnd w:id="148"/>
      <w:bookmarkEnd w:id="149"/>
      <w:bookmarkEnd w:id="150"/>
      <w:bookmarkEnd w:id="151"/>
      <w:bookmarkEnd w:id="152"/>
      <w:bookmarkEnd w:id="153"/>
      <w:bookmarkEnd w:id="154"/>
      <w:bookmarkEnd w:id="155"/>
    </w:p>
    <w:p w14:paraId="25907980">
      <w:pPr>
        <w:jc w:val="center"/>
        <w:rPr>
          <w:rFonts w:hint="eastAsia" w:ascii="宋体" w:hAnsi="宋体" w:eastAsia="宋体" w:cs="宋体"/>
          <w:color w:val="auto"/>
          <w:highlight w:val="none"/>
        </w:rPr>
      </w:pPr>
      <w:r>
        <w:rPr>
          <w:rFonts w:hint="eastAsia" w:ascii="宋体" w:hAnsi="宋体" w:eastAsia="宋体" w:cs="宋体"/>
          <w:color w:val="auto"/>
          <w:highlight w:val="none"/>
        </w:rPr>
        <w:t>银行编号：</w:t>
      </w:r>
    </w:p>
    <w:p w14:paraId="2FB280F7">
      <w:pPr>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p>
    <w:p w14:paraId="5A3DD3F8">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（地址：          ，下称 “乙方” ）</w:t>
      </w:r>
      <w:r>
        <w:rPr>
          <w:rFonts w:hint="eastAsia" w:ascii="宋体" w:hAnsi="宋体" w:eastAsia="宋体" w:cs="宋体"/>
          <w:color w:val="auto"/>
          <w:highlight w:val="none"/>
        </w:rPr>
        <w:t>已保证按</w:t>
      </w:r>
      <w:r>
        <w:rPr>
          <w:rFonts w:hint="eastAsia" w:ascii="宋体" w:hAnsi="宋体" w:eastAsia="宋体" w:cs="宋体"/>
          <w:color w:val="auto"/>
          <w:highlight w:val="none"/>
          <w:u w:val="single"/>
        </w:rPr>
        <w:t xml:space="preserve">        承包合同书（合同编号：    ）</w:t>
      </w:r>
      <w:r>
        <w:rPr>
          <w:rFonts w:hint="eastAsia" w:ascii="宋体" w:hAnsi="宋体" w:eastAsia="宋体" w:cs="宋体"/>
          <w:color w:val="auto"/>
          <w:highlight w:val="none"/>
        </w:rPr>
        <w:t>中规定的义务履行合同。</w:t>
      </w:r>
    </w:p>
    <w:p w14:paraId="3DDB0C05">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根据上述合同约定，乙方应向甲方提供一份金额为合同总价的10%即</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w:t>
      </w:r>
      <w:r>
        <w:rPr>
          <w:rFonts w:hint="eastAsia" w:ascii="宋体" w:hAnsi="宋体" w:eastAsia="宋体" w:cs="宋体"/>
          <w:bCs/>
          <w:color w:val="auto"/>
          <w:highlight w:val="none"/>
        </w:rPr>
        <w:t>不可撤销</w:t>
      </w:r>
      <w:r>
        <w:rPr>
          <w:rFonts w:hint="eastAsia" w:ascii="宋体" w:hAnsi="宋体" w:eastAsia="宋体" w:cs="宋体"/>
          <w:color w:val="auto"/>
          <w:highlight w:val="none"/>
        </w:rPr>
        <w:t>银行履约保函，作为乙方履行上述合同的担保。</w:t>
      </w:r>
    </w:p>
    <w:p w14:paraId="52F1D6CB">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（银行名称）</w:t>
      </w:r>
      <w:r>
        <w:rPr>
          <w:rFonts w:hint="eastAsia" w:ascii="宋体" w:hAnsi="宋体" w:eastAsia="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的保证金。</w:t>
      </w:r>
    </w:p>
    <w:p w14:paraId="05796A70">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14:paraId="24BABBB1">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本保函从上述合同签订之日起至项目服务期结束验收合格并完成结算后，双方签字之日起7天内保持有效。</w:t>
      </w:r>
    </w:p>
    <w:p w14:paraId="5D3D70D5">
      <w:pPr>
        <w:ind w:firstLine="2824" w:firstLineChars="1345"/>
        <w:rPr>
          <w:rFonts w:hint="eastAsia" w:ascii="宋体" w:hAnsi="宋体" w:eastAsia="宋体" w:cs="宋体"/>
          <w:color w:val="auto"/>
          <w:highlight w:val="none"/>
        </w:rPr>
      </w:pPr>
    </w:p>
    <w:p w14:paraId="224C2EB7">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保证人：（盖章）</w:t>
      </w:r>
      <w:r>
        <w:rPr>
          <w:rFonts w:hint="eastAsia" w:ascii="宋体" w:hAnsi="宋体" w:eastAsia="宋体" w:cs="宋体"/>
          <w:color w:val="auto"/>
          <w:highlight w:val="none"/>
          <w:u w:val="single"/>
        </w:rPr>
        <w:t xml:space="preserve">                        </w:t>
      </w:r>
    </w:p>
    <w:p w14:paraId="6A9D1BA7">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负责人：（签字）</w:t>
      </w:r>
      <w:r>
        <w:rPr>
          <w:rFonts w:hint="eastAsia" w:ascii="宋体" w:hAnsi="宋体" w:eastAsia="宋体" w:cs="宋体"/>
          <w:color w:val="auto"/>
          <w:highlight w:val="none"/>
          <w:u w:val="single"/>
        </w:rPr>
        <w:t xml:space="preserve">                        </w:t>
      </w:r>
    </w:p>
    <w:p w14:paraId="237A48CF">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194359AB">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14:paraId="4DBF3689">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p>
    <w:p w14:paraId="2E83604C">
      <w:pPr>
        <w:pStyle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说明：投标人在投标时不需提交正式保函，在投标文件中盖投标人公章确认保函格式即可，乙方</w:t>
      </w:r>
      <w:r>
        <w:rPr>
          <w:rFonts w:hint="eastAsia" w:ascii="宋体" w:hAnsi="宋体" w:eastAsia="宋体" w:cs="宋体"/>
          <w:color w:val="auto"/>
          <w:highlight w:val="none"/>
        </w:rPr>
        <w:t>在签订合同时</w:t>
      </w:r>
      <w:r>
        <w:rPr>
          <w:rFonts w:hint="eastAsia" w:ascii="宋体" w:hAnsi="宋体" w:eastAsia="宋体" w:cs="宋体"/>
          <w:color w:val="auto"/>
          <w:szCs w:val="24"/>
          <w:highlight w:val="none"/>
        </w:rPr>
        <w:t>提交正式保函。</w:t>
      </w:r>
    </w:p>
    <w:p w14:paraId="35110662">
      <w:pPr>
        <w:rPr>
          <w:rFonts w:hint="eastAsia" w:ascii="宋体" w:hAnsi="宋体" w:eastAsia="宋体" w:cs="宋体"/>
          <w:color w:val="auto"/>
          <w:szCs w:val="21"/>
          <w:highlight w:val="none"/>
        </w:rPr>
      </w:pPr>
    </w:p>
    <w:p w14:paraId="740CD071">
      <w:pPr>
        <w:rPr>
          <w:rFonts w:hint="eastAsia" w:ascii="宋体" w:hAnsi="宋体" w:eastAsia="宋体" w:cs="宋体"/>
          <w:color w:val="auto"/>
          <w:szCs w:val="21"/>
          <w:highlight w:val="none"/>
        </w:rPr>
        <w:sectPr>
          <w:pgSz w:w="11906" w:h="16838"/>
          <w:pgMar w:top="1440" w:right="1800" w:bottom="1440" w:left="1800" w:header="708" w:footer="708" w:gutter="0"/>
          <w:cols w:space="708" w:num="1"/>
          <w:titlePg/>
          <w:docGrid w:type="lines" w:linePitch="360" w:charSpace="0"/>
        </w:sectPr>
      </w:pPr>
    </w:p>
    <w:p w14:paraId="3FC1DE52">
      <w:pPr>
        <w:pStyle w:val="7"/>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156" w:name="_Toc1313"/>
      <w:bookmarkStart w:id="157" w:name="_Toc16463"/>
      <w:r>
        <w:rPr>
          <w:rFonts w:hint="eastAsia" w:ascii="宋体" w:hAnsi="宋体" w:eastAsia="宋体" w:cs="宋体"/>
          <w:color w:val="auto"/>
          <w:sz w:val="21"/>
          <w:szCs w:val="21"/>
          <w:highlight w:val="none"/>
        </w:rPr>
        <w:t>附件20.预付款保函</w:t>
      </w:r>
      <w:bookmarkEnd w:id="156"/>
      <w:r>
        <w:rPr>
          <w:rFonts w:hint="eastAsia" w:ascii="宋体" w:hAnsi="宋体" w:eastAsia="宋体" w:cs="宋体"/>
          <w:color w:val="auto"/>
          <w:sz w:val="21"/>
          <w:szCs w:val="21"/>
          <w:highlight w:val="none"/>
        </w:rPr>
        <w:t>（适用于预付款支付）</w:t>
      </w:r>
      <w:bookmarkEnd w:id="157"/>
    </w:p>
    <w:p w14:paraId="207377BE">
      <w:pPr>
        <w:pStyle w:val="3"/>
        <w:rPr>
          <w:rFonts w:hint="eastAsia" w:ascii="宋体" w:hAnsi="宋体" w:eastAsia="宋体" w:cs="宋体"/>
          <w:color w:val="auto"/>
          <w:szCs w:val="24"/>
          <w:highlight w:val="none"/>
        </w:rPr>
      </w:pPr>
    </w:p>
    <w:p w14:paraId="783D41D1">
      <w:pPr>
        <w:jc w:val="center"/>
        <w:rPr>
          <w:rFonts w:hint="eastAsia" w:ascii="宋体" w:hAnsi="宋体" w:eastAsia="宋体" w:cs="宋体"/>
          <w:color w:val="auto"/>
          <w:sz w:val="28"/>
          <w:szCs w:val="28"/>
          <w:highlight w:val="none"/>
        </w:rPr>
      </w:pPr>
      <w:bookmarkStart w:id="158" w:name="_Toc20669"/>
      <w:bookmarkStart w:id="159" w:name="_Toc3295"/>
      <w:bookmarkStart w:id="160" w:name="_Toc10315"/>
      <w:bookmarkStart w:id="161" w:name="_Toc25494"/>
      <w:bookmarkStart w:id="162" w:name="_Toc29728"/>
      <w:bookmarkStart w:id="163" w:name="_Toc31418"/>
      <w:bookmarkStart w:id="164" w:name="_Toc1039"/>
      <w:bookmarkStart w:id="165" w:name="_Toc27545"/>
      <w:bookmarkStart w:id="166" w:name="_Toc7374"/>
      <w:bookmarkStart w:id="167" w:name="_Toc10719"/>
      <w:bookmarkStart w:id="168" w:name="_Toc29054"/>
      <w:bookmarkStart w:id="169" w:name="_Toc6877"/>
      <w:r>
        <w:rPr>
          <w:rFonts w:hint="eastAsia" w:ascii="宋体" w:hAnsi="宋体" w:eastAsia="宋体" w:cs="宋体"/>
          <w:color w:val="auto"/>
          <w:sz w:val="28"/>
          <w:szCs w:val="28"/>
          <w:highlight w:val="none"/>
        </w:rPr>
        <w:t>不可撤销预付款保函</w:t>
      </w:r>
      <w:bookmarkEnd w:id="158"/>
      <w:bookmarkEnd w:id="159"/>
      <w:bookmarkEnd w:id="160"/>
      <w:bookmarkEnd w:id="161"/>
      <w:bookmarkEnd w:id="162"/>
      <w:bookmarkEnd w:id="163"/>
      <w:bookmarkEnd w:id="164"/>
      <w:bookmarkEnd w:id="165"/>
      <w:bookmarkEnd w:id="166"/>
      <w:bookmarkEnd w:id="167"/>
      <w:bookmarkEnd w:id="168"/>
      <w:bookmarkEnd w:id="169"/>
    </w:p>
    <w:p w14:paraId="323B688F">
      <w:pPr>
        <w:ind w:firstLine="6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银行编号：</w:t>
      </w:r>
      <w:r>
        <w:rPr>
          <w:rFonts w:hint="eastAsia" w:ascii="宋体" w:hAnsi="宋体" w:eastAsia="宋体" w:cs="宋体"/>
          <w:color w:val="auto"/>
          <w:szCs w:val="21"/>
          <w:highlight w:val="none"/>
          <w:u w:val="single"/>
        </w:rPr>
        <w:t xml:space="preserve">             </w:t>
      </w:r>
    </w:p>
    <w:p w14:paraId="4F861803">
      <w:pPr>
        <w:ind w:firstLine="6300"/>
        <w:rPr>
          <w:rFonts w:hint="eastAsia" w:ascii="宋体" w:hAnsi="宋体" w:eastAsia="宋体" w:cs="宋体"/>
          <w:color w:val="auto"/>
          <w:szCs w:val="21"/>
          <w:highlight w:val="none"/>
        </w:rPr>
      </w:pPr>
    </w:p>
    <w:p w14:paraId="52EEA29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（下称“采购人”）</w:t>
      </w:r>
    </w:p>
    <w:p w14:paraId="5CDDC14F">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4"/>
          <w:highlight w:val="none"/>
          <w:u w:val="single"/>
        </w:rPr>
        <w:t>（地址：          ，下称 “中标人” ）</w:t>
      </w:r>
      <w:r>
        <w:rPr>
          <w:rFonts w:hint="eastAsia" w:ascii="宋体" w:hAnsi="宋体" w:eastAsia="宋体" w:cs="宋体"/>
          <w:color w:val="auto"/>
          <w:szCs w:val="21"/>
          <w:highlight w:val="none"/>
        </w:rPr>
        <w:t>，已保证按</w:t>
      </w:r>
      <w:r>
        <w:rPr>
          <w:rFonts w:hint="eastAsia" w:ascii="宋体" w:hAnsi="宋体" w:eastAsia="宋体" w:cs="宋体"/>
          <w:color w:val="auto"/>
          <w:szCs w:val="21"/>
          <w:highlight w:val="none"/>
          <w:u w:val="single"/>
        </w:rPr>
        <w:t xml:space="preserve">          承包合同书（合同编号：    ）</w:t>
      </w:r>
      <w:r>
        <w:rPr>
          <w:rFonts w:hint="eastAsia" w:ascii="宋体" w:hAnsi="宋体" w:eastAsia="宋体" w:cs="宋体"/>
          <w:color w:val="auto"/>
          <w:szCs w:val="21"/>
          <w:highlight w:val="none"/>
        </w:rPr>
        <w:t>中规定的义务履行合同。</w:t>
      </w:r>
    </w:p>
    <w:p w14:paraId="10B11B94">
      <w:pPr>
        <w:ind w:firstLine="437"/>
        <w:rPr>
          <w:rFonts w:hint="eastAsia" w:ascii="宋体" w:hAnsi="宋体" w:eastAsia="宋体" w:cs="宋体"/>
          <w:color w:val="auto"/>
          <w:szCs w:val="21"/>
          <w:highlight w:val="none"/>
        </w:rPr>
      </w:pPr>
      <w:r>
        <w:rPr>
          <w:rFonts w:hint="eastAsia" w:ascii="宋体" w:hAnsi="宋体" w:eastAsia="宋体" w:cs="宋体"/>
          <w:color w:val="auto"/>
          <w:szCs w:val="24"/>
          <w:highlight w:val="none"/>
        </w:rPr>
        <w:t>根据上述合同（招标文件）规定，中标人应向采购人提供一份金额为合同总价的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即人民币</w:t>
      </w:r>
      <w:r>
        <w:rPr>
          <w:rFonts w:hint="eastAsia" w:ascii="宋体" w:hAnsi="宋体" w:eastAsia="宋体" w:cs="宋体"/>
          <w:color w:val="auto"/>
          <w:szCs w:val="21"/>
          <w:highlight w:val="none"/>
          <w:u w:val="single"/>
        </w:rPr>
        <w:t xml:space="preserve">      （RMB      元）</w:t>
      </w:r>
      <w:r>
        <w:rPr>
          <w:rFonts w:hint="eastAsia" w:ascii="宋体" w:hAnsi="宋体" w:eastAsia="宋体" w:cs="宋体"/>
          <w:color w:val="auto"/>
          <w:szCs w:val="21"/>
          <w:highlight w:val="none"/>
        </w:rPr>
        <w:t>的不可撤销银行预付款保函，以保证中标人履行合同的相关条款。</w:t>
      </w:r>
    </w:p>
    <w:p w14:paraId="25188B34">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（银行名称）  </w:t>
      </w:r>
      <w:r>
        <w:rPr>
          <w:rFonts w:hint="eastAsia" w:ascii="宋体" w:hAnsi="宋体" w:eastAsia="宋体" w:cs="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509AA61F">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4151DBC9">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本保函有效期从保函开立之日起至采购人向中标人抵扣完所有预付款之日止。</w:t>
      </w:r>
    </w:p>
    <w:p w14:paraId="71E2AC17">
      <w:pPr>
        <w:rPr>
          <w:rFonts w:hint="eastAsia" w:ascii="宋体" w:hAnsi="宋体" w:eastAsia="宋体" w:cs="宋体"/>
          <w:color w:val="auto"/>
          <w:szCs w:val="21"/>
          <w:highlight w:val="none"/>
        </w:rPr>
      </w:pPr>
    </w:p>
    <w:p w14:paraId="494A9448">
      <w:pPr>
        <w:ind w:firstLine="437"/>
        <w:rPr>
          <w:rFonts w:hint="eastAsia" w:ascii="宋体" w:hAnsi="宋体" w:eastAsia="宋体" w:cs="宋体"/>
          <w:color w:val="auto"/>
          <w:szCs w:val="21"/>
          <w:highlight w:val="none"/>
        </w:rPr>
      </w:pPr>
    </w:p>
    <w:p w14:paraId="5A5A9FCE">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保证人：（公章）</w:t>
      </w:r>
      <w:r>
        <w:rPr>
          <w:rFonts w:hint="eastAsia" w:ascii="宋体" w:hAnsi="宋体" w:eastAsia="宋体" w:cs="宋体"/>
          <w:color w:val="auto"/>
          <w:szCs w:val="21"/>
          <w:highlight w:val="none"/>
          <w:u w:val="single"/>
        </w:rPr>
        <w:t xml:space="preserve">                     </w:t>
      </w:r>
    </w:p>
    <w:p w14:paraId="23CBF4CF">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负责人：（签字）</w:t>
      </w:r>
      <w:r>
        <w:rPr>
          <w:rFonts w:hint="eastAsia" w:ascii="宋体" w:hAnsi="宋体" w:eastAsia="宋体" w:cs="宋体"/>
          <w:color w:val="auto"/>
          <w:szCs w:val="21"/>
          <w:highlight w:val="none"/>
          <w:u w:val="single"/>
        </w:rPr>
        <w:t xml:space="preserve">                     </w:t>
      </w:r>
    </w:p>
    <w:p w14:paraId="684F0CA1">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p w14:paraId="711C088B">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04A4E5CA">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5AB3DAC8">
      <w:pPr>
        <w:pStyle w:val="3"/>
        <w:rPr>
          <w:rFonts w:hint="eastAsia" w:ascii="宋体" w:hAnsi="宋体" w:eastAsia="宋体" w:cs="宋体"/>
          <w:color w:val="auto"/>
          <w:szCs w:val="21"/>
          <w:highlight w:val="none"/>
        </w:rPr>
      </w:pPr>
    </w:p>
    <w:p w14:paraId="71F9340A">
      <w:pPr>
        <w:pStyle w:val="3"/>
        <w:rPr>
          <w:rFonts w:hint="eastAsia" w:ascii="宋体" w:hAnsi="宋体" w:eastAsia="宋体" w:cs="宋体"/>
          <w:color w:val="auto"/>
          <w:szCs w:val="21"/>
          <w:highlight w:val="none"/>
        </w:rPr>
      </w:pPr>
    </w:p>
    <w:p w14:paraId="5D8E64C3">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说明：投标人在投标文件中盖投标人公章确认保函内容即可，如中标再由银行出具保函。</w:t>
      </w:r>
    </w:p>
    <w:p w14:paraId="79CF8B66">
      <w:pPr>
        <w:rPr>
          <w:rFonts w:hint="eastAsia" w:ascii="宋体" w:hAnsi="宋体" w:eastAsia="宋体" w:cs="宋体"/>
          <w:color w:val="auto"/>
          <w:szCs w:val="21"/>
          <w:highlight w:val="none"/>
        </w:rPr>
        <w:sectPr>
          <w:pgSz w:w="11906" w:h="16838"/>
          <w:pgMar w:top="1440" w:right="1800" w:bottom="1440" w:left="1800" w:header="708" w:footer="708" w:gutter="0"/>
          <w:cols w:space="708" w:num="1"/>
          <w:titlePg/>
          <w:docGrid w:type="lines" w:linePitch="360" w:charSpace="0"/>
        </w:sectPr>
      </w:pPr>
    </w:p>
    <w:p w14:paraId="1FEC0574">
      <w:pPr>
        <w:jc w:val="center"/>
        <w:outlineLvl w:val="1"/>
        <w:rPr>
          <w:rFonts w:hint="eastAsia" w:ascii="宋体" w:hAnsi="宋体" w:eastAsia="宋体" w:cs="宋体"/>
          <w:color w:val="auto"/>
          <w:sz w:val="72"/>
          <w:szCs w:val="72"/>
          <w:highlight w:val="none"/>
        </w:rPr>
      </w:pPr>
      <w:bookmarkStart w:id="170" w:name="_Toc15262"/>
      <w:r>
        <w:rPr>
          <w:rFonts w:hint="eastAsia" w:ascii="宋体" w:hAnsi="宋体" w:eastAsia="宋体" w:cs="宋体"/>
          <w:color w:val="auto"/>
          <w:sz w:val="72"/>
          <w:szCs w:val="72"/>
          <w:highlight w:val="none"/>
        </w:rPr>
        <w:t>唱标信封</w:t>
      </w:r>
      <w:bookmarkEnd w:id="170"/>
    </w:p>
    <w:p w14:paraId="42213D70">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（单独装订成册，单独封装）</w:t>
      </w:r>
    </w:p>
    <w:p w14:paraId="40292225">
      <w:pPr>
        <w:rPr>
          <w:rFonts w:hint="eastAsia" w:ascii="宋体" w:hAnsi="宋体" w:eastAsia="宋体" w:cs="宋体"/>
          <w:color w:val="auto"/>
          <w:highlight w:val="none"/>
        </w:rPr>
      </w:pPr>
    </w:p>
    <w:p w14:paraId="6D802DDF">
      <w:pPr>
        <w:pStyle w:val="2"/>
        <w:rPr>
          <w:rFonts w:hint="eastAsia" w:ascii="宋体" w:hAnsi="宋体" w:eastAsia="宋体" w:cs="宋体"/>
          <w:color w:val="auto"/>
          <w:highlight w:val="none"/>
        </w:rPr>
      </w:pPr>
    </w:p>
    <w:p w14:paraId="3CDEA897">
      <w:pPr>
        <w:pStyle w:val="26"/>
        <w:ind w:firstLine="240"/>
        <w:rPr>
          <w:rFonts w:hint="eastAsia" w:ascii="宋体" w:hAnsi="宋体" w:eastAsia="宋体" w:cs="宋体"/>
          <w:color w:val="auto"/>
          <w:highlight w:val="none"/>
        </w:rPr>
      </w:pPr>
    </w:p>
    <w:p w14:paraId="3335C54D">
      <w:pPr>
        <w:pStyle w:val="26"/>
        <w:ind w:firstLine="240"/>
        <w:rPr>
          <w:rFonts w:hint="eastAsia" w:ascii="宋体" w:hAnsi="宋体" w:eastAsia="宋体" w:cs="宋体"/>
          <w:color w:val="auto"/>
          <w:highlight w:val="none"/>
        </w:rPr>
      </w:pPr>
    </w:p>
    <w:p w14:paraId="73D733DF">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106"/>
          <w:sz w:val="32"/>
          <w:szCs w:val="32"/>
          <w:highlight w:val="none"/>
        </w:rPr>
        <w:t>项目名</w:t>
      </w:r>
      <w:r>
        <w:rPr>
          <w:rFonts w:hint="eastAsia" w:ascii="宋体" w:hAnsi="宋体" w:eastAsia="宋体" w:cs="宋体"/>
          <w:b/>
          <w:color w:val="auto"/>
          <w:spacing w:val="2"/>
          <w:sz w:val="32"/>
          <w:szCs w:val="32"/>
          <w:highlight w:val="none"/>
        </w:rPr>
        <w:t>称</w:t>
      </w:r>
      <w:r>
        <w:rPr>
          <w:rFonts w:hint="eastAsia" w:ascii="宋体" w:hAnsi="宋体" w:eastAsia="宋体" w:cs="宋体"/>
          <w:b/>
          <w:color w:val="auto"/>
          <w:spacing w:val="-6"/>
          <w:sz w:val="32"/>
          <w:szCs w:val="32"/>
          <w:highlight w:val="none"/>
        </w:rPr>
        <w:t>：</w:t>
      </w:r>
    </w:p>
    <w:p w14:paraId="7E032551">
      <w:pPr>
        <w:rPr>
          <w:rFonts w:hint="eastAsia" w:ascii="宋体" w:hAnsi="宋体" w:eastAsia="宋体" w:cs="宋体"/>
          <w:b/>
          <w:color w:val="auto"/>
          <w:sz w:val="32"/>
          <w:szCs w:val="32"/>
          <w:highlight w:val="none"/>
        </w:rPr>
      </w:pPr>
      <w:r>
        <w:rPr>
          <w:rFonts w:hint="eastAsia" w:ascii="宋体" w:hAnsi="宋体" w:eastAsia="宋体" w:cs="宋体"/>
          <w:b/>
          <w:color w:val="auto"/>
          <w:spacing w:val="106"/>
          <w:sz w:val="32"/>
          <w:szCs w:val="32"/>
          <w:highlight w:val="none"/>
        </w:rPr>
        <w:t>项目编</w:t>
      </w:r>
      <w:r>
        <w:rPr>
          <w:rFonts w:hint="eastAsia" w:ascii="宋体" w:hAnsi="宋体" w:eastAsia="宋体" w:cs="宋体"/>
          <w:b/>
          <w:color w:val="auto"/>
          <w:spacing w:val="2"/>
          <w:sz w:val="32"/>
          <w:szCs w:val="32"/>
          <w:highlight w:val="none"/>
        </w:rPr>
        <w:t>号</w:t>
      </w:r>
      <w:r>
        <w:rPr>
          <w:rFonts w:hint="eastAsia" w:ascii="宋体" w:hAnsi="宋体" w:eastAsia="宋体" w:cs="宋体"/>
          <w:b/>
          <w:color w:val="auto"/>
          <w:sz w:val="32"/>
          <w:szCs w:val="32"/>
          <w:highlight w:val="none"/>
        </w:rPr>
        <w:t>：</w:t>
      </w:r>
    </w:p>
    <w:p w14:paraId="52B96B88">
      <w:pPr>
        <w:pStyle w:val="2"/>
        <w:ind w:left="0"/>
        <w:rPr>
          <w:rFonts w:hint="eastAsia" w:ascii="宋体" w:hAnsi="宋体" w:eastAsia="宋体" w:cs="宋体"/>
          <w:b/>
          <w:color w:val="auto"/>
          <w:spacing w:val="106"/>
          <w:sz w:val="32"/>
          <w:szCs w:val="32"/>
          <w:highlight w:val="none"/>
          <w:lang w:val="en-US" w:bidi="ar-SA"/>
        </w:rPr>
      </w:pPr>
      <w:r>
        <w:rPr>
          <w:rFonts w:hint="eastAsia" w:ascii="宋体" w:hAnsi="宋体" w:eastAsia="宋体" w:cs="宋体"/>
          <w:b/>
          <w:color w:val="auto"/>
          <w:spacing w:val="106"/>
          <w:sz w:val="32"/>
          <w:szCs w:val="32"/>
          <w:highlight w:val="none"/>
          <w:lang w:val="en-US" w:bidi="ar-SA"/>
        </w:rPr>
        <w:t>包组号（如有）：</w:t>
      </w:r>
    </w:p>
    <w:p w14:paraId="29C1B48E">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w:t>
      </w:r>
    </w:p>
    <w:p w14:paraId="20B12727">
      <w:pPr>
        <w:rPr>
          <w:rFonts w:hint="eastAsia" w:ascii="宋体" w:hAnsi="宋体" w:eastAsia="宋体" w:cs="宋体"/>
          <w:b/>
          <w:color w:val="auto"/>
          <w:sz w:val="32"/>
          <w:szCs w:val="32"/>
          <w:highlight w:val="none"/>
        </w:rPr>
      </w:pPr>
      <w:r>
        <w:rPr>
          <w:rFonts w:hint="eastAsia" w:ascii="宋体" w:hAnsi="宋体" w:eastAsia="宋体" w:cs="宋体"/>
          <w:b/>
          <w:color w:val="auto"/>
          <w:spacing w:val="64"/>
          <w:sz w:val="32"/>
          <w:szCs w:val="32"/>
          <w:highlight w:val="none"/>
        </w:rPr>
        <w:t xml:space="preserve">日    </w:t>
      </w:r>
      <w:r>
        <w:rPr>
          <w:rFonts w:hint="eastAsia" w:ascii="宋体" w:hAnsi="宋体" w:eastAsia="宋体" w:cs="宋体"/>
          <w:b/>
          <w:color w:val="auto"/>
          <w:sz w:val="32"/>
          <w:szCs w:val="32"/>
          <w:highlight w:val="none"/>
        </w:rPr>
        <w:t>期：</w:t>
      </w:r>
    </w:p>
    <w:p w14:paraId="76F4241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335FA26">
      <w:pPr>
        <w:pStyle w:val="7"/>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171" w:name="_Toc19802"/>
      <w:r>
        <w:rPr>
          <w:rFonts w:hint="eastAsia" w:ascii="宋体" w:hAnsi="宋体" w:eastAsia="宋体" w:cs="宋体"/>
          <w:color w:val="auto"/>
          <w:sz w:val="21"/>
          <w:szCs w:val="21"/>
          <w:highlight w:val="none"/>
        </w:rPr>
        <w:t>附件21.唱标信封内装（内容务必与投标文件正本一致）</w:t>
      </w:r>
      <w:bookmarkEnd w:id="171"/>
    </w:p>
    <w:p w14:paraId="5513BDBD">
      <w:pPr>
        <w:numPr>
          <w:ilvl w:val="0"/>
          <w:numId w:val="0"/>
        </w:numPr>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一、</w:t>
      </w:r>
      <w:r>
        <w:rPr>
          <w:rFonts w:hint="eastAsia" w:ascii="宋体" w:hAnsi="宋体" w:eastAsia="宋体" w:cs="宋体"/>
          <w:color w:val="auto"/>
          <w:szCs w:val="21"/>
          <w:highlight w:val="none"/>
        </w:rPr>
        <w:t>开标一览表加盖公章；</w:t>
      </w:r>
    </w:p>
    <w:p w14:paraId="58F6949E">
      <w:pPr>
        <w:numPr>
          <w:ilvl w:val="0"/>
          <w:numId w:val="0"/>
        </w:numPr>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二、</w:t>
      </w:r>
      <w:r>
        <w:rPr>
          <w:rFonts w:hint="eastAsia" w:ascii="宋体" w:hAnsi="宋体" w:eastAsia="宋体" w:cs="宋体"/>
          <w:color w:val="auto"/>
          <w:szCs w:val="21"/>
          <w:highlight w:val="none"/>
        </w:rPr>
        <w:t>法定代表人证明书加盖公章；</w:t>
      </w:r>
    </w:p>
    <w:p w14:paraId="7B6E790D">
      <w:pPr>
        <w:numPr>
          <w:ilvl w:val="0"/>
          <w:numId w:val="0"/>
        </w:numPr>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三、</w:t>
      </w:r>
      <w:r>
        <w:rPr>
          <w:rFonts w:hint="eastAsia" w:ascii="宋体" w:hAnsi="宋体" w:eastAsia="宋体" w:cs="宋体"/>
          <w:color w:val="auto"/>
          <w:szCs w:val="21"/>
          <w:highlight w:val="none"/>
        </w:rPr>
        <w:t>法定代表人授权委托书加盖公章（法定代表人投标的除外）；</w:t>
      </w:r>
    </w:p>
    <w:p w14:paraId="66F6A04B">
      <w:pPr>
        <w:numPr>
          <w:ilvl w:val="0"/>
          <w:numId w:val="0"/>
        </w:numPr>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四、</w:t>
      </w:r>
      <w:r>
        <w:rPr>
          <w:rFonts w:hint="eastAsia" w:ascii="宋体" w:hAnsi="宋体" w:eastAsia="宋体" w:cs="宋体"/>
          <w:color w:val="auto"/>
          <w:szCs w:val="21"/>
          <w:highlight w:val="none"/>
        </w:rPr>
        <w:t>投标保证金汇入情况说明（含银行汇款凭证）或投标保函加盖公章；</w:t>
      </w:r>
    </w:p>
    <w:p w14:paraId="2E79C9C4">
      <w:pPr>
        <w:numPr>
          <w:ilvl w:val="0"/>
          <w:numId w:val="0"/>
        </w:numPr>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五、</w:t>
      </w:r>
      <w:r>
        <w:rPr>
          <w:rFonts w:hint="eastAsia" w:ascii="宋体" w:hAnsi="宋体" w:eastAsia="宋体" w:cs="宋体"/>
          <w:color w:val="auto"/>
          <w:szCs w:val="21"/>
          <w:highlight w:val="none"/>
        </w:rPr>
        <w:t>投标文件电子文件（U盘，须含盖章版PDF投标文件和WORD版投标文件各一版，文字采用WORD文档，计算表格采用 EXCEL文档。）</w:t>
      </w:r>
    </w:p>
    <w:p w14:paraId="384D9774">
      <w:pPr>
        <w:rPr>
          <w:rFonts w:hint="eastAsia" w:ascii="宋体" w:hAnsi="宋体" w:eastAsia="宋体" w:cs="宋体"/>
          <w:color w:val="auto"/>
          <w:szCs w:val="21"/>
          <w:highlight w:val="none"/>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F7699">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F77CB">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FF77CB">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BF4FE">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9ABDB">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5D84D">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CD5D84D">
                    <w:pPr>
                      <w:pStyle w:val="1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DD0D">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10FF1B07">
                          <w:pPr>
                            <w:pStyle w:val="1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10FF1B07">
                    <w:pPr>
                      <w:pStyle w:val="1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BCA1F">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5C4A126D">
                          <w:pPr>
                            <w:pStyle w:val="1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5C4A126D">
                    <w:pPr>
                      <w:pStyle w:val="1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BCC06">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7E5FC">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3B49C">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3D09F">
    <w:pPr>
      <w:pStyle w:val="17"/>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165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D4707310"/>
    <w:multiLevelType w:val="singleLevel"/>
    <w:tmpl w:val="D4707310"/>
    <w:lvl w:ilvl="0" w:tentative="0">
      <w:start w:val="1"/>
      <w:numFmt w:val="decimal"/>
      <w:lvlText w:val="%1."/>
      <w:lvlJc w:val="left"/>
      <w:pPr>
        <w:ind w:left="635" w:hanging="425"/>
      </w:pPr>
      <w:rPr>
        <w:rFonts w:hint="default"/>
      </w:rPr>
    </w:lvl>
  </w:abstractNum>
  <w:abstractNum w:abstractNumId="4">
    <w:nsid w:val="F5243D2C"/>
    <w:multiLevelType w:val="singleLevel"/>
    <w:tmpl w:val="F5243D2C"/>
    <w:lvl w:ilvl="0" w:tentative="0">
      <w:start w:val="4"/>
      <w:numFmt w:val="chineseCounting"/>
      <w:suff w:val="nothing"/>
      <w:lvlText w:val="%1、"/>
      <w:lvlJc w:val="left"/>
      <w:rPr>
        <w:rFonts w:hint="eastAsia"/>
      </w:rPr>
    </w:lvl>
  </w:abstractNum>
  <w:abstractNum w:abstractNumId="5">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0D2348B"/>
    <w:multiLevelType w:val="singleLevel"/>
    <w:tmpl w:val="20D2348B"/>
    <w:lvl w:ilvl="0" w:tentative="0">
      <w:start w:val="1"/>
      <w:numFmt w:val="chineseCounting"/>
      <w:suff w:val="nothing"/>
      <w:lvlText w:val="（%1）"/>
      <w:lvlJc w:val="left"/>
      <w:rPr>
        <w:rFonts w:hint="eastAsia"/>
      </w:rPr>
    </w:lvl>
  </w:abstractNum>
  <w:abstractNum w:abstractNumId="7">
    <w:nsid w:val="250719EA"/>
    <w:multiLevelType w:val="singleLevel"/>
    <w:tmpl w:val="250719EA"/>
    <w:lvl w:ilvl="0" w:tentative="0">
      <w:start w:val="1"/>
      <w:numFmt w:val="chineseCounting"/>
      <w:suff w:val="nothing"/>
      <w:lvlText w:val="%1、"/>
      <w:lvlJc w:val="left"/>
      <w:rPr>
        <w:rFonts w:hint="eastAsia"/>
      </w:rPr>
    </w:lvl>
  </w:abstractNum>
  <w:abstractNum w:abstractNumId="8">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3F88662E"/>
    <w:multiLevelType w:val="singleLevel"/>
    <w:tmpl w:val="3F88662E"/>
    <w:lvl w:ilvl="0" w:tentative="0">
      <w:start w:val="1"/>
      <w:numFmt w:val="decimal"/>
      <w:suff w:val="space"/>
      <w:lvlText w:val="%1)"/>
      <w:lvlJc w:val="left"/>
    </w:lvl>
  </w:abstractNum>
  <w:abstractNum w:abstractNumId="10">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7"/>
  </w:num>
  <w:num w:numId="4">
    <w:abstractNumId w:val="10"/>
  </w:num>
  <w:num w:numId="5">
    <w:abstractNumId w:val="8"/>
  </w:num>
  <w:num w:numId="6">
    <w:abstractNumId w:val="9"/>
  </w:num>
  <w:num w:numId="7">
    <w:abstractNumId w:val="0"/>
  </w:num>
  <w:num w:numId="8">
    <w:abstractNumId w:val="1"/>
  </w:num>
  <w:num w:numId="9">
    <w:abstractNumId w:val="5"/>
  </w:num>
  <w:num w:numId="10">
    <w:abstractNumId w:val="6"/>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zBmM2RjMTRhOTk5ZGMwOGE2N2JhMmZhMmM1ZDAifQ=="/>
  </w:docVars>
  <w:rsids>
    <w:rsidRoot w:val="00172A27"/>
    <w:rsid w:val="00005A66"/>
    <w:rsid w:val="00006462"/>
    <w:rsid w:val="000300E4"/>
    <w:rsid w:val="0003307E"/>
    <w:rsid w:val="000336BA"/>
    <w:rsid w:val="000359A1"/>
    <w:rsid w:val="0005185D"/>
    <w:rsid w:val="00067748"/>
    <w:rsid w:val="0007500F"/>
    <w:rsid w:val="0008282E"/>
    <w:rsid w:val="00084F6D"/>
    <w:rsid w:val="00093A13"/>
    <w:rsid w:val="000A363F"/>
    <w:rsid w:val="000A42A8"/>
    <w:rsid w:val="000A5063"/>
    <w:rsid w:val="000A5DBD"/>
    <w:rsid w:val="000C4524"/>
    <w:rsid w:val="000D44A6"/>
    <w:rsid w:val="000E2CB7"/>
    <w:rsid w:val="000F0E98"/>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915D6"/>
    <w:rsid w:val="001934B1"/>
    <w:rsid w:val="00193CF2"/>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503E"/>
    <w:rsid w:val="00225BB4"/>
    <w:rsid w:val="00226313"/>
    <w:rsid w:val="002358D2"/>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3DFB"/>
    <w:rsid w:val="0035595E"/>
    <w:rsid w:val="00360C24"/>
    <w:rsid w:val="003717F5"/>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63ACB"/>
    <w:rsid w:val="00475A80"/>
    <w:rsid w:val="00490B9E"/>
    <w:rsid w:val="00497577"/>
    <w:rsid w:val="004A05D7"/>
    <w:rsid w:val="004A154E"/>
    <w:rsid w:val="004A2B28"/>
    <w:rsid w:val="004A69F1"/>
    <w:rsid w:val="004B3550"/>
    <w:rsid w:val="004B3F06"/>
    <w:rsid w:val="004C7FD6"/>
    <w:rsid w:val="004D08C0"/>
    <w:rsid w:val="004D1669"/>
    <w:rsid w:val="004D22B3"/>
    <w:rsid w:val="004D51A2"/>
    <w:rsid w:val="004D5AFB"/>
    <w:rsid w:val="004E04FD"/>
    <w:rsid w:val="004E3E1F"/>
    <w:rsid w:val="004F1BB7"/>
    <w:rsid w:val="0050759C"/>
    <w:rsid w:val="00510827"/>
    <w:rsid w:val="00511DEA"/>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1D00"/>
    <w:rsid w:val="005D2D85"/>
    <w:rsid w:val="005F20A4"/>
    <w:rsid w:val="005F4EAE"/>
    <w:rsid w:val="005F573A"/>
    <w:rsid w:val="005F660B"/>
    <w:rsid w:val="005F7EB1"/>
    <w:rsid w:val="00604B81"/>
    <w:rsid w:val="0061246F"/>
    <w:rsid w:val="00613151"/>
    <w:rsid w:val="00613417"/>
    <w:rsid w:val="00613B25"/>
    <w:rsid w:val="0061545F"/>
    <w:rsid w:val="006175DE"/>
    <w:rsid w:val="006215AC"/>
    <w:rsid w:val="00621821"/>
    <w:rsid w:val="00622362"/>
    <w:rsid w:val="00622497"/>
    <w:rsid w:val="006276AD"/>
    <w:rsid w:val="006378D4"/>
    <w:rsid w:val="00641E8C"/>
    <w:rsid w:val="0064416A"/>
    <w:rsid w:val="006476E3"/>
    <w:rsid w:val="00650DDC"/>
    <w:rsid w:val="00652983"/>
    <w:rsid w:val="0065365D"/>
    <w:rsid w:val="006546D0"/>
    <w:rsid w:val="006576FD"/>
    <w:rsid w:val="00664F6B"/>
    <w:rsid w:val="006731D2"/>
    <w:rsid w:val="00680EB0"/>
    <w:rsid w:val="00682986"/>
    <w:rsid w:val="0068501E"/>
    <w:rsid w:val="00691701"/>
    <w:rsid w:val="00691AE0"/>
    <w:rsid w:val="0069491E"/>
    <w:rsid w:val="006A5604"/>
    <w:rsid w:val="006A75B0"/>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57709"/>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5809"/>
    <w:rsid w:val="00A275C2"/>
    <w:rsid w:val="00A3295D"/>
    <w:rsid w:val="00A353F9"/>
    <w:rsid w:val="00A4012F"/>
    <w:rsid w:val="00A4190E"/>
    <w:rsid w:val="00A42E91"/>
    <w:rsid w:val="00A50383"/>
    <w:rsid w:val="00A61230"/>
    <w:rsid w:val="00A668C8"/>
    <w:rsid w:val="00A74ED3"/>
    <w:rsid w:val="00A75C51"/>
    <w:rsid w:val="00A813C5"/>
    <w:rsid w:val="00A824E6"/>
    <w:rsid w:val="00A858DC"/>
    <w:rsid w:val="00A94D14"/>
    <w:rsid w:val="00A96ED2"/>
    <w:rsid w:val="00AA0EAD"/>
    <w:rsid w:val="00AB19CE"/>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0E6D"/>
    <w:rsid w:val="00BC3E74"/>
    <w:rsid w:val="00BD630F"/>
    <w:rsid w:val="00BD7C1B"/>
    <w:rsid w:val="00BE0825"/>
    <w:rsid w:val="00BE2EE6"/>
    <w:rsid w:val="00BF17FD"/>
    <w:rsid w:val="00BF2820"/>
    <w:rsid w:val="00BF41D4"/>
    <w:rsid w:val="00BF5AFB"/>
    <w:rsid w:val="00C16734"/>
    <w:rsid w:val="00C17B47"/>
    <w:rsid w:val="00C2046D"/>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2D67"/>
    <w:rsid w:val="00CA32B5"/>
    <w:rsid w:val="00CB57AD"/>
    <w:rsid w:val="00CC009D"/>
    <w:rsid w:val="00CC584A"/>
    <w:rsid w:val="00CC5E4E"/>
    <w:rsid w:val="00CD0EAB"/>
    <w:rsid w:val="00CD7E8F"/>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DF6877"/>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400"/>
    <w:rsid w:val="00E83650"/>
    <w:rsid w:val="00E83A31"/>
    <w:rsid w:val="00E93BF5"/>
    <w:rsid w:val="00E97CC0"/>
    <w:rsid w:val="00EA22B8"/>
    <w:rsid w:val="00EA2524"/>
    <w:rsid w:val="00EA33E7"/>
    <w:rsid w:val="00EC092D"/>
    <w:rsid w:val="00EC0DF8"/>
    <w:rsid w:val="00ED378B"/>
    <w:rsid w:val="00ED6D58"/>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1C43"/>
    <w:rsid w:val="00FC529F"/>
    <w:rsid w:val="00FC7B53"/>
    <w:rsid w:val="00FD48CC"/>
    <w:rsid w:val="00FE0C02"/>
    <w:rsid w:val="00FE62D1"/>
    <w:rsid w:val="00FE7B94"/>
    <w:rsid w:val="00FF0736"/>
    <w:rsid w:val="00FF2515"/>
    <w:rsid w:val="00FF26BF"/>
    <w:rsid w:val="010908A7"/>
    <w:rsid w:val="013C51B0"/>
    <w:rsid w:val="01497E4E"/>
    <w:rsid w:val="01525581"/>
    <w:rsid w:val="016412A2"/>
    <w:rsid w:val="01651C23"/>
    <w:rsid w:val="018023CE"/>
    <w:rsid w:val="01881AD6"/>
    <w:rsid w:val="019127B6"/>
    <w:rsid w:val="01B71A01"/>
    <w:rsid w:val="01DC03CE"/>
    <w:rsid w:val="01E36F4E"/>
    <w:rsid w:val="020C3478"/>
    <w:rsid w:val="023C5F15"/>
    <w:rsid w:val="023F3FA2"/>
    <w:rsid w:val="028B6D36"/>
    <w:rsid w:val="02985CD5"/>
    <w:rsid w:val="02A741FD"/>
    <w:rsid w:val="02B77F75"/>
    <w:rsid w:val="02C16E5D"/>
    <w:rsid w:val="02D964CF"/>
    <w:rsid w:val="02DE5ECF"/>
    <w:rsid w:val="02E74073"/>
    <w:rsid w:val="02F713C2"/>
    <w:rsid w:val="03080482"/>
    <w:rsid w:val="0367744E"/>
    <w:rsid w:val="03707410"/>
    <w:rsid w:val="039240A3"/>
    <w:rsid w:val="03A0770F"/>
    <w:rsid w:val="03A448B8"/>
    <w:rsid w:val="03C01631"/>
    <w:rsid w:val="03C656A9"/>
    <w:rsid w:val="03F33148"/>
    <w:rsid w:val="042F3419"/>
    <w:rsid w:val="044566F3"/>
    <w:rsid w:val="044841D6"/>
    <w:rsid w:val="047B4012"/>
    <w:rsid w:val="047F2DDF"/>
    <w:rsid w:val="04815FBF"/>
    <w:rsid w:val="04822497"/>
    <w:rsid w:val="04973BDD"/>
    <w:rsid w:val="04974587"/>
    <w:rsid w:val="04AE0802"/>
    <w:rsid w:val="04DF1036"/>
    <w:rsid w:val="0599183C"/>
    <w:rsid w:val="05A97DEC"/>
    <w:rsid w:val="05B23978"/>
    <w:rsid w:val="05C81981"/>
    <w:rsid w:val="060C3203"/>
    <w:rsid w:val="065A6D82"/>
    <w:rsid w:val="069B4E4A"/>
    <w:rsid w:val="06BC41F2"/>
    <w:rsid w:val="06F415CC"/>
    <w:rsid w:val="070E26CD"/>
    <w:rsid w:val="07197D08"/>
    <w:rsid w:val="071E5C55"/>
    <w:rsid w:val="075C1FE5"/>
    <w:rsid w:val="076B4CB0"/>
    <w:rsid w:val="077005AB"/>
    <w:rsid w:val="078F4581"/>
    <w:rsid w:val="079529C6"/>
    <w:rsid w:val="07BF027F"/>
    <w:rsid w:val="07DD7C37"/>
    <w:rsid w:val="08031A31"/>
    <w:rsid w:val="08307C7E"/>
    <w:rsid w:val="08420CAE"/>
    <w:rsid w:val="08574B3D"/>
    <w:rsid w:val="08E0126D"/>
    <w:rsid w:val="08E352B9"/>
    <w:rsid w:val="09061A75"/>
    <w:rsid w:val="09182241"/>
    <w:rsid w:val="095F1030"/>
    <w:rsid w:val="09855177"/>
    <w:rsid w:val="09EE5125"/>
    <w:rsid w:val="0A2522FD"/>
    <w:rsid w:val="0A327478"/>
    <w:rsid w:val="0A462748"/>
    <w:rsid w:val="0A4D0C81"/>
    <w:rsid w:val="0A5D1FE9"/>
    <w:rsid w:val="0A723E95"/>
    <w:rsid w:val="0A733243"/>
    <w:rsid w:val="0A846743"/>
    <w:rsid w:val="0A873F23"/>
    <w:rsid w:val="0AA534D5"/>
    <w:rsid w:val="0AA650EB"/>
    <w:rsid w:val="0AA7129C"/>
    <w:rsid w:val="0AE26205"/>
    <w:rsid w:val="0AF47339"/>
    <w:rsid w:val="0B22594B"/>
    <w:rsid w:val="0B27506F"/>
    <w:rsid w:val="0B7C0EF6"/>
    <w:rsid w:val="0B9610F4"/>
    <w:rsid w:val="0B99757D"/>
    <w:rsid w:val="0BBF77A4"/>
    <w:rsid w:val="0BD16C8D"/>
    <w:rsid w:val="0BDF26F7"/>
    <w:rsid w:val="0C027DB2"/>
    <w:rsid w:val="0C1F3269"/>
    <w:rsid w:val="0C2B4952"/>
    <w:rsid w:val="0C322F8A"/>
    <w:rsid w:val="0C4607E5"/>
    <w:rsid w:val="0C516C55"/>
    <w:rsid w:val="0C7B2220"/>
    <w:rsid w:val="0CB67D83"/>
    <w:rsid w:val="0CD20599"/>
    <w:rsid w:val="0CE53018"/>
    <w:rsid w:val="0D0B5B12"/>
    <w:rsid w:val="0D133046"/>
    <w:rsid w:val="0D153F28"/>
    <w:rsid w:val="0D1C792E"/>
    <w:rsid w:val="0D3A0F98"/>
    <w:rsid w:val="0D6A4502"/>
    <w:rsid w:val="0D7415CA"/>
    <w:rsid w:val="0D890E47"/>
    <w:rsid w:val="0DC64A00"/>
    <w:rsid w:val="0DEB5FFA"/>
    <w:rsid w:val="0DF67134"/>
    <w:rsid w:val="0DF75C46"/>
    <w:rsid w:val="0DFC60BA"/>
    <w:rsid w:val="0E1C06B2"/>
    <w:rsid w:val="0E69691B"/>
    <w:rsid w:val="0E781E5D"/>
    <w:rsid w:val="0EBB5484"/>
    <w:rsid w:val="0EBD5AA3"/>
    <w:rsid w:val="0F407E8F"/>
    <w:rsid w:val="0F5723EF"/>
    <w:rsid w:val="0F5F5360"/>
    <w:rsid w:val="0F7C5FF6"/>
    <w:rsid w:val="0F7D04FC"/>
    <w:rsid w:val="0FC63FBD"/>
    <w:rsid w:val="0FDD003F"/>
    <w:rsid w:val="0FF87EA4"/>
    <w:rsid w:val="0FFF7484"/>
    <w:rsid w:val="10066939"/>
    <w:rsid w:val="100B77ED"/>
    <w:rsid w:val="101D47AD"/>
    <w:rsid w:val="10305890"/>
    <w:rsid w:val="103D5A1A"/>
    <w:rsid w:val="105847E5"/>
    <w:rsid w:val="106C564D"/>
    <w:rsid w:val="106E0AED"/>
    <w:rsid w:val="107B7B8F"/>
    <w:rsid w:val="107C67CE"/>
    <w:rsid w:val="10912D03"/>
    <w:rsid w:val="109D68CB"/>
    <w:rsid w:val="10A949B8"/>
    <w:rsid w:val="10AB5D61"/>
    <w:rsid w:val="11144AFE"/>
    <w:rsid w:val="11200D07"/>
    <w:rsid w:val="112E6000"/>
    <w:rsid w:val="115E03E3"/>
    <w:rsid w:val="11786AB5"/>
    <w:rsid w:val="118049D4"/>
    <w:rsid w:val="118561F8"/>
    <w:rsid w:val="11942D84"/>
    <w:rsid w:val="11B21219"/>
    <w:rsid w:val="11DA73AF"/>
    <w:rsid w:val="11FC1ECD"/>
    <w:rsid w:val="124D097B"/>
    <w:rsid w:val="12511265"/>
    <w:rsid w:val="126D4818"/>
    <w:rsid w:val="1283614B"/>
    <w:rsid w:val="12856FF3"/>
    <w:rsid w:val="12910985"/>
    <w:rsid w:val="129671FB"/>
    <w:rsid w:val="12A576FF"/>
    <w:rsid w:val="12C60D80"/>
    <w:rsid w:val="130523B3"/>
    <w:rsid w:val="131F7A3A"/>
    <w:rsid w:val="132645D0"/>
    <w:rsid w:val="133D4061"/>
    <w:rsid w:val="13455ABC"/>
    <w:rsid w:val="1370322B"/>
    <w:rsid w:val="13BA0460"/>
    <w:rsid w:val="13BB41AE"/>
    <w:rsid w:val="13C24F9B"/>
    <w:rsid w:val="13C45A18"/>
    <w:rsid w:val="13C9247B"/>
    <w:rsid w:val="13D6515C"/>
    <w:rsid w:val="13F13CC6"/>
    <w:rsid w:val="143B2E0B"/>
    <w:rsid w:val="14725FF6"/>
    <w:rsid w:val="147C1943"/>
    <w:rsid w:val="148054E9"/>
    <w:rsid w:val="14892735"/>
    <w:rsid w:val="14CC769D"/>
    <w:rsid w:val="14D764D5"/>
    <w:rsid w:val="14EF61BF"/>
    <w:rsid w:val="14F43330"/>
    <w:rsid w:val="150F7FEC"/>
    <w:rsid w:val="15436F05"/>
    <w:rsid w:val="15691FE3"/>
    <w:rsid w:val="158B5DDD"/>
    <w:rsid w:val="15B11221"/>
    <w:rsid w:val="15C16EB3"/>
    <w:rsid w:val="15CB342F"/>
    <w:rsid w:val="15CB76C9"/>
    <w:rsid w:val="15D359D7"/>
    <w:rsid w:val="160E7A2C"/>
    <w:rsid w:val="16317A1A"/>
    <w:rsid w:val="163C77BE"/>
    <w:rsid w:val="164A3F23"/>
    <w:rsid w:val="16573587"/>
    <w:rsid w:val="165C5C7C"/>
    <w:rsid w:val="1679588C"/>
    <w:rsid w:val="168C2855"/>
    <w:rsid w:val="16994962"/>
    <w:rsid w:val="16A233CF"/>
    <w:rsid w:val="16A71041"/>
    <w:rsid w:val="16AA24BF"/>
    <w:rsid w:val="16F871DC"/>
    <w:rsid w:val="17110A80"/>
    <w:rsid w:val="171D3FE1"/>
    <w:rsid w:val="17680CAB"/>
    <w:rsid w:val="176E4128"/>
    <w:rsid w:val="17725CE9"/>
    <w:rsid w:val="1783371F"/>
    <w:rsid w:val="178E48DA"/>
    <w:rsid w:val="17B0552F"/>
    <w:rsid w:val="17C93012"/>
    <w:rsid w:val="17E62B67"/>
    <w:rsid w:val="180F4499"/>
    <w:rsid w:val="182201B4"/>
    <w:rsid w:val="18221ECE"/>
    <w:rsid w:val="183C3D90"/>
    <w:rsid w:val="1859036F"/>
    <w:rsid w:val="185C57C7"/>
    <w:rsid w:val="18681814"/>
    <w:rsid w:val="18B0649B"/>
    <w:rsid w:val="18D418FC"/>
    <w:rsid w:val="18E5143F"/>
    <w:rsid w:val="18E83469"/>
    <w:rsid w:val="18FC7745"/>
    <w:rsid w:val="19117D89"/>
    <w:rsid w:val="192F3B7C"/>
    <w:rsid w:val="19353F17"/>
    <w:rsid w:val="19864975"/>
    <w:rsid w:val="19864EEB"/>
    <w:rsid w:val="19D1065C"/>
    <w:rsid w:val="19DD405E"/>
    <w:rsid w:val="19F81E76"/>
    <w:rsid w:val="1A121864"/>
    <w:rsid w:val="1A3829BD"/>
    <w:rsid w:val="1A460CF5"/>
    <w:rsid w:val="1A7F297D"/>
    <w:rsid w:val="1A9D6244"/>
    <w:rsid w:val="1AB16AC1"/>
    <w:rsid w:val="1ABF1CEA"/>
    <w:rsid w:val="1B014DDE"/>
    <w:rsid w:val="1B0320FB"/>
    <w:rsid w:val="1B034A52"/>
    <w:rsid w:val="1B2640F6"/>
    <w:rsid w:val="1B45344E"/>
    <w:rsid w:val="1B5D76FB"/>
    <w:rsid w:val="1B683578"/>
    <w:rsid w:val="1B8820A5"/>
    <w:rsid w:val="1B8C0040"/>
    <w:rsid w:val="1B991E27"/>
    <w:rsid w:val="1BCD250D"/>
    <w:rsid w:val="1BDE2F66"/>
    <w:rsid w:val="1C750ECE"/>
    <w:rsid w:val="1CA56AF4"/>
    <w:rsid w:val="1CD667CB"/>
    <w:rsid w:val="1D196139"/>
    <w:rsid w:val="1D372585"/>
    <w:rsid w:val="1D5E02D1"/>
    <w:rsid w:val="1D7F0ED0"/>
    <w:rsid w:val="1D921938"/>
    <w:rsid w:val="1DBB6100"/>
    <w:rsid w:val="1DBE6816"/>
    <w:rsid w:val="1DCB4FF1"/>
    <w:rsid w:val="1DF20D7E"/>
    <w:rsid w:val="1E010AF7"/>
    <w:rsid w:val="1E1C405A"/>
    <w:rsid w:val="1E2E29E0"/>
    <w:rsid w:val="1E301173"/>
    <w:rsid w:val="1E884D18"/>
    <w:rsid w:val="1ED8781E"/>
    <w:rsid w:val="1EDD3235"/>
    <w:rsid w:val="1F1102B0"/>
    <w:rsid w:val="1F2F1047"/>
    <w:rsid w:val="1F2F2B69"/>
    <w:rsid w:val="1F43381C"/>
    <w:rsid w:val="1F781224"/>
    <w:rsid w:val="1FA4148D"/>
    <w:rsid w:val="1FBB4C72"/>
    <w:rsid w:val="1FC10FAB"/>
    <w:rsid w:val="1FC65577"/>
    <w:rsid w:val="1FD82385"/>
    <w:rsid w:val="1FF274ED"/>
    <w:rsid w:val="20121621"/>
    <w:rsid w:val="20147D79"/>
    <w:rsid w:val="201636E2"/>
    <w:rsid w:val="202E3F6D"/>
    <w:rsid w:val="20325F7E"/>
    <w:rsid w:val="204E554F"/>
    <w:rsid w:val="20590035"/>
    <w:rsid w:val="209033C5"/>
    <w:rsid w:val="209C4493"/>
    <w:rsid w:val="20E5011E"/>
    <w:rsid w:val="20FC799E"/>
    <w:rsid w:val="21101BAA"/>
    <w:rsid w:val="21286DA7"/>
    <w:rsid w:val="2134683B"/>
    <w:rsid w:val="21545CAE"/>
    <w:rsid w:val="219068BB"/>
    <w:rsid w:val="21C82E72"/>
    <w:rsid w:val="21DE0801"/>
    <w:rsid w:val="21DE339D"/>
    <w:rsid w:val="2203115E"/>
    <w:rsid w:val="22154DDD"/>
    <w:rsid w:val="22336873"/>
    <w:rsid w:val="22396826"/>
    <w:rsid w:val="22412CD8"/>
    <w:rsid w:val="225471A3"/>
    <w:rsid w:val="225E34DC"/>
    <w:rsid w:val="2266312B"/>
    <w:rsid w:val="227D1295"/>
    <w:rsid w:val="22AB3B7D"/>
    <w:rsid w:val="22AF3A08"/>
    <w:rsid w:val="22D72933"/>
    <w:rsid w:val="22F92F75"/>
    <w:rsid w:val="23172FFC"/>
    <w:rsid w:val="23BB4E7D"/>
    <w:rsid w:val="23C172D6"/>
    <w:rsid w:val="23D77537"/>
    <w:rsid w:val="23E6195D"/>
    <w:rsid w:val="23F04F64"/>
    <w:rsid w:val="24441085"/>
    <w:rsid w:val="24814CBE"/>
    <w:rsid w:val="24AC168B"/>
    <w:rsid w:val="24BB6664"/>
    <w:rsid w:val="24BD406A"/>
    <w:rsid w:val="24D23A61"/>
    <w:rsid w:val="250E1318"/>
    <w:rsid w:val="25467247"/>
    <w:rsid w:val="254D0389"/>
    <w:rsid w:val="25884C5D"/>
    <w:rsid w:val="258C3BEC"/>
    <w:rsid w:val="25A03144"/>
    <w:rsid w:val="25B2479F"/>
    <w:rsid w:val="25C15C5D"/>
    <w:rsid w:val="25D329B9"/>
    <w:rsid w:val="25E5427A"/>
    <w:rsid w:val="26276A31"/>
    <w:rsid w:val="26366F9D"/>
    <w:rsid w:val="263B1230"/>
    <w:rsid w:val="2642752B"/>
    <w:rsid w:val="26485508"/>
    <w:rsid w:val="26554808"/>
    <w:rsid w:val="26607D95"/>
    <w:rsid w:val="26700955"/>
    <w:rsid w:val="268166B9"/>
    <w:rsid w:val="26A16AE9"/>
    <w:rsid w:val="26A605D9"/>
    <w:rsid w:val="26AD0500"/>
    <w:rsid w:val="26B121A3"/>
    <w:rsid w:val="26F34269"/>
    <w:rsid w:val="272E3097"/>
    <w:rsid w:val="272E6F74"/>
    <w:rsid w:val="277E6655"/>
    <w:rsid w:val="27933DEA"/>
    <w:rsid w:val="27AF30E6"/>
    <w:rsid w:val="27B36A67"/>
    <w:rsid w:val="27BE6794"/>
    <w:rsid w:val="281E404F"/>
    <w:rsid w:val="282E5A7D"/>
    <w:rsid w:val="28302479"/>
    <w:rsid w:val="2846581F"/>
    <w:rsid w:val="284A5CA4"/>
    <w:rsid w:val="286602C8"/>
    <w:rsid w:val="28665C95"/>
    <w:rsid w:val="28716D1C"/>
    <w:rsid w:val="28736F5F"/>
    <w:rsid w:val="28833BE9"/>
    <w:rsid w:val="28851EB4"/>
    <w:rsid w:val="28B01D1E"/>
    <w:rsid w:val="28B633B1"/>
    <w:rsid w:val="28C2628C"/>
    <w:rsid w:val="28CC3373"/>
    <w:rsid w:val="28F579BA"/>
    <w:rsid w:val="290B3EB9"/>
    <w:rsid w:val="292728C1"/>
    <w:rsid w:val="292C7FA1"/>
    <w:rsid w:val="2940493E"/>
    <w:rsid w:val="2950768C"/>
    <w:rsid w:val="297A5FC4"/>
    <w:rsid w:val="299F137A"/>
    <w:rsid w:val="29B41DA5"/>
    <w:rsid w:val="29C64661"/>
    <w:rsid w:val="29E14657"/>
    <w:rsid w:val="29E474B8"/>
    <w:rsid w:val="29ED574B"/>
    <w:rsid w:val="29FA2D3E"/>
    <w:rsid w:val="29FE5CE6"/>
    <w:rsid w:val="2A4D7471"/>
    <w:rsid w:val="2A600C13"/>
    <w:rsid w:val="2A633B90"/>
    <w:rsid w:val="2A68500A"/>
    <w:rsid w:val="2A743AE8"/>
    <w:rsid w:val="2A8D4F8F"/>
    <w:rsid w:val="2A901BEE"/>
    <w:rsid w:val="2A917B34"/>
    <w:rsid w:val="2A9308A8"/>
    <w:rsid w:val="2A9475FF"/>
    <w:rsid w:val="2A9F5AB8"/>
    <w:rsid w:val="2AAA0AA2"/>
    <w:rsid w:val="2AD74E8C"/>
    <w:rsid w:val="2AE3766F"/>
    <w:rsid w:val="2AEC612E"/>
    <w:rsid w:val="2B0E56AB"/>
    <w:rsid w:val="2B276305"/>
    <w:rsid w:val="2B54704F"/>
    <w:rsid w:val="2B590601"/>
    <w:rsid w:val="2B7E4054"/>
    <w:rsid w:val="2BA45A85"/>
    <w:rsid w:val="2BB12905"/>
    <w:rsid w:val="2BBA6A76"/>
    <w:rsid w:val="2BCC03D1"/>
    <w:rsid w:val="2C0C6D59"/>
    <w:rsid w:val="2C47419A"/>
    <w:rsid w:val="2C787BAC"/>
    <w:rsid w:val="2C8903AA"/>
    <w:rsid w:val="2C8E776E"/>
    <w:rsid w:val="2C8E7BB8"/>
    <w:rsid w:val="2C987C56"/>
    <w:rsid w:val="2CA156F3"/>
    <w:rsid w:val="2CA452DB"/>
    <w:rsid w:val="2CC11460"/>
    <w:rsid w:val="2CC15BAA"/>
    <w:rsid w:val="2CDC3153"/>
    <w:rsid w:val="2CDF621C"/>
    <w:rsid w:val="2CE136D7"/>
    <w:rsid w:val="2CFE7A11"/>
    <w:rsid w:val="2CFF149A"/>
    <w:rsid w:val="2D201865"/>
    <w:rsid w:val="2D2F67DA"/>
    <w:rsid w:val="2D4B5CEA"/>
    <w:rsid w:val="2D4C5B4C"/>
    <w:rsid w:val="2D4C6B07"/>
    <w:rsid w:val="2D514661"/>
    <w:rsid w:val="2D652658"/>
    <w:rsid w:val="2D964A56"/>
    <w:rsid w:val="2DC16E0A"/>
    <w:rsid w:val="2DC80C49"/>
    <w:rsid w:val="2DCA6355"/>
    <w:rsid w:val="2DD85F0E"/>
    <w:rsid w:val="2E166748"/>
    <w:rsid w:val="2E2054A0"/>
    <w:rsid w:val="2E482374"/>
    <w:rsid w:val="2E556F01"/>
    <w:rsid w:val="2E8345A7"/>
    <w:rsid w:val="2E8E20B4"/>
    <w:rsid w:val="2EAA7BAE"/>
    <w:rsid w:val="2EBA1430"/>
    <w:rsid w:val="2EC0235F"/>
    <w:rsid w:val="2EC1207D"/>
    <w:rsid w:val="2ED06066"/>
    <w:rsid w:val="2ED1223D"/>
    <w:rsid w:val="2EDD3B3D"/>
    <w:rsid w:val="2F000139"/>
    <w:rsid w:val="2F1B303D"/>
    <w:rsid w:val="2F3925CB"/>
    <w:rsid w:val="2F543224"/>
    <w:rsid w:val="2F65799D"/>
    <w:rsid w:val="2F9F42DC"/>
    <w:rsid w:val="2FAC3772"/>
    <w:rsid w:val="2FBC2844"/>
    <w:rsid w:val="2FC32F68"/>
    <w:rsid w:val="2FF37AB3"/>
    <w:rsid w:val="30210B8A"/>
    <w:rsid w:val="30224DC7"/>
    <w:rsid w:val="303265F2"/>
    <w:rsid w:val="303B4C3F"/>
    <w:rsid w:val="30476D7A"/>
    <w:rsid w:val="3073310C"/>
    <w:rsid w:val="309D6BE6"/>
    <w:rsid w:val="30A06E52"/>
    <w:rsid w:val="30AA1790"/>
    <w:rsid w:val="30EE385E"/>
    <w:rsid w:val="30F85AFE"/>
    <w:rsid w:val="31170995"/>
    <w:rsid w:val="31264A30"/>
    <w:rsid w:val="312651F8"/>
    <w:rsid w:val="31551FD3"/>
    <w:rsid w:val="31884E67"/>
    <w:rsid w:val="31A0275E"/>
    <w:rsid w:val="31A67308"/>
    <w:rsid w:val="31B91526"/>
    <w:rsid w:val="31EF0041"/>
    <w:rsid w:val="320107F5"/>
    <w:rsid w:val="326A0524"/>
    <w:rsid w:val="32986C45"/>
    <w:rsid w:val="32AB70C5"/>
    <w:rsid w:val="32F50547"/>
    <w:rsid w:val="33247607"/>
    <w:rsid w:val="33487C23"/>
    <w:rsid w:val="335D0AF5"/>
    <w:rsid w:val="3370088C"/>
    <w:rsid w:val="33735C77"/>
    <w:rsid w:val="339A687B"/>
    <w:rsid w:val="33C14594"/>
    <w:rsid w:val="33C544A6"/>
    <w:rsid w:val="33DC2F78"/>
    <w:rsid w:val="3428227C"/>
    <w:rsid w:val="343230D5"/>
    <w:rsid w:val="3439428E"/>
    <w:rsid w:val="34784F8C"/>
    <w:rsid w:val="347918A5"/>
    <w:rsid w:val="349D37D5"/>
    <w:rsid w:val="34A61BDE"/>
    <w:rsid w:val="3522586C"/>
    <w:rsid w:val="35572473"/>
    <w:rsid w:val="35602226"/>
    <w:rsid w:val="356B72E7"/>
    <w:rsid w:val="356D2AC8"/>
    <w:rsid w:val="3572424F"/>
    <w:rsid w:val="35866014"/>
    <w:rsid w:val="359E5CE0"/>
    <w:rsid w:val="360001E3"/>
    <w:rsid w:val="362B215D"/>
    <w:rsid w:val="363E0D05"/>
    <w:rsid w:val="367801A9"/>
    <w:rsid w:val="36AD519D"/>
    <w:rsid w:val="36B57705"/>
    <w:rsid w:val="36BA15CF"/>
    <w:rsid w:val="36CB08C5"/>
    <w:rsid w:val="36DC1DD3"/>
    <w:rsid w:val="37090CD6"/>
    <w:rsid w:val="37122320"/>
    <w:rsid w:val="372F6E95"/>
    <w:rsid w:val="373E6129"/>
    <w:rsid w:val="3754697A"/>
    <w:rsid w:val="37636A21"/>
    <w:rsid w:val="37883E50"/>
    <w:rsid w:val="37A103ED"/>
    <w:rsid w:val="37A367C3"/>
    <w:rsid w:val="37BD33EE"/>
    <w:rsid w:val="37C24FF3"/>
    <w:rsid w:val="37E02B23"/>
    <w:rsid w:val="37E345A6"/>
    <w:rsid w:val="37EA5E6E"/>
    <w:rsid w:val="37FF016F"/>
    <w:rsid w:val="382A6E2D"/>
    <w:rsid w:val="38534B1D"/>
    <w:rsid w:val="386E4145"/>
    <w:rsid w:val="387C5ABE"/>
    <w:rsid w:val="38AF46DD"/>
    <w:rsid w:val="38B66D0C"/>
    <w:rsid w:val="38CA7E13"/>
    <w:rsid w:val="38EB6119"/>
    <w:rsid w:val="38ED3021"/>
    <w:rsid w:val="391B697E"/>
    <w:rsid w:val="392D500E"/>
    <w:rsid w:val="396678D9"/>
    <w:rsid w:val="39736669"/>
    <w:rsid w:val="397A0ADB"/>
    <w:rsid w:val="39954B2B"/>
    <w:rsid w:val="39DA2245"/>
    <w:rsid w:val="39E5024C"/>
    <w:rsid w:val="39E66E3B"/>
    <w:rsid w:val="39FD4CC2"/>
    <w:rsid w:val="3A3A7721"/>
    <w:rsid w:val="3A51228C"/>
    <w:rsid w:val="3A545E48"/>
    <w:rsid w:val="3A552E60"/>
    <w:rsid w:val="3A5D642F"/>
    <w:rsid w:val="3A744447"/>
    <w:rsid w:val="3A78219D"/>
    <w:rsid w:val="3A995C5C"/>
    <w:rsid w:val="3AB210FC"/>
    <w:rsid w:val="3B043A1D"/>
    <w:rsid w:val="3B212C76"/>
    <w:rsid w:val="3B41318F"/>
    <w:rsid w:val="3B793A48"/>
    <w:rsid w:val="3B85393E"/>
    <w:rsid w:val="3BCA4B8A"/>
    <w:rsid w:val="3BCD72F7"/>
    <w:rsid w:val="3BF4153E"/>
    <w:rsid w:val="3C37146A"/>
    <w:rsid w:val="3C3D3625"/>
    <w:rsid w:val="3C414142"/>
    <w:rsid w:val="3C5B725E"/>
    <w:rsid w:val="3C88055A"/>
    <w:rsid w:val="3CAF79B9"/>
    <w:rsid w:val="3CB35097"/>
    <w:rsid w:val="3CF737A2"/>
    <w:rsid w:val="3D10295A"/>
    <w:rsid w:val="3D184041"/>
    <w:rsid w:val="3D370C2A"/>
    <w:rsid w:val="3D414FC0"/>
    <w:rsid w:val="3D7D049C"/>
    <w:rsid w:val="3D932115"/>
    <w:rsid w:val="3DC4250E"/>
    <w:rsid w:val="3DE20EAE"/>
    <w:rsid w:val="3DEC2E9F"/>
    <w:rsid w:val="3DEF3701"/>
    <w:rsid w:val="3E0572FD"/>
    <w:rsid w:val="3E0720FE"/>
    <w:rsid w:val="3E1E77B5"/>
    <w:rsid w:val="3E2819F6"/>
    <w:rsid w:val="3E287A22"/>
    <w:rsid w:val="3E5A7FE7"/>
    <w:rsid w:val="3E955A6A"/>
    <w:rsid w:val="3E964D81"/>
    <w:rsid w:val="3EBA1F32"/>
    <w:rsid w:val="3EEF6FFF"/>
    <w:rsid w:val="3EF66B2E"/>
    <w:rsid w:val="3EF908D7"/>
    <w:rsid w:val="3F217914"/>
    <w:rsid w:val="3F5D44A8"/>
    <w:rsid w:val="3FD70BB0"/>
    <w:rsid w:val="3FF1740C"/>
    <w:rsid w:val="3FF542A0"/>
    <w:rsid w:val="3FFB55AC"/>
    <w:rsid w:val="40017152"/>
    <w:rsid w:val="400A057C"/>
    <w:rsid w:val="401C5F9D"/>
    <w:rsid w:val="401C690C"/>
    <w:rsid w:val="401D7195"/>
    <w:rsid w:val="402D6138"/>
    <w:rsid w:val="405C1C05"/>
    <w:rsid w:val="407A652F"/>
    <w:rsid w:val="40825D97"/>
    <w:rsid w:val="409928E7"/>
    <w:rsid w:val="40997CFE"/>
    <w:rsid w:val="409C35A8"/>
    <w:rsid w:val="40A06CB8"/>
    <w:rsid w:val="40C45B55"/>
    <w:rsid w:val="40CE3DC0"/>
    <w:rsid w:val="40D7455A"/>
    <w:rsid w:val="40E743E5"/>
    <w:rsid w:val="40EB4012"/>
    <w:rsid w:val="40F74B72"/>
    <w:rsid w:val="410A1661"/>
    <w:rsid w:val="41246142"/>
    <w:rsid w:val="412D5EA0"/>
    <w:rsid w:val="416D78C7"/>
    <w:rsid w:val="41734CBA"/>
    <w:rsid w:val="417F4E1A"/>
    <w:rsid w:val="41A82190"/>
    <w:rsid w:val="41C1110E"/>
    <w:rsid w:val="41DE5999"/>
    <w:rsid w:val="41E1181A"/>
    <w:rsid w:val="41E32A20"/>
    <w:rsid w:val="41FA3241"/>
    <w:rsid w:val="420F7A65"/>
    <w:rsid w:val="4216611A"/>
    <w:rsid w:val="423E300F"/>
    <w:rsid w:val="425656C8"/>
    <w:rsid w:val="4257273C"/>
    <w:rsid w:val="42687ACE"/>
    <w:rsid w:val="4285733F"/>
    <w:rsid w:val="429E6041"/>
    <w:rsid w:val="42BF4B02"/>
    <w:rsid w:val="42C84B75"/>
    <w:rsid w:val="42FD694D"/>
    <w:rsid w:val="43525542"/>
    <w:rsid w:val="437D6687"/>
    <w:rsid w:val="438351F5"/>
    <w:rsid w:val="438D35EA"/>
    <w:rsid w:val="43BC1E57"/>
    <w:rsid w:val="43D23F8D"/>
    <w:rsid w:val="43D43F1D"/>
    <w:rsid w:val="43FA5777"/>
    <w:rsid w:val="44023422"/>
    <w:rsid w:val="44164A6F"/>
    <w:rsid w:val="44184A2D"/>
    <w:rsid w:val="441C1611"/>
    <w:rsid w:val="443C440B"/>
    <w:rsid w:val="44506DE3"/>
    <w:rsid w:val="44514F52"/>
    <w:rsid w:val="44761C8F"/>
    <w:rsid w:val="449722E3"/>
    <w:rsid w:val="449D7B09"/>
    <w:rsid w:val="44AE3FD4"/>
    <w:rsid w:val="44D0586F"/>
    <w:rsid w:val="44F85CEF"/>
    <w:rsid w:val="44FA2D53"/>
    <w:rsid w:val="4504751B"/>
    <w:rsid w:val="453C4912"/>
    <w:rsid w:val="45627191"/>
    <w:rsid w:val="45687813"/>
    <w:rsid w:val="456E7B7D"/>
    <w:rsid w:val="4571374F"/>
    <w:rsid w:val="458B1BB0"/>
    <w:rsid w:val="45AD31D6"/>
    <w:rsid w:val="45B93426"/>
    <w:rsid w:val="464C6420"/>
    <w:rsid w:val="46552F9B"/>
    <w:rsid w:val="467A0297"/>
    <w:rsid w:val="468B7125"/>
    <w:rsid w:val="46B506EF"/>
    <w:rsid w:val="46BC1F6E"/>
    <w:rsid w:val="46C4691F"/>
    <w:rsid w:val="46CB53EF"/>
    <w:rsid w:val="46CE645F"/>
    <w:rsid w:val="470F5A71"/>
    <w:rsid w:val="47502BAA"/>
    <w:rsid w:val="4754017D"/>
    <w:rsid w:val="47623EA1"/>
    <w:rsid w:val="47685427"/>
    <w:rsid w:val="4779499C"/>
    <w:rsid w:val="479C6284"/>
    <w:rsid w:val="479D1D34"/>
    <w:rsid w:val="47B609C0"/>
    <w:rsid w:val="47EC3B04"/>
    <w:rsid w:val="47EC6277"/>
    <w:rsid w:val="4812704D"/>
    <w:rsid w:val="481A219B"/>
    <w:rsid w:val="482D31EA"/>
    <w:rsid w:val="48594C7C"/>
    <w:rsid w:val="485970A0"/>
    <w:rsid w:val="485A2925"/>
    <w:rsid w:val="48667F79"/>
    <w:rsid w:val="486A6E89"/>
    <w:rsid w:val="48702E73"/>
    <w:rsid w:val="48783C2B"/>
    <w:rsid w:val="48823516"/>
    <w:rsid w:val="48877686"/>
    <w:rsid w:val="48B176C2"/>
    <w:rsid w:val="48B65C71"/>
    <w:rsid w:val="48FB1909"/>
    <w:rsid w:val="491574F4"/>
    <w:rsid w:val="491F266E"/>
    <w:rsid w:val="492E6A57"/>
    <w:rsid w:val="495839AA"/>
    <w:rsid w:val="49771AFE"/>
    <w:rsid w:val="49802948"/>
    <w:rsid w:val="4986089F"/>
    <w:rsid w:val="498B5309"/>
    <w:rsid w:val="499E6DEB"/>
    <w:rsid w:val="499F0AAB"/>
    <w:rsid w:val="49C33FF5"/>
    <w:rsid w:val="49C63D13"/>
    <w:rsid w:val="49DB11EC"/>
    <w:rsid w:val="49E22068"/>
    <w:rsid w:val="49E31DD1"/>
    <w:rsid w:val="49E64E2B"/>
    <w:rsid w:val="49E82ED4"/>
    <w:rsid w:val="4A0030EE"/>
    <w:rsid w:val="4A0568D6"/>
    <w:rsid w:val="4A0C4F3C"/>
    <w:rsid w:val="4A484D41"/>
    <w:rsid w:val="4A6D15F8"/>
    <w:rsid w:val="4A8C4FB8"/>
    <w:rsid w:val="4A9A25BD"/>
    <w:rsid w:val="4A9E0551"/>
    <w:rsid w:val="4AA03D78"/>
    <w:rsid w:val="4AAB17DF"/>
    <w:rsid w:val="4AB542AE"/>
    <w:rsid w:val="4ABA7AB3"/>
    <w:rsid w:val="4AF72FEA"/>
    <w:rsid w:val="4B243D9D"/>
    <w:rsid w:val="4B5574A5"/>
    <w:rsid w:val="4B5B54F0"/>
    <w:rsid w:val="4B645524"/>
    <w:rsid w:val="4B8C2DEB"/>
    <w:rsid w:val="4BC423D3"/>
    <w:rsid w:val="4BFA3C9F"/>
    <w:rsid w:val="4C042674"/>
    <w:rsid w:val="4C107F48"/>
    <w:rsid w:val="4C3277BC"/>
    <w:rsid w:val="4C5C442D"/>
    <w:rsid w:val="4C6D42A9"/>
    <w:rsid w:val="4C716A38"/>
    <w:rsid w:val="4CC0351C"/>
    <w:rsid w:val="4CC353EB"/>
    <w:rsid w:val="4CE64E14"/>
    <w:rsid w:val="4CF36F3C"/>
    <w:rsid w:val="4D00189F"/>
    <w:rsid w:val="4D007BC8"/>
    <w:rsid w:val="4D1470BD"/>
    <w:rsid w:val="4D154882"/>
    <w:rsid w:val="4D1C3C50"/>
    <w:rsid w:val="4D603399"/>
    <w:rsid w:val="4D664F64"/>
    <w:rsid w:val="4D6A7284"/>
    <w:rsid w:val="4D867EE1"/>
    <w:rsid w:val="4DB07591"/>
    <w:rsid w:val="4DBC4C65"/>
    <w:rsid w:val="4DE2009B"/>
    <w:rsid w:val="4E0F235E"/>
    <w:rsid w:val="4E157689"/>
    <w:rsid w:val="4E533FA5"/>
    <w:rsid w:val="4E550010"/>
    <w:rsid w:val="4E5964E9"/>
    <w:rsid w:val="4E5F14CB"/>
    <w:rsid w:val="4E6808B0"/>
    <w:rsid w:val="4EC00DDD"/>
    <w:rsid w:val="4EE334F2"/>
    <w:rsid w:val="4EF265BE"/>
    <w:rsid w:val="4EFB1C45"/>
    <w:rsid w:val="4F0C2A48"/>
    <w:rsid w:val="4F26273B"/>
    <w:rsid w:val="4F2D3A8A"/>
    <w:rsid w:val="4F32478A"/>
    <w:rsid w:val="4F3705F8"/>
    <w:rsid w:val="4F785B69"/>
    <w:rsid w:val="4F9714A0"/>
    <w:rsid w:val="4FAC3540"/>
    <w:rsid w:val="4FC56ABD"/>
    <w:rsid w:val="4FC97CE0"/>
    <w:rsid w:val="4FCF1583"/>
    <w:rsid w:val="4FD23E66"/>
    <w:rsid w:val="4FD44D1B"/>
    <w:rsid w:val="4FDC066D"/>
    <w:rsid w:val="4FFA7625"/>
    <w:rsid w:val="50225FB0"/>
    <w:rsid w:val="50453E7E"/>
    <w:rsid w:val="50485BA4"/>
    <w:rsid w:val="507D2599"/>
    <w:rsid w:val="508F08E7"/>
    <w:rsid w:val="5096229D"/>
    <w:rsid w:val="509E157D"/>
    <w:rsid w:val="50DA3350"/>
    <w:rsid w:val="50DC4184"/>
    <w:rsid w:val="50FB6146"/>
    <w:rsid w:val="512F4CA0"/>
    <w:rsid w:val="51323DB9"/>
    <w:rsid w:val="51361FFF"/>
    <w:rsid w:val="513723D1"/>
    <w:rsid w:val="514C3EA7"/>
    <w:rsid w:val="51551AFE"/>
    <w:rsid w:val="51A6151A"/>
    <w:rsid w:val="51FF3C99"/>
    <w:rsid w:val="52363D4D"/>
    <w:rsid w:val="52521A20"/>
    <w:rsid w:val="52AC4ABC"/>
    <w:rsid w:val="52C201B9"/>
    <w:rsid w:val="52E57A12"/>
    <w:rsid w:val="52F20B62"/>
    <w:rsid w:val="538152F3"/>
    <w:rsid w:val="53827E49"/>
    <w:rsid w:val="538A6BB9"/>
    <w:rsid w:val="539964FD"/>
    <w:rsid w:val="539C1B81"/>
    <w:rsid w:val="53A447B1"/>
    <w:rsid w:val="53AE750F"/>
    <w:rsid w:val="53BB2A61"/>
    <w:rsid w:val="53D00C67"/>
    <w:rsid w:val="53D224B3"/>
    <w:rsid w:val="53DF06D8"/>
    <w:rsid w:val="53F81D96"/>
    <w:rsid w:val="544B5214"/>
    <w:rsid w:val="546927C6"/>
    <w:rsid w:val="546B0405"/>
    <w:rsid w:val="549A6BFA"/>
    <w:rsid w:val="54B36A7C"/>
    <w:rsid w:val="54D933CD"/>
    <w:rsid w:val="550E5E8C"/>
    <w:rsid w:val="55244D7F"/>
    <w:rsid w:val="55362287"/>
    <w:rsid w:val="55432F3C"/>
    <w:rsid w:val="555016D2"/>
    <w:rsid w:val="556D2820"/>
    <w:rsid w:val="55C3227E"/>
    <w:rsid w:val="55FA2961"/>
    <w:rsid w:val="5602250F"/>
    <w:rsid w:val="564220BA"/>
    <w:rsid w:val="565E7F4F"/>
    <w:rsid w:val="565F3DA6"/>
    <w:rsid w:val="56914056"/>
    <w:rsid w:val="56C36589"/>
    <w:rsid w:val="570D55B0"/>
    <w:rsid w:val="57293C95"/>
    <w:rsid w:val="572A6381"/>
    <w:rsid w:val="572B41B4"/>
    <w:rsid w:val="572E079D"/>
    <w:rsid w:val="57365868"/>
    <w:rsid w:val="573C1959"/>
    <w:rsid w:val="57CD25D7"/>
    <w:rsid w:val="57F12ED6"/>
    <w:rsid w:val="57F65317"/>
    <w:rsid w:val="57FC2169"/>
    <w:rsid w:val="58024015"/>
    <w:rsid w:val="58096275"/>
    <w:rsid w:val="5819544F"/>
    <w:rsid w:val="582E6EF7"/>
    <w:rsid w:val="584E30E6"/>
    <w:rsid w:val="58546EFD"/>
    <w:rsid w:val="58A20D92"/>
    <w:rsid w:val="58E26731"/>
    <w:rsid w:val="58EF409D"/>
    <w:rsid w:val="590E4A97"/>
    <w:rsid w:val="591250FF"/>
    <w:rsid w:val="5920012C"/>
    <w:rsid w:val="592B1244"/>
    <w:rsid w:val="594714AD"/>
    <w:rsid w:val="595578DE"/>
    <w:rsid w:val="597B384D"/>
    <w:rsid w:val="59996DA8"/>
    <w:rsid w:val="599C05DE"/>
    <w:rsid w:val="59C30F1B"/>
    <w:rsid w:val="5A6F3361"/>
    <w:rsid w:val="5A8C20D0"/>
    <w:rsid w:val="5AC7121C"/>
    <w:rsid w:val="5AD90B8D"/>
    <w:rsid w:val="5AE12927"/>
    <w:rsid w:val="5AE35472"/>
    <w:rsid w:val="5AF41CF3"/>
    <w:rsid w:val="5AF87CC9"/>
    <w:rsid w:val="5B19477F"/>
    <w:rsid w:val="5B4E1A44"/>
    <w:rsid w:val="5B774ED6"/>
    <w:rsid w:val="5B873201"/>
    <w:rsid w:val="5B967767"/>
    <w:rsid w:val="5B9D1624"/>
    <w:rsid w:val="5C0C2FF6"/>
    <w:rsid w:val="5C1241CC"/>
    <w:rsid w:val="5C286807"/>
    <w:rsid w:val="5C370E72"/>
    <w:rsid w:val="5C446BC8"/>
    <w:rsid w:val="5C4529E1"/>
    <w:rsid w:val="5C4816E7"/>
    <w:rsid w:val="5C4B56E1"/>
    <w:rsid w:val="5C7146B1"/>
    <w:rsid w:val="5C7C2768"/>
    <w:rsid w:val="5CB23AE6"/>
    <w:rsid w:val="5CDC0A42"/>
    <w:rsid w:val="5CED5863"/>
    <w:rsid w:val="5D0D6DF5"/>
    <w:rsid w:val="5D1256CE"/>
    <w:rsid w:val="5D580A8A"/>
    <w:rsid w:val="5D893B14"/>
    <w:rsid w:val="5DB42C29"/>
    <w:rsid w:val="5E227FFE"/>
    <w:rsid w:val="5E291636"/>
    <w:rsid w:val="5E6F64A1"/>
    <w:rsid w:val="5E7E7421"/>
    <w:rsid w:val="5E8B0770"/>
    <w:rsid w:val="5EA06921"/>
    <w:rsid w:val="5EA902B4"/>
    <w:rsid w:val="5EBA259F"/>
    <w:rsid w:val="5EC80272"/>
    <w:rsid w:val="5EE97BB4"/>
    <w:rsid w:val="5F085DDA"/>
    <w:rsid w:val="5F2E2D52"/>
    <w:rsid w:val="5F54198B"/>
    <w:rsid w:val="5F546D2C"/>
    <w:rsid w:val="5F9D1350"/>
    <w:rsid w:val="5FBE370A"/>
    <w:rsid w:val="5FC83407"/>
    <w:rsid w:val="5FD56E87"/>
    <w:rsid w:val="5FF0558C"/>
    <w:rsid w:val="601A27F4"/>
    <w:rsid w:val="60292845"/>
    <w:rsid w:val="60417803"/>
    <w:rsid w:val="604D2644"/>
    <w:rsid w:val="605238CF"/>
    <w:rsid w:val="6053694F"/>
    <w:rsid w:val="607921FE"/>
    <w:rsid w:val="608F62AE"/>
    <w:rsid w:val="60B9251B"/>
    <w:rsid w:val="60E236C1"/>
    <w:rsid w:val="611911B1"/>
    <w:rsid w:val="61260B6B"/>
    <w:rsid w:val="61263A34"/>
    <w:rsid w:val="612B3ABB"/>
    <w:rsid w:val="612E1A5D"/>
    <w:rsid w:val="614E5D7E"/>
    <w:rsid w:val="61560892"/>
    <w:rsid w:val="61770BF8"/>
    <w:rsid w:val="61816046"/>
    <w:rsid w:val="61C81AB1"/>
    <w:rsid w:val="61D417B9"/>
    <w:rsid w:val="620B0059"/>
    <w:rsid w:val="62391564"/>
    <w:rsid w:val="623F0B7F"/>
    <w:rsid w:val="624A22BE"/>
    <w:rsid w:val="626E235A"/>
    <w:rsid w:val="626F60D5"/>
    <w:rsid w:val="62816669"/>
    <w:rsid w:val="6282086D"/>
    <w:rsid w:val="62B36CD7"/>
    <w:rsid w:val="62BA0953"/>
    <w:rsid w:val="62D03A7C"/>
    <w:rsid w:val="62D8790F"/>
    <w:rsid w:val="62F42FAE"/>
    <w:rsid w:val="62F648FE"/>
    <w:rsid w:val="630F7A14"/>
    <w:rsid w:val="63167A4F"/>
    <w:rsid w:val="631D2BD6"/>
    <w:rsid w:val="635356F3"/>
    <w:rsid w:val="635D6064"/>
    <w:rsid w:val="637D5B70"/>
    <w:rsid w:val="63825E77"/>
    <w:rsid w:val="63A10995"/>
    <w:rsid w:val="63C23EFA"/>
    <w:rsid w:val="63D255DA"/>
    <w:rsid w:val="64076B79"/>
    <w:rsid w:val="640B7654"/>
    <w:rsid w:val="643A070A"/>
    <w:rsid w:val="64402337"/>
    <w:rsid w:val="64410A96"/>
    <w:rsid w:val="644C573D"/>
    <w:rsid w:val="64507EFB"/>
    <w:rsid w:val="64B97A50"/>
    <w:rsid w:val="65032F85"/>
    <w:rsid w:val="65123E81"/>
    <w:rsid w:val="651304A7"/>
    <w:rsid w:val="65136B50"/>
    <w:rsid w:val="65427C33"/>
    <w:rsid w:val="657E2A35"/>
    <w:rsid w:val="659E0CA9"/>
    <w:rsid w:val="65A94E9D"/>
    <w:rsid w:val="65B96B3F"/>
    <w:rsid w:val="65BE1071"/>
    <w:rsid w:val="65C60A92"/>
    <w:rsid w:val="65D35142"/>
    <w:rsid w:val="660451CE"/>
    <w:rsid w:val="660B02F6"/>
    <w:rsid w:val="665346B7"/>
    <w:rsid w:val="66705A4E"/>
    <w:rsid w:val="667C7CCE"/>
    <w:rsid w:val="668843B7"/>
    <w:rsid w:val="669C56BF"/>
    <w:rsid w:val="66A12460"/>
    <w:rsid w:val="66A20C1E"/>
    <w:rsid w:val="66B836B7"/>
    <w:rsid w:val="66BE2423"/>
    <w:rsid w:val="66DD6702"/>
    <w:rsid w:val="67185A94"/>
    <w:rsid w:val="671B1623"/>
    <w:rsid w:val="671E6EBA"/>
    <w:rsid w:val="672C0ACD"/>
    <w:rsid w:val="675352AA"/>
    <w:rsid w:val="6759400B"/>
    <w:rsid w:val="675E528D"/>
    <w:rsid w:val="676C598C"/>
    <w:rsid w:val="67962635"/>
    <w:rsid w:val="67966EFB"/>
    <w:rsid w:val="679E7FA1"/>
    <w:rsid w:val="67A32389"/>
    <w:rsid w:val="67B768D0"/>
    <w:rsid w:val="67C779FD"/>
    <w:rsid w:val="682A2352"/>
    <w:rsid w:val="682E7AFD"/>
    <w:rsid w:val="68707071"/>
    <w:rsid w:val="687A4379"/>
    <w:rsid w:val="687B015C"/>
    <w:rsid w:val="687E3889"/>
    <w:rsid w:val="6884222C"/>
    <w:rsid w:val="68AD17BB"/>
    <w:rsid w:val="68D94D22"/>
    <w:rsid w:val="692B2E4A"/>
    <w:rsid w:val="696A0B34"/>
    <w:rsid w:val="69821807"/>
    <w:rsid w:val="698D6A17"/>
    <w:rsid w:val="69D37590"/>
    <w:rsid w:val="69F954C1"/>
    <w:rsid w:val="69FA2750"/>
    <w:rsid w:val="6A1E1E73"/>
    <w:rsid w:val="6A2031B6"/>
    <w:rsid w:val="6A26299B"/>
    <w:rsid w:val="6A276275"/>
    <w:rsid w:val="6A2F57D7"/>
    <w:rsid w:val="6A3C1D40"/>
    <w:rsid w:val="6A6432E1"/>
    <w:rsid w:val="6A6A5005"/>
    <w:rsid w:val="6A8D5833"/>
    <w:rsid w:val="6A9321A5"/>
    <w:rsid w:val="6A9D7608"/>
    <w:rsid w:val="6AA23DFF"/>
    <w:rsid w:val="6AC61F6F"/>
    <w:rsid w:val="6AD34E53"/>
    <w:rsid w:val="6AD83EA1"/>
    <w:rsid w:val="6ADE74F0"/>
    <w:rsid w:val="6B1D62E8"/>
    <w:rsid w:val="6B723594"/>
    <w:rsid w:val="6B805156"/>
    <w:rsid w:val="6B945E48"/>
    <w:rsid w:val="6BD50977"/>
    <w:rsid w:val="6BE450D3"/>
    <w:rsid w:val="6BE60C84"/>
    <w:rsid w:val="6C090739"/>
    <w:rsid w:val="6C587C0E"/>
    <w:rsid w:val="6C6C32E1"/>
    <w:rsid w:val="6C6E3E15"/>
    <w:rsid w:val="6C8B1F5D"/>
    <w:rsid w:val="6CAA3931"/>
    <w:rsid w:val="6CCF3BFB"/>
    <w:rsid w:val="6D325918"/>
    <w:rsid w:val="6D370B82"/>
    <w:rsid w:val="6D3711FA"/>
    <w:rsid w:val="6D3933CA"/>
    <w:rsid w:val="6D6261FE"/>
    <w:rsid w:val="6D7B61EC"/>
    <w:rsid w:val="6D8E03AA"/>
    <w:rsid w:val="6DBB089F"/>
    <w:rsid w:val="6DC63038"/>
    <w:rsid w:val="6DE30DE0"/>
    <w:rsid w:val="6DE6130A"/>
    <w:rsid w:val="6DE839B9"/>
    <w:rsid w:val="6E09491E"/>
    <w:rsid w:val="6E0D3655"/>
    <w:rsid w:val="6E1A437E"/>
    <w:rsid w:val="6E2B14A0"/>
    <w:rsid w:val="6E3A144E"/>
    <w:rsid w:val="6E5F4465"/>
    <w:rsid w:val="6E8B1663"/>
    <w:rsid w:val="6E8C54DA"/>
    <w:rsid w:val="6EF11E03"/>
    <w:rsid w:val="6EF1241D"/>
    <w:rsid w:val="6EF82916"/>
    <w:rsid w:val="6F0B2DE7"/>
    <w:rsid w:val="6F111C62"/>
    <w:rsid w:val="6F2176E5"/>
    <w:rsid w:val="6F2D79CC"/>
    <w:rsid w:val="6F3A2A5F"/>
    <w:rsid w:val="6F4F7F03"/>
    <w:rsid w:val="6F592303"/>
    <w:rsid w:val="6F5F5B74"/>
    <w:rsid w:val="6F98032D"/>
    <w:rsid w:val="6F9B1C65"/>
    <w:rsid w:val="6FA44937"/>
    <w:rsid w:val="6FE82C9C"/>
    <w:rsid w:val="6FFB146E"/>
    <w:rsid w:val="6FFC3AA6"/>
    <w:rsid w:val="70160742"/>
    <w:rsid w:val="7030610F"/>
    <w:rsid w:val="70612DB4"/>
    <w:rsid w:val="706516C3"/>
    <w:rsid w:val="70896E68"/>
    <w:rsid w:val="708A4844"/>
    <w:rsid w:val="70E05E9D"/>
    <w:rsid w:val="71073061"/>
    <w:rsid w:val="711A201F"/>
    <w:rsid w:val="71396ACC"/>
    <w:rsid w:val="715B60E9"/>
    <w:rsid w:val="716F0EE9"/>
    <w:rsid w:val="7196674D"/>
    <w:rsid w:val="71CD6D08"/>
    <w:rsid w:val="71EA1FED"/>
    <w:rsid w:val="72165C6B"/>
    <w:rsid w:val="722021E3"/>
    <w:rsid w:val="722C6DDA"/>
    <w:rsid w:val="72345748"/>
    <w:rsid w:val="72E661B1"/>
    <w:rsid w:val="72F90C18"/>
    <w:rsid w:val="730313F6"/>
    <w:rsid w:val="730E4732"/>
    <w:rsid w:val="732A6AD8"/>
    <w:rsid w:val="73370D24"/>
    <w:rsid w:val="73472C84"/>
    <w:rsid w:val="7359268C"/>
    <w:rsid w:val="7366631C"/>
    <w:rsid w:val="736C263C"/>
    <w:rsid w:val="73723640"/>
    <w:rsid w:val="737311F5"/>
    <w:rsid w:val="73761585"/>
    <w:rsid w:val="739503EB"/>
    <w:rsid w:val="73A05B28"/>
    <w:rsid w:val="73C07D69"/>
    <w:rsid w:val="73DC335B"/>
    <w:rsid w:val="740B60EC"/>
    <w:rsid w:val="744C4A5B"/>
    <w:rsid w:val="74717AE5"/>
    <w:rsid w:val="749E16A8"/>
    <w:rsid w:val="74B42AE4"/>
    <w:rsid w:val="74C54993"/>
    <w:rsid w:val="750A429D"/>
    <w:rsid w:val="75474B47"/>
    <w:rsid w:val="75614792"/>
    <w:rsid w:val="75761866"/>
    <w:rsid w:val="75784473"/>
    <w:rsid w:val="7582466D"/>
    <w:rsid w:val="75B161B3"/>
    <w:rsid w:val="75C055BD"/>
    <w:rsid w:val="75C46B63"/>
    <w:rsid w:val="75CE26D4"/>
    <w:rsid w:val="75DC6C44"/>
    <w:rsid w:val="762770AC"/>
    <w:rsid w:val="762F6A19"/>
    <w:rsid w:val="76341B33"/>
    <w:rsid w:val="76736B32"/>
    <w:rsid w:val="768811B6"/>
    <w:rsid w:val="76AF35EE"/>
    <w:rsid w:val="76C27A74"/>
    <w:rsid w:val="76E3765E"/>
    <w:rsid w:val="76FC2AFA"/>
    <w:rsid w:val="77527424"/>
    <w:rsid w:val="77653671"/>
    <w:rsid w:val="778546CC"/>
    <w:rsid w:val="778B6B46"/>
    <w:rsid w:val="77A57344"/>
    <w:rsid w:val="77A96931"/>
    <w:rsid w:val="77B105D5"/>
    <w:rsid w:val="77B551B3"/>
    <w:rsid w:val="77B56730"/>
    <w:rsid w:val="77B92EBE"/>
    <w:rsid w:val="77BF1E80"/>
    <w:rsid w:val="77C04A8B"/>
    <w:rsid w:val="77D85DB3"/>
    <w:rsid w:val="77EB1B74"/>
    <w:rsid w:val="782A3EA3"/>
    <w:rsid w:val="78A50513"/>
    <w:rsid w:val="78D37FAF"/>
    <w:rsid w:val="78EF7AB5"/>
    <w:rsid w:val="790A4A06"/>
    <w:rsid w:val="790D6849"/>
    <w:rsid w:val="79252148"/>
    <w:rsid w:val="795767E3"/>
    <w:rsid w:val="79586707"/>
    <w:rsid w:val="796518DD"/>
    <w:rsid w:val="79724BEF"/>
    <w:rsid w:val="797264AC"/>
    <w:rsid w:val="797F0137"/>
    <w:rsid w:val="799008E5"/>
    <w:rsid w:val="799A269D"/>
    <w:rsid w:val="79AA0532"/>
    <w:rsid w:val="79AB2CDA"/>
    <w:rsid w:val="79C370A4"/>
    <w:rsid w:val="79D23A3D"/>
    <w:rsid w:val="79FE1DDD"/>
    <w:rsid w:val="7A075767"/>
    <w:rsid w:val="7A0C15B3"/>
    <w:rsid w:val="7A212062"/>
    <w:rsid w:val="7A2522C9"/>
    <w:rsid w:val="7A282A11"/>
    <w:rsid w:val="7A3A59B8"/>
    <w:rsid w:val="7A5D0F75"/>
    <w:rsid w:val="7A715CD2"/>
    <w:rsid w:val="7A921E9A"/>
    <w:rsid w:val="7AAA09A9"/>
    <w:rsid w:val="7ABF2475"/>
    <w:rsid w:val="7AC21562"/>
    <w:rsid w:val="7AD474A4"/>
    <w:rsid w:val="7AF55544"/>
    <w:rsid w:val="7AFC38DE"/>
    <w:rsid w:val="7B165244"/>
    <w:rsid w:val="7B217A1E"/>
    <w:rsid w:val="7B2965AD"/>
    <w:rsid w:val="7B303E8C"/>
    <w:rsid w:val="7B39121D"/>
    <w:rsid w:val="7B7D487E"/>
    <w:rsid w:val="7B865D50"/>
    <w:rsid w:val="7B87547C"/>
    <w:rsid w:val="7B8D34C3"/>
    <w:rsid w:val="7B971D84"/>
    <w:rsid w:val="7BAB0CB7"/>
    <w:rsid w:val="7BB4028F"/>
    <w:rsid w:val="7BE031FB"/>
    <w:rsid w:val="7BE85BAB"/>
    <w:rsid w:val="7BF32F03"/>
    <w:rsid w:val="7BF50D2C"/>
    <w:rsid w:val="7C066F4E"/>
    <w:rsid w:val="7C1724A5"/>
    <w:rsid w:val="7C273CFF"/>
    <w:rsid w:val="7CA54112"/>
    <w:rsid w:val="7CA553D9"/>
    <w:rsid w:val="7CAB27F5"/>
    <w:rsid w:val="7CAF438A"/>
    <w:rsid w:val="7CB70354"/>
    <w:rsid w:val="7CCE726D"/>
    <w:rsid w:val="7CD71EA3"/>
    <w:rsid w:val="7CE50CE4"/>
    <w:rsid w:val="7CF877E9"/>
    <w:rsid w:val="7D134762"/>
    <w:rsid w:val="7D2E5ABF"/>
    <w:rsid w:val="7D4A45B8"/>
    <w:rsid w:val="7E007625"/>
    <w:rsid w:val="7E0737C8"/>
    <w:rsid w:val="7E131C51"/>
    <w:rsid w:val="7E176B90"/>
    <w:rsid w:val="7E2142A2"/>
    <w:rsid w:val="7E240411"/>
    <w:rsid w:val="7E5148A6"/>
    <w:rsid w:val="7E6A046F"/>
    <w:rsid w:val="7E797DE5"/>
    <w:rsid w:val="7E7B0BF2"/>
    <w:rsid w:val="7E8D75B6"/>
    <w:rsid w:val="7E8E672B"/>
    <w:rsid w:val="7EB16167"/>
    <w:rsid w:val="7EF760EE"/>
    <w:rsid w:val="7F193E37"/>
    <w:rsid w:val="7F2536B5"/>
    <w:rsid w:val="7F383117"/>
    <w:rsid w:val="7F485E64"/>
    <w:rsid w:val="7F5A01CA"/>
    <w:rsid w:val="7F721BA4"/>
    <w:rsid w:val="7FA01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4">
    <w:name w:val="heading 1"/>
    <w:basedOn w:val="1"/>
    <w:next w:val="1"/>
    <w:link w:val="71"/>
    <w:qFormat/>
    <w:uiPriority w:val="9"/>
    <w:pPr>
      <w:keepNext/>
      <w:keepLines/>
      <w:spacing w:before="340" w:after="330" w:line="576" w:lineRule="auto"/>
      <w:outlineLvl w:val="0"/>
    </w:pPr>
    <w:rPr>
      <w:b/>
      <w:kern w:val="44"/>
      <w:sz w:val="44"/>
    </w:rPr>
  </w:style>
  <w:style w:type="paragraph" w:styleId="5">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8"/>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0"/>
    <w:unhideWhenUsed/>
    <w:qFormat/>
    <w:uiPriority w:val="9"/>
    <w:pPr>
      <w:keepNext/>
      <w:keepLines/>
      <w:outlineLvl w:val="3"/>
    </w:pPr>
    <w:rPr>
      <w:rFonts w:asciiTheme="majorHAnsi" w:hAnsiTheme="majorHAnsi" w:cstheme="majorBidi"/>
      <w:b/>
      <w:bCs/>
      <w:sz w:val="24"/>
      <w:szCs w:val="28"/>
    </w:rPr>
  </w:style>
  <w:style w:type="paragraph" w:styleId="8">
    <w:name w:val="heading 5"/>
    <w:basedOn w:val="1"/>
    <w:next w:val="1"/>
    <w:link w:val="70"/>
    <w:semiHidden/>
    <w:unhideWhenUsed/>
    <w:qFormat/>
    <w:uiPriority w:val="9"/>
    <w:pPr>
      <w:keepNext/>
      <w:keepLines/>
      <w:spacing w:before="280" w:after="290" w:line="372" w:lineRule="auto"/>
      <w:outlineLvl w:val="4"/>
    </w:pPr>
    <w:rPr>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2"/>
    <w:qFormat/>
    <w:uiPriority w:val="1"/>
    <w:pPr>
      <w:spacing w:before="161"/>
      <w:ind w:left="120"/>
    </w:pPr>
    <w:rPr>
      <w:rFonts w:ascii="宋体" w:hAnsi="宋体" w:cs="宋体"/>
      <w:sz w:val="24"/>
      <w:lang w:val="zh-CN" w:bidi="zh-CN"/>
    </w:rPr>
  </w:style>
  <w:style w:type="paragraph" w:styleId="3">
    <w:name w:val="Body Text Indent"/>
    <w:basedOn w:val="1"/>
    <w:qFormat/>
    <w:uiPriority w:val="0"/>
    <w:pPr>
      <w:ind w:left="359" w:leftChars="171" w:firstLine="179" w:firstLineChars="85"/>
    </w:pPr>
    <w:rPr>
      <w:rFonts w:ascii="宋体" w:hAnsi="宋体"/>
      <w:b/>
      <w:bCs/>
      <w:szCs w:val="26"/>
    </w:rPr>
  </w:style>
  <w:style w:type="paragraph" w:styleId="9">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10">
    <w:name w:val="annotation text"/>
    <w:basedOn w:val="1"/>
    <w:link w:val="59"/>
    <w:unhideWhenUsed/>
    <w:qFormat/>
    <w:uiPriority w:val="99"/>
  </w:style>
  <w:style w:type="paragraph" w:styleId="11">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2">
    <w:name w:val="toc 3"/>
    <w:basedOn w:val="1"/>
    <w:next w:val="1"/>
    <w:unhideWhenUsed/>
    <w:qFormat/>
    <w:uiPriority w:val="39"/>
    <w:pPr>
      <w:tabs>
        <w:tab w:val="right" w:leader="dot" w:pos="8296"/>
      </w:tabs>
      <w:ind w:left="838" w:leftChars="381"/>
    </w:pPr>
    <w:rPr>
      <w:szCs w:val="21"/>
    </w:rPr>
  </w:style>
  <w:style w:type="paragraph" w:styleId="13">
    <w:name w:val="Plain Text"/>
    <w:basedOn w:val="1"/>
    <w:link w:val="51"/>
    <w:qFormat/>
    <w:uiPriority w:val="0"/>
    <w:pPr>
      <w:widowControl w:val="0"/>
      <w:adjustRightInd/>
      <w:snapToGrid/>
      <w:jc w:val="both"/>
    </w:pPr>
    <w:rPr>
      <w:rFonts w:ascii="宋体" w:hAnsi="Courier New" w:cs="Times New Roman"/>
      <w:b/>
      <w:kern w:val="2"/>
      <w:szCs w:val="20"/>
    </w:rPr>
  </w:style>
  <w:style w:type="paragraph" w:styleId="14">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5">
    <w:name w:val="Balloon Text"/>
    <w:basedOn w:val="1"/>
    <w:link w:val="54"/>
    <w:semiHidden/>
    <w:unhideWhenUsed/>
    <w:qFormat/>
    <w:uiPriority w:val="99"/>
    <w:rPr>
      <w:sz w:val="18"/>
      <w:szCs w:val="18"/>
    </w:rPr>
  </w:style>
  <w:style w:type="paragraph" w:styleId="16">
    <w:name w:val="footer"/>
    <w:basedOn w:val="1"/>
    <w:link w:val="53"/>
    <w:unhideWhenUsed/>
    <w:qFormat/>
    <w:uiPriority w:val="99"/>
    <w:pPr>
      <w:tabs>
        <w:tab w:val="center" w:pos="4153"/>
        <w:tab w:val="right" w:pos="8306"/>
      </w:tabs>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unhideWhenUsed/>
    <w:qFormat/>
    <w:uiPriority w:val="39"/>
  </w:style>
  <w:style w:type="paragraph" w:styleId="19">
    <w:name w:val="toc 4"/>
    <w:basedOn w:val="1"/>
    <w:next w:val="1"/>
    <w:unhideWhenUsed/>
    <w:qFormat/>
    <w:uiPriority w:val="39"/>
    <w:pPr>
      <w:tabs>
        <w:tab w:val="right" w:leader="dot" w:pos="8296"/>
      </w:tabs>
      <w:spacing w:after="120"/>
      <w:ind w:left="1320" w:leftChars="600"/>
    </w:pPr>
  </w:style>
  <w:style w:type="paragraph" w:styleId="20">
    <w:name w:val="footnote text"/>
    <w:basedOn w:val="1"/>
    <w:semiHidden/>
    <w:unhideWhenUsed/>
    <w:qFormat/>
    <w:uiPriority w:val="99"/>
    <w:rPr>
      <w:sz w:val="18"/>
    </w:rPr>
  </w:style>
  <w:style w:type="paragraph" w:styleId="21">
    <w:name w:val="toc 6"/>
    <w:basedOn w:val="1"/>
    <w:next w:val="1"/>
    <w:qFormat/>
    <w:uiPriority w:val="39"/>
    <w:pPr>
      <w:ind w:left="1200"/>
    </w:pPr>
    <w:rPr>
      <w:rFonts w:ascii="Calibri" w:cs="Calibri"/>
      <w:sz w:val="18"/>
      <w:szCs w:val="18"/>
    </w:rPr>
  </w:style>
  <w:style w:type="paragraph" w:styleId="22">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3">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4">
    <w:name w:val="Normal (Web)"/>
    <w:basedOn w:val="1"/>
    <w:link w:val="56"/>
    <w:qFormat/>
    <w:uiPriority w:val="0"/>
    <w:pPr>
      <w:widowControl w:val="0"/>
      <w:adjustRightInd/>
      <w:snapToGrid/>
      <w:jc w:val="both"/>
    </w:pPr>
    <w:rPr>
      <w:rFonts w:asciiTheme="minorHAnsi" w:hAnsiTheme="minorHAnsi"/>
      <w:kern w:val="2"/>
      <w:sz w:val="24"/>
      <w:szCs w:val="24"/>
    </w:rPr>
  </w:style>
  <w:style w:type="paragraph" w:styleId="25">
    <w:name w:val="annotation subject"/>
    <w:basedOn w:val="10"/>
    <w:next w:val="10"/>
    <w:link w:val="60"/>
    <w:semiHidden/>
    <w:unhideWhenUsed/>
    <w:qFormat/>
    <w:uiPriority w:val="99"/>
    <w:rPr>
      <w:b/>
      <w:bCs/>
    </w:rPr>
  </w:style>
  <w:style w:type="paragraph" w:styleId="26">
    <w:name w:val="Body Text First Indent"/>
    <w:basedOn w:val="2"/>
    <w:qFormat/>
    <w:uiPriority w:val="0"/>
    <w:pPr>
      <w:spacing w:after="120"/>
      <w:ind w:firstLine="420" w:firstLineChars="100"/>
    </w:pPr>
    <w:rPr>
      <w:bCs/>
      <w:szCs w:val="21"/>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Emphasis"/>
    <w:basedOn w:val="29"/>
    <w:qFormat/>
    <w:uiPriority w:val="20"/>
    <w:rPr>
      <w:i/>
      <w:iCs/>
    </w:rPr>
  </w:style>
  <w:style w:type="character" w:styleId="32">
    <w:name w:val="Hyperlink"/>
    <w:qFormat/>
    <w:uiPriority w:val="99"/>
    <w:rPr>
      <w:rFonts w:hint="eastAsia" w:ascii="宋体" w:hAnsi="宋体" w:eastAsia="宋体" w:cs="宋体"/>
      <w:b/>
      <w:color w:val="0031C1"/>
      <w:kern w:val="0"/>
      <w:sz w:val="18"/>
      <w:szCs w:val="18"/>
      <w:u w:val="none"/>
      <w:lang w:eastAsia="en-US"/>
    </w:rPr>
  </w:style>
  <w:style w:type="character" w:styleId="33">
    <w:name w:val="annotation reference"/>
    <w:basedOn w:val="29"/>
    <w:semiHidden/>
    <w:unhideWhenUsed/>
    <w:qFormat/>
    <w:uiPriority w:val="99"/>
    <w:rPr>
      <w:sz w:val="21"/>
      <w:szCs w:val="21"/>
    </w:rPr>
  </w:style>
  <w:style w:type="character" w:styleId="34">
    <w:name w:val="footnote reference"/>
    <w:basedOn w:val="29"/>
    <w:semiHidden/>
    <w:unhideWhenUsed/>
    <w:qFormat/>
    <w:uiPriority w:val="99"/>
    <w:rPr>
      <w:vertAlign w:val="superscript"/>
    </w:rPr>
  </w:style>
  <w:style w:type="paragraph" w:customStyle="1" w:styleId="35">
    <w:name w:val="样式 正文首行缩进 + 首行缩进:  1 字符"/>
    <w:basedOn w:val="1"/>
    <w:next w:val="1"/>
    <w:qFormat/>
    <w:uiPriority w:val="0"/>
    <w:pPr>
      <w:ind w:firstLine="200" w:firstLineChars="200"/>
    </w:pPr>
    <w:rPr>
      <w:rFonts w:cs="宋体"/>
      <w:szCs w:val="20"/>
    </w:rPr>
  </w:style>
  <w:style w:type="paragraph" w:customStyle="1" w:styleId="36">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37">
    <w:name w:val="标题 2 字符"/>
    <w:basedOn w:val="29"/>
    <w:link w:val="5"/>
    <w:qFormat/>
    <w:uiPriority w:val="9"/>
    <w:rPr>
      <w:rFonts w:asciiTheme="majorHAnsi" w:hAnsiTheme="majorHAnsi" w:eastAsiaTheme="majorEastAsia" w:cstheme="majorBidi"/>
      <w:b/>
      <w:bCs/>
      <w:sz w:val="32"/>
      <w:szCs w:val="32"/>
    </w:rPr>
  </w:style>
  <w:style w:type="character" w:customStyle="1" w:styleId="38">
    <w:name w:val="标题 3 字符"/>
    <w:basedOn w:val="29"/>
    <w:link w:val="6"/>
    <w:qFormat/>
    <w:uiPriority w:val="9"/>
    <w:rPr>
      <w:rFonts w:ascii="Tahoma" w:hAnsi="Tahoma"/>
      <w:b/>
      <w:bCs/>
      <w:sz w:val="32"/>
      <w:szCs w:val="32"/>
    </w:rPr>
  </w:style>
  <w:style w:type="paragraph" w:styleId="39">
    <w:name w:val="List Paragraph"/>
    <w:basedOn w:val="1"/>
    <w:link w:val="61"/>
    <w:qFormat/>
    <w:uiPriority w:val="0"/>
    <w:pPr>
      <w:ind w:firstLine="420" w:firstLineChars="200"/>
    </w:pPr>
  </w:style>
  <w:style w:type="character" w:customStyle="1" w:styleId="40">
    <w:name w:val="标题 4 字符"/>
    <w:basedOn w:val="29"/>
    <w:link w:val="7"/>
    <w:qFormat/>
    <w:uiPriority w:val="9"/>
    <w:rPr>
      <w:rFonts w:eastAsia="宋体" w:asciiTheme="majorHAnsi" w:hAnsiTheme="majorHAnsi" w:cstheme="majorBidi"/>
      <w:b/>
      <w:bCs/>
      <w:sz w:val="24"/>
      <w:szCs w:val="28"/>
    </w:rPr>
  </w:style>
  <w:style w:type="character" w:customStyle="1" w:styleId="41">
    <w:name w:val="正文缩进2格 Char"/>
    <w:link w:val="42"/>
    <w:qFormat/>
    <w:uiPriority w:val="0"/>
    <w:rPr>
      <w:rFonts w:ascii="仿宋_GB2312" w:hAnsi="宋体" w:eastAsia="仿宋_GB2312"/>
      <w:kern w:val="2"/>
      <w:sz w:val="31"/>
    </w:rPr>
  </w:style>
  <w:style w:type="paragraph" w:customStyle="1" w:styleId="42">
    <w:name w:val="正文缩进2格"/>
    <w:basedOn w:val="1"/>
    <w:link w:val="41"/>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3">
    <w:name w:val="正文缩进4格"/>
    <w:basedOn w:val="42"/>
    <w:qFormat/>
    <w:uiPriority w:val="0"/>
    <w:pPr>
      <w:ind w:left="2" w:firstLine="538" w:firstLineChars="192"/>
    </w:pPr>
    <w:rPr>
      <w:color w:val="0000FF"/>
      <w:sz w:val="28"/>
    </w:rPr>
  </w:style>
  <w:style w:type="character" w:customStyle="1" w:styleId="44">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5">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6">
    <w:name w:val="标题1"/>
    <w:qFormat/>
    <w:uiPriority w:val="0"/>
    <w:rPr>
      <w:rFonts w:ascii="Times New Roman" w:hAnsi="Times New Roman" w:eastAsia="宋体" w:cs="Times New Roman"/>
      <w:b/>
      <w:kern w:val="0"/>
      <w:sz w:val="24"/>
      <w:szCs w:val="20"/>
      <w:lang w:eastAsia="en-US"/>
    </w:rPr>
  </w:style>
  <w:style w:type="character" w:customStyle="1" w:styleId="47">
    <w:name w:val="标题 3.1 Char"/>
    <w:link w:val="48"/>
    <w:qFormat/>
    <w:uiPriority w:val="0"/>
    <w:rPr>
      <w:rFonts w:ascii="宋体" w:hAnsi="宋体" w:eastAsia="宋体"/>
      <w:b/>
      <w:color w:val="FF0000"/>
      <w:kern w:val="2"/>
      <w:sz w:val="32"/>
    </w:rPr>
  </w:style>
  <w:style w:type="paragraph" w:customStyle="1" w:styleId="48">
    <w:name w:val="标题 3.1"/>
    <w:basedOn w:val="6"/>
    <w:link w:val="47"/>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49">
    <w:name w:val="样式 楷体_GB2312 小四"/>
    <w:qFormat/>
    <w:uiPriority w:val="0"/>
    <w:rPr>
      <w:rFonts w:ascii="楷体_GB2312" w:hAnsi="楷体_GB2312" w:eastAsia="仿宋_GB2312"/>
      <w:sz w:val="24"/>
    </w:rPr>
  </w:style>
  <w:style w:type="character" w:customStyle="1" w:styleId="50">
    <w:name w:val="纯文本 Char"/>
    <w:qFormat/>
    <w:uiPriority w:val="0"/>
    <w:rPr>
      <w:rFonts w:ascii="宋体" w:hAnsi="Courier New" w:eastAsia="宋体" w:cs="Times New Roman"/>
      <w:b/>
      <w:kern w:val="2"/>
      <w:sz w:val="21"/>
      <w:szCs w:val="20"/>
    </w:rPr>
  </w:style>
  <w:style w:type="character" w:customStyle="1" w:styleId="51">
    <w:name w:val="纯文本 字符"/>
    <w:basedOn w:val="29"/>
    <w:link w:val="13"/>
    <w:semiHidden/>
    <w:qFormat/>
    <w:uiPriority w:val="99"/>
    <w:rPr>
      <w:rFonts w:ascii="宋体" w:hAnsi="Courier New" w:eastAsia="宋体" w:cs="Courier New"/>
      <w:sz w:val="21"/>
      <w:szCs w:val="21"/>
    </w:rPr>
  </w:style>
  <w:style w:type="character" w:customStyle="1" w:styleId="52">
    <w:name w:val="页眉 字符"/>
    <w:basedOn w:val="29"/>
    <w:link w:val="17"/>
    <w:qFormat/>
    <w:uiPriority w:val="99"/>
    <w:rPr>
      <w:rFonts w:ascii="Tahoma" w:hAnsi="Tahoma"/>
      <w:sz w:val="18"/>
      <w:szCs w:val="18"/>
    </w:rPr>
  </w:style>
  <w:style w:type="character" w:customStyle="1" w:styleId="53">
    <w:name w:val="页脚 字符"/>
    <w:basedOn w:val="29"/>
    <w:link w:val="16"/>
    <w:qFormat/>
    <w:uiPriority w:val="99"/>
    <w:rPr>
      <w:rFonts w:ascii="Tahoma" w:hAnsi="Tahoma"/>
      <w:sz w:val="18"/>
      <w:szCs w:val="18"/>
    </w:rPr>
  </w:style>
  <w:style w:type="character" w:customStyle="1" w:styleId="54">
    <w:name w:val="批注框文本 字符"/>
    <w:basedOn w:val="29"/>
    <w:link w:val="15"/>
    <w:semiHidden/>
    <w:qFormat/>
    <w:uiPriority w:val="99"/>
    <w:rPr>
      <w:rFonts w:ascii="Tahoma" w:hAnsi="Tahoma"/>
      <w:sz w:val="18"/>
      <w:szCs w:val="18"/>
    </w:rPr>
  </w:style>
  <w:style w:type="paragraph" w:customStyle="1" w:styleId="55">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6">
    <w:name w:val="普通(网站) 字符"/>
    <w:link w:val="24"/>
    <w:qFormat/>
    <w:uiPriority w:val="0"/>
    <w:rPr>
      <w:rFonts w:eastAsia="宋体"/>
      <w:kern w:val="2"/>
      <w:sz w:val="24"/>
      <w:szCs w:val="24"/>
    </w:rPr>
  </w:style>
  <w:style w:type="paragraph" w:customStyle="1" w:styleId="57">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58">
    <w:name w:val="p141"/>
    <w:qFormat/>
    <w:uiPriority w:val="0"/>
    <w:rPr>
      <w:sz w:val="21"/>
      <w:szCs w:val="21"/>
    </w:rPr>
  </w:style>
  <w:style w:type="character" w:customStyle="1" w:styleId="59">
    <w:name w:val="批注文字 字符"/>
    <w:basedOn w:val="29"/>
    <w:link w:val="10"/>
    <w:qFormat/>
    <w:uiPriority w:val="99"/>
    <w:rPr>
      <w:rFonts w:ascii="Tahoma" w:hAnsi="Tahoma" w:eastAsia="微软雅黑" w:cstheme="minorBidi"/>
      <w:sz w:val="22"/>
      <w:szCs w:val="22"/>
    </w:rPr>
  </w:style>
  <w:style w:type="character" w:customStyle="1" w:styleId="60">
    <w:name w:val="批注主题 字符"/>
    <w:basedOn w:val="59"/>
    <w:link w:val="25"/>
    <w:semiHidden/>
    <w:qFormat/>
    <w:uiPriority w:val="99"/>
    <w:rPr>
      <w:rFonts w:ascii="Tahoma" w:hAnsi="Tahoma" w:eastAsia="微软雅黑" w:cstheme="minorBidi"/>
      <w:b/>
      <w:bCs/>
      <w:sz w:val="22"/>
      <w:szCs w:val="22"/>
    </w:rPr>
  </w:style>
  <w:style w:type="character" w:customStyle="1" w:styleId="61">
    <w:name w:val="列表段落 字符"/>
    <w:link w:val="39"/>
    <w:qFormat/>
    <w:uiPriority w:val="0"/>
    <w:rPr>
      <w:rFonts w:ascii="Tahoma" w:hAnsi="Tahoma" w:eastAsia="微软雅黑" w:cstheme="minorBidi"/>
      <w:sz w:val="22"/>
      <w:szCs w:val="22"/>
    </w:rPr>
  </w:style>
  <w:style w:type="character" w:customStyle="1" w:styleId="62">
    <w:name w:val="正文文本 字符"/>
    <w:basedOn w:val="29"/>
    <w:link w:val="2"/>
    <w:qFormat/>
    <w:uiPriority w:val="1"/>
    <w:rPr>
      <w:rFonts w:ascii="宋体" w:hAnsi="宋体" w:cs="宋体"/>
      <w:sz w:val="24"/>
      <w:szCs w:val="22"/>
      <w:lang w:val="zh-CN" w:bidi="zh-CN"/>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_Style 1"/>
    <w:basedOn w:val="1"/>
    <w:qFormat/>
    <w:uiPriority w:val="0"/>
    <w:pPr>
      <w:ind w:firstLine="420" w:firstLineChars="200"/>
    </w:pPr>
  </w:style>
  <w:style w:type="paragraph" w:customStyle="1" w:styleId="65">
    <w:name w:val="列出段落2"/>
    <w:basedOn w:val="1"/>
    <w:qFormat/>
    <w:uiPriority w:val="0"/>
    <w:pPr>
      <w:ind w:firstLine="420" w:firstLineChars="200"/>
    </w:pPr>
  </w:style>
  <w:style w:type="paragraph" w:customStyle="1" w:styleId="66">
    <w:name w:val="p0"/>
    <w:basedOn w:val="1"/>
    <w:qFormat/>
    <w:uiPriority w:val="0"/>
    <w:rPr>
      <w:szCs w:val="21"/>
    </w:rPr>
  </w:style>
  <w:style w:type="paragraph" w:customStyle="1" w:styleId="67">
    <w:name w:val="正文文本缩进 21"/>
    <w:basedOn w:val="1"/>
    <w:qFormat/>
    <w:uiPriority w:val="0"/>
    <w:pPr>
      <w:spacing w:line="480" w:lineRule="auto"/>
      <w:ind w:firstLine="540"/>
    </w:pPr>
    <w:rPr>
      <w:rFonts w:ascii="Calibri" w:hAnsi="Calibri"/>
      <w:sz w:val="20"/>
      <w:szCs w:val="20"/>
    </w:rPr>
  </w:style>
  <w:style w:type="paragraph" w:customStyle="1" w:styleId="68">
    <w:name w:val="_Style 2"/>
    <w:basedOn w:val="1"/>
    <w:qFormat/>
    <w:uiPriority w:val="0"/>
    <w:pPr>
      <w:ind w:firstLine="420" w:firstLineChars="200"/>
    </w:pPr>
  </w:style>
  <w:style w:type="paragraph" w:customStyle="1" w:styleId="69">
    <w:name w:val="msolistparagraph"/>
    <w:basedOn w:val="1"/>
    <w:qFormat/>
    <w:uiPriority w:val="0"/>
    <w:pPr>
      <w:ind w:firstLine="420" w:firstLineChars="200"/>
    </w:pPr>
    <w:rPr>
      <w:rFonts w:hint="eastAsia" w:hAnsi="宋体"/>
    </w:rPr>
  </w:style>
  <w:style w:type="character" w:customStyle="1" w:styleId="70">
    <w:name w:val="标题 5 字符"/>
    <w:link w:val="8"/>
    <w:qFormat/>
    <w:uiPriority w:val="0"/>
    <w:rPr>
      <w:b/>
      <w:sz w:val="28"/>
    </w:rPr>
  </w:style>
  <w:style w:type="character" w:customStyle="1" w:styleId="71">
    <w:name w:val="标题 1 字符"/>
    <w:link w:val="4"/>
    <w:qFormat/>
    <w:uiPriority w:val="9"/>
    <w:rPr>
      <w:b/>
      <w:kern w:val="44"/>
      <w:sz w:val="44"/>
    </w:rPr>
  </w:style>
  <w:style w:type="paragraph" w:customStyle="1" w:styleId="72">
    <w:name w:val="修订1"/>
    <w:hidden/>
    <w:semiHidden/>
    <w:qFormat/>
    <w:uiPriority w:val="99"/>
    <w:rPr>
      <w:rFonts w:ascii="Tahoma" w:hAnsi="Tahoma" w:eastAsia="宋体" w:cstheme="minorBidi"/>
      <w:sz w:val="21"/>
      <w:szCs w:val="22"/>
      <w:lang w:val="en-US" w:eastAsia="zh-CN" w:bidi="ar-SA"/>
    </w:rPr>
  </w:style>
  <w:style w:type="paragraph" w:customStyle="1" w:styleId="73">
    <w:name w:val="表格文字"/>
    <w:basedOn w:val="1"/>
    <w:qFormat/>
    <w:uiPriority w:val="0"/>
    <w:pPr>
      <w:adjustRightInd/>
      <w:spacing w:before="25" w:after="25"/>
    </w:pPr>
    <w:rPr>
      <w:rFonts w:ascii="Times New Roman"/>
      <w:bCs/>
      <w:spacing w:val="10"/>
      <w:szCs w:val="20"/>
    </w:rPr>
  </w:style>
  <w:style w:type="paragraph" w:customStyle="1" w:styleId="74">
    <w:name w:val="纯文本1"/>
    <w:basedOn w:val="75"/>
    <w:qFormat/>
    <w:uiPriority w:val="0"/>
    <w:rPr>
      <w:rFonts w:ascii="宋体" w:hAnsi="Courier New"/>
      <w:szCs w:val="20"/>
    </w:rPr>
  </w:style>
  <w:style w:type="paragraph" w:customStyle="1" w:styleId="75">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6">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7">
    <w:name w:val="Table Normal"/>
    <w:semiHidden/>
    <w:unhideWhenUsed/>
    <w:qFormat/>
    <w:uiPriority w:val="2"/>
    <w:tblPr>
      <w:tblCellMar>
        <w:top w:w="0" w:type="dxa"/>
        <w:left w:w="0" w:type="dxa"/>
        <w:bottom w:w="0" w:type="dxa"/>
        <w:right w:w="0" w:type="dxa"/>
      </w:tblCellMar>
    </w:tblPr>
  </w:style>
  <w:style w:type="paragraph" w:customStyle="1" w:styleId="78">
    <w:name w:val="Table Paragraph"/>
    <w:basedOn w:val="1"/>
    <w:qFormat/>
    <w:uiPriority w:val="1"/>
  </w:style>
  <w:style w:type="paragraph" w:customStyle="1" w:styleId="79">
    <w:name w:val="正文文本缩进1"/>
    <w:basedOn w:val="75"/>
    <w:qFormat/>
    <w:uiPriority w:val="0"/>
    <w:pPr>
      <w:spacing w:after="120"/>
      <w:ind w:left="420" w:leftChars="200"/>
    </w:pPr>
  </w:style>
  <w:style w:type="paragraph" w:customStyle="1" w:styleId="80">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1">
    <w:name w:val="纯文本2"/>
    <w:basedOn w:val="75"/>
    <w:qFormat/>
    <w:uiPriority w:val="0"/>
    <w:rPr>
      <w:rFonts w:ascii="宋体" w:hAnsi="Courier New"/>
      <w:szCs w:val="20"/>
    </w:rPr>
  </w:style>
  <w:style w:type="character" w:customStyle="1" w:styleId="82">
    <w:name w:val="font141"/>
    <w:qFormat/>
    <w:uiPriority w:val="0"/>
    <w:rPr>
      <w:rFonts w:hint="default" w:ascii="Times New Roman" w:hAnsi="Times New Roman" w:cs="Times New Roman"/>
      <w:color w:val="000000"/>
      <w:sz w:val="18"/>
      <w:szCs w:val="18"/>
      <w:u w:val="none"/>
    </w:rPr>
  </w:style>
  <w:style w:type="character" w:customStyle="1" w:styleId="83">
    <w:name w:val="font71"/>
    <w:qFormat/>
    <w:uiPriority w:val="0"/>
    <w:rPr>
      <w:rFonts w:hint="eastAsia" w:ascii="宋体" w:hAnsi="宋体" w:eastAsia="宋体" w:cs="宋体"/>
      <w:color w:val="000000"/>
      <w:sz w:val="18"/>
      <w:szCs w:val="18"/>
      <w:u w:val="none"/>
    </w:rPr>
  </w:style>
  <w:style w:type="paragraph" w:customStyle="1" w:styleId="84">
    <w:name w:val="列表段落1"/>
    <w:basedOn w:val="1"/>
    <w:qFormat/>
    <w:uiPriority w:val="0"/>
    <w:pPr>
      <w:ind w:firstLine="420" w:firstLineChars="200"/>
    </w:pPr>
    <w:rPr>
      <w:rFonts w:ascii="Times New Roman" w:hAnsi="Times New Roman" w:eastAsia="宋体"/>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30044</Words>
  <Characters>31124</Characters>
  <Lines>67</Lines>
  <Paragraphs>66</Paragraphs>
  <TotalTime>91</TotalTime>
  <ScaleCrop>false</ScaleCrop>
  <LinksUpToDate>false</LinksUpToDate>
  <CharactersWithSpaces>31756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Steven</cp:lastModifiedBy>
  <cp:lastPrinted>2025-05-14T00:59:00Z</cp:lastPrinted>
  <dcterms:modified xsi:type="dcterms:W3CDTF">2025-09-16T08:15:56Z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3E022016B9614FDE9C7071DE91194FDA_13</vt:lpwstr>
  </property>
  <property fmtid="{D5CDD505-2E9C-101B-9397-08002B2CF9AE}" pid="4" name="KSOTemplateDocerSaveRecord">
    <vt:lpwstr>eyJoZGlkIjoiNjBlYWY3MDhjMDE1NmE4OGEyMzViOWQ5MDFlZWI0YjAiLCJ1c2VySWQiOiIyNDY2MzMwNzIifQ==</vt:lpwstr>
  </property>
</Properties>
</file>