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6A13">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p>
    <w:p w14:paraId="2F6454E6">
      <w:pPr>
        <w:spacing w:before="156" w:line="600" w:lineRule="exact"/>
        <w:ind w:firstLine="640" w:firstLineChars="200"/>
        <w:rPr>
          <w:rFonts w:eastAsia="仿宋_GB2312"/>
          <w:color w:val="000000"/>
          <w:sz w:val="32"/>
          <w:szCs w:val="32"/>
        </w:rPr>
      </w:pPr>
      <w:r>
        <w:rPr>
          <w:rFonts w:hint="eastAsia" w:eastAsia="仿宋_GB2312"/>
          <w:color w:val="000000"/>
          <w:sz w:val="32"/>
          <w:szCs w:val="32"/>
          <w:u w:val="none"/>
        </w:rPr>
        <w:t>东莞市新东元环保投资有限公司</w:t>
      </w:r>
      <w:r>
        <w:rPr>
          <w:rFonts w:hint="eastAsia" w:eastAsia="仿宋_GB2312"/>
          <w:color w:val="000000"/>
          <w:sz w:val="32"/>
          <w:szCs w:val="32"/>
          <w:u w:val="none"/>
          <w:lang w:val="en-US" w:eastAsia="zh-CN"/>
        </w:rPr>
        <w:t>因生产运营需要，拟采购一家专业服务单位，为公司提供</w:t>
      </w:r>
      <w:r>
        <w:rPr>
          <w:rFonts w:hint="eastAsia" w:eastAsia="仿宋_GB2312"/>
          <w:color w:val="000000"/>
          <w:sz w:val="32"/>
          <w:szCs w:val="32"/>
          <w:u w:val="single"/>
          <w:lang w:eastAsia="zh-CN"/>
        </w:rPr>
        <w:t>2M专线改造及安防设备重新授权</w:t>
      </w:r>
      <w:r>
        <w:rPr>
          <w:rFonts w:hint="eastAsia" w:eastAsia="仿宋_GB2312"/>
          <w:color w:val="000000"/>
          <w:sz w:val="32"/>
          <w:szCs w:val="32"/>
          <w:u w:val="none"/>
          <w:lang w:val="en-US" w:eastAsia="zh-CN"/>
        </w:rPr>
        <w:t>服务，</w:t>
      </w:r>
      <w:r>
        <w:rPr>
          <w:rFonts w:hint="eastAsia" w:eastAsia="仿宋_GB2312"/>
          <w:color w:val="000000"/>
          <w:sz w:val="32"/>
          <w:szCs w:val="32"/>
        </w:rPr>
        <w:t>现将相关情况介绍如下：</w:t>
      </w:r>
    </w:p>
    <w:p w14:paraId="3B2719F9">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bookmarkStart w:id="19" w:name="_GoBack"/>
      <w:bookmarkEnd w:id="19"/>
    </w:p>
    <w:p w14:paraId="4FED02B9">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eastAsia="zh-CN"/>
        </w:rPr>
        <w:t>东莞市海心沙资源综合利用中心环保热电厂2M专线改造及安防设备重新授权采购项目</w:t>
      </w:r>
    </w:p>
    <w:p w14:paraId="33B44D00">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详见附件《东莞市海心沙资源综合利用中心环保热电厂2M专线改造及安防设备重新授权采购项目技术需求书》</w:t>
      </w:r>
      <w:r>
        <w:rPr>
          <w:rFonts w:hint="eastAsia"/>
          <w:b w:val="0"/>
          <w:bCs w:val="0"/>
          <w:sz w:val="30"/>
          <w:szCs w:val="30"/>
          <w:lang w:val="en-US" w:eastAsia="zh-CN"/>
        </w:rPr>
        <w:t>。</w:t>
      </w:r>
    </w:p>
    <w:p w14:paraId="620FA5F1">
      <w:pPr>
        <w:adjustRightInd w:val="0"/>
        <w:snapToGrid w:val="0"/>
        <w:spacing w:before="156" w:line="600" w:lineRule="exact"/>
        <w:ind w:firstLine="640" w:firstLineChars="200"/>
        <w:rPr>
          <w:rFonts w:hint="eastAsia" w:eastAsia="仿宋_GB2312"/>
          <w:color w:val="000000"/>
          <w:sz w:val="32"/>
          <w:szCs w:val="32"/>
          <w:lang w:eastAsia="zh-CN"/>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hint="eastAsia" w:eastAsia="仿宋_GB2312"/>
          <w:color w:val="000000"/>
          <w:sz w:val="32"/>
          <w:szCs w:val="32"/>
          <w:u w:val="single"/>
          <w:lang w:eastAsia="zh-CN"/>
        </w:rPr>
        <w:t>；</w:t>
      </w:r>
    </w:p>
    <w:p w14:paraId="31E825E5">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5BB219C6">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限公司网站（http://www.dshuanbao.com.cn/）发布。</w:t>
      </w:r>
    </w:p>
    <w:p w14:paraId="11A6C76E">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三、报价人资格要求</w:t>
      </w:r>
    </w:p>
    <w:p w14:paraId="7F86F84D">
      <w:pPr>
        <w:spacing w:before="156"/>
        <w:ind w:firstLine="627" w:firstLineChars="196"/>
        <w:rPr>
          <w:rFonts w:hint="eastAsia" w:ascii="仿宋" w:hAnsi="仿宋" w:eastAsia="仿宋"/>
          <w:sz w:val="32"/>
          <w:szCs w:val="32"/>
        </w:rPr>
      </w:pPr>
      <w:r>
        <w:rPr>
          <w:rFonts w:hint="eastAsia" w:ascii="仿宋" w:hAnsi="仿宋" w:eastAsia="仿宋"/>
          <w:sz w:val="32"/>
          <w:szCs w:val="32"/>
        </w:rPr>
        <w:t>1、报价人必须是具有独立承担民事责任能力的企业或事业单位法人或其它组织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仿宋" w:hAnsi="仿宋" w:eastAsia="仿宋"/>
          <w:sz w:val="32"/>
          <w:szCs w:val="32"/>
          <w:lang w:eastAsia="zh-CN"/>
        </w:rPr>
        <w:t>】</w:t>
      </w:r>
      <w:r>
        <w:rPr>
          <w:rFonts w:hint="eastAsia" w:ascii="仿宋" w:hAnsi="仿宋" w:eastAsia="仿宋"/>
          <w:sz w:val="32"/>
          <w:szCs w:val="32"/>
        </w:rPr>
        <w:t>；</w:t>
      </w:r>
    </w:p>
    <w:p w14:paraId="520DEACF">
      <w:pPr>
        <w:pStyle w:val="20"/>
        <w:rPr>
          <w:rFonts w:hint="eastAsia" w:ascii="仿宋" w:hAnsi="仿宋" w:eastAsia="仿宋"/>
          <w:sz w:val="32"/>
          <w:szCs w:val="32"/>
        </w:rPr>
      </w:pPr>
    </w:p>
    <w:p w14:paraId="22155172">
      <w:pPr>
        <w:pStyle w:val="48"/>
        <w:jc w:val="left"/>
        <w:rPr>
          <w:rFonts w:hint="default" w:eastAsia="仿宋"/>
          <w:lang w:val="en-US" w:eastAsia="zh-CN"/>
        </w:rPr>
      </w:pPr>
      <w:r>
        <w:rPr>
          <w:rFonts w:hint="eastAsia" w:ascii="仿宋" w:hAnsi="仿宋" w:eastAsia="仿宋"/>
          <w:sz w:val="32"/>
          <w:szCs w:val="32"/>
          <w:lang w:val="en-US" w:eastAsia="zh-CN"/>
        </w:rPr>
        <w:t xml:space="preserve">   </w:t>
      </w:r>
      <w:r>
        <w:rPr>
          <w:rFonts w:hint="eastAsia" w:ascii="仿宋" w:hAnsi="仿宋" w:eastAsia="仿宋"/>
          <w:b w:val="0"/>
          <w:bCs/>
          <w:sz w:val="32"/>
          <w:szCs w:val="32"/>
          <w:lang w:val="en-US" w:eastAsia="zh-CN"/>
        </w:rPr>
        <w:t xml:space="preserve"> 2、未被列入东实环境及下属企业相关领域黑名单；</w:t>
      </w:r>
    </w:p>
    <w:p w14:paraId="01B11CBD">
      <w:pPr>
        <w:spacing w:before="156"/>
        <w:ind w:firstLine="627" w:firstLineChars="196"/>
        <w:rPr>
          <w:rFonts w:hint="eastAsia" w:ascii="仿宋" w:hAnsi="仿宋" w:eastAsia="仿宋"/>
          <w:sz w:val="32"/>
          <w:szCs w:val="32"/>
          <w:highlight w:val="none"/>
          <w:lang w:eastAsia="zh-CN"/>
        </w:rPr>
      </w:pPr>
      <w:r>
        <w:rPr>
          <w:rFonts w:hint="eastAsia" w:ascii="仿宋" w:hAnsi="仿宋" w:eastAsia="仿宋" w:cs="仿宋"/>
          <w:sz w:val="32"/>
          <w:szCs w:val="32"/>
          <w:highlight w:val="none"/>
          <w:lang w:val="en-US" w:eastAsia="zh-CN"/>
        </w:rPr>
        <w:t>3、</w:t>
      </w:r>
      <w:r>
        <w:rPr>
          <w:rFonts w:hint="eastAsia" w:ascii="仿宋" w:hAnsi="仿宋" w:eastAsia="仿宋"/>
          <w:sz w:val="32"/>
          <w:szCs w:val="32"/>
          <w:highlight w:val="none"/>
        </w:rPr>
        <w:t>业绩要求：报价人具备广东电网系统内远动系统2M专线改造项目的经验，要求2022年1月1日起至今具有不少于2个的业绩。【按合同签订时间为准，须提供合同关键页复印件（包含但不限于合同首页、合同金额页、合同签字页等）、</w:t>
      </w:r>
      <w:bookmarkStart w:id="1" w:name="_Hlk90414374"/>
      <w:r>
        <w:rPr>
          <w:rFonts w:hint="eastAsia" w:ascii="仿宋" w:hAnsi="仿宋" w:eastAsia="仿宋"/>
          <w:sz w:val="32"/>
          <w:szCs w:val="32"/>
          <w:highlight w:val="none"/>
        </w:rPr>
        <w:t>对应业绩项目合同期内任意一期已开具的发票复印件加盖公章</w:t>
      </w:r>
      <w:bookmarkEnd w:id="1"/>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p>
    <w:p w14:paraId="5815CC68">
      <w:pPr>
        <w:pStyle w:val="20"/>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4、报价人须提供报价截止日前6个月内任意1个月依法缴纳税收及无欠税的证明材料。如依法免税的，须提供相</w:t>
      </w:r>
    </w:p>
    <w:p w14:paraId="0534C084">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应证明材料。【证明材料须加盖公章】</w:t>
      </w:r>
    </w:p>
    <w:p w14:paraId="5A1D8F94">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1C66DCCB">
      <w:pPr>
        <w:spacing w:before="156" w:line="600" w:lineRule="exact"/>
        <w:ind w:firstLine="640" w:firstLineChars="200"/>
        <w:rPr>
          <w:rFonts w:eastAsia="仿宋_GB2312"/>
          <w:color w:val="000000"/>
          <w:sz w:val="32"/>
          <w:szCs w:val="32"/>
        </w:rPr>
      </w:pPr>
      <w:r>
        <w:rPr>
          <w:rFonts w:hint="eastAsia" w:eastAsia="仿宋_GB2312"/>
          <w:color w:val="000000"/>
          <w:sz w:val="32"/>
          <w:szCs w:val="32"/>
        </w:rPr>
        <w:t>1、详见附件</w:t>
      </w:r>
      <w:r>
        <w:rPr>
          <w:rFonts w:hint="eastAsia" w:eastAsia="仿宋_GB2312"/>
          <w:color w:val="000000"/>
          <w:sz w:val="32"/>
          <w:szCs w:val="32"/>
          <w:lang w:val="en-US" w:eastAsia="zh-CN"/>
        </w:rPr>
        <w:t>《东莞市海心沙资源综合利用中心环保热电厂2M专线改造及安防设备重新授权采购项目技术需求书》</w:t>
      </w:r>
      <w:r>
        <w:rPr>
          <w:rFonts w:hint="eastAsia" w:eastAsia="仿宋_GB2312"/>
          <w:color w:val="000000"/>
          <w:sz w:val="32"/>
          <w:szCs w:val="32"/>
          <w:lang w:eastAsia="zh-CN"/>
        </w:rPr>
        <w:t>，</w:t>
      </w:r>
      <w:r>
        <w:rPr>
          <w:rFonts w:hint="eastAsia" w:eastAsia="仿宋_GB2312"/>
          <w:color w:val="000000"/>
          <w:sz w:val="32"/>
          <w:szCs w:val="32"/>
          <w:lang w:val="en-US" w:eastAsia="zh-CN"/>
        </w:rPr>
        <w:t>报价人必须完全响应技术需求书全部要求，本项目不接受负偏离</w:t>
      </w:r>
      <w:r>
        <w:rPr>
          <w:rFonts w:hint="eastAsia" w:eastAsia="仿宋_GB2312"/>
          <w:color w:val="000000"/>
          <w:sz w:val="32"/>
          <w:szCs w:val="32"/>
        </w:rPr>
        <w:t>。</w:t>
      </w:r>
    </w:p>
    <w:p w14:paraId="3C31B032">
      <w:pPr>
        <w:spacing w:before="156" w:line="600" w:lineRule="exact"/>
        <w:ind w:firstLine="640" w:firstLineChars="20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2、质保期：自采购人验收合格之日起为期一年。</w:t>
      </w:r>
    </w:p>
    <w:p w14:paraId="37E64B7B">
      <w:pPr>
        <w:spacing w:before="156" w:line="600" w:lineRule="exact"/>
        <w:ind w:firstLine="640" w:firstLineChars="200"/>
        <w:rPr>
          <w:rFonts w:hint="default"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b/>
          <w:bCs/>
          <w:color w:val="000000" w:themeColor="text1"/>
          <w:sz w:val="32"/>
          <w:szCs w:val="32"/>
          <w:lang w:val="en-US" w:eastAsia="zh-CN"/>
          <w14:textFill>
            <w14:solidFill>
              <w14:schemeClr w14:val="tx1"/>
            </w14:solidFill>
          </w14:textFill>
        </w:rPr>
        <w:t>对项目内容或现场如有疑问，可咨询项目负责人刘工 18669856689。</w:t>
      </w:r>
    </w:p>
    <w:p w14:paraId="6CD3CFEC">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五、服务时间</w:t>
      </w:r>
    </w:p>
    <w:p w14:paraId="4B63703E">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 xml:space="preserve"> 自合同签订之日起30个日历日内完成全部工作并通过采购人验收。</w:t>
      </w:r>
    </w:p>
    <w:p w14:paraId="37B004F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359FC23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5,200.00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5BE0F6DF">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08A66FE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78E6133D">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3C63E649">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7BB1598F">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50848A1F">
      <w:pPr>
        <w:spacing w:before="156" w:line="600" w:lineRule="exact"/>
        <w:ind w:firstLine="640" w:firstLineChars="200"/>
        <w:rPr>
          <w:rFonts w:hint="eastAsia" w:eastAsia="仿宋_GB2312"/>
          <w:color w:val="000000"/>
          <w:sz w:val="32"/>
          <w:szCs w:val="32"/>
          <w:lang w:eastAsia="zh-CN"/>
        </w:rPr>
      </w:pPr>
      <w:bookmarkStart w:id="2" w:name="_Hlk90414088"/>
      <w:r>
        <w:rPr>
          <w:rFonts w:hint="eastAsia" w:eastAsia="仿宋_GB2312"/>
          <w:color w:val="000000"/>
          <w:sz w:val="32"/>
          <w:szCs w:val="32"/>
          <w:lang w:val="en-US" w:eastAsia="zh-CN"/>
        </w:rPr>
        <w:t>1</w:t>
      </w:r>
      <w:r>
        <w:rPr>
          <w:rFonts w:hint="eastAsia" w:eastAsia="仿宋_GB2312"/>
          <w:color w:val="000000"/>
          <w:sz w:val="32"/>
          <w:szCs w:val="32"/>
          <w:lang w:eastAsia="zh-CN"/>
        </w:rPr>
        <w:t>、</w:t>
      </w:r>
      <w:r>
        <w:rPr>
          <w:rFonts w:hint="eastAsia" w:eastAsia="仿宋_GB2312"/>
          <w:color w:val="000000"/>
          <w:sz w:val="32"/>
          <w:szCs w:val="32"/>
          <w:lang w:val="en-US" w:eastAsia="zh-CN"/>
        </w:rPr>
        <w:t>合同签订后，成交人提交等额增值税专用发票及请款资料，采购人在收到上述有效资料之日起20个工作日内向成交人支付至合同金额的20%</w:t>
      </w:r>
      <w:r>
        <w:rPr>
          <w:rFonts w:hint="eastAsia" w:eastAsia="仿宋_GB2312"/>
          <w:color w:val="000000"/>
          <w:sz w:val="32"/>
          <w:szCs w:val="32"/>
          <w:lang w:eastAsia="zh-CN"/>
        </w:rPr>
        <w:t>；</w:t>
      </w:r>
    </w:p>
    <w:p w14:paraId="011E8516">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2、成交人完成全部工作并经采购人验收合格后，成交人提供合同金额100%的增值税专用发票及请款资料，采购人在收到上述有效资料之日起20个工作日内向成交人支付至合同金额的95%；</w:t>
      </w:r>
    </w:p>
    <w:p w14:paraId="2E21D24A">
      <w:pPr>
        <w:spacing w:before="156" w:line="600" w:lineRule="exact"/>
        <w:ind w:firstLine="640" w:firstLineChars="200"/>
        <w:rPr>
          <w:rFonts w:hint="eastAsia"/>
        </w:rPr>
      </w:pPr>
      <w:r>
        <w:rPr>
          <w:rFonts w:hint="eastAsia" w:eastAsia="仿宋_GB2312"/>
          <w:color w:val="000000"/>
          <w:sz w:val="32"/>
          <w:szCs w:val="32"/>
          <w:lang w:val="en-US" w:eastAsia="zh-CN"/>
        </w:rPr>
        <w:t>3、剩余合同金额的5%为质保金，待项目质保期满、合同执行无争议且成交人完成全部质保服务后，成交人提交请款资料，采购人在收到上述有效资料之日起20个工作日内完成支付（采购人有权扣除成交人违约金、赔偿款等应承担的款项后再支付）。</w:t>
      </w:r>
    </w:p>
    <w:p w14:paraId="596FBDEB">
      <w:pPr>
        <w:spacing w:before="156" w:line="600" w:lineRule="exact"/>
        <w:ind w:firstLine="640" w:firstLineChars="200"/>
        <w:rPr>
          <w:rFonts w:eastAsia="仿宋"/>
          <w:sz w:val="32"/>
          <w:szCs w:val="32"/>
        </w:rPr>
      </w:pPr>
      <w:r>
        <w:rPr>
          <w:rFonts w:hint="eastAsia" w:eastAsia="仿宋_GB2312"/>
          <w:color w:val="000000"/>
          <w:sz w:val="32"/>
          <w:szCs w:val="32"/>
          <w:lang w:val="en-US" w:eastAsia="zh-CN"/>
        </w:rPr>
        <w:t>4、</w:t>
      </w:r>
      <w:r>
        <w:rPr>
          <w:rFonts w:hint="eastAsia" w:eastAsia="仿宋_GB2312"/>
          <w:color w:val="000000"/>
          <w:sz w:val="32"/>
          <w:szCs w:val="32"/>
        </w:rPr>
        <w:t>成交人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214E20B1">
      <w:pPr>
        <w:spacing w:before="156" w:line="600" w:lineRule="exact"/>
        <w:ind w:firstLine="640" w:firstLineChars="200"/>
        <w:rPr>
          <w:rFonts w:eastAsia="黑体"/>
          <w:color w:val="000000"/>
          <w:sz w:val="32"/>
          <w:szCs w:val="32"/>
        </w:rPr>
      </w:pPr>
      <w:r>
        <w:rPr>
          <w:rFonts w:hint="eastAsia" w:eastAsia="黑体"/>
          <w:color w:val="000000"/>
          <w:sz w:val="32"/>
          <w:szCs w:val="32"/>
        </w:rPr>
        <w:t>七、报价</w:t>
      </w:r>
    </w:p>
    <w:p w14:paraId="0B7479C8">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w:t>
      </w:r>
      <w:r>
        <w:rPr>
          <w:rFonts w:hint="eastAsia" w:eastAsia="仿宋_GB2312"/>
          <w:color w:val="000000"/>
          <w:sz w:val="32"/>
          <w:szCs w:val="32"/>
          <w:lang w:val="en-US" w:eastAsia="zh-CN"/>
        </w:rPr>
        <w:t>260,000.00</w:t>
      </w:r>
      <w:r>
        <w:rPr>
          <w:rFonts w:hint="eastAsia" w:eastAsia="仿宋_GB2312"/>
          <w:color w:val="000000"/>
          <w:sz w:val="32"/>
          <w:szCs w:val="32"/>
        </w:rPr>
        <w:t>元</w:t>
      </w:r>
    </w:p>
    <w:p w14:paraId="0AC8FAA1">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本项目发包方式为：固定总价包干，实行固定价格报价，包括但不限于：完成本项目的</w:t>
      </w:r>
      <w:r>
        <w:rPr>
          <w:rFonts w:hint="eastAsia" w:eastAsia="仿宋_GB2312"/>
          <w:color w:val="000000"/>
          <w:sz w:val="32"/>
          <w:szCs w:val="32"/>
          <w:lang w:val="en-US" w:eastAsia="zh-CN"/>
        </w:rPr>
        <w:t>设备费、人工</w:t>
      </w:r>
      <w:r>
        <w:rPr>
          <w:rFonts w:hint="eastAsia" w:eastAsia="仿宋_GB2312"/>
          <w:color w:val="000000"/>
          <w:sz w:val="32"/>
          <w:szCs w:val="32"/>
        </w:rPr>
        <w:t>费、</w:t>
      </w:r>
      <w:r>
        <w:rPr>
          <w:rFonts w:hint="eastAsia" w:eastAsia="仿宋_GB2312"/>
          <w:color w:val="000000"/>
          <w:sz w:val="32"/>
          <w:szCs w:val="32"/>
          <w:lang w:val="en-US" w:eastAsia="zh-CN"/>
        </w:rPr>
        <w:t>服务</w:t>
      </w:r>
      <w:r>
        <w:rPr>
          <w:rFonts w:hint="eastAsia" w:eastAsia="仿宋_GB2312"/>
          <w:color w:val="000000"/>
          <w:sz w:val="32"/>
          <w:szCs w:val="32"/>
        </w:rPr>
        <w:t>费、</w:t>
      </w:r>
      <w:r>
        <w:rPr>
          <w:rFonts w:hint="eastAsia" w:eastAsia="仿宋_GB2312"/>
          <w:color w:val="000000"/>
          <w:sz w:val="32"/>
          <w:szCs w:val="32"/>
          <w:lang w:val="en-US" w:eastAsia="zh-CN"/>
        </w:rPr>
        <w:t>授权费</w:t>
      </w:r>
      <w:r>
        <w:rPr>
          <w:rFonts w:hint="eastAsia" w:eastAsia="仿宋_GB2312"/>
          <w:color w:val="000000"/>
          <w:sz w:val="32"/>
          <w:szCs w:val="32"/>
        </w:rPr>
        <w:t>、</w:t>
      </w:r>
      <w:r>
        <w:rPr>
          <w:rFonts w:hint="eastAsia" w:eastAsia="仿宋_GB2312"/>
          <w:color w:val="000000"/>
          <w:sz w:val="32"/>
          <w:szCs w:val="32"/>
          <w:lang w:val="en-US" w:eastAsia="zh-CN"/>
        </w:rPr>
        <w:t>交通费、保险费、</w:t>
      </w:r>
      <w:r>
        <w:rPr>
          <w:rFonts w:hint="eastAsia" w:eastAsia="仿宋_GB2312"/>
          <w:color w:val="000000"/>
          <w:sz w:val="32"/>
          <w:szCs w:val="32"/>
        </w:rPr>
        <w:t>税费等在项目过程中可能产生的一切费用。报价人已充分考虑了本项目实际施工内容及要求描述工作量可能与最终实际工作量存在差距的风险。</w:t>
      </w:r>
    </w:p>
    <w:p w14:paraId="2B7D6303">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6796EF02">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本次项目采用询价方式进行采购，询价小组对各供应商响应文件进行审核，并根据质量和服务均能满足采购文件实质性响应要求且</w:t>
      </w:r>
      <w:bookmarkStart w:id="3" w:name="_Hlk90414243"/>
      <w:r>
        <w:rPr>
          <w:rFonts w:hint="eastAsia" w:eastAsia="仿宋_GB2312"/>
          <w:color w:val="000000"/>
          <w:sz w:val="32"/>
          <w:szCs w:val="32"/>
        </w:rPr>
        <w:t>含税</w:t>
      </w:r>
      <w:bookmarkEnd w:id="3"/>
      <w:r>
        <w:rPr>
          <w:rFonts w:hint="eastAsia" w:eastAsia="仿宋_GB2312"/>
          <w:color w:val="000000"/>
          <w:sz w:val="32"/>
          <w:szCs w:val="32"/>
        </w:rPr>
        <w:t>报价最低的原则，推荐成交候选供应商。</w:t>
      </w:r>
    </w:p>
    <w:p w14:paraId="384667E1">
      <w:pPr>
        <w:spacing w:before="156" w:line="600" w:lineRule="exact"/>
        <w:ind w:firstLine="640" w:firstLineChars="200"/>
        <w:rPr>
          <w:rFonts w:eastAsia="仿宋_GB2312"/>
          <w:color w:val="000000"/>
          <w:sz w:val="32"/>
          <w:szCs w:val="32"/>
        </w:rPr>
      </w:pPr>
      <w:r>
        <w:rPr>
          <w:rFonts w:hint="eastAsia" w:eastAsia="仿宋_GB2312"/>
          <w:color w:val="000000"/>
          <w:sz w:val="32"/>
          <w:szCs w:val="32"/>
        </w:rPr>
        <w:t>询价结束后，采购采购工作小组将相关询价情况按程序审批并确定成交人。</w:t>
      </w:r>
    </w:p>
    <w:p w14:paraId="2F6B8252">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6028107A">
      <w:pPr>
        <w:spacing w:before="156" w:line="600" w:lineRule="exact"/>
        <w:ind w:firstLine="640" w:firstLineChars="200"/>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合同签订的依据为询价函、响应文件及补充说明等。确定成交单位后，成交单位在10天内与采购人签订合同。</w:t>
      </w:r>
    </w:p>
    <w:p w14:paraId="60CE70B4">
      <w:pPr>
        <w:spacing w:before="156" w:line="600" w:lineRule="exact"/>
        <w:ind w:firstLine="640" w:firstLineChars="200"/>
        <w:rPr>
          <w:rFonts w:eastAsia="仿宋_GB2312"/>
          <w:color w:val="000000"/>
          <w:sz w:val="32"/>
          <w:szCs w:val="32"/>
        </w:rPr>
      </w:pPr>
      <w:r>
        <w:rPr>
          <w:rFonts w:hint="eastAsia" w:eastAsia="仿宋_GB2312"/>
          <w:color w:val="000000"/>
          <w:sz w:val="32"/>
          <w:szCs w:val="32"/>
        </w:rPr>
        <w:t>报价人收款前需向采购人提供请款材料和开具合法有效等额的增值税专用发票，否则采购人有权拒绝付款。</w:t>
      </w:r>
    </w:p>
    <w:p w14:paraId="34895F18">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w:t>
      </w:r>
      <w:bookmarkStart w:id="4" w:name="_Hlk90414255"/>
      <w:r>
        <w:rPr>
          <w:rFonts w:hint="eastAsia" w:eastAsia="黑体"/>
          <w:color w:val="000000"/>
          <w:sz w:val="32"/>
          <w:szCs w:val="32"/>
        </w:rPr>
        <w:t>如未按本项要求提供资料</w:t>
      </w:r>
      <w:bookmarkEnd w:id="4"/>
      <w:r>
        <w:rPr>
          <w:rFonts w:hint="eastAsia" w:eastAsia="黑体"/>
          <w:color w:val="000000"/>
          <w:sz w:val="32"/>
          <w:szCs w:val="32"/>
        </w:rPr>
        <w:t>，则作无效报价处理）</w:t>
      </w:r>
    </w:p>
    <w:p w14:paraId="1A7278D8">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w:t>
      </w:r>
      <w:r>
        <w:rPr>
          <w:rFonts w:hint="eastAsia" w:eastAsia="仿宋_GB2312"/>
          <w:color w:val="000000"/>
          <w:sz w:val="32"/>
          <w:szCs w:val="32"/>
          <w:lang w:val="en-US" w:eastAsia="zh-CN"/>
        </w:rPr>
        <w:t>报价人自拟</w:t>
      </w:r>
      <w:r>
        <w:rPr>
          <w:rFonts w:hint="eastAsia" w:eastAsia="仿宋_GB2312"/>
          <w:color w:val="000000"/>
          <w:sz w:val="32"/>
          <w:szCs w:val="32"/>
        </w:rPr>
        <w:t>，必须包含本项目所有的子项报价）（加盖公章）；</w:t>
      </w:r>
    </w:p>
    <w:p w14:paraId="1DB9CC3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6758B091">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5" w:name="_Hlk90414265"/>
      <w:r>
        <w:rPr>
          <w:rFonts w:hint="eastAsia" w:eastAsia="仿宋_GB2312"/>
          <w:color w:val="000000"/>
          <w:sz w:val="32"/>
          <w:szCs w:val="32"/>
        </w:rPr>
        <w:t>（法人本人参加报价不需提供）</w:t>
      </w:r>
      <w:bookmarkEnd w:id="5"/>
      <w:r>
        <w:rPr>
          <w:rFonts w:hint="eastAsia" w:eastAsia="仿宋_GB2312"/>
          <w:color w:val="000000"/>
          <w:sz w:val="32"/>
          <w:szCs w:val="32"/>
        </w:rPr>
        <w:t>（加盖公章）；</w:t>
      </w:r>
    </w:p>
    <w:p w14:paraId="6D2668F3">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4、报价人营业执照复印件（加盖公章）；</w:t>
      </w:r>
    </w:p>
    <w:p w14:paraId="4D550F56">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5、报价人20</w:t>
      </w:r>
      <w:r>
        <w:rPr>
          <w:rFonts w:hint="eastAsia" w:eastAsia="仿宋_GB2312"/>
          <w:color w:val="000000"/>
          <w:sz w:val="32"/>
          <w:szCs w:val="32"/>
          <w:lang w:val="en-US" w:eastAsia="zh-CN"/>
        </w:rPr>
        <w:t>22</w:t>
      </w:r>
      <w:r>
        <w:rPr>
          <w:rFonts w:hint="eastAsia" w:eastAsia="仿宋_GB2312"/>
          <w:color w:val="000000"/>
          <w:sz w:val="32"/>
          <w:szCs w:val="32"/>
        </w:rPr>
        <w:t>年1月1日起至今同类项目业绩合同及发票证明材料（按本项目报价人资格要求提供资料，加盖公章）；</w:t>
      </w:r>
    </w:p>
    <w:p w14:paraId="5254F5AF">
      <w:pPr>
        <w:pStyle w:val="50"/>
        <w:keepNext w:val="0"/>
        <w:keepLines w:val="0"/>
        <w:pageBreakBefore w:val="0"/>
        <w:widowControl w:val="0"/>
        <w:numPr>
          <w:ilvl w:val="0"/>
          <w:numId w:val="0"/>
        </w:numPr>
        <w:kinsoku/>
        <w:wordWrap/>
        <w:overflowPunct/>
        <w:topLinePunct w:val="0"/>
        <w:autoSpaceDE/>
        <w:autoSpaceDN/>
        <w:bidi w:val="0"/>
        <w:adjustRightInd/>
        <w:snapToGrid w:val="0"/>
        <w:spacing w:beforeLines="0" w:line="360" w:lineRule="auto"/>
        <w:ind w:firstLine="640" w:firstLineChars="200"/>
        <w:jc w:val="left"/>
        <w:textAlignment w:val="auto"/>
        <w:rPr>
          <w:rFonts w:hint="eastAsia" w:ascii="仿宋" w:hAnsi="仿宋" w:eastAsia="仿宋"/>
          <w:sz w:val="32"/>
          <w:szCs w:val="32"/>
          <w:highlight w:val="none"/>
          <w:lang w:val="en-US" w:eastAsia="zh-CN"/>
        </w:rPr>
      </w:pPr>
      <w:r>
        <w:rPr>
          <w:rFonts w:hint="eastAsia" w:eastAsia="仿宋_GB2312" w:cs="Times New Roman"/>
          <w:color w:val="000000"/>
          <w:kern w:val="2"/>
          <w:sz w:val="32"/>
          <w:szCs w:val="32"/>
          <w:lang w:val="en-US" w:eastAsia="zh-CN" w:bidi="ar-SA"/>
        </w:rPr>
        <w:t>6、</w:t>
      </w:r>
      <w:r>
        <w:rPr>
          <w:rFonts w:hint="eastAsia" w:ascii="Times New Roman" w:hAnsi="Times New Roman" w:eastAsia="仿宋_GB2312" w:cs="Times New Roman"/>
          <w:color w:val="000000"/>
          <w:kern w:val="2"/>
          <w:sz w:val="32"/>
          <w:szCs w:val="32"/>
          <w:lang w:val="en-US" w:eastAsia="zh-CN" w:bidi="ar-SA"/>
        </w:rPr>
        <w:t>响应人报价截止日前6个月内任意1个月依法缴纳税</w:t>
      </w:r>
      <w:r>
        <w:rPr>
          <w:rFonts w:hint="eastAsia" w:eastAsia="仿宋_GB2312" w:cs="Times New Roman"/>
          <w:color w:val="000000"/>
          <w:kern w:val="2"/>
          <w:sz w:val="32"/>
          <w:szCs w:val="32"/>
          <w:lang w:val="en-US" w:eastAsia="zh-CN" w:bidi="ar-SA"/>
        </w:rPr>
        <w:t>收的证明材料</w:t>
      </w:r>
      <w:r>
        <w:rPr>
          <w:rFonts w:hint="eastAsia" w:ascii="仿宋" w:hAnsi="仿宋" w:eastAsia="仿宋"/>
          <w:sz w:val="32"/>
          <w:szCs w:val="32"/>
          <w:highlight w:val="none"/>
          <w:lang w:val="en-US" w:eastAsia="zh-CN"/>
        </w:rPr>
        <w:t>（如依法免税的，须提供相应证明材料。证明材料须加盖公章）；</w:t>
      </w:r>
    </w:p>
    <w:p w14:paraId="31A595D9">
      <w:pPr>
        <w:pStyle w:val="50"/>
        <w:numPr>
          <w:ilvl w:val="0"/>
          <w:numId w:val="0"/>
        </w:numPr>
        <w:ind w:firstLine="480" w:firstLineChars="150"/>
        <w:rPr>
          <w:rFonts w:hint="eastAsia" w:eastAsia="仿宋_GB2312" w:cs="Times New Roman"/>
          <w:color w:val="000000"/>
          <w:sz w:val="32"/>
          <w:szCs w:val="32"/>
          <w:lang w:val="en-US" w:eastAsia="zh-CN"/>
        </w:rPr>
      </w:pPr>
      <w:r>
        <w:rPr>
          <w:rFonts w:hint="eastAsia" w:ascii="仿宋" w:hAnsi="仿宋" w:eastAsia="仿宋"/>
          <w:sz w:val="32"/>
          <w:szCs w:val="32"/>
          <w:highlight w:val="none"/>
          <w:lang w:val="en-US" w:eastAsia="zh-CN"/>
        </w:rPr>
        <w:t>7、响应人无欠税证明材料（在全国统一规范电子税务局平台开具，证明材料须加盖公章）</w:t>
      </w:r>
      <w:r>
        <w:rPr>
          <w:rFonts w:hint="eastAsia" w:ascii="Times New Roman" w:hAnsi="Times New Roman" w:eastAsia="仿宋_GB2312" w:cs="Times New Roman"/>
          <w:color w:val="000000"/>
          <w:kern w:val="2"/>
          <w:sz w:val="32"/>
          <w:szCs w:val="32"/>
          <w:lang w:val="en-US" w:eastAsia="zh-CN" w:bidi="ar-SA"/>
        </w:rPr>
        <w:t>；</w:t>
      </w:r>
    </w:p>
    <w:p w14:paraId="6C612ED2">
      <w:pPr>
        <w:pStyle w:val="50"/>
        <w:numPr>
          <w:ilvl w:val="0"/>
          <w:numId w:val="0"/>
        </w:numPr>
        <w:ind w:firstLine="480" w:firstLineChars="150"/>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8</w:t>
      </w:r>
      <w:r>
        <w:rPr>
          <w:rFonts w:hint="eastAsia" w:ascii="Times New Roman" w:hAnsi="Times New Roman" w:eastAsia="仿宋_GB2312" w:cs="Times New Roman"/>
          <w:color w:val="000000"/>
          <w:sz w:val="32"/>
          <w:szCs w:val="32"/>
          <w:lang w:val="en-US" w:eastAsia="zh-CN"/>
        </w:rPr>
        <w:t>、</w:t>
      </w:r>
      <w:bookmarkStart w:id="6" w:name="_Hlk90414430"/>
      <w:r>
        <w:rPr>
          <w:rFonts w:hint="eastAsia" w:ascii="Times New Roman" w:hAnsi="Times New Roman" w:eastAsia="仿宋_GB2312" w:cs="Times New Roman"/>
          <w:color w:val="000000"/>
          <w:sz w:val="32"/>
          <w:szCs w:val="32"/>
        </w:rPr>
        <w:t>报价人未到场声明（</w:t>
      </w:r>
      <w:r>
        <w:rPr>
          <w:rFonts w:hint="eastAsia" w:ascii="Times New Roman" w:hAnsi="Times New Roman" w:eastAsia="仿宋_GB2312" w:cs="Times New Roman"/>
          <w:color w:val="000000"/>
          <w:sz w:val="32"/>
          <w:szCs w:val="32"/>
          <w:lang w:val="en-US" w:eastAsia="zh-CN"/>
        </w:rPr>
        <w:t>如不参与现场开标会则必须提供，</w:t>
      </w:r>
      <w:r>
        <w:rPr>
          <w:rFonts w:hint="eastAsia" w:ascii="Times New Roman" w:hAnsi="Times New Roman" w:eastAsia="仿宋_GB2312" w:cs="Times New Roman"/>
          <w:color w:val="000000"/>
          <w:sz w:val="32"/>
          <w:szCs w:val="32"/>
        </w:rPr>
        <w:t>详见附件，加盖公章）</w:t>
      </w:r>
      <w:bookmarkEnd w:id="6"/>
      <w:r>
        <w:rPr>
          <w:rFonts w:hint="eastAsia" w:ascii="Times New Roman" w:hAnsi="Times New Roman" w:eastAsia="仿宋_GB2312" w:cs="Times New Roman"/>
          <w:color w:val="000000"/>
          <w:sz w:val="32"/>
          <w:szCs w:val="32"/>
        </w:rPr>
        <w:t>；</w:t>
      </w:r>
    </w:p>
    <w:p w14:paraId="219D4B63">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9</w:t>
      </w:r>
      <w:r>
        <w:rPr>
          <w:rFonts w:hint="eastAsia" w:eastAsia="仿宋_GB2312"/>
          <w:color w:val="000000"/>
          <w:sz w:val="32"/>
          <w:szCs w:val="32"/>
        </w:rPr>
        <w:t>、</w:t>
      </w:r>
      <w:r>
        <w:rPr>
          <w:rFonts w:hint="eastAsia" w:eastAsia="仿宋_GB2312"/>
          <w:color w:val="000000"/>
          <w:sz w:val="32"/>
          <w:szCs w:val="32"/>
          <w:lang w:val="en-US" w:eastAsia="zh-CN"/>
        </w:rPr>
        <w:t>响应承诺函</w:t>
      </w:r>
      <w:r>
        <w:rPr>
          <w:rFonts w:hint="eastAsia" w:eastAsia="仿宋_GB2312"/>
          <w:color w:val="000000"/>
          <w:sz w:val="32"/>
          <w:szCs w:val="32"/>
        </w:rPr>
        <w:t>（模板，详见附件</w:t>
      </w:r>
      <w:r>
        <w:rPr>
          <w:rFonts w:hint="eastAsia" w:eastAsia="仿宋_GB2312"/>
          <w:color w:val="000000"/>
          <w:sz w:val="32"/>
          <w:szCs w:val="32"/>
          <w:lang w:eastAsia="zh-CN"/>
        </w:rPr>
        <w:t>，</w:t>
      </w:r>
      <w:r>
        <w:rPr>
          <w:rFonts w:hint="eastAsia" w:eastAsia="仿宋_GB2312"/>
          <w:color w:val="000000"/>
          <w:sz w:val="32"/>
          <w:szCs w:val="32"/>
          <w:lang w:val="en-US" w:eastAsia="zh-CN"/>
        </w:rPr>
        <w:t>加盖公章</w:t>
      </w:r>
      <w:r>
        <w:rPr>
          <w:rFonts w:hint="eastAsia" w:eastAsia="仿宋_GB2312"/>
          <w:color w:val="000000"/>
          <w:sz w:val="32"/>
          <w:szCs w:val="32"/>
        </w:rPr>
        <w:t>）</w:t>
      </w:r>
      <w:r>
        <w:rPr>
          <w:rFonts w:hint="eastAsia" w:eastAsia="仿宋_GB2312"/>
          <w:color w:val="000000"/>
          <w:sz w:val="32"/>
          <w:szCs w:val="32"/>
          <w:lang w:eastAsia="zh-CN"/>
        </w:rPr>
        <w:t>；</w:t>
      </w:r>
    </w:p>
    <w:p w14:paraId="08584D17">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10、</w:t>
      </w:r>
      <w:r>
        <w:rPr>
          <w:rFonts w:hint="eastAsia" w:eastAsia="仿宋_GB2312"/>
          <w:color w:val="000000"/>
          <w:sz w:val="32"/>
          <w:szCs w:val="32"/>
        </w:rPr>
        <w:t>本项目询价文件要求的其他资料（如有）。</w:t>
      </w:r>
    </w:p>
    <w:p w14:paraId="399BC234">
      <w:pPr>
        <w:adjustRightInd w:val="0"/>
        <w:snapToGrid w:val="0"/>
        <w:spacing w:before="156" w:line="600" w:lineRule="exact"/>
        <w:ind w:firstLine="640" w:firstLineChars="200"/>
        <w:outlineLvl w:val="1"/>
        <w:rPr>
          <w:rFonts w:eastAsia="黑体"/>
          <w:b/>
          <w:bCs/>
          <w:color w:val="000000"/>
          <w:sz w:val="32"/>
          <w:szCs w:val="32"/>
        </w:rPr>
      </w:pPr>
      <w:bookmarkStart w:id="7" w:name="_Hlk90416918"/>
      <w:r>
        <w:rPr>
          <w:rFonts w:eastAsia="黑体"/>
          <w:color w:val="000000"/>
          <w:sz w:val="32"/>
          <w:szCs w:val="32"/>
        </w:rPr>
        <w:sym w:font="Wingdings" w:char="F0AB"/>
      </w:r>
      <w:r>
        <w:rPr>
          <w:rFonts w:hint="eastAsia" w:eastAsia="黑体"/>
          <w:b/>
          <w:bCs/>
          <w:color w:val="000000"/>
          <w:sz w:val="32"/>
          <w:szCs w:val="32"/>
        </w:rPr>
        <w:t>十一、响应文件份数</w:t>
      </w:r>
      <w:bookmarkStart w:id="8" w:name="_Hlk90414502"/>
      <w:r>
        <w:rPr>
          <w:rFonts w:hint="eastAsia" w:eastAsia="黑体"/>
          <w:b/>
          <w:bCs/>
          <w:color w:val="000000"/>
          <w:sz w:val="32"/>
          <w:szCs w:val="32"/>
        </w:rPr>
        <w:t>及要求</w:t>
      </w:r>
      <w:bookmarkEnd w:id="7"/>
      <w:bookmarkEnd w:id="8"/>
    </w:p>
    <w:p w14:paraId="50256754">
      <w:pPr>
        <w:spacing w:before="156" w:line="600" w:lineRule="exact"/>
        <w:ind w:firstLine="640" w:firstLineChars="200"/>
        <w:rPr>
          <w:rFonts w:eastAsia="仿宋_GB2312"/>
          <w:color w:val="000000"/>
          <w:sz w:val="32"/>
          <w:szCs w:val="32"/>
        </w:rPr>
      </w:pPr>
      <w:bookmarkStart w:id="9" w:name="_Hlk90414511"/>
      <w:r>
        <w:rPr>
          <w:rFonts w:hint="eastAsia" w:eastAsia="仿宋_GB2312"/>
          <w:color w:val="000000"/>
          <w:sz w:val="32"/>
          <w:szCs w:val="32"/>
        </w:rPr>
        <w:t>1、正本一份、副本一份。</w:t>
      </w:r>
    </w:p>
    <w:p w14:paraId="5274475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2、报价人须严格按照采购人提供的表单格式及要求报价，响应文件必须装订或胶装成册，正本必须每页加盖公章，副本可使用正本复印件并于封面及骑缝处加盖公章。</w:t>
      </w:r>
    </w:p>
    <w:p w14:paraId="1A475C71">
      <w:pPr>
        <w:spacing w:before="156" w:line="600" w:lineRule="exact"/>
        <w:ind w:firstLine="640" w:firstLineChars="200"/>
        <w:rPr>
          <w:rFonts w:eastAsia="仿宋_GB2312"/>
          <w:color w:val="000000"/>
          <w:sz w:val="32"/>
          <w:szCs w:val="32"/>
        </w:rPr>
      </w:pPr>
      <w:r>
        <w:rPr>
          <w:rFonts w:hint="eastAsia" w:eastAsia="仿宋_GB2312"/>
          <w:color w:val="000000"/>
          <w:sz w:val="32"/>
          <w:szCs w:val="32"/>
        </w:rPr>
        <w:t>3、响应文件必须密封完好，装有响应文件的文件袋须贴有密封条，于骑缝处加盖企业公章。不得以快递文件袋作为密封。</w:t>
      </w:r>
    </w:p>
    <w:p w14:paraId="39507C3D">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4、报价人所递交的响应文件必须为盖章原件，公章、私章或签字不得为彩色/黑白的打印件/复印件。</w:t>
      </w:r>
    </w:p>
    <w:p w14:paraId="162B5E46">
      <w:pPr>
        <w:spacing w:before="156" w:line="600" w:lineRule="exact"/>
        <w:ind w:firstLine="643" w:firstLineChars="200"/>
        <w:rPr>
          <w:rFonts w:eastAsia="仿宋_GB2312"/>
          <w:b/>
          <w:bCs/>
          <w:color w:val="000000"/>
          <w:sz w:val="32"/>
          <w:szCs w:val="32"/>
        </w:rPr>
      </w:pPr>
      <w:r>
        <w:rPr>
          <w:rFonts w:hint="eastAsia" w:eastAsia="仿宋_GB2312"/>
          <w:b/>
          <w:bCs/>
          <w:color w:val="000000"/>
          <w:sz w:val="32"/>
          <w:szCs w:val="32"/>
        </w:rPr>
        <w:t>5、报价人需将本项目密封文件袋封面（附件一）粘贴于响应文件密封袋上。</w:t>
      </w:r>
    </w:p>
    <w:p w14:paraId="0B892904">
      <w:pPr>
        <w:spacing w:before="156" w:line="600" w:lineRule="exact"/>
        <w:ind w:firstLine="643" w:firstLineChars="200"/>
        <w:rPr>
          <w:rFonts w:eastAsia="仿宋_GB2312"/>
          <w:b/>
          <w:bCs/>
          <w:color w:val="000000"/>
          <w:sz w:val="32"/>
          <w:szCs w:val="32"/>
        </w:rPr>
      </w:pPr>
      <w:r>
        <w:rPr>
          <w:rFonts w:hint="eastAsia" w:eastAsia="仿宋_GB2312"/>
          <w:b/>
          <w:bCs/>
          <w:color w:val="000000"/>
          <w:sz w:val="32"/>
          <w:szCs w:val="32"/>
        </w:rPr>
        <w:t>6、不符合本项要求的响应文件为无效报价。</w:t>
      </w:r>
      <w:bookmarkEnd w:id="9"/>
    </w:p>
    <w:p w14:paraId="089C0BA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0D1B4C9B">
      <w:pPr>
        <w:spacing w:before="156" w:line="600" w:lineRule="exact"/>
        <w:ind w:firstLine="643" w:firstLineChars="200"/>
        <w:rPr>
          <w:rFonts w:eastAsia="仿宋_GB2312"/>
          <w:b/>
          <w:color w:val="000000"/>
          <w:sz w:val="32"/>
          <w:szCs w:val="32"/>
        </w:rPr>
      </w:pPr>
      <w:bookmarkStart w:id="10" w:name="_Hlk90417299"/>
      <w:r>
        <w:rPr>
          <w:rFonts w:hint="eastAsia" w:eastAsia="仿宋_GB2312"/>
          <w:b/>
          <w:color w:val="000000"/>
          <w:sz w:val="32"/>
          <w:szCs w:val="32"/>
        </w:rPr>
        <w:t>开标时间：</w:t>
      </w:r>
      <w:r>
        <w:rPr>
          <w:rFonts w:hint="eastAsia" w:eastAsia="仿宋_GB2312"/>
          <w:b/>
          <w:color w:val="000000"/>
          <w:sz w:val="32"/>
          <w:szCs w:val="32"/>
          <w:u w:val="single"/>
          <w:lang w:val="en-US" w:eastAsia="zh-CN"/>
        </w:rPr>
        <w:t>2025</w:t>
      </w:r>
      <w:r>
        <w:rPr>
          <w:rFonts w:hint="eastAsia" w:eastAsia="仿宋_GB2312"/>
          <w:b/>
          <w:color w:val="000000"/>
          <w:sz w:val="32"/>
          <w:szCs w:val="32"/>
        </w:rPr>
        <w:t>年</w:t>
      </w:r>
      <w:r>
        <w:rPr>
          <w:rFonts w:hint="eastAsia" w:eastAsia="仿宋_GB2312"/>
          <w:b/>
          <w:color w:val="000000"/>
          <w:sz w:val="32"/>
          <w:szCs w:val="32"/>
          <w:u w:val="single"/>
          <w:lang w:val="en-US" w:eastAsia="zh-CN"/>
        </w:rPr>
        <w:t xml:space="preserve"> 10</w:t>
      </w:r>
      <w:r>
        <w:rPr>
          <w:rFonts w:hint="eastAsia" w:eastAsia="仿宋_GB2312"/>
          <w:b/>
          <w:color w:val="000000"/>
          <w:sz w:val="32"/>
          <w:szCs w:val="32"/>
        </w:rPr>
        <w:t>月</w:t>
      </w:r>
      <w:r>
        <w:rPr>
          <w:rFonts w:hint="eastAsia" w:eastAsia="仿宋_GB2312"/>
          <w:b/>
          <w:color w:val="000000"/>
          <w:sz w:val="32"/>
          <w:szCs w:val="32"/>
          <w:u w:val="single"/>
          <w:lang w:val="en-US" w:eastAsia="zh-CN"/>
        </w:rPr>
        <w:t xml:space="preserve"> 21</w:t>
      </w:r>
      <w:r>
        <w:rPr>
          <w:rFonts w:hint="eastAsia" w:eastAsia="仿宋_GB2312"/>
          <w:b/>
          <w:color w:val="000000"/>
          <w:sz w:val="32"/>
          <w:szCs w:val="32"/>
        </w:rPr>
        <w:t>日（</w:t>
      </w:r>
      <w:r>
        <w:rPr>
          <w:rFonts w:hint="eastAsia" w:eastAsia="仿宋_GB2312"/>
          <w:b/>
          <w:color w:val="000000"/>
          <w:sz w:val="32"/>
          <w:szCs w:val="32"/>
          <w:u w:val="single"/>
        </w:rPr>
        <w:t>星期</w:t>
      </w:r>
      <w:r>
        <w:rPr>
          <w:rFonts w:hint="eastAsia" w:eastAsia="仿宋_GB2312"/>
          <w:b/>
          <w:color w:val="000000"/>
          <w:sz w:val="32"/>
          <w:szCs w:val="32"/>
          <w:u w:val="single"/>
          <w:lang w:val="en-US" w:eastAsia="zh-CN"/>
        </w:rPr>
        <w:t>二）</w:t>
      </w:r>
      <w:r>
        <w:rPr>
          <w:rFonts w:hint="eastAsia" w:eastAsia="仿宋_GB2312"/>
          <w:b/>
          <w:color w:val="000000"/>
          <w:sz w:val="32"/>
          <w:szCs w:val="32"/>
          <w:lang w:val="en-US" w:eastAsia="zh-CN"/>
        </w:rPr>
        <w:t>上</w:t>
      </w:r>
      <w:r>
        <w:rPr>
          <w:rFonts w:hint="eastAsia" w:eastAsia="仿宋_GB2312"/>
          <w:b/>
          <w:color w:val="000000"/>
          <w:sz w:val="32"/>
          <w:szCs w:val="32"/>
        </w:rPr>
        <w:t>午</w:t>
      </w:r>
      <w:r>
        <w:rPr>
          <w:rFonts w:hint="eastAsia" w:eastAsia="仿宋_GB2312"/>
          <w:b/>
          <w:color w:val="000000"/>
          <w:sz w:val="32"/>
          <w:szCs w:val="32"/>
          <w:lang w:val="en-US" w:eastAsia="zh-CN"/>
        </w:rPr>
        <w:t>10：00</w:t>
      </w:r>
    </w:p>
    <w:bookmarkEnd w:id="10"/>
    <w:p w14:paraId="60CF069C">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本项目报价人可选择现场递交报价文件或邮寄报价文件，其中：</w:t>
      </w:r>
    </w:p>
    <w:p w14:paraId="497790AE">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55C705E8">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报价人提交报价文件地址：东莞市麻涌镇大步村海心沙岛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54768C31">
      <w:pPr>
        <w:pStyle w:val="20"/>
        <w:rPr>
          <w:rFonts w:hint="eastAsia" w:eastAsia="宋体"/>
          <w:lang w:eastAsia="zh-CN"/>
        </w:rPr>
      </w:pPr>
      <w:r>
        <w:rPr>
          <w:rFonts w:hint="eastAsia" w:eastAsia="宋体"/>
          <w:lang w:eastAsia="zh-CN"/>
        </w:rPr>
        <w:drawing>
          <wp:inline distT="0" distB="0" distL="114300" distR="114300">
            <wp:extent cx="5261610" cy="3798570"/>
            <wp:effectExtent l="0" t="0" r="8890" b="1143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5261610" cy="3798570"/>
                    </a:xfrm>
                    <a:prstGeom prst="rect">
                      <a:avLst/>
                    </a:prstGeom>
                  </pic:spPr>
                </pic:pic>
              </a:graphicData>
            </a:graphic>
          </wp:inline>
        </w:drawing>
      </w:r>
    </w:p>
    <w:p w14:paraId="21F8B91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必须确保响应文件密封完好，在开标截止时间前一日送达采购人处，须使用顺丰速运提前寄送（运费自理，采购人拒收到付件），因邮寄造成响应文件破损无效或文件丢失的责任由报价人自负，因快递派件人员无工作证等原因（如顺丰即日达）造成快递派件问题的责任由报价人自负，开标时间后送达的响应文件无效。</w:t>
      </w:r>
    </w:p>
    <w:p w14:paraId="7E51ADC8">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45C6F167">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2F5754C5">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w:t>
      </w:r>
    </w:p>
    <w:p w14:paraId="0013164A">
      <w:pPr>
        <w:spacing w:before="156"/>
        <w:rPr>
          <w:rFonts w:eastAsia="黑体"/>
          <w:color w:val="000000"/>
          <w:sz w:val="32"/>
          <w:szCs w:val="32"/>
        </w:rPr>
      </w:pPr>
      <w:r>
        <w:rPr>
          <w:rFonts w:hint="eastAsia" w:eastAsia="黑体"/>
          <w:color w:val="000000"/>
          <w:sz w:val="32"/>
          <w:szCs w:val="32"/>
        </w:rPr>
        <w:t>十三、注意事项</w:t>
      </w:r>
    </w:p>
    <w:p w14:paraId="44F37500">
      <w:pPr>
        <w:spacing w:before="156" w:line="600" w:lineRule="exact"/>
        <w:ind w:firstLine="640" w:firstLineChars="200"/>
        <w:rPr>
          <w:rFonts w:eastAsia="仿宋_GB2312"/>
          <w:color w:val="000000"/>
          <w:sz w:val="32"/>
          <w:szCs w:val="32"/>
        </w:rPr>
      </w:pPr>
      <w:bookmarkStart w:id="11" w:name="_Hlk517879660"/>
      <w:r>
        <w:rPr>
          <w:rFonts w:hint="eastAsia" w:eastAsia="仿宋_GB2312"/>
          <w:color w:val="000000"/>
          <w:sz w:val="32"/>
          <w:szCs w:val="32"/>
        </w:rPr>
        <w:t>1、若报价人未按规定时间递交响应文件，视为放弃报价资格。</w:t>
      </w:r>
    </w:p>
    <w:bookmarkEnd w:id="11"/>
    <w:p w14:paraId="5426AA51">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2、报价人如未按要求交纳报价保证金，则视为放弃报价资格。</w:t>
      </w:r>
    </w:p>
    <w:p w14:paraId="67B224B9">
      <w:pPr>
        <w:spacing w:before="156" w:line="600" w:lineRule="exact"/>
        <w:ind w:firstLine="640" w:firstLineChars="200"/>
        <w:rPr>
          <w:rFonts w:eastAsia="仿宋_GB2312"/>
          <w:color w:val="000000"/>
          <w:sz w:val="32"/>
          <w:szCs w:val="32"/>
        </w:rPr>
      </w:pPr>
      <w:r>
        <w:rPr>
          <w:rFonts w:hint="eastAsia" w:eastAsia="仿宋_GB2312"/>
          <w:color w:val="000000"/>
          <w:sz w:val="32"/>
          <w:szCs w:val="32"/>
        </w:rPr>
        <w:t>3、采购人向报价人提供的有关资料和数据，是采购人现有的能使报价人利用的资料，采购人对报价人由此而做出的推论、理解和结论概不负责。</w:t>
      </w:r>
    </w:p>
    <w:p w14:paraId="5351D29C">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4、本项目执行过程中将遵循国家、省、市有关法律、法规、标准、技术规范和规范性文件的最新规定。</w:t>
      </w:r>
    </w:p>
    <w:p w14:paraId="506D165F">
      <w:pPr>
        <w:spacing w:before="156" w:line="600" w:lineRule="exact"/>
        <w:ind w:firstLine="640" w:firstLineChars="200"/>
        <w:rPr>
          <w:rFonts w:eastAsia="仿宋_GB2312"/>
          <w:color w:val="000000"/>
          <w:sz w:val="32"/>
          <w:szCs w:val="32"/>
        </w:rPr>
      </w:pPr>
      <w:r>
        <w:rPr>
          <w:rFonts w:hint="eastAsia" w:eastAsia="仿宋_GB2312"/>
          <w:color w:val="000000"/>
          <w:sz w:val="32"/>
          <w:szCs w:val="32"/>
        </w:rPr>
        <w:t>5、本项目仅可提交一个报价方案，提交两个或以上报价方案的报价人视为无效报价。</w:t>
      </w:r>
    </w:p>
    <w:p w14:paraId="5C3E577A">
      <w:pPr>
        <w:spacing w:before="156" w:line="600" w:lineRule="exact"/>
        <w:ind w:firstLine="640" w:firstLineChars="200"/>
        <w:rPr>
          <w:rFonts w:eastAsia="仿宋_GB2312"/>
          <w:color w:val="000000"/>
          <w:sz w:val="32"/>
          <w:szCs w:val="32"/>
        </w:rPr>
      </w:pPr>
      <w:r>
        <w:rPr>
          <w:rFonts w:hint="eastAsia" w:eastAsia="仿宋_GB2312"/>
          <w:color w:val="000000"/>
          <w:sz w:val="32"/>
          <w:szCs w:val="32"/>
        </w:rPr>
        <w:t>6、本项目不接受报价人其他附加条件。</w:t>
      </w:r>
    </w:p>
    <w:p w14:paraId="14AA7547">
      <w:pPr>
        <w:spacing w:before="156" w:line="600" w:lineRule="exact"/>
        <w:ind w:firstLine="640" w:firstLineChars="200"/>
        <w:rPr>
          <w:rFonts w:eastAsia="仿宋_GB2312"/>
          <w:color w:val="000000"/>
          <w:sz w:val="32"/>
          <w:szCs w:val="32"/>
        </w:rPr>
      </w:pPr>
      <w:r>
        <w:rPr>
          <w:rFonts w:hint="eastAsia" w:eastAsia="仿宋_GB2312"/>
          <w:color w:val="000000"/>
          <w:sz w:val="32"/>
          <w:szCs w:val="32"/>
        </w:rPr>
        <w:t>7、有下列情形之一的，报价保证金将被没收，报价人纳入采购人供应商黑名单：</w:t>
      </w:r>
    </w:p>
    <w:p w14:paraId="67AF26B8">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1）中标后无正当理由放弃中标或不与采购人签订合同，又或者签订合同后不交定金（履约保证金）的。</w:t>
      </w:r>
    </w:p>
    <w:p w14:paraId="5C55D9E1">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2）成交人将本项目转让给他人，或者在响应文件中未说明，且未经采购人同意，将中标项目分包给他人，采购人可没收其报价保证金。</w:t>
      </w:r>
    </w:p>
    <w:p w14:paraId="7D41D6D4">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3）报价人提供虚假响应文件或虚假补充文件。</w:t>
      </w:r>
    </w:p>
    <w:p w14:paraId="0360E237">
      <w:pPr>
        <w:spacing w:before="156" w:line="60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）成交人在签订合同后，未按合同约定缴纳履约保证金。</w:t>
      </w:r>
    </w:p>
    <w:p w14:paraId="3506EE50">
      <w:pPr>
        <w:spacing w:before="156" w:line="600" w:lineRule="exact"/>
        <w:ind w:firstLine="640" w:firstLineChars="200"/>
        <w:rPr>
          <w:rFonts w:eastAsia="仿宋_GB2312"/>
          <w:color w:val="000000"/>
          <w:sz w:val="32"/>
          <w:szCs w:val="32"/>
        </w:rPr>
      </w:pPr>
      <w:r>
        <w:rPr>
          <w:rFonts w:hint="eastAsia" w:eastAsia="仿宋_GB2312"/>
          <w:color w:val="000000"/>
          <w:sz w:val="32"/>
          <w:szCs w:val="32"/>
        </w:rPr>
        <w:t>8、有下列情形之一的，视为报价人串通</w:t>
      </w:r>
      <w:r>
        <w:rPr>
          <w:rFonts w:hint="eastAsia" w:eastAsia="仿宋_GB2312"/>
          <w:color w:val="000000"/>
          <w:sz w:val="32"/>
          <w:szCs w:val="32"/>
          <w:lang w:val="en-US" w:eastAsia="zh-CN"/>
        </w:rPr>
        <w:t>报价</w:t>
      </w:r>
      <w:r>
        <w:rPr>
          <w:rFonts w:hint="eastAsia" w:eastAsia="仿宋_GB2312"/>
          <w:color w:val="000000"/>
          <w:sz w:val="32"/>
          <w:szCs w:val="32"/>
        </w:rPr>
        <w:t>，其</w:t>
      </w:r>
      <w:r>
        <w:rPr>
          <w:rFonts w:hint="eastAsia" w:eastAsia="仿宋_GB2312"/>
          <w:color w:val="000000"/>
          <w:sz w:val="32"/>
          <w:szCs w:val="32"/>
          <w:lang w:val="en-US" w:eastAsia="zh-CN"/>
        </w:rPr>
        <w:t>响应</w:t>
      </w:r>
      <w:r>
        <w:rPr>
          <w:rFonts w:hint="eastAsia" w:eastAsia="仿宋_GB2312"/>
          <w:color w:val="000000"/>
          <w:sz w:val="32"/>
          <w:szCs w:val="32"/>
        </w:rPr>
        <w:t>无效</w:t>
      </w:r>
      <w:r>
        <w:rPr>
          <w:rFonts w:hint="eastAsia" w:eastAsia="仿宋_GB2312"/>
          <w:color w:val="000000"/>
          <w:sz w:val="32"/>
          <w:szCs w:val="32"/>
          <w:lang w:eastAsia="zh-CN"/>
        </w:rPr>
        <w:t>，并纳入采购人供应商黑名单</w:t>
      </w:r>
      <w:r>
        <w:rPr>
          <w:rFonts w:hint="eastAsia" w:eastAsia="仿宋_GB2312"/>
          <w:color w:val="000000"/>
          <w:sz w:val="32"/>
          <w:szCs w:val="32"/>
        </w:rPr>
        <w:t>：</w:t>
      </w:r>
    </w:p>
    <w:p w14:paraId="3CF0EB4F">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（1）不同报价人的响应文件由同一单位或者个人编制；</w:t>
      </w:r>
    </w:p>
    <w:p w14:paraId="57FC2A6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（2）不同报价人委托同一单位或者个人办理报价事宜；</w:t>
      </w:r>
    </w:p>
    <w:p w14:paraId="484F3557">
      <w:pPr>
        <w:spacing w:before="156" w:line="600" w:lineRule="exact"/>
        <w:ind w:firstLine="640" w:firstLineChars="200"/>
        <w:rPr>
          <w:rFonts w:eastAsia="仿宋_GB2312"/>
          <w:color w:val="000000"/>
          <w:sz w:val="32"/>
          <w:szCs w:val="32"/>
        </w:rPr>
      </w:pPr>
      <w:r>
        <w:rPr>
          <w:rFonts w:hint="eastAsia" w:eastAsia="仿宋_GB2312"/>
          <w:color w:val="000000"/>
          <w:sz w:val="32"/>
          <w:szCs w:val="32"/>
        </w:rPr>
        <w:t>（3）不同报价人的响应文件载明的项目管理成员或者联系人员为同一人；</w:t>
      </w:r>
    </w:p>
    <w:p w14:paraId="3677A33B">
      <w:pPr>
        <w:spacing w:before="156" w:line="600" w:lineRule="exact"/>
        <w:ind w:firstLine="640" w:firstLineChars="200"/>
        <w:rPr>
          <w:rFonts w:eastAsia="仿宋_GB2312"/>
          <w:color w:val="000000"/>
          <w:sz w:val="32"/>
          <w:szCs w:val="32"/>
        </w:rPr>
      </w:pPr>
      <w:r>
        <w:rPr>
          <w:rFonts w:hint="eastAsia" w:eastAsia="仿宋_GB2312"/>
          <w:color w:val="000000"/>
          <w:sz w:val="32"/>
          <w:szCs w:val="32"/>
        </w:rPr>
        <w:t>（4）不同报价人的响应文件异常一致或者报价呈规律性差异；</w:t>
      </w:r>
    </w:p>
    <w:p w14:paraId="3986AF35">
      <w:pPr>
        <w:spacing w:before="156" w:line="600" w:lineRule="exact"/>
        <w:ind w:firstLine="640" w:firstLineChars="200"/>
        <w:rPr>
          <w:rFonts w:eastAsia="仿宋_GB2312"/>
          <w:color w:val="000000"/>
          <w:sz w:val="32"/>
          <w:szCs w:val="32"/>
        </w:rPr>
      </w:pPr>
      <w:r>
        <w:rPr>
          <w:rFonts w:hint="eastAsia" w:eastAsia="仿宋_GB2312"/>
          <w:color w:val="000000"/>
          <w:sz w:val="32"/>
          <w:szCs w:val="32"/>
        </w:rPr>
        <w:t>（5）不同报价人的响应文件相互混装；</w:t>
      </w:r>
    </w:p>
    <w:p w14:paraId="25DEF179">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（6）不同报价人的报价保证金从同一单位或者个人的账户转出。</w:t>
      </w:r>
    </w:p>
    <w:p w14:paraId="74D04482">
      <w:pPr>
        <w:spacing w:before="156" w:line="600" w:lineRule="exact"/>
        <w:ind w:firstLine="640" w:firstLineChars="200"/>
        <w:rPr>
          <w:rFonts w:eastAsia="仿宋_GB2312"/>
          <w:color w:val="000000"/>
          <w:sz w:val="32"/>
          <w:szCs w:val="32"/>
        </w:rPr>
      </w:pPr>
      <w:r>
        <w:rPr>
          <w:rFonts w:hint="eastAsia" w:eastAsia="仿宋_GB2312"/>
          <w:color w:val="000000"/>
          <w:sz w:val="32"/>
          <w:szCs w:val="32"/>
        </w:rPr>
        <w:t>9、已列入采购人及上级单位部门黑名单的报价人的响应文件视为无效。</w:t>
      </w:r>
    </w:p>
    <w:p w14:paraId="0044E05A">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59FB1DA9">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lang w:val="en-US" w:eastAsia="zh-CN"/>
        </w:rPr>
        <w:t>2025</w:t>
      </w:r>
      <w:r>
        <w:rPr>
          <w:rFonts w:hint="eastAsia" w:eastAsia="仿宋_GB2312"/>
          <w:color w:val="000000"/>
          <w:sz w:val="32"/>
          <w:szCs w:val="32"/>
        </w:rPr>
        <w:t>年</w:t>
      </w:r>
      <w:r>
        <w:rPr>
          <w:rFonts w:hint="eastAsia" w:eastAsia="仿宋_GB2312"/>
          <w:color w:val="000000"/>
          <w:sz w:val="32"/>
          <w:szCs w:val="32"/>
          <w:lang w:val="en-US" w:eastAsia="zh-CN"/>
        </w:rPr>
        <w:t>10</w:t>
      </w:r>
      <w:r>
        <w:rPr>
          <w:rFonts w:hint="eastAsia" w:eastAsia="仿宋_GB2312"/>
          <w:color w:val="000000"/>
          <w:sz w:val="32"/>
          <w:szCs w:val="32"/>
        </w:rPr>
        <w:t>月</w:t>
      </w:r>
      <w:r>
        <w:rPr>
          <w:rFonts w:hint="eastAsia" w:eastAsia="仿宋_GB2312"/>
          <w:color w:val="000000"/>
          <w:sz w:val="32"/>
          <w:szCs w:val="32"/>
          <w:lang w:val="en-US" w:eastAsia="zh-CN"/>
        </w:rPr>
        <w:t>13</w:t>
      </w:r>
      <w:r>
        <w:rPr>
          <w:rFonts w:hint="eastAsia" w:eastAsia="仿宋_GB2312"/>
          <w:color w:val="000000"/>
          <w:sz w:val="32"/>
          <w:szCs w:val="32"/>
        </w:rPr>
        <w:t>日</w:t>
      </w:r>
    </w:p>
    <w:p w14:paraId="5A5C3201">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136774D5">
      <w:pPr>
        <w:pStyle w:val="255"/>
        <w:numPr>
          <w:ilvl w:val="0"/>
          <w:numId w:val="5"/>
        </w:numPr>
        <w:spacing w:before="156"/>
        <w:ind w:left="420" w:firstLineChars="0"/>
        <w:outlineLvl w:val="1"/>
        <w:rPr>
          <w:rFonts w:ascii="仿宋" w:hAnsi="仿宋" w:eastAsia="仿宋"/>
          <w:b/>
          <w:bCs/>
          <w:sz w:val="28"/>
          <w:szCs w:val="44"/>
        </w:rPr>
      </w:pPr>
      <w:bookmarkStart w:id="12" w:name="_Hlk524442005"/>
      <w:r>
        <w:rPr>
          <w:rFonts w:hint="eastAsia" w:ascii="仿宋" w:hAnsi="仿宋" w:eastAsia="仿宋"/>
          <w:b/>
          <w:bCs/>
          <w:sz w:val="28"/>
          <w:szCs w:val="44"/>
        </w:rPr>
        <w:t>密封文件袋封面</w:t>
      </w:r>
    </w:p>
    <w:p w14:paraId="2FE78547">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lang w:eastAsia="zh-CN"/>
        </w:rPr>
        <w:t>东莞市海心沙资源综合利用中心环保热电厂2M专线改造及安防设备重新授权采购项目</w:t>
      </w:r>
      <w:r>
        <w:rPr>
          <w:rFonts w:hint="eastAsia" w:ascii="仿宋" w:hAnsi="仿宋" w:eastAsia="仿宋"/>
          <w:b/>
          <w:bCs/>
          <w:sz w:val="52"/>
          <w:szCs w:val="52"/>
        </w:rPr>
        <w:t>响应文件</w:t>
      </w:r>
    </w:p>
    <w:p w14:paraId="009598C7">
      <w:pPr>
        <w:spacing w:before="156"/>
        <w:rPr>
          <w:rFonts w:ascii="仿宋" w:hAnsi="仿宋" w:eastAsia="仿宋"/>
          <w:sz w:val="32"/>
          <w:szCs w:val="32"/>
        </w:rPr>
      </w:pPr>
    </w:p>
    <w:p w14:paraId="00B8D677">
      <w:pPr>
        <w:spacing w:before="156"/>
        <w:rPr>
          <w:rFonts w:ascii="仿宋" w:hAnsi="仿宋" w:eastAsia="仿宋"/>
          <w:sz w:val="32"/>
          <w:szCs w:val="32"/>
        </w:rPr>
      </w:pPr>
    </w:p>
    <w:p w14:paraId="4488C733">
      <w:pPr>
        <w:spacing w:before="156"/>
        <w:rPr>
          <w:rFonts w:ascii="仿宋" w:hAnsi="仿宋" w:eastAsia="仿宋"/>
          <w:sz w:val="32"/>
          <w:szCs w:val="32"/>
        </w:rPr>
      </w:pPr>
    </w:p>
    <w:p w14:paraId="06D1F8FF">
      <w:pPr>
        <w:spacing w:before="156"/>
        <w:rPr>
          <w:rFonts w:ascii="仿宋" w:hAnsi="仿宋" w:eastAsia="仿宋"/>
          <w:sz w:val="32"/>
          <w:szCs w:val="32"/>
        </w:rPr>
      </w:pPr>
    </w:p>
    <w:p w14:paraId="5C97763F">
      <w:pPr>
        <w:spacing w:before="156"/>
        <w:rPr>
          <w:rFonts w:ascii="仿宋" w:hAnsi="仿宋" w:eastAsia="仿宋"/>
          <w:sz w:val="32"/>
          <w:szCs w:val="32"/>
        </w:rPr>
      </w:pPr>
    </w:p>
    <w:p w14:paraId="1A3360F4">
      <w:pPr>
        <w:spacing w:before="156"/>
        <w:ind w:firstLine="566" w:firstLineChars="177"/>
        <w:rPr>
          <w:rFonts w:ascii="仿宋" w:hAnsi="仿宋" w:eastAsia="仿宋"/>
          <w:sz w:val="32"/>
          <w:szCs w:val="32"/>
        </w:rPr>
      </w:pPr>
      <w:r>
        <w:rPr>
          <w:rFonts w:hint="eastAsia" w:ascii="仿宋" w:hAnsi="仿宋" w:eastAsia="仿宋"/>
          <w:sz w:val="32"/>
          <w:szCs w:val="32"/>
        </w:rPr>
        <w:t>报价人名称（加盖公章）：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7F391880">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47C4FF2A">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32251672">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050B675D">
      <w:pPr>
        <w:pStyle w:val="2"/>
        <w:spacing w:before="156"/>
        <w:ind w:left="0" w:leftChars="0" w:firstLine="480"/>
      </w:pPr>
    </w:p>
    <w:p w14:paraId="14F474E5">
      <w:pPr>
        <w:pStyle w:val="2"/>
        <w:spacing w:before="156"/>
        <w:ind w:left="0" w:leftChars="0" w:firstLine="480"/>
      </w:pPr>
    </w:p>
    <w:p w14:paraId="7DA88B62">
      <w:pPr>
        <w:pStyle w:val="2"/>
        <w:spacing w:before="156"/>
        <w:ind w:left="0" w:leftChars="0" w:firstLine="480"/>
      </w:pPr>
    </w:p>
    <w:p w14:paraId="331EC649">
      <w:pPr>
        <w:pStyle w:val="2"/>
        <w:spacing w:before="156"/>
        <w:ind w:left="0" w:leftChars="0" w:firstLine="480"/>
      </w:pPr>
    </w:p>
    <w:p w14:paraId="17F1D4CC">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34A1896C">
      <w:pPr>
        <w:spacing w:before="156"/>
        <w:jc w:val="center"/>
        <w:rPr>
          <w:rFonts w:ascii="仿宋" w:hAnsi="仿宋" w:eastAsia="仿宋"/>
          <w:sz w:val="44"/>
          <w:szCs w:val="44"/>
        </w:rPr>
      </w:pPr>
      <w:r>
        <w:rPr>
          <w:rFonts w:ascii="仿宋" w:hAnsi="仿宋" w:eastAsia="仿宋"/>
          <w:sz w:val="44"/>
          <w:szCs w:val="44"/>
        </w:rPr>
        <w:t>报价函</w:t>
      </w:r>
    </w:p>
    <w:p w14:paraId="69583F6A">
      <w:pPr>
        <w:spacing w:before="156"/>
        <w:ind w:firstLine="560"/>
        <w:rPr>
          <w:rFonts w:ascii="仿宋" w:hAnsi="仿宋" w:eastAsia="仿宋"/>
          <w:sz w:val="32"/>
          <w:szCs w:val="32"/>
        </w:rPr>
      </w:pPr>
    </w:p>
    <w:p w14:paraId="69A41EF6">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26E2392C">
      <w:pPr>
        <w:spacing w:before="156"/>
        <w:ind w:firstLine="640" w:firstLineChars="200"/>
        <w:rPr>
          <w:rFonts w:ascii="仿宋" w:hAnsi="仿宋" w:eastAsia="仿宋"/>
          <w:sz w:val="32"/>
          <w:szCs w:val="32"/>
        </w:rPr>
      </w:pPr>
      <w:r>
        <w:rPr>
          <w:rFonts w:ascii="仿宋" w:hAnsi="仿宋" w:eastAsia="仿宋"/>
          <w:sz w:val="32"/>
          <w:szCs w:val="32"/>
        </w:rPr>
        <w:t>针对贵司关于</w:t>
      </w:r>
      <w:r>
        <w:rPr>
          <w:rFonts w:hint="eastAsia" w:ascii="仿宋" w:hAnsi="仿宋" w:eastAsia="仿宋"/>
          <w:sz w:val="32"/>
          <w:szCs w:val="32"/>
          <w:lang w:eastAsia="zh-CN"/>
        </w:rPr>
        <w:t>东莞市海心沙资源综合利用中心环保热电厂2M专线改造及安防设备重新授权采购项目</w:t>
      </w:r>
      <w:r>
        <w:rPr>
          <w:rFonts w:ascii="仿宋" w:hAnsi="仿宋" w:eastAsia="仿宋"/>
          <w:sz w:val="32"/>
          <w:szCs w:val="32"/>
        </w:rPr>
        <w:t>，我司愿意以价税合计人民币xxxx元（大写），</w:t>
      </w:r>
      <w:r>
        <w:rPr>
          <w:rFonts w:ascii="Calibri" w:hAnsi="Calibri" w:eastAsia="仿宋" w:cs="Calibri"/>
          <w:sz w:val="32"/>
          <w:szCs w:val="32"/>
        </w:rPr>
        <w:t>¥</w:t>
      </w:r>
      <w:r>
        <w:rPr>
          <w:rFonts w:ascii="仿宋" w:hAnsi="仿宋" w:eastAsia="仿宋"/>
          <w:sz w:val="32"/>
          <w:szCs w:val="32"/>
        </w:rPr>
        <w:t>xxx.00（小写）</w:t>
      </w:r>
      <w:r>
        <w:rPr>
          <w:rFonts w:hint="eastAsia" w:ascii="仿宋" w:hAnsi="仿宋" w:eastAsia="仿宋"/>
          <w:sz w:val="32"/>
          <w:szCs w:val="32"/>
        </w:rPr>
        <w:t>承接此项目的工作</w:t>
      </w:r>
      <w:r>
        <w:rPr>
          <w:rFonts w:hint="eastAsia" w:ascii="仿宋" w:hAnsi="仿宋" w:eastAsia="仿宋"/>
          <w:sz w:val="32"/>
          <w:szCs w:val="32"/>
          <w:lang w:eastAsia="zh-CN"/>
        </w:rPr>
        <w:t>，</w:t>
      </w:r>
      <w:r>
        <w:rPr>
          <w:rFonts w:hint="eastAsia" w:ascii="仿宋" w:hAnsi="仿宋" w:eastAsia="仿宋"/>
          <w:sz w:val="32"/>
          <w:szCs w:val="32"/>
        </w:rPr>
        <w:t>开具增值税专用发票。</w:t>
      </w:r>
    </w:p>
    <w:p w14:paraId="46D754B0">
      <w:pPr>
        <w:spacing w:before="156"/>
        <w:rPr>
          <w:rFonts w:ascii="仿宋" w:hAnsi="仿宋" w:eastAsia="仿宋"/>
          <w:sz w:val="32"/>
          <w:szCs w:val="32"/>
        </w:rPr>
      </w:pPr>
    </w:p>
    <w:p w14:paraId="4885B5EB">
      <w:pPr>
        <w:spacing w:before="156"/>
        <w:rPr>
          <w:rFonts w:ascii="仿宋" w:hAnsi="仿宋" w:eastAsia="仿宋"/>
          <w:sz w:val="32"/>
          <w:szCs w:val="32"/>
        </w:rPr>
      </w:pPr>
    </w:p>
    <w:p w14:paraId="65F6802B">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0A2CAFC9">
      <w:pPr>
        <w:wordWrap w:val="0"/>
        <w:spacing w:before="156"/>
        <w:rPr>
          <w:rFonts w:ascii="仿宋" w:hAnsi="仿宋" w:eastAsia="仿宋"/>
          <w:sz w:val="32"/>
          <w:szCs w:val="32"/>
        </w:rPr>
      </w:pPr>
      <w:r>
        <w:rPr>
          <w:rFonts w:ascii="仿宋" w:hAnsi="仿宋" w:eastAsia="仿宋"/>
          <w:sz w:val="32"/>
          <w:szCs w:val="32"/>
        </w:rPr>
        <w:t>法定代表人（签名或盖章）：</w:t>
      </w:r>
    </w:p>
    <w:p w14:paraId="7A026CE0">
      <w:pPr>
        <w:wordWrap w:val="0"/>
        <w:spacing w:before="156"/>
        <w:rPr>
          <w:rFonts w:ascii="仿宋" w:hAnsi="仿宋" w:eastAsia="仿宋"/>
          <w:sz w:val="32"/>
          <w:szCs w:val="32"/>
        </w:rPr>
      </w:pPr>
      <w:r>
        <w:rPr>
          <w:rFonts w:ascii="仿宋" w:hAnsi="仿宋" w:eastAsia="仿宋"/>
          <w:sz w:val="32"/>
          <w:szCs w:val="32"/>
        </w:rPr>
        <w:t>联系人：</w:t>
      </w:r>
    </w:p>
    <w:p w14:paraId="32480CA8">
      <w:pPr>
        <w:wordWrap w:val="0"/>
        <w:spacing w:before="156"/>
        <w:rPr>
          <w:rFonts w:ascii="仿宋" w:hAnsi="仿宋" w:eastAsia="仿宋"/>
          <w:sz w:val="32"/>
          <w:szCs w:val="32"/>
        </w:rPr>
      </w:pPr>
      <w:r>
        <w:rPr>
          <w:rFonts w:ascii="仿宋" w:hAnsi="仿宋" w:eastAsia="仿宋"/>
          <w:sz w:val="32"/>
          <w:szCs w:val="32"/>
        </w:rPr>
        <w:t>联系电话：</w:t>
      </w:r>
    </w:p>
    <w:p w14:paraId="1D98ECC8">
      <w:pPr>
        <w:wordWrap w:val="0"/>
        <w:spacing w:before="156"/>
        <w:rPr>
          <w:rFonts w:ascii="仿宋" w:hAnsi="仿宋" w:eastAsia="仿宋"/>
          <w:sz w:val="32"/>
          <w:szCs w:val="32"/>
        </w:rPr>
      </w:pPr>
      <w:r>
        <w:rPr>
          <w:rFonts w:ascii="仿宋" w:hAnsi="仿宋" w:eastAsia="仿宋"/>
          <w:sz w:val="32"/>
          <w:szCs w:val="32"/>
        </w:rPr>
        <w:t>日期：</w:t>
      </w:r>
    </w:p>
    <w:p w14:paraId="6F38AA16">
      <w:pPr>
        <w:spacing w:before="156"/>
        <w:rPr>
          <w:rFonts w:ascii="宋体" w:hAnsi="宋体"/>
          <w:sz w:val="36"/>
          <w:szCs w:val="36"/>
        </w:rPr>
      </w:pPr>
    </w:p>
    <w:p w14:paraId="7B84EF2D">
      <w:pPr>
        <w:widowControl/>
        <w:spacing w:beforeLines="0" w:line="240" w:lineRule="auto"/>
        <w:rPr>
          <w:rFonts w:ascii="宋体" w:hAnsi="宋体"/>
          <w:sz w:val="36"/>
          <w:szCs w:val="36"/>
        </w:rPr>
      </w:pPr>
      <w:r>
        <w:rPr>
          <w:rFonts w:ascii="宋体" w:hAnsi="宋体"/>
          <w:sz w:val="36"/>
          <w:szCs w:val="36"/>
        </w:rPr>
        <w:br w:type="page"/>
      </w:r>
    </w:p>
    <w:p w14:paraId="559F065B">
      <w:pPr>
        <w:spacing w:before="156"/>
        <w:jc w:val="center"/>
        <w:rPr>
          <w:rFonts w:ascii="宋体" w:hAnsi="宋体"/>
          <w:sz w:val="32"/>
          <w:szCs w:val="32"/>
        </w:rPr>
      </w:pPr>
      <w:r>
        <w:rPr>
          <w:rFonts w:hint="eastAsia" w:ascii="宋体" w:hAnsi="宋体"/>
          <w:sz w:val="36"/>
          <w:szCs w:val="36"/>
        </w:rPr>
        <w:t>报价清单（</w:t>
      </w:r>
      <w:r>
        <w:rPr>
          <w:rFonts w:hint="eastAsia" w:ascii="宋体" w:hAnsi="宋体"/>
          <w:sz w:val="36"/>
          <w:szCs w:val="36"/>
          <w:lang w:val="en-US" w:eastAsia="zh-CN"/>
        </w:rPr>
        <w:t>格式自拟</w:t>
      </w:r>
      <w:r>
        <w:rPr>
          <w:rFonts w:hint="eastAsia" w:ascii="宋体" w:hAnsi="宋体"/>
          <w:sz w:val="36"/>
          <w:szCs w:val="36"/>
        </w:rPr>
        <w:t>）</w:t>
      </w:r>
    </w:p>
    <w:p w14:paraId="719291C9">
      <w:pPr>
        <w:wordWrap w:val="0"/>
        <w:spacing w:before="156"/>
        <w:rPr>
          <w:rFonts w:ascii="仿宋" w:hAnsi="仿宋" w:eastAsia="仿宋"/>
          <w:sz w:val="32"/>
          <w:szCs w:val="32"/>
        </w:rPr>
      </w:pPr>
    </w:p>
    <w:p w14:paraId="45A32286">
      <w:pPr>
        <w:wordWrap w:val="0"/>
        <w:spacing w:before="156"/>
        <w:rPr>
          <w:rFonts w:ascii="仿宋" w:hAnsi="仿宋" w:eastAsia="仿宋"/>
          <w:sz w:val="32"/>
          <w:szCs w:val="32"/>
        </w:rPr>
      </w:pPr>
    </w:p>
    <w:p w14:paraId="147901CF">
      <w:pPr>
        <w:wordWrap w:val="0"/>
        <w:spacing w:before="156"/>
        <w:rPr>
          <w:rFonts w:ascii="仿宋" w:hAnsi="仿宋" w:eastAsia="仿宋"/>
          <w:sz w:val="32"/>
          <w:szCs w:val="32"/>
        </w:rPr>
      </w:pPr>
    </w:p>
    <w:p w14:paraId="79C8A7F2">
      <w:pPr>
        <w:wordWrap w:val="0"/>
        <w:spacing w:before="156"/>
        <w:rPr>
          <w:rFonts w:ascii="仿宋" w:hAnsi="仿宋" w:eastAsia="仿宋"/>
          <w:sz w:val="32"/>
          <w:szCs w:val="32"/>
        </w:rPr>
      </w:pPr>
    </w:p>
    <w:p w14:paraId="2578D3CB">
      <w:pPr>
        <w:wordWrap w:val="0"/>
        <w:spacing w:before="156"/>
        <w:rPr>
          <w:rFonts w:ascii="仿宋" w:hAnsi="仿宋" w:eastAsia="仿宋"/>
          <w:sz w:val="32"/>
          <w:szCs w:val="32"/>
        </w:rPr>
      </w:pPr>
    </w:p>
    <w:p w14:paraId="590BD9E5">
      <w:pPr>
        <w:wordWrap w:val="0"/>
        <w:spacing w:before="156"/>
        <w:rPr>
          <w:rFonts w:ascii="仿宋" w:hAnsi="仿宋" w:eastAsia="仿宋"/>
          <w:sz w:val="32"/>
          <w:szCs w:val="32"/>
        </w:rPr>
      </w:pPr>
    </w:p>
    <w:p w14:paraId="67923886">
      <w:pPr>
        <w:wordWrap w:val="0"/>
        <w:spacing w:before="156"/>
        <w:rPr>
          <w:rFonts w:ascii="仿宋" w:hAnsi="仿宋" w:eastAsia="仿宋"/>
          <w:sz w:val="32"/>
          <w:szCs w:val="32"/>
        </w:rPr>
      </w:pPr>
    </w:p>
    <w:p w14:paraId="374D2BD2">
      <w:pPr>
        <w:wordWrap w:val="0"/>
        <w:spacing w:before="156"/>
        <w:rPr>
          <w:rFonts w:ascii="仿宋" w:hAnsi="仿宋" w:eastAsia="仿宋"/>
          <w:sz w:val="32"/>
          <w:szCs w:val="32"/>
        </w:rPr>
      </w:pPr>
    </w:p>
    <w:p w14:paraId="207B346C">
      <w:pPr>
        <w:wordWrap w:val="0"/>
        <w:spacing w:before="156"/>
        <w:rPr>
          <w:rFonts w:ascii="仿宋" w:hAnsi="仿宋" w:eastAsia="仿宋"/>
          <w:sz w:val="32"/>
          <w:szCs w:val="32"/>
        </w:rPr>
      </w:pPr>
    </w:p>
    <w:p w14:paraId="037AE5F3">
      <w:pPr>
        <w:wordWrap w:val="0"/>
        <w:spacing w:before="156"/>
        <w:rPr>
          <w:rFonts w:ascii="仿宋" w:hAnsi="仿宋" w:eastAsia="仿宋"/>
          <w:sz w:val="32"/>
          <w:szCs w:val="32"/>
        </w:rPr>
      </w:pPr>
    </w:p>
    <w:p w14:paraId="07F36015">
      <w:pPr>
        <w:wordWrap w:val="0"/>
        <w:spacing w:before="156"/>
        <w:rPr>
          <w:rFonts w:ascii="仿宋" w:hAnsi="仿宋" w:eastAsia="仿宋"/>
          <w:sz w:val="32"/>
          <w:szCs w:val="32"/>
        </w:rPr>
      </w:pPr>
    </w:p>
    <w:p w14:paraId="40836C17">
      <w:pPr>
        <w:wordWrap w:val="0"/>
        <w:spacing w:before="156"/>
        <w:rPr>
          <w:rFonts w:ascii="仿宋" w:hAnsi="仿宋" w:eastAsia="仿宋"/>
          <w:sz w:val="32"/>
          <w:szCs w:val="32"/>
        </w:rPr>
      </w:pPr>
    </w:p>
    <w:p w14:paraId="62E172A1">
      <w:pPr>
        <w:wordWrap w:val="0"/>
        <w:spacing w:before="156"/>
        <w:rPr>
          <w:rFonts w:ascii="仿宋" w:hAnsi="仿宋" w:eastAsia="仿宋"/>
          <w:sz w:val="32"/>
          <w:szCs w:val="32"/>
        </w:rPr>
      </w:pPr>
    </w:p>
    <w:p w14:paraId="3258D85F">
      <w:pPr>
        <w:widowControl/>
        <w:spacing w:beforeLines="0" w:line="240" w:lineRule="auto"/>
        <w:rPr>
          <w:rFonts w:asciiTheme="minorEastAsia" w:hAnsiTheme="minorEastAsia" w:eastAsiaTheme="minorEastAsia"/>
          <w:b/>
          <w:sz w:val="52"/>
          <w:szCs w:val="52"/>
        </w:rPr>
      </w:pPr>
      <w:r>
        <w:rPr>
          <w:rFonts w:asciiTheme="minorEastAsia" w:hAnsiTheme="minorEastAsia" w:eastAsiaTheme="minorEastAsia"/>
          <w:b/>
          <w:sz w:val="52"/>
          <w:szCs w:val="52"/>
        </w:rPr>
        <w:br w:type="page"/>
      </w:r>
    </w:p>
    <w:p w14:paraId="667F3F04">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58580008">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7FB726DC">
      <w:pPr>
        <w:spacing w:before="156"/>
        <w:rPr>
          <w:rFonts w:ascii="仿宋" w:hAnsi="仿宋" w:eastAsia="仿宋"/>
          <w:sz w:val="32"/>
          <w:szCs w:val="32"/>
        </w:rPr>
      </w:pPr>
    </w:p>
    <w:p w14:paraId="61A33519">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15D721CC">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rPr>
        <w:t>报价人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309CFF84">
      <w:pPr>
        <w:spacing w:before="156"/>
        <w:ind w:firstLine="480" w:firstLineChars="150"/>
        <w:rPr>
          <w:rFonts w:ascii="仿宋" w:hAnsi="仿宋" w:eastAsia="仿宋"/>
          <w:sz w:val="32"/>
          <w:szCs w:val="32"/>
        </w:rPr>
      </w:pPr>
      <w:r>
        <w:rPr>
          <w:rFonts w:ascii="仿宋" w:hAnsi="仿宋" w:eastAsia="仿宋"/>
          <w:sz w:val="32"/>
          <w:szCs w:val="32"/>
        </w:rPr>
        <w:t>特此证明</w:t>
      </w:r>
    </w:p>
    <w:p w14:paraId="6A830B99">
      <w:pPr>
        <w:spacing w:before="156"/>
        <w:rPr>
          <w:rFonts w:ascii="仿宋" w:hAnsi="仿宋" w:eastAsia="仿宋"/>
          <w:sz w:val="32"/>
          <w:szCs w:val="32"/>
        </w:rPr>
      </w:pPr>
    </w:p>
    <w:p w14:paraId="00630349">
      <w:pPr>
        <w:spacing w:before="156"/>
        <w:rPr>
          <w:rFonts w:ascii="仿宋" w:hAnsi="仿宋" w:eastAsia="仿宋"/>
          <w:sz w:val="32"/>
          <w:szCs w:val="32"/>
        </w:rPr>
      </w:pPr>
    </w:p>
    <w:p w14:paraId="79448094">
      <w:pPr>
        <w:spacing w:before="156"/>
        <w:rPr>
          <w:rFonts w:ascii="仿宋" w:hAnsi="仿宋" w:eastAsia="仿宋"/>
          <w:sz w:val="32"/>
          <w:szCs w:val="32"/>
        </w:rPr>
      </w:pPr>
    </w:p>
    <w:p w14:paraId="0D361AC0">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5462E8F3">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地址：</w:t>
      </w:r>
    </w:p>
    <w:p w14:paraId="746D8D57">
      <w:pPr>
        <w:spacing w:before="156"/>
        <w:rPr>
          <w:rFonts w:ascii="仿宋" w:hAnsi="仿宋" w:eastAsia="仿宋"/>
          <w:sz w:val="32"/>
          <w:szCs w:val="32"/>
        </w:rPr>
      </w:pPr>
      <w:r>
        <w:rPr>
          <w:rFonts w:ascii="仿宋" w:hAnsi="仿宋" w:eastAsia="仿宋"/>
          <w:sz w:val="32"/>
          <w:szCs w:val="32"/>
        </w:rPr>
        <w:t>法定代表人（签名或盖私章）：</w:t>
      </w:r>
    </w:p>
    <w:p w14:paraId="0F541723">
      <w:pPr>
        <w:spacing w:before="156"/>
        <w:rPr>
          <w:rFonts w:ascii="仿宋" w:hAnsi="仿宋" w:eastAsia="仿宋"/>
          <w:sz w:val="32"/>
          <w:szCs w:val="32"/>
        </w:rPr>
      </w:pPr>
      <w:r>
        <w:rPr>
          <w:rFonts w:ascii="仿宋" w:hAnsi="仿宋" w:eastAsia="仿宋"/>
          <w:sz w:val="32"/>
          <w:szCs w:val="32"/>
        </w:rPr>
        <w:t>职务：</w:t>
      </w:r>
    </w:p>
    <w:p w14:paraId="5B07BCF7">
      <w:pPr>
        <w:pStyle w:val="2"/>
        <w:spacing w:before="156"/>
        <w:ind w:left="480" w:firstLine="480"/>
      </w:pPr>
      <w:r>
        <w:br w:type="page"/>
      </w:r>
    </w:p>
    <w:p w14:paraId="406A060D">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36E44598">
      <w:pPr>
        <w:spacing w:before="156"/>
        <w:rPr>
          <w:rFonts w:ascii="仿宋" w:hAnsi="仿宋" w:eastAsia="仿宋"/>
          <w:sz w:val="32"/>
          <w:szCs w:val="32"/>
        </w:rPr>
      </w:pPr>
    </w:p>
    <w:p w14:paraId="223C15EB">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1940906E">
      <w:pPr>
        <w:widowControl/>
        <w:spacing w:before="156"/>
        <w:jc w:val="center"/>
        <w:rPr>
          <w:rFonts w:ascii="仿宋" w:hAnsi="仿宋" w:eastAsia="仿宋"/>
          <w:sz w:val="32"/>
          <w:szCs w:val="32"/>
        </w:rPr>
      </w:pPr>
      <w:r>
        <w:rPr>
          <w:rFonts w:ascii="仿宋" w:hAnsi="仿宋" w:eastAsia="仿宋"/>
          <w:b/>
          <w:sz w:val="32"/>
          <w:szCs w:val="32"/>
        </w:rPr>
        <w:t>授权委托书</w:t>
      </w:r>
    </w:p>
    <w:p w14:paraId="23FFFC9F">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3BE4FD2E">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填写报价人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ascii="仿宋" w:hAnsi="仿宋" w:eastAsia="仿宋"/>
          <w:sz w:val="32"/>
          <w:szCs w:val="32"/>
          <w:lang w:eastAsia="zh-CN"/>
        </w:rPr>
        <w:t>东莞市海心沙资源综合利用中心环保热电厂2M专线改造及安防设备重新授权采购项目</w:t>
      </w:r>
      <w:r>
        <w:rPr>
          <w:rFonts w:ascii="仿宋" w:hAnsi="仿宋" w:eastAsia="仿宋"/>
          <w:sz w:val="32"/>
          <w:szCs w:val="32"/>
        </w:rPr>
        <w:t>的</w:t>
      </w:r>
      <w:r>
        <w:rPr>
          <w:rFonts w:hint="eastAsia" w:ascii="仿宋" w:hAnsi="仿宋" w:eastAsia="仿宋"/>
          <w:sz w:val="32"/>
          <w:szCs w:val="32"/>
          <w:lang w:val="en-US" w:eastAsia="zh-CN"/>
        </w:rPr>
        <w:t>报价、</w:t>
      </w:r>
      <w:r>
        <w:rPr>
          <w:rFonts w:ascii="仿宋" w:hAnsi="仿宋" w:eastAsia="仿宋"/>
          <w:sz w:val="32"/>
          <w:szCs w:val="32"/>
        </w:rPr>
        <w:t>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4A123E54">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3874A871">
      <w:pPr>
        <w:pStyle w:val="256"/>
        <w:spacing w:before="156" w:line="360" w:lineRule="auto"/>
        <w:ind w:right="160" w:firstLine="0" w:firstLineChars="0"/>
        <w:rPr>
          <w:rFonts w:hint="eastAsia" w:ascii="仿宋" w:hAnsi="仿宋" w:eastAsia="仿宋"/>
          <w:sz w:val="32"/>
          <w:szCs w:val="32"/>
        </w:rPr>
      </w:pPr>
    </w:p>
    <w:p w14:paraId="22BD706B">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1CAEA3BB">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73B9BA4B">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02777550">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45D4DF98">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16187897">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4EFEE944">
      <w:pPr>
        <w:widowControl/>
        <w:spacing w:beforeLines="0" w:line="240" w:lineRule="auto"/>
      </w:pPr>
      <w:r>
        <w:br w:type="page"/>
      </w:r>
    </w:p>
    <w:p w14:paraId="36196E7E">
      <w:pPr>
        <w:pStyle w:val="2"/>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69A1CA16">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66F92E78">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12"/>
    <w:p w14:paraId="1EEEE1CE">
      <w:pPr>
        <w:pStyle w:val="255"/>
        <w:numPr>
          <w:ilvl w:val="0"/>
          <w:numId w:val="5"/>
        </w:numPr>
        <w:spacing w:before="120"/>
        <w:ind w:left="420" w:firstLineChars="0"/>
        <w:outlineLvl w:val="1"/>
        <w:rPr>
          <w:rFonts w:hint="eastAsia" w:ascii="仿宋" w:hAnsi="仿宋" w:eastAsia="仿宋" w:cs="仿宋"/>
          <w:b/>
          <w:bCs/>
          <w:sz w:val="28"/>
          <w:szCs w:val="28"/>
        </w:rPr>
      </w:pPr>
      <w:r>
        <w:rPr>
          <w:rFonts w:hint="eastAsia" w:ascii="仿宋" w:hAnsi="仿宋" w:eastAsia="仿宋" w:cs="仿宋"/>
          <w:b/>
          <w:bCs/>
          <w:sz w:val="28"/>
          <w:szCs w:val="28"/>
        </w:rPr>
        <w:t>报价人未到场声明</w:t>
      </w:r>
    </w:p>
    <w:p w14:paraId="1FC7EFA7">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bCs w:val="0"/>
          <w:sz w:val="32"/>
          <w:szCs w:val="32"/>
        </w:rPr>
        <w:t>报价人未到场声明</w:t>
      </w:r>
    </w:p>
    <w:p w14:paraId="567B3EFE">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东莞市新东元环保投资有限公司：</w:t>
      </w:r>
    </w:p>
    <w:p w14:paraId="4C1F36EC">
      <w:pPr>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我司就参加东莞市海心沙资源综合利用中心环保热电厂2M专线改造及安防设备重新授权采购项目报价工作，作出郑重说明：</w:t>
      </w:r>
    </w:p>
    <w:p w14:paraId="376F1A5F">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我司保证响应文件及其后提供的一切材料都是真实的；</w:t>
      </w:r>
    </w:p>
    <w:p w14:paraId="01A76112">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我司因</w:t>
      </w:r>
      <w:r>
        <w:rPr>
          <w:rFonts w:hint="eastAsia" w:ascii="仿宋" w:hAnsi="仿宋" w:eastAsia="仿宋" w:cs="Times New Roman"/>
          <w:kern w:val="0"/>
          <w:sz w:val="32"/>
          <w:szCs w:val="32"/>
          <w:u w:val="single"/>
          <w:lang w:val="en-US" w:eastAsia="zh-CN" w:bidi="ar-SA"/>
        </w:rPr>
        <w:t xml:space="preserve">          </w:t>
      </w:r>
      <w:r>
        <w:rPr>
          <w:rFonts w:hint="eastAsia" w:ascii="仿宋" w:hAnsi="仿宋" w:eastAsia="仿宋" w:cs="Times New Roman"/>
          <w:kern w:val="0"/>
          <w:sz w:val="32"/>
          <w:szCs w:val="32"/>
          <w:lang w:val="en-US" w:eastAsia="zh-CN" w:bidi="ar-SA"/>
        </w:rPr>
        <w:t>原因情况未能到现场参加开标工作，对开标结果不存在任何异议。</w:t>
      </w:r>
    </w:p>
    <w:p w14:paraId="6DE01811">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 xml:space="preserve"> </w:t>
      </w:r>
    </w:p>
    <w:p w14:paraId="4B104BF8">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 xml:space="preserve"> </w:t>
      </w:r>
    </w:p>
    <w:p w14:paraId="55BB8D62">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 xml:space="preserve"> </w:t>
      </w:r>
    </w:p>
    <w:p w14:paraId="4BEB4DFE">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 xml:space="preserve"> </w:t>
      </w:r>
    </w:p>
    <w:p w14:paraId="49EC0A47">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报价人名称（加盖公章）：</w:t>
      </w:r>
    </w:p>
    <w:p w14:paraId="188A2766">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法定代表人（签字或盖章）：</w:t>
      </w:r>
    </w:p>
    <w:p w14:paraId="4488F1FE">
      <w:pPr>
        <w:keepNext w:val="0"/>
        <w:keepLines w:val="0"/>
        <w:pageBreakBefore w:val="0"/>
        <w:widowControl w:val="0"/>
        <w:kinsoku/>
        <w:wordWrap/>
        <w:overflowPunct/>
        <w:topLinePunct w:val="0"/>
        <w:autoSpaceDE/>
        <w:autoSpaceDN/>
        <w:bidi w:val="0"/>
        <w:adjustRightInd/>
        <w:snapToGrid/>
        <w:spacing w:beforeLines="0" w:line="240" w:lineRule="auto"/>
        <w:ind w:firstLine="0" w:firstLineChars="0"/>
        <w:textAlignment w:val="auto"/>
        <w:rPr>
          <w:rFonts w:hint="eastAsia"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日期：</w:t>
      </w:r>
    </w:p>
    <w:p w14:paraId="21A8F935">
      <w:pPr>
        <w:spacing w:before="0"/>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FAAF420">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val="en-US" w:eastAsia="zh-CN"/>
        </w:rPr>
        <w:t>响应承诺函</w:t>
      </w:r>
    </w:p>
    <w:p w14:paraId="18A49057">
      <w:pPr>
        <w:pStyle w:val="255"/>
        <w:ind w:firstLine="0" w:firstLineChars="0"/>
        <w:jc w:val="center"/>
        <w:rPr>
          <w:rFonts w:hint="eastAsia" w:eastAsia="仿宋_GB2312"/>
          <w:b/>
          <w:color w:val="000000"/>
          <w:sz w:val="32"/>
          <w:szCs w:val="32"/>
          <w:lang w:val="en-US" w:eastAsia="zh-CN"/>
        </w:rPr>
      </w:pPr>
      <w:r>
        <w:rPr>
          <w:rFonts w:hint="eastAsia" w:eastAsia="仿宋_GB2312"/>
          <w:b/>
          <w:color w:val="000000"/>
          <w:sz w:val="32"/>
          <w:szCs w:val="32"/>
          <w:lang w:val="en-US" w:eastAsia="zh-CN"/>
        </w:rPr>
        <w:t>响应</w:t>
      </w:r>
      <w:r>
        <w:rPr>
          <w:rFonts w:hint="eastAsia" w:eastAsia="仿宋_GB2312"/>
          <w:b/>
          <w:color w:val="000000"/>
          <w:sz w:val="32"/>
          <w:szCs w:val="32"/>
        </w:rPr>
        <w:t>承诺</w:t>
      </w:r>
      <w:r>
        <w:rPr>
          <w:rFonts w:hint="eastAsia" w:eastAsia="仿宋_GB2312"/>
          <w:b/>
          <w:color w:val="000000"/>
          <w:sz w:val="32"/>
          <w:szCs w:val="32"/>
          <w:lang w:val="en-US" w:eastAsia="zh-CN"/>
        </w:rPr>
        <w:t>函</w:t>
      </w:r>
    </w:p>
    <w:p w14:paraId="641EFE6C">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lang w:val="en-US" w:eastAsia="zh-CN"/>
        </w:rPr>
        <w:t>东莞市新东元环保投资有限公司</w:t>
      </w:r>
      <w:r>
        <w:rPr>
          <w:rFonts w:hint="eastAsia" w:eastAsia="仿宋_GB2312"/>
          <w:color w:val="000000"/>
          <w:sz w:val="32"/>
          <w:szCs w:val="32"/>
        </w:rPr>
        <w:t>：</w:t>
      </w:r>
    </w:p>
    <w:p w14:paraId="49B4C3BD">
      <w:pPr>
        <w:pStyle w:val="256"/>
        <w:spacing w:beforeLines="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我司就参加东莞市海心沙资源综合利用中心环保热电厂2M专线改造及安防设备重新授权采购项目报价响应，作出以下承诺：</w:t>
      </w:r>
    </w:p>
    <w:p w14:paraId="5979D1FC">
      <w:pPr>
        <w:pStyle w:val="256"/>
        <w:spacing w:beforeLines="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我公司已充分了解采购项目情况，本次报价完全响应询价文件及其全部附件的所有要求，我公司本次项目响应等于或优于采购人需求，并承诺如不满足采购人需求，采购人有权取消我公司成交资格或单方面解除合同。</w:t>
      </w:r>
    </w:p>
    <w:p w14:paraId="022FA382">
      <w:pPr>
        <w:pStyle w:val="256"/>
        <w:spacing w:beforeLines="0"/>
        <w:ind w:firstLine="659"/>
        <w:rPr>
          <w:rFonts w:hint="eastAsia" w:ascii="Times New Roman" w:hAnsi="Times New Roman"/>
          <w:color w:val="000000"/>
          <w:sz w:val="32"/>
          <w:szCs w:val="32"/>
          <w:lang w:val="en-US" w:eastAsia="zh-CN"/>
        </w:rPr>
      </w:pPr>
    </w:p>
    <w:p w14:paraId="7E1A75DD">
      <w:pPr>
        <w:pStyle w:val="256"/>
        <w:spacing w:beforeLines="0"/>
        <w:ind w:firstLine="659"/>
        <w:rPr>
          <w:rFonts w:hint="eastAsia" w:ascii="Times New Roman" w:hAnsi="Times New Roman"/>
          <w:color w:val="000000"/>
          <w:sz w:val="32"/>
          <w:szCs w:val="32"/>
          <w:lang w:val="en-US" w:eastAsia="zh-CN"/>
        </w:rPr>
      </w:pPr>
    </w:p>
    <w:p w14:paraId="0F35B90A">
      <w:pPr>
        <w:pStyle w:val="256"/>
        <w:spacing w:beforeLines="0"/>
        <w:ind w:firstLine="659"/>
        <w:rPr>
          <w:rFonts w:hint="eastAsia" w:ascii="Times New Roman" w:hAnsi="Times New Roman"/>
          <w:color w:val="000000"/>
          <w:sz w:val="32"/>
          <w:szCs w:val="32"/>
          <w:lang w:val="en-US" w:eastAsia="zh-CN"/>
        </w:rPr>
      </w:pPr>
    </w:p>
    <w:p w14:paraId="42F82384">
      <w:pPr>
        <w:pStyle w:val="256"/>
        <w:spacing w:beforeLines="0"/>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368098C1">
      <w:pPr>
        <w:pStyle w:val="256"/>
        <w:spacing w:beforeLines="0"/>
        <w:ind w:firstLine="0" w:firstLineChars="0"/>
        <w:jc w:val="left"/>
        <w:rPr>
          <w:rFonts w:hint="eastAsia" w:ascii="Times New Roman" w:hAnsi="Times New Roman"/>
          <w:color w:val="000000"/>
          <w:sz w:val="32"/>
          <w:szCs w:val="32"/>
        </w:rPr>
      </w:pPr>
      <w:r>
        <w:rPr>
          <w:rFonts w:hint="eastAsia" w:ascii="Times New Roman" w:hAnsi="Times New Roman"/>
          <w:color w:val="000000"/>
          <w:sz w:val="32"/>
          <w:szCs w:val="32"/>
        </w:rPr>
        <w:t>法定代表人（签字或盖章）：</w:t>
      </w:r>
    </w:p>
    <w:p w14:paraId="693D14BF">
      <w:pPr>
        <w:pStyle w:val="256"/>
        <w:spacing w:beforeLines="0"/>
        <w:ind w:firstLine="0" w:firstLineChars="0"/>
        <w:jc w:val="left"/>
        <w:rPr>
          <w:rFonts w:hint="eastAsia" w:ascii="Times New Roman" w:hAnsi="Times New Roman" w:cs="Times New Roman"/>
          <w:color w:val="000000"/>
          <w:sz w:val="32"/>
          <w:szCs w:val="32"/>
        </w:rPr>
      </w:pPr>
      <w:r>
        <w:rPr>
          <w:rFonts w:hint="eastAsia" w:ascii="Times New Roman" w:hAnsi="Times New Roman"/>
          <w:color w:val="000000"/>
          <w:sz w:val="32"/>
          <w:szCs w:val="32"/>
        </w:rPr>
        <w:t>日期：</w:t>
      </w:r>
    </w:p>
    <w:p w14:paraId="17737062">
      <w:pPr>
        <w:pStyle w:val="20"/>
      </w:pPr>
    </w:p>
    <w:p w14:paraId="027DC1FB">
      <w:pPr>
        <w:widowControl/>
        <w:spacing w:beforeLines="0" w:line="240" w:lineRule="auto"/>
        <w:rPr>
          <w:rFonts w:ascii="宋体" w:hAnsi="宋体"/>
          <w:sz w:val="21"/>
        </w:rPr>
      </w:pPr>
      <w:r>
        <w:br w:type="page"/>
      </w:r>
    </w:p>
    <w:p w14:paraId="6B8CED50">
      <w:pPr>
        <w:pStyle w:val="20"/>
      </w:pPr>
    </w:p>
    <w:p w14:paraId="347F4047">
      <w:pPr>
        <w:pStyle w:val="255"/>
        <w:numPr>
          <w:ilvl w:val="0"/>
          <w:numId w:val="5"/>
        </w:numPr>
        <w:spacing w:beforeLines="0" w:line="240" w:lineRule="auto"/>
        <w:ind w:left="0" w:firstLine="0" w:firstLineChars="0"/>
        <w:outlineLvl w:val="1"/>
        <w:rPr>
          <w:rFonts w:hAnsi="宋体"/>
        </w:rPr>
      </w:pPr>
      <w:r>
        <w:rPr>
          <w:rFonts w:hint="eastAsia" w:ascii="宋体" w:hAnsi="宋体"/>
          <w:b/>
          <w:bCs/>
          <w:szCs w:val="40"/>
        </w:rPr>
        <w:t>合同格式</w:t>
      </w:r>
      <w:bookmarkEnd w:id="0"/>
    </w:p>
    <w:p w14:paraId="4A39D96C">
      <w:pPr>
        <w:pStyle w:val="255"/>
        <w:numPr>
          <w:ilvl w:val="255"/>
          <w:numId w:val="0"/>
        </w:numPr>
        <w:spacing w:beforeLines="0" w:line="240" w:lineRule="auto"/>
        <w:ind w:right="0" w:firstLine="0" w:firstLineChars="0"/>
        <w:outlineLvl w:val="1"/>
        <w:rPr>
          <w:b/>
        </w:rPr>
      </w:pPr>
      <w:r>
        <w:rPr>
          <w:rFonts w:hint="eastAsia"/>
          <w:b/>
        </w:rPr>
        <w:t>甲方合同编号：</w:t>
      </w:r>
    </w:p>
    <w:p w14:paraId="1AB24C0B">
      <w:pPr>
        <w:pStyle w:val="46"/>
        <w:shd w:val="clear" w:color="auto" w:fill="FFFFFF"/>
        <w:spacing w:beforeLines="0" w:beforeAutospacing="0" w:afterAutospacing="0" w:line="240" w:lineRule="auto"/>
        <w:ind w:right="0" w:firstLine="0" w:firstLineChars="0"/>
        <w:rPr>
          <w:b/>
        </w:rPr>
      </w:pPr>
      <w:r>
        <w:rPr>
          <w:rFonts w:hint="eastAsia"/>
          <w:b/>
        </w:rPr>
        <w:t>乙方合同编号：</w:t>
      </w:r>
    </w:p>
    <w:p w14:paraId="568CD296">
      <w:pPr>
        <w:spacing w:beforeLines="0" w:line="240" w:lineRule="auto"/>
        <w:ind w:right="0" w:firstLine="0" w:firstLineChars="0"/>
        <w:jc w:val="center"/>
        <w:rPr>
          <w:b/>
          <w:sz w:val="24"/>
          <w:szCs w:val="24"/>
        </w:rPr>
      </w:pPr>
    </w:p>
    <w:p w14:paraId="08158315">
      <w:pPr>
        <w:spacing w:beforeLines="0" w:line="240" w:lineRule="auto"/>
        <w:ind w:right="0" w:firstLine="0" w:firstLineChars="0"/>
        <w:jc w:val="center"/>
        <w:rPr>
          <w:sz w:val="24"/>
          <w:szCs w:val="24"/>
        </w:rPr>
      </w:pPr>
      <w:r>
        <w:rPr>
          <w:rFonts w:hint="eastAsia" w:asciiTheme="majorEastAsia" w:hAnsiTheme="majorEastAsia" w:eastAsiaTheme="majorEastAsia" w:cstheme="majorEastAsia"/>
          <w:b/>
          <w:sz w:val="30"/>
          <w:szCs w:val="30"/>
          <w:lang w:val="en-US" w:eastAsia="zh-CN"/>
        </w:rPr>
        <w:t>东莞市海心沙资源综合利用中心环保热电厂2M专线改造及安防设备重新授权采购项目合同</w:t>
      </w:r>
      <w:r>
        <w:rPr>
          <w:rFonts w:hint="eastAsia" w:asciiTheme="majorEastAsia" w:hAnsiTheme="majorEastAsia" w:eastAsiaTheme="majorEastAsia" w:cstheme="majorEastAsia"/>
          <w:sz w:val="30"/>
          <w:szCs w:val="30"/>
        </w:rPr>
        <w:t xml:space="preserve"> </w:t>
      </w:r>
      <w:r>
        <w:rPr>
          <w:sz w:val="24"/>
          <w:szCs w:val="24"/>
        </w:rPr>
        <w:t xml:space="preserve">                                                            </w:t>
      </w:r>
    </w:p>
    <w:p w14:paraId="04CFD986">
      <w:pPr>
        <w:spacing w:beforeLines="0" w:line="240" w:lineRule="auto"/>
        <w:ind w:right="0" w:firstLine="0" w:firstLineChars="0"/>
        <w:rPr>
          <w:rFonts w:hint="eastAsia" w:ascii="宋体" w:hAnsi="宋体" w:eastAsia="宋体"/>
          <w:bCs/>
          <w:kern w:val="0"/>
          <w:sz w:val="24"/>
          <w:szCs w:val="24"/>
        </w:rPr>
      </w:pPr>
      <w:r>
        <w:rPr>
          <w:rFonts w:hint="eastAsia" w:ascii="宋体" w:hAnsi="宋体" w:eastAsia="宋体" w:cs="宋体"/>
          <w:bCs/>
          <w:kern w:val="0"/>
          <w:sz w:val="24"/>
          <w:szCs w:val="24"/>
        </w:rPr>
        <w:t>甲方：</w:t>
      </w:r>
      <w:r>
        <w:rPr>
          <w:rFonts w:hint="eastAsia" w:ascii="宋体" w:hAnsi="宋体" w:eastAsia="宋体"/>
          <w:bCs/>
          <w:kern w:val="0"/>
          <w:sz w:val="24"/>
          <w:szCs w:val="24"/>
          <w:lang w:val="en-US" w:eastAsia="zh-CN"/>
        </w:rPr>
        <w:t>东莞市新东元环保投资有限</w:t>
      </w:r>
      <w:r>
        <w:rPr>
          <w:rFonts w:hint="eastAsia" w:ascii="宋体" w:hAnsi="宋体" w:eastAsia="宋体"/>
          <w:bCs/>
          <w:kern w:val="0"/>
          <w:sz w:val="24"/>
          <w:szCs w:val="24"/>
        </w:rPr>
        <w:t>公司</w:t>
      </w:r>
    </w:p>
    <w:p w14:paraId="5D43440A">
      <w:pPr>
        <w:spacing w:beforeLines="0" w:line="240" w:lineRule="auto"/>
        <w:ind w:right="0" w:firstLine="0" w:firstLineChars="0"/>
      </w:pPr>
      <w:r>
        <w:rPr>
          <w:rFonts w:hint="eastAsia" w:ascii="宋体" w:hAnsi="宋体" w:eastAsia="宋体" w:cs="宋体"/>
          <w:bCs/>
          <w:kern w:val="0"/>
          <w:sz w:val="24"/>
          <w:szCs w:val="24"/>
        </w:rPr>
        <w:t>统一社会信用代码：</w:t>
      </w:r>
      <w:r>
        <w:rPr>
          <w:rFonts w:hint="eastAsia" w:ascii="宋体" w:hAnsi="宋体" w:eastAsia="宋体"/>
          <w:bCs/>
          <w:kern w:val="0"/>
          <w:sz w:val="24"/>
          <w:szCs w:val="24"/>
        </w:rPr>
        <w:t>91441900MA51JDK46A</w:t>
      </w:r>
    </w:p>
    <w:p w14:paraId="28D27700">
      <w:pPr>
        <w:spacing w:beforeLines="0" w:line="240" w:lineRule="auto"/>
        <w:ind w:right="0" w:firstLine="0" w:firstLineChars="0"/>
        <w:rPr>
          <w:rFonts w:ascii="宋体" w:hAnsi="宋体" w:eastAsia="宋体" w:cs="宋体"/>
          <w:bCs/>
          <w:kern w:val="0"/>
          <w:sz w:val="24"/>
          <w:szCs w:val="24"/>
        </w:rPr>
      </w:pPr>
      <w:r>
        <w:rPr>
          <w:rFonts w:hint="eastAsia" w:ascii="宋体" w:hAnsi="宋体" w:eastAsia="宋体" w:cs="宋体"/>
          <w:bCs/>
          <w:kern w:val="0"/>
          <w:sz w:val="24"/>
          <w:szCs w:val="24"/>
        </w:rPr>
        <w:t>乙方：</w:t>
      </w:r>
    </w:p>
    <w:p w14:paraId="0AD0DB97">
      <w:pPr>
        <w:spacing w:beforeLines="0" w:line="240" w:lineRule="auto"/>
        <w:ind w:right="0"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统一社会信用代码：</w:t>
      </w:r>
    </w:p>
    <w:p w14:paraId="17FABE68">
      <w:pPr>
        <w:pStyle w:val="20"/>
        <w:spacing w:beforeLines="0" w:line="240" w:lineRule="auto"/>
        <w:ind w:right="0" w:firstLine="0" w:firstLineChars="0"/>
      </w:pPr>
    </w:p>
    <w:p w14:paraId="122472CF">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根据《中华人民共和国民法典》及其他有关法律、法规，遵循平等、自愿、公平和诚实信用的原则，甲、乙双方就东莞市海心沙资源综合利用中心环保热电厂2M专线改造及安防设备重新授权采购项目</w:t>
      </w:r>
      <w:r>
        <w:rPr>
          <w:rFonts w:hint="eastAsia" w:ascii="宋体" w:hAnsi="宋体" w:eastAsia="宋体" w:cs="宋体"/>
          <w:sz w:val="24"/>
          <w:szCs w:val="24"/>
          <w:u w:val="none"/>
        </w:rPr>
        <w:t>事</w:t>
      </w:r>
      <w:r>
        <w:rPr>
          <w:rFonts w:hint="eastAsia" w:ascii="宋体" w:hAnsi="宋体" w:eastAsia="宋体" w:cs="宋体"/>
          <w:sz w:val="24"/>
          <w:szCs w:val="24"/>
        </w:rPr>
        <w:t xml:space="preserve">宜协商一致，特订立本合同，由甲、乙双方共同遵守履行。    </w:t>
      </w:r>
    </w:p>
    <w:p w14:paraId="4A0C4780">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第一条 甲方委托乙方进行技术服务内容：</w:t>
      </w:r>
    </w:p>
    <w:p w14:paraId="601C0148">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详见附件：《东莞市海心沙资源综合利用中心环保热电厂2M专线改造及安防设备重新授权采购项目</w:t>
      </w:r>
      <w:r>
        <w:rPr>
          <w:rFonts w:hint="eastAsia" w:ascii="宋体" w:hAnsi="宋体" w:cs="宋体"/>
          <w:sz w:val="24"/>
          <w:szCs w:val="24"/>
          <w:lang w:val="en-US" w:eastAsia="zh-CN"/>
        </w:rPr>
        <w:t>技术需求书</w:t>
      </w:r>
      <w:r>
        <w:rPr>
          <w:rFonts w:hint="eastAsia" w:ascii="宋体" w:hAnsi="宋体" w:eastAsia="宋体" w:cs="宋体"/>
          <w:sz w:val="24"/>
          <w:szCs w:val="24"/>
        </w:rPr>
        <w:t>》。</w:t>
      </w:r>
    </w:p>
    <w:p w14:paraId="0623D25E">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第二条 乙方应当按下列要求完成技术服务工作</w:t>
      </w:r>
    </w:p>
    <w:p w14:paraId="0D641FCB">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1.服务地点：东莞市</w:t>
      </w:r>
      <w:r>
        <w:rPr>
          <w:rFonts w:hint="eastAsia" w:ascii="宋体" w:hAnsi="宋体" w:eastAsia="宋体" w:cs="宋体"/>
          <w:sz w:val="24"/>
          <w:szCs w:val="24"/>
          <w:lang w:val="en-US" w:eastAsia="zh-CN"/>
        </w:rPr>
        <w:t>麻涌镇海心沙岛</w:t>
      </w:r>
      <w:r>
        <w:rPr>
          <w:rFonts w:hint="eastAsia" w:ascii="宋体" w:hAnsi="宋体" w:eastAsia="宋体" w:cs="宋体"/>
          <w:sz w:val="24"/>
          <w:szCs w:val="24"/>
        </w:rPr>
        <w:t>。</w:t>
      </w:r>
    </w:p>
    <w:p w14:paraId="01BAC96F">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2.服务期限：</w:t>
      </w:r>
      <w:r>
        <w:rPr>
          <w:rFonts w:hint="eastAsia" w:ascii="宋体" w:hAnsi="宋体" w:eastAsia="宋体" w:cs="宋体"/>
          <w:sz w:val="24"/>
          <w:szCs w:val="24"/>
          <w:lang w:val="en-US" w:eastAsia="zh-CN"/>
        </w:rPr>
        <w:t>自</w:t>
      </w:r>
      <w:r>
        <w:rPr>
          <w:rFonts w:hint="eastAsia" w:ascii="宋体" w:hAnsi="宋体" w:cs="宋体"/>
          <w:sz w:val="24"/>
          <w:szCs w:val="24"/>
          <w:lang w:val="en-US" w:eastAsia="zh-CN"/>
        </w:rPr>
        <w:t>合同签订</w:t>
      </w:r>
      <w:r>
        <w:rPr>
          <w:rFonts w:hint="eastAsia" w:ascii="宋体" w:hAnsi="宋体" w:eastAsia="宋体" w:cs="宋体"/>
          <w:sz w:val="24"/>
          <w:szCs w:val="24"/>
          <w:lang w:val="en-US" w:eastAsia="zh-CN"/>
        </w:rPr>
        <w:t>之日</w:t>
      </w:r>
      <w:r>
        <w:rPr>
          <w:rFonts w:hint="eastAsia" w:ascii="宋体" w:hAnsi="宋体" w:eastAsia="宋体" w:cs="宋体"/>
          <w:sz w:val="24"/>
          <w:szCs w:val="24"/>
        </w:rPr>
        <w:t>起，</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个日历日完成</w:t>
      </w:r>
      <w:r>
        <w:rPr>
          <w:rFonts w:hint="eastAsia" w:ascii="宋体" w:hAnsi="宋体" w:cs="宋体"/>
          <w:sz w:val="24"/>
          <w:szCs w:val="24"/>
          <w:lang w:val="en-US" w:eastAsia="zh-CN"/>
        </w:rPr>
        <w:t>全部工作</w:t>
      </w:r>
      <w:r>
        <w:rPr>
          <w:rFonts w:hint="eastAsia" w:ascii="宋体" w:hAnsi="宋体" w:eastAsia="宋体" w:cs="宋体"/>
          <w:sz w:val="24"/>
          <w:szCs w:val="24"/>
        </w:rPr>
        <w:t>。</w:t>
      </w:r>
    </w:p>
    <w:p w14:paraId="1D3AF3E8">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3.服务质量要求：详见附件</w:t>
      </w:r>
      <w:r>
        <w:rPr>
          <w:rFonts w:hint="eastAsia" w:ascii="宋体" w:hAnsi="宋体" w:cs="宋体"/>
          <w:sz w:val="24"/>
          <w:szCs w:val="24"/>
          <w:lang w:eastAsia="zh-CN"/>
        </w:rPr>
        <w:t>《东莞市海心沙资源综合利用中心环保热电厂2M专线改造及安防设备重新授权采购项目技术需求书》</w:t>
      </w:r>
      <w:r>
        <w:rPr>
          <w:rFonts w:hint="eastAsia" w:ascii="宋体" w:hAnsi="宋体" w:eastAsia="宋体" w:cs="宋体"/>
          <w:sz w:val="24"/>
          <w:szCs w:val="24"/>
        </w:rPr>
        <w:t>。</w:t>
      </w:r>
    </w:p>
    <w:p w14:paraId="3C3B7607">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第三条 双方确定以下标准和方式对乙方提交的技术服务工作成果进行验收</w:t>
      </w:r>
    </w:p>
    <w:p w14:paraId="61FA35A4">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1.乙方提交技术服务工作成果的形式：系统</w:t>
      </w:r>
      <w:r>
        <w:rPr>
          <w:rFonts w:hint="eastAsia" w:ascii="宋体" w:hAnsi="宋体" w:eastAsia="宋体" w:cs="宋体"/>
          <w:sz w:val="24"/>
          <w:szCs w:val="24"/>
          <w:lang w:val="en-US" w:eastAsia="zh-CN"/>
        </w:rPr>
        <w:t>改造完成并正常运行</w:t>
      </w:r>
      <w:r>
        <w:rPr>
          <w:rFonts w:hint="eastAsia" w:ascii="宋体" w:hAnsi="宋体" w:cs="宋体"/>
          <w:sz w:val="24"/>
          <w:szCs w:val="24"/>
          <w:lang w:val="en-US" w:eastAsia="zh-CN"/>
        </w:rPr>
        <w:t>；满足</w:t>
      </w:r>
      <w:r>
        <w:rPr>
          <w:rFonts w:hint="eastAsia" w:ascii="宋体" w:hAnsi="宋体" w:eastAsia="宋体" w:cs="宋体"/>
          <w:sz w:val="24"/>
          <w:szCs w:val="24"/>
        </w:rPr>
        <w:t>《东莞市海心沙资源综合利用中心环保热电厂2M专线改造及安防设备重新授权采购项目</w:t>
      </w:r>
      <w:r>
        <w:rPr>
          <w:rFonts w:hint="eastAsia" w:ascii="宋体" w:hAnsi="宋体" w:cs="宋体"/>
          <w:sz w:val="24"/>
          <w:szCs w:val="24"/>
          <w:lang w:val="en-US" w:eastAsia="zh-CN"/>
        </w:rPr>
        <w:t>技术需求书</w:t>
      </w:r>
      <w:r>
        <w:rPr>
          <w:rFonts w:hint="eastAsia" w:ascii="宋体" w:hAnsi="宋体" w:eastAsia="宋体" w:cs="宋体"/>
          <w:sz w:val="24"/>
          <w:szCs w:val="24"/>
        </w:rPr>
        <w:t>》</w:t>
      </w:r>
      <w:r>
        <w:rPr>
          <w:rFonts w:hint="eastAsia" w:ascii="宋体" w:hAnsi="宋体" w:eastAsia="宋体" w:cs="宋体"/>
          <w:sz w:val="24"/>
          <w:szCs w:val="24"/>
          <w:lang w:val="en-US" w:eastAsia="zh-CN"/>
        </w:rPr>
        <w:t>全部要求</w:t>
      </w:r>
      <w:r>
        <w:rPr>
          <w:rFonts w:hint="eastAsia" w:ascii="宋体" w:hAnsi="宋体" w:eastAsia="宋体" w:cs="宋体"/>
          <w:sz w:val="24"/>
          <w:szCs w:val="24"/>
        </w:rPr>
        <w:t>。</w:t>
      </w:r>
    </w:p>
    <w:p w14:paraId="0E93EF89">
      <w:pPr>
        <w:spacing w:beforeLines="0" w:line="240" w:lineRule="auto"/>
        <w:ind w:right="0" w:firstLine="0" w:firstLineChars="0"/>
        <w:rPr>
          <w:rFonts w:ascii="宋体" w:hAnsi="宋体" w:cs="宋体"/>
          <w:sz w:val="24"/>
          <w:szCs w:val="24"/>
        </w:rPr>
      </w:pPr>
      <w:r>
        <w:rPr>
          <w:rFonts w:hint="eastAsia" w:ascii="宋体" w:hAnsi="宋体" w:eastAsia="宋体" w:cs="宋体"/>
          <w:sz w:val="24"/>
          <w:szCs w:val="24"/>
        </w:rPr>
        <w:t>2.技术服务工作验收的时间： 自合同签订之日起，30个日历日完成全部工作。</w:t>
      </w:r>
    </w:p>
    <w:p w14:paraId="2FFA912C">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第四条 甲方的权利和义务</w:t>
      </w:r>
    </w:p>
    <w:p w14:paraId="2B6EC37A">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1.提供</w:t>
      </w:r>
      <w:r>
        <w:rPr>
          <w:rFonts w:hint="eastAsia" w:ascii="宋体" w:hAnsi="宋体" w:cs="宋体"/>
          <w:sz w:val="24"/>
          <w:szCs w:val="24"/>
          <w:u w:val="single"/>
          <w:lang w:val="en-US" w:eastAsia="zh-CN"/>
        </w:rPr>
        <w:t>项目</w:t>
      </w:r>
      <w:r>
        <w:rPr>
          <w:rFonts w:hint="eastAsia" w:ascii="宋体" w:hAnsi="宋体" w:eastAsia="宋体" w:cs="宋体"/>
          <w:sz w:val="24"/>
          <w:szCs w:val="24"/>
        </w:rPr>
        <w:t>所需的信息、资料。</w:t>
      </w:r>
    </w:p>
    <w:p w14:paraId="78C85884">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2.按期验收乙方的技术服务成果，并按合同约定支付报酬。</w:t>
      </w:r>
    </w:p>
    <w:p w14:paraId="3409A843">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3.乙方到甲方项目现场驻场服务，乙方自负费用，但甲方应为乙方提供必要的工作条件。</w:t>
      </w:r>
    </w:p>
    <w:p w14:paraId="43F18091">
      <w:pPr>
        <w:spacing w:beforeLines="0" w:line="240" w:lineRule="auto"/>
        <w:ind w:right="0" w:firstLine="0" w:firstLineChars="0"/>
        <w:rPr>
          <w:rFonts w:ascii="宋体" w:hAnsi="宋体" w:eastAsia="宋体" w:cs="宋体"/>
          <w:b/>
          <w:sz w:val="24"/>
          <w:szCs w:val="24"/>
        </w:rPr>
      </w:pPr>
      <w:r>
        <w:rPr>
          <w:rFonts w:hint="eastAsia" w:ascii="宋体" w:hAnsi="宋体" w:eastAsia="宋体" w:cs="宋体"/>
          <w:sz w:val="24"/>
          <w:szCs w:val="24"/>
        </w:rPr>
        <w:t xml:space="preserve">4、与本次实施有关的交通费、实施现场的食宿费（如有）由乙方承担。 </w:t>
      </w:r>
    </w:p>
    <w:p w14:paraId="783C9E29">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第五条 乙方的权利和义务</w:t>
      </w:r>
    </w:p>
    <w:p w14:paraId="23906CBE">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1.按照合同约定的期限完成</w:t>
      </w:r>
      <w:r>
        <w:rPr>
          <w:rFonts w:hint="eastAsia" w:ascii="宋体" w:hAnsi="宋体" w:cs="宋体"/>
          <w:sz w:val="24"/>
          <w:szCs w:val="24"/>
          <w:lang w:val="en-US" w:eastAsia="zh-CN"/>
        </w:rPr>
        <w:t>项目全部工作</w:t>
      </w:r>
      <w:r>
        <w:rPr>
          <w:rFonts w:hint="eastAsia" w:ascii="宋体" w:hAnsi="宋体" w:eastAsia="宋体" w:cs="宋体"/>
          <w:sz w:val="24"/>
          <w:szCs w:val="24"/>
        </w:rPr>
        <w:t>。</w:t>
      </w:r>
    </w:p>
    <w:p w14:paraId="5ACB23F8">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2.按照</w:t>
      </w:r>
      <w:r>
        <w:rPr>
          <w:rFonts w:hint="eastAsia" w:ascii="宋体" w:hAnsi="宋体" w:cs="宋体"/>
          <w:sz w:val="24"/>
          <w:szCs w:val="24"/>
          <w:lang w:val="en-US" w:eastAsia="zh-CN"/>
        </w:rPr>
        <w:t>实施项目改造并获得安防设备授权</w:t>
      </w:r>
      <w:r>
        <w:rPr>
          <w:rFonts w:hint="eastAsia" w:ascii="宋体" w:hAnsi="宋体" w:eastAsia="宋体" w:cs="宋体"/>
          <w:sz w:val="24"/>
          <w:szCs w:val="24"/>
        </w:rPr>
        <w:t>，</w:t>
      </w:r>
      <w:r>
        <w:rPr>
          <w:rFonts w:hint="eastAsia" w:ascii="宋体" w:hAnsi="宋体" w:cs="宋体"/>
          <w:sz w:val="24"/>
          <w:szCs w:val="24"/>
          <w:lang w:val="en-US" w:eastAsia="zh-CN"/>
        </w:rPr>
        <w:t>确保</w:t>
      </w:r>
      <w:r>
        <w:rPr>
          <w:rFonts w:hint="eastAsia" w:ascii="宋体" w:hAnsi="宋体" w:eastAsia="宋体" w:cs="宋体"/>
          <w:sz w:val="24"/>
          <w:szCs w:val="24"/>
        </w:rPr>
        <w:t>达到</w:t>
      </w:r>
      <w:r>
        <w:rPr>
          <w:rFonts w:hint="eastAsia" w:ascii="宋体" w:hAnsi="宋体" w:cs="宋体"/>
          <w:sz w:val="24"/>
          <w:szCs w:val="24"/>
          <w:lang w:val="en-US" w:eastAsia="zh-CN"/>
        </w:rPr>
        <w:t>项目</w:t>
      </w:r>
      <w:r>
        <w:rPr>
          <w:rFonts w:hint="eastAsia" w:ascii="宋体" w:hAnsi="宋体" w:eastAsia="宋体" w:cs="宋体"/>
          <w:sz w:val="24"/>
          <w:szCs w:val="24"/>
        </w:rPr>
        <w:t>条件验收的需求。</w:t>
      </w:r>
    </w:p>
    <w:p w14:paraId="63C648D1">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3.乙方有权按照约定要求甲方根据合同约定</w:t>
      </w:r>
      <w:r>
        <w:rPr>
          <w:rFonts w:hint="eastAsia" w:ascii="宋体" w:hAnsi="宋体" w:cs="宋体"/>
          <w:sz w:val="24"/>
          <w:szCs w:val="24"/>
          <w:lang w:val="en-US" w:eastAsia="zh-CN"/>
        </w:rPr>
        <w:t>支付合同款</w:t>
      </w:r>
      <w:r>
        <w:rPr>
          <w:rFonts w:hint="eastAsia" w:ascii="宋体" w:hAnsi="宋体" w:eastAsia="宋体" w:cs="宋体"/>
          <w:sz w:val="24"/>
          <w:szCs w:val="24"/>
        </w:rPr>
        <w:t>。</w:t>
      </w:r>
    </w:p>
    <w:p w14:paraId="0EC0FEC3">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4.未经甲方书面同意，乙方不得将本项目分包或转包给本协议以外的第三方。</w:t>
      </w:r>
    </w:p>
    <w:p w14:paraId="4E3F6343">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rPr>
        <w:t>5.乙方保证遵守国家法律、法规和规章制度，确保工作符合国家标准、规范。</w:t>
      </w:r>
    </w:p>
    <w:p w14:paraId="4B169F0C">
      <w:pPr>
        <w:spacing w:beforeLines="0" w:line="240" w:lineRule="auto"/>
        <w:ind w:right="0" w:firstLine="0" w:firstLineChars="0"/>
        <w:rPr>
          <w:rFonts w:hint="eastAsia" w:ascii="宋体" w:hAnsi="宋体" w:eastAsia="宋体" w:cs="宋体"/>
          <w:b/>
          <w:sz w:val="24"/>
          <w:szCs w:val="24"/>
          <w:lang w:val="en-US" w:eastAsia="zh-CN"/>
        </w:rPr>
      </w:pPr>
      <w:r>
        <w:rPr>
          <w:rFonts w:hint="eastAsia" w:ascii="宋体" w:hAnsi="宋体" w:eastAsia="宋体" w:cs="宋体"/>
          <w:b/>
          <w:sz w:val="24"/>
          <w:szCs w:val="24"/>
        </w:rPr>
        <w:t>第六条</w:t>
      </w:r>
      <w:r>
        <w:rPr>
          <w:rFonts w:hint="eastAsia" w:ascii="宋体" w:hAnsi="宋体" w:eastAsia="宋体" w:cs="宋体"/>
          <w:b/>
          <w:sz w:val="24"/>
          <w:szCs w:val="24"/>
          <w:lang w:val="en-US" w:eastAsia="zh-CN"/>
        </w:rPr>
        <w:t xml:space="preserve"> 货物的验收和质保</w:t>
      </w:r>
    </w:p>
    <w:p w14:paraId="66AE56B6">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rPr>
        <w:t>依据本</w:t>
      </w:r>
      <w:r>
        <w:rPr>
          <w:rFonts w:hint="eastAsia" w:ascii="宋体" w:hAnsi="宋体" w:eastAsia="宋体" w:cs="宋体"/>
          <w:sz w:val="24"/>
          <w:szCs w:val="24"/>
          <w:lang w:val="en-US" w:eastAsia="zh-CN"/>
        </w:rPr>
        <w:t>合同</w:t>
      </w:r>
      <w:r>
        <w:rPr>
          <w:rFonts w:hint="eastAsia" w:ascii="宋体" w:hAnsi="宋体" w:eastAsia="宋体" w:cs="宋体"/>
          <w:sz w:val="24"/>
          <w:szCs w:val="24"/>
        </w:rPr>
        <w:t>约定对</w:t>
      </w:r>
      <w:r>
        <w:rPr>
          <w:rFonts w:hint="eastAsia" w:ascii="宋体" w:hAnsi="宋体" w:cs="宋体"/>
          <w:sz w:val="24"/>
          <w:szCs w:val="24"/>
          <w:lang w:val="en-US" w:eastAsia="zh-CN"/>
        </w:rPr>
        <w:t>涉及的设备、</w:t>
      </w:r>
      <w:r>
        <w:rPr>
          <w:rFonts w:hint="eastAsia" w:ascii="宋体" w:hAnsi="宋体" w:eastAsia="宋体" w:cs="宋体"/>
          <w:sz w:val="24"/>
          <w:szCs w:val="24"/>
        </w:rPr>
        <w:t>货物进行</w:t>
      </w:r>
      <w:r>
        <w:rPr>
          <w:rFonts w:hint="eastAsia" w:ascii="宋体" w:hAnsi="宋体" w:eastAsia="宋体" w:cs="宋体"/>
          <w:color w:val="000000"/>
          <w:sz w:val="24"/>
          <w:szCs w:val="24"/>
        </w:rPr>
        <w:t>验收及试验，验收及试验单位为甲方或甲方委托的第三方单位；</w:t>
      </w:r>
    </w:p>
    <w:p w14:paraId="11566BD2">
      <w:pPr>
        <w:widowControl/>
        <w:spacing w:beforeLines="0" w:line="240" w:lineRule="auto"/>
        <w:ind w:right="0" w:firstLine="0" w:firstLineChars="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乙方按合同或甲方供货通知要求的时间将货物运到指定地点，货物运抵前3小时通知甲方准备接收；货物到交货点后，甲方应在合理时间内清点和检查验收；乙方应同时提供产地证明、装箱单、产品出厂合格证、质量保证书等交甲方确认，甲方按本合同约定对产品的外观、数量、型号进行初验,并予以签收确认，但甲方的初验结果不免除乙方因货物质量问题应承担的责任；</w:t>
      </w:r>
    </w:p>
    <w:p w14:paraId="51CCF64F">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对乙方提请确认的内容，甲方应在48小时内给以确认或提出修改意见。如在48小时内不能确认，供货时间得以顺延。</w:t>
      </w:r>
    </w:p>
    <w:p w14:paraId="6F905F6C">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乙方应按本合同的约定时间及标准完成供货及保修服务；</w:t>
      </w:r>
    </w:p>
    <w:p w14:paraId="0745545D">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乙方应确保货物的包装在正常情况下能够保证设备的完好。凡由于包装不良造成的损失和由此产生的费用均由乙方承担；</w:t>
      </w:r>
    </w:p>
    <w:p w14:paraId="5100A52B">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乙方应确保货物的质量符合国家及地方有关的规定、规范、行业标准，符合甲方需求以及本合同相关约定（如前述标准不一致的，以较高标准为准），且</w:t>
      </w:r>
      <w:r>
        <w:rPr>
          <w:rFonts w:hint="eastAsia" w:ascii="宋体" w:hAnsi="宋体" w:eastAsia="宋体" w:cs="宋体"/>
          <w:color w:val="000000"/>
          <w:sz w:val="24"/>
          <w:szCs w:val="24"/>
        </w:rPr>
        <w:t>乙方保证所提供的产品是全新的、未使用过的、且为产品生产厂家原厂生产。</w:t>
      </w:r>
    </w:p>
    <w:p w14:paraId="1EA3577A">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rPr>
        <w:t>如甲方在货物验收过程中或货物验收后的使用过程中发现货物不符合上述要求的，甲方有权要求更换或退货。如甲方选择更换的，乙方应在十个日历日内以同等或更优的货物予以更换并承担因此产生的费用或甲方损失。如甲、乙双方对设备是否存在质量问题无法达成一致的，甲方有权聘请第三方机构进行检测，如检测结果为设备存在质量问题，则检测费用由乙方承担。</w:t>
      </w:r>
    </w:p>
    <w:p w14:paraId="045A4817">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乙方应保证本项目货物、服务或其任何一部分不会产生因第三方提出侵犯其专利权、商标权或其他知识产权而引起的法律和经济纠纷；如因第三方提出其专利权、商标权或其他知识产权的侵权之诉，则一切法律责任由乙方承担。</w:t>
      </w:r>
      <w:r>
        <w:rPr>
          <w:rFonts w:hint="eastAsia" w:ascii="宋体" w:hAnsi="宋体" w:eastAsia="宋体" w:cs="宋体"/>
          <w:color w:val="000000"/>
          <w:kern w:val="0"/>
          <w:sz w:val="24"/>
          <w:szCs w:val="24"/>
        </w:rPr>
        <w:t>本条款为独立条款，不受合同效力的限制。</w:t>
      </w:r>
    </w:p>
    <w:p w14:paraId="50E03554">
      <w:pPr>
        <w:widowControl/>
        <w:spacing w:beforeLines="0" w:line="240" w:lineRule="auto"/>
        <w:ind w:right="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sz w:val="24"/>
          <w:szCs w:val="24"/>
        </w:rPr>
        <w:t>乙方保证在合同执行过程中，甲方可以根据实际情况对合同采购清单中的</w:t>
      </w:r>
      <w:r>
        <w:rPr>
          <w:rFonts w:hint="eastAsia" w:ascii="宋体" w:hAnsi="宋体" w:eastAsia="宋体" w:cs="宋体"/>
          <w:color w:val="000000"/>
          <w:kern w:val="0"/>
          <w:sz w:val="24"/>
          <w:szCs w:val="24"/>
        </w:rPr>
        <w:t>货物进行调整（包括采购货物项目、采购数量增加或减少）；如果甲方对相关项目进行调整的，合同最终价格将根据调整后的情况按实际供货项目及数量结算。</w:t>
      </w:r>
    </w:p>
    <w:p w14:paraId="5C9DB8EA">
      <w:pPr>
        <w:widowControl/>
        <w:spacing w:beforeLines="0" w:line="240" w:lineRule="auto"/>
        <w:ind w:right="0" w:firstLine="0" w:firstLineChars="0"/>
        <w:jc w:val="left"/>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rPr>
        <w:t>8.</w:t>
      </w:r>
      <w:r>
        <w:rPr>
          <w:rFonts w:hint="eastAsia" w:ascii="宋体" w:hAnsi="宋体" w:eastAsia="宋体" w:cs="宋体"/>
          <w:color w:val="000000"/>
          <w:kern w:val="0"/>
          <w:sz w:val="24"/>
          <w:szCs w:val="24"/>
        </w:rPr>
        <w:t xml:space="preserve"> 质保期：自</w:t>
      </w:r>
      <w:r>
        <w:rPr>
          <w:rFonts w:hint="eastAsia" w:ascii="宋体" w:hAnsi="宋体" w:eastAsia="宋体" w:cs="宋体"/>
          <w:sz w:val="24"/>
          <w:szCs w:val="24"/>
        </w:rPr>
        <w:t>甲方验收货物合格之日起为期</w:t>
      </w:r>
      <w:r>
        <w:rPr>
          <w:rFonts w:hint="eastAsia" w:ascii="宋体" w:hAnsi="宋体" w:eastAsia="宋体" w:cs="宋体"/>
          <w:sz w:val="24"/>
          <w:szCs w:val="24"/>
          <w:u w:val="single"/>
        </w:rPr>
        <w:t xml:space="preserve">  1  </w:t>
      </w:r>
      <w:r>
        <w:rPr>
          <w:rFonts w:hint="eastAsia" w:ascii="宋体" w:hAnsi="宋体" w:eastAsia="宋体" w:cs="宋体"/>
          <w:sz w:val="24"/>
          <w:szCs w:val="24"/>
        </w:rPr>
        <w:t>年。如本合同没有约定的，按国家规定或行业标准执行，以最高标准为准。</w:t>
      </w:r>
    </w:p>
    <w:p w14:paraId="3352FBBC">
      <w:pPr>
        <w:spacing w:beforeLines="0" w:line="240" w:lineRule="auto"/>
        <w:ind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质保期内，如货物出现质量问题的，乙方应在收到甲方售后服务通知后1小时内响应，并在甲方指定时间内予以修理或更换。否则，修理或更换的费用由乙方承担，且甲方有权按</w:t>
      </w:r>
      <w:r>
        <w:rPr>
          <w:rFonts w:hint="eastAsia" w:ascii="宋体" w:hAnsi="宋体" w:eastAsia="宋体" w:cs="宋体"/>
          <w:sz w:val="24"/>
          <w:szCs w:val="24"/>
          <w:u w:val="single"/>
        </w:rPr>
        <w:t>2000元/次</w:t>
      </w:r>
      <w:r>
        <w:rPr>
          <w:rFonts w:hint="eastAsia" w:ascii="宋体" w:hAnsi="宋体" w:eastAsia="宋体" w:cs="宋体"/>
          <w:sz w:val="24"/>
          <w:szCs w:val="24"/>
        </w:rPr>
        <w:t>要求乙方支付违约金。</w:t>
      </w:r>
    </w:p>
    <w:p w14:paraId="1B245D65">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七</w:t>
      </w:r>
      <w:r>
        <w:rPr>
          <w:rFonts w:hint="eastAsia" w:ascii="宋体" w:hAnsi="宋体" w:eastAsia="宋体" w:cs="宋体"/>
          <w:b/>
          <w:sz w:val="24"/>
          <w:szCs w:val="24"/>
        </w:rPr>
        <w:t>条 资料保密</w:t>
      </w:r>
    </w:p>
    <w:p w14:paraId="0F017B61">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本合同签订之日起至乙方取得甲方书面同意止，乙方必须采取措施对本项目实施过程中的数据、技术文档、成果等资料保密，否则，乙方导致上述资料泄密的，乙方必须承担一切责任，乙方应向甲方支付</w:t>
      </w:r>
      <w:r>
        <w:rPr>
          <w:rFonts w:hint="eastAsia" w:asciiTheme="minorEastAsia" w:hAnsiTheme="minorEastAsia" w:eastAsiaTheme="minorEastAsia"/>
          <w:sz w:val="24"/>
          <w:szCs w:val="24"/>
          <w:highlight w:val="none"/>
          <w:lang w:val="en-US" w:eastAsia="zh-CN"/>
        </w:rPr>
        <w:t>合同金额30%的</w:t>
      </w:r>
      <w:r>
        <w:rPr>
          <w:rFonts w:hint="eastAsia" w:asciiTheme="minorEastAsia" w:hAnsiTheme="minorEastAsia" w:eastAsiaTheme="minorEastAsia"/>
          <w:sz w:val="24"/>
          <w:szCs w:val="24"/>
          <w:highlight w:val="none"/>
        </w:rPr>
        <w:t>违约金</w:t>
      </w:r>
      <w:r>
        <w:rPr>
          <w:rFonts w:hint="eastAsia" w:ascii="宋体" w:hAnsi="宋体" w:eastAsia="宋体" w:cs="宋体"/>
          <w:sz w:val="24"/>
          <w:szCs w:val="24"/>
        </w:rPr>
        <w:t>，且应当赔偿甲方的一切损失。本合同第六条约定，不因合同终止而免除乙方的保密责任，项目完成后，乙方仍有责任对本项目的技术保密承担责任。</w:t>
      </w:r>
    </w:p>
    <w:p w14:paraId="5B5087C4">
      <w:pPr>
        <w:spacing w:beforeLines="0" w:line="240" w:lineRule="auto"/>
        <w:ind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未经甲方事先书面同意，乙方不得将甲方为本合同提供的条文、规格、计划、图纸、模型、样品或资料提供给与本合同无关的任何第三方，不得将其用于履行本合同之外的其它用途；未经甲方事先书面同意，乙方不得将在履行本合同中取得的数据、技术文档、成果等资料提供给与本合同无关的任何第三方。即使向与履行本合同有关的人员提供，也应注意保密并限于履行本合同所必需的范围。否则，乙方应向甲方支付</w:t>
      </w:r>
      <w:r>
        <w:rPr>
          <w:rFonts w:hint="eastAsia" w:asciiTheme="minorEastAsia" w:hAnsiTheme="minorEastAsia" w:eastAsiaTheme="minorEastAsia"/>
          <w:sz w:val="24"/>
          <w:szCs w:val="24"/>
          <w:highlight w:val="none"/>
          <w:lang w:val="en-US" w:eastAsia="zh-CN"/>
        </w:rPr>
        <w:t>合同金额30%的</w:t>
      </w:r>
      <w:r>
        <w:rPr>
          <w:rFonts w:hint="eastAsia" w:asciiTheme="minorEastAsia" w:hAnsiTheme="minorEastAsia" w:eastAsiaTheme="minorEastAsia"/>
          <w:sz w:val="24"/>
          <w:szCs w:val="24"/>
          <w:highlight w:val="none"/>
        </w:rPr>
        <w:t>违约金</w:t>
      </w:r>
      <w:r>
        <w:rPr>
          <w:rFonts w:hint="eastAsia" w:ascii="宋体" w:hAnsi="宋体" w:eastAsia="宋体" w:cs="宋体"/>
          <w:sz w:val="24"/>
          <w:szCs w:val="24"/>
        </w:rPr>
        <w:t>，</w:t>
      </w:r>
      <w:r>
        <w:rPr>
          <w:rFonts w:hint="eastAsia" w:ascii="宋体" w:hAnsi="宋体" w:eastAsia="宋体" w:cs="宋体"/>
          <w:sz w:val="24"/>
          <w:szCs w:val="24"/>
          <w:lang w:val="en-US" w:eastAsia="zh-CN"/>
        </w:rPr>
        <w:t>并</w:t>
      </w:r>
      <w:r>
        <w:rPr>
          <w:rFonts w:hint="eastAsia" w:ascii="宋体" w:hAnsi="宋体" w:eastAsia="宋体" w:cs="宋体"/>
          <w:sz w:val="24"/>
          <w:szCs w:val="24"/>
        </w:rPr>
        <w:t>赔偿甲方的一切损失</w:t>
      </w:r>
      <w:r>
        <w:rPr>
          <w:rFonts w:hint="eastAsia" w:ascii="宋体" w:hAnsi="宋体" w:eastAsia="宋体" w:cs="宋体"/>
          <w:sz w:val="24"/>
          <w:szCs w:val="24"/>
          <w:lang w:eastAsia="zh-CN"/>
        </w:rPr>
        <w:t>。</w:t>
      </w:r>
    </w:p>
    <w:p w14:paraId="525858F1">
      <w:pPr>
        <w:spacing w:beforeLines="0" w:line="240" w:lineRule="auto"/>
        <w:ind w:right="0" w:firstLine="0" w:firstLineChars="0"/>
        <w:rPr>
          <w:rFonts w:ascii="宋体" w:hAnsi="宋体" w:eastAsia="宋体" w:cs="宋体"/>
          <w:b/>
          <w:sz w:val="24"/>
          <w:szCs w:val="24"/>
        </w:rPr>
      </w:pPr>
      <w:r>
        <w:rPr>
          <w:rFonts w:hint="eastAsia" w:ascii="宋体" w:hAnsi="宋体" w:eastAsia="宋体" w:cs="宋体"/>
          <w:sz w:val="24"/>
          <w:szCs w:val="24"/>
        </w:rPr>
        <w:t>2.除了合同本身之外，上款所列举的任何物件均是甲方的财产。乙方应当在完成合同后将这些物件及全部复制件还给甲方，甲方同意由乙方持有的除外。</w:t>
      </w:r>
    </w:p>
    <w:p w14:paraId="5DA76B68">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八</w:t>
      </w:r>
      <w:r>
        <w:rPr>
          <w:rFonts w:hint="eastAsia" w:ascii="宋体" w:hAnsi="宋体" w:eastAsia="宋体" w:cs="宋体"/>
          <w:b/>
          <w:sz w:val="24"/>
          <w:szCs w:val="24"/>
        </w:rPr>
        <w:t xml:space="preserve">条 </w:t>
      </w:r>
      <w:r>
        <w:rPr>
          <w:rFonts w:hint="eastAsia" w:ascii="宋体" w:hAnsi="宋体" w:eastAsia="宋体" w:cs="宋体"/>
          <w:b/>
          <w:sz w:val="24"/>
          <w:szCs w:val="24"/>
          <w:lang w:val="en-US" w:eastAsia="zh-CN"/>
        </w:rPr>
        <w:t>合同金额</w:t>
      </w:r>
      <w:r>
        <w:rPr>
          <w:rFonts w:hint="eastAsia" w:ascii="宋体" w:hAnsi="宋体" w:eastAsia="宋体" w:cs="宋体"/>
          <w:b/>
          <w:sz w:val="24"/>
          <w:szCs w:val="24"/>
        </w:rPr>
        <w:t>及支付方式</w:t>
      </w:r>
    </w:p>
    <w:p w14:paraId="2A57F1AE">
      <w:pPr>
        <w:numPr>
          <w:ilvl w:val="0"/>
          <w:numId w:val="6"/>
        </w:num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含税总额为：</w:t>
      </w:r>
      <w:r>
        <w:rPr>
          <w:rFonts w:hint="eastAsia" w:ascii="宋体" w:hAnsi="宋体" w:eastAsia="宋体" w:cs="宋体"/>
          <w:sz w:val="24"/>
          <w:szCs w:val="24"/>
          <w:u w:val="single"/>
        </w:rPr>
        <w:t>大写人民币</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（小写：</w:t>
      </w:r>
      <w:r>
        <w:rPr>
          <w:rFonts w:hint="eastAsia" w:ascii="宋体" w:hAnsi="宋体" w:eastAsia="宋体" w:cs="宋体"/>
          <w:sz w:val="24"/>
          <w:szCs w:val="24"/>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元</w:t>
      </w:r>
      <w:r>
        <w:rPr>
          <w:rFonts w:hint="eastAsia" w:ascii="宋体" w:hAnsi="宋体" w:eastAsia="宋体" w:cs="宋体"/>
          <w:sz w:val="24"/>
          <w:szCs w:val="24"/>
        </w:rPr>
        <w:t>）。开具增值税专用发票,税率为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，税金为</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元，不含税总额</w:t>
      </w:r>
      <w:r>
        <w:rPr>
          <w:rFonts w:hint="eastAsia" w:ascii="宋体" w:hAnsi="宋体" w:eastAsia="宋体" w:cs="宋体"/>
          <w:sz w:val="24"/>
          <w:szCs w:val="24"/>
          <w:u w:val="single"/>
        </w:rPr>
        <w:t>为¥</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元。如遇国家调整税率，不含税合同价款不予调整，税金按调整后税率及相关细则执行。本项目为固定总价包干，实行固定价格报价，报价包含</w:t>
      </w:r>
      <w:r>
        <w:rPr>
          <w:rFonts w:hint="eastAsia" w:ascii="宋体" w:hAnsi="宋体" w:eastAsia="宋体" w:cs="宋体"/>
          <w:sz w:val="24"/>
          <w:szCs w:val="24"/>
          <w:lang w:val="en-US" w:eastAsia="zh-CN"/>
        </w:rPr>
        <w:t>设备费、</w:t>
      </w:r>
      <w:r>
        <w:rPr>
          <w:rFonts w:hint="eastAsia" w:ascii="宋体" w:hAnsi="宋体" w:eastAsia="宋体" w:cs="宋体"/>
          <w:sz w:val="24"/>
          <w:szCs w:val="24"/>
        </w:rPr>
        <w:t>系统软件费、服务费、</w:t>
      </w:r>
      <w:r>
        <w:rPr>
          <w:rFonts w:hint="eastAsia" w:ascii="宋体" w:hAnsi="宋体" w:cs="宋体"/>
          <w:sz w:val="24"/>
          <w:szCs w:val="24"/>
          <w:lang w:val="en-US" w:eastAsia="zh-CN"/>
        </w:rPr>
        <w:t>授权费、</w:t>
      </w:r>
      <w:r>
        <w:rPr>
          <w:rFonts w:hint="eastAsia" w:ascii="宋体" w:hAnsi="宋体" w:eastAsia="宋体" w:cs="宋体"/>
          <w:sz w:val="24"/>
          <w:szCs w:val="24"/>
        </w:rPr>
        <w:t>人工费、税费等一切为满足项目实施可能产生的费用，甲方不承担其他额外费用。</w:t>
      </w:r>
    </w:p>
    <w:p w14:paraId="06A7B1CB">
      <w:pPr>
        <w:numPr>
          <w:ilvl w:val="0"/>
          <w:numId w:val="6"/>
        </w:num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支付方式</w:t>
      </w:r>
    </w:p>
    <w:p w14:paraId="012ACC6A">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rPr>
        <w:t>1、合同签订后，</w:t>
      </w:r>
      <w:r>
        <w:rPr>
          <w:rFonts w:hint="eastAsia" w:ascii="宋体" w:hAnsi="宋体" w:cs="宋体"/>
          <w:sz w:val="24"/>
          <w:szCs w:val="24"/>
          <w:lang w:val="en-US" w:eastAsia="zh-CN"/>
        </w:rPr>
        <w:t>乙方</w:t>
      </w:r>
      <w:r>
        <w:rPr>
          <w:rFonts w:hint="eastAsia" w:ascii="宋体" w:hAnsi="宋体" w:eastAsia="宋体" w:cs="宋体"/>
          <w:sz w:val="24"/>
          <w:szCs w:val="24"/>
        </w:rPr>
        <w:t>提交等额增值税专用发票及请款资料，</w:t>
      </w:r>
      <w:r>
        <w:rPr>
          <w:rFonts w:hint="eastAsia" w:ascii="宋体" w:hAnsi="宋体" w:cs="宋体"/>
          <w:sz w:val="24"/>
          <w:szCs w:val="24"/>
          <w:lang w:val="en-US" w:eastAsia="zh-CN"/>
        </w:rPr>
        <w:t>甲方</w:t>
      </w:r>
      <w:r>
        <w:rPr>
          <w:rFonts w:hint="eastAsia" w:ascii="宋体" w:hAnsi="宋体" w:eastAsia="宋体" w:cs="宋体"/>
          <w:sz w:val="24"/>
          <w:szCs w:val="24"/>
        </w:rPr>
        <w:t>在收到上述有效资料之日起20个工作日内向</w:t>
      </w:r>
      <w:r>
        <w:rPr>
          <w:rFonts w:hint="eastAsia" w:ascii="宋体" w:hAnsi="宋体" w:cs="宋体"/>
          <w:sz w:val="24"/>
          <w:szCs w:val="24"/>
          <w:lang w:val="en-US" w:eastAsia="zh-CN"/>
        </w:rPr>
        <w:t>乙方</w:t>
      </w:r>
      <w:r>
        <w:rPr>
          <w:rFonts w:hint="eastAsia" w:ascii="宋体" w:hAnsi="宋体" w:eastAsia="宋体" w:cs="宋体"/>
          <w:sz w:val="24"/>
          <w:szCs w:val="24"/>
        </w:rPr>
        <w:t>支付至合同金额的20%；</w:t>
      </w:r>
    </w:p>
    <w:p w14:paraId="220B8C09">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乙方</w:t>
      </w:r>
      <w:r>
        <w:rPr>
          <w:rFonts w:hint="eastAsia" w:ascii="宋体" w:hAnsi="宋体" w:eastAsia="宋体" w:cs="宋体"/>
          <w:sz w:val="24"/>
          <w:szCs w:val="24"/>
        </w:rPr>
        <w:t>完成全部工作并经</w:t>
      </w:r>
      <w:r>
        <w:rPr>
          <w:rFonts w:hint="eastAsia" w:ascii="宋体" w:hAnsi="宋体" w:cs="宋体"/>
          <w:sz w:val="24"/>
          <w:szCs w:val="24"/>
          <w:lang w:val="en-US" w:eastAsia="zh-CN"/>
        </w:rPr>
        <w:t>甲方</w:t>
      </w:r>
      <w:r>
        <w:rPr>
          <w:rFonts w:hint="eastAsia" w:ascii="宋体" w:hAnsi="宋体" w:eastAsia="宋体" w:cs="宋体"/>
          <w:sz w:val="24"/>
          <w:szCs w:val="24"/>
        </w:rPr>
        <w:t>验收合格后，</w:t>
      </w:r>
      <w:r>
        <w:rPr>
          <w:rFonts w:hint="eastAsia" w:ascii="宋体" w:hAnsi="宋体" w:cs="宋体"/>
          <w:sz w:val="24"/>
          <w:szCs w:val="24"/>
          <w:lang w:val="en-US" w:eastAsia="zh-CN"/>
        </w:rPr>
        <w:t>乙方</w:t>
      </w:r>
      <w:r>
        <w:rPr>
          <w:rFonts w:hint="eastAsia" w:ascii="宋体" w:hAnsi="宋体" w:eastAsia="宋体" w:cs="宋体"/>
          <w:sz w:val="24"/>
          <w:szCs w:val="24"/>
        </w:rPr>
        <w:t>提供</w:t>
      </w:r>
      <w:r>
        <w:rPr>
          <w:rFonts w:hint="eastAsia" w:ascii="宋体" w:hAnsi="宋体" w:cs="宋体"/>
          <w:sz w:val="24"/>
          <w:szCs w:val="24"/>
          <w:lang w:val="en-US" w:eastAsia="zh-CN"/>
        </w:rPr>
        <w:t>合同金额100%的</w:t>
      </w:r>
      <w:r>
        <w:rPr>
          <w:rFonts w:hint="eastAsia" w:ascii="宋体" w:hAnsi="宋体" w:eastAsia="宋体" w:cs="宋体"/>
          <w:sz w:val="24"/>
          <w:szCs w:val="24"/>
        </w:rPr>
        <w:t>增值税专用发票及请款资料，</w:t>
      </w:r>
      <w:r>
        <w:rPr>
          <w:rFonts w:hint="eastAsia" w:ascii="宋体" w:hAnsi="宋体" w:cs="宋体"/>
          <w:sz w:val="24"/>
          <w:szCs w:val="24"/>
          <w:lang w:val="en-US" w:eastAsia="zh-CN"/>
        </w:rPr>
        <w:t>甲方</w:t>
      </w:r>
      <w:r>
        <w:rPr>
          <w:rFonts w:hint="eastAsia" w:ascii="宋体" w:hAnsi="宋体" w:eastAsia="宋体" w:cs="宋体"/>
          <w:sz w:val="24"/>
          <w:szCs w:val="24"/>
        </w:rPr>
        <w:t>在收到上述有效资料之日起20个工作日内向</w:t>
      </w:r>
      <w:r>
        <w:rPr>
          <w:rFonts w:hint="eastAsia" w:ascii="宋体" w:hAnsi="宋体" w:cs="宋体"/>
          <w:sz w:val="24"/>
          <w:szCs w:val="24"/>
          <w:lang w:val="en-US" w:eastAsia="zh-CN"/>
        </w:rPr>
        <w:t>乙方</w:t>
      </w:r>
      <w:r>
        <w:rPr>
          <w:rFonts w:hint="eastAsia" w:ascii="宋体" w:hAnsi="宋体" w:eastAsia="宋体" w:cs="宋体"/>
          <w:sz w:val="24"/>
          <w:szCs w:val="24"/>
        </w:rPr>
        <w:t>支付至合同金额的95%；</w:t>
      </w:r>
    </w:p>
    <w:p w14:paraId="476F024A">
      <w:pPr>
        <w:spacing w:beforeLines="0" w:line="240" w:lineRule="auto"/>
        <w:ind w:right="0" w:firstLine="0" w:firstLineChars="0"/>
        <w:rPr>
          <w:rFonts w:hint="eastAsia" w:ascii="宋体" w:hAnsi="宋体" w:eastAsia="宋体" w:cs="宋体"/>
          <w:sz w:val="24"/>
          <w:szCs w:val="24"/>
        </w:rPr>
      </w:pPr>
      <w:r>
        <w:rPr>
          <w:rFonts w:hint="eastAsia" w:ascii="宋体" w:hAnsi="宋体" w:eastAsia="宋体" w:cs="宋体"/>
          <w:sz w:val="24"/>
          <w:szCs w:val="24"/>
        </w:rPr>
        <w:t>3、剩余合同金额的5%为质保金，待项目质保期满、合同执行无争议且</w:t>
      </w:r>
      <w:r>
        <w:rPr>
          <w:rFonts w:hint="eastAsia" w:ascii="宋体" w:hAnsi="宋体" w:cs="宋体"/>
          <w:sz w:val="24"/>
          <w:szCs w:val="24"/>
          <w:lang w:val="en-US" w:eastAsia="zh-CN"/>
        </w:rPr>
        <w:t>乙方</w:t>
      </w:r>
      <w:r>
        <w:rPr>
          <w:rFonts w:hint="eastAsia" w:ascii="宋体" w:hAnsi="宋体" w:eastAsia="宋体" w:cs="宋体"/>
          <w:sz w:val="24"/>
          <w:szCs w:val="24"/>
        </w:rPr>
        <w:t>完成全部质保服务后，</w:t>
      </w:r>
      <w:r>
        <w:rPr>
          <w:rFonts w:hint="eastAsia" w:ascii="宋体" w:hAnsi="宋体" w:cs="宋体"/>
          <w:sz w:val="24"/>
          <w:szCs w:val="24"/>
          <w:lang w:val="en-US" w:eastAsia="zh-CN"/>
        </w:rPr>
        <w:t>乙方</w:t>
      </w:r>
      <w:r>
        <w:rPr>
          <w:rFonts w:hint="eastAsia" w:ascii="宋体" w:hAnsi="宋体" w:eastAsia="宋体" w:cs="宋体"/>
          <w:sz w:val="24"/>
          <w:szCs w:val="24"/>
        </w:rPr>
        <w:t>提交请款资料，</w:t>
      </w:r>
      <w:r>
        <w:rPr>
          <w:rFonts w:hint="eastAsia" w:ascii="宋体" w:hAnsi="宋体" w:cs="宋体"/>
          <w:sz w:val="24"/>
          <w:szCs w:val="24"/>
          <w:lang w:val="en-US" w:eastAsia="zh-CN"/>
        </w:rPr>
        <w:t>甲方</w:t>
      </w:r>
      <w:r>
        <w:rPr>
          <w:rFonts w:hint="eastAsia" w:ascii="宋体" w:hAnsi="宋体" w:eastAsia="宋体" w:cs="宋体"/>
          <w:sz w:val="24"/>
          <w:szCs w:val="24"/>
        </w:rPr>
        <w:t>在收到上述有效资料之日起20个工作日内完成支付（</w:t>
      </w:r>
      <w:r>
        <w:rPr>
          <w:rFonts w:hint="eastAsia" w:ascii="宋体" w:hAnsi="宋体" w:cs="宋体"/>
          <w:sz w:val="24"/>
          <w:szCs w:val="24"/>
          <w:lang w:val="en-US" w:eastAsia="zh-CN"/>
        </w:rPr>
        <w:t>甲方</w:t>
      </w:r>
      <w:r>
        <w:rPr>
          <w:rFonts w:hint="eastAsia" w:ascii="宋体" w:hAnsi="宋体" w:eastAsia="宋体" w:cs="宋体"/>
          <w:sz w:val="24"/>
          <w:szCs w:val="24"/>
        </w:rPr>
        <w:t>有权扣除</w:t>
      </w:r>
      <w:r>
        <w:rPr>
          <w:rFonts w:hint="eastAsia" w:ascii="宋体" w:hAnsi="宋体" w:cs="宋体"/>
          <w:sz w:val="24"/>
          <w:szCs w:val="24"/>
          <w:lang w:val="en-US" w:eastAsia="zh-CN"/>
        </w:rPr>
        <w:t>乙方</w:t>
      </w:r>
      <w:r>
        <w:rPr>
          <w:rFonts w:hint="eastAsia" w:ascii="宋体" w:hAnsi="宋体" w:eastAsia="宋体" w:cs="宋体"/>
          <w:sz w:val="24"/>
          <w:szCs w:val="24"/>
        </w:rPr>
        <w:t>违约金、赔偿款等应承担的款项后再支付）。</w:t>
      </w:r>
    </w:p>
    <w:p w14:paraId="09DC98A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乙方须在合同签订后5个工作日内向甲方缴纳人民币5,200.00元作为本项目的履约保证金。乙方</w:t>
      </w:r>
      <w:r>
        <w:rPr>
          <w:rFonts w:hint="eastAsia" w:ascii="宋体" w:hAnsi="宋体" w:eastAsia="宋体" w:cs="宋体"/>
          <w:sz w:val="24"/>
          <w:szCs w:val="24"/>
        </w:rPr>
        <w:t>缴存的履约保证金作为</w:t>
      </w:r>
      <w:r>
        <w:rPr>
          <w:rFonts w:hint="eastAsia" w:ascii="宋体" w:hAnsi="宋体" w:cs="宋体"/>
          <w:sz w:val="24"/>
          <w:szCs w:val="24"/>
          <w:lang w:val="en-US" w:eastAsia="zh-CN"/>
        </w:rPr>
        <w:t>甲方</w:t>
      </w:r>
      <w:r>
        <w:rPr>
          <w:rFonts w:hint="eastAsia" w:ascii="宋体" w:hAnsi="宋体" w:eastAsia="宋体" w:cs="宋体"/>
          <w:sz w:val="24"/>
          <w:szCs w:val="24"/>
        </w:rPr>
        <w:t>垫付</w:t>
      </w:r>
      <w:r>
        <w:rPr>
          <w:rFonts w:hint="eastAsia" w:ascii="宋体" w:hAnsi="宋体" w:cs="宋体"/>
          <w:sz w:val="24"/>
          <w:szCs w:val="24"/>
          <w:lang w:val="en-US" w:eastAsia="zh-CN"/>
        </w:rPr>
        <w:t>乙方</w:t>
      </w:r>
      <w:r>
        <w:rPr>
          <w:rFonts w:hint="eastAsia" w:ascii="宋体" w:hAnsi="宋体" w:eastAsia="宋体" w:cs="宋体"/>
          <w:sz w:val="24"/>
          <w:szCs w:val="24"/>
        </w:rPr>
        <w:t>服务过程中产生应由</w:t>
      </w:r>
      <w:r>
        <w:rPr>
          <w:rFonts w:hint="eastAsia" w:ascii="宋体" w:hAnsi="宋体" w:cs="宋体"/>
          <w:sz w:val="24"/>
          <w:szCs w:val="24"/>
          <w:lang w:val="en-US" w:eastAsia="zh-CN"/>
        </w:rPr>
        <w:t>乙方</w:t>
      </w:r>
      <w:r>
        <w:rPr>
          <w:rFonts w:hint="eastAsia" w:ascii="宋体" w:hAnsi="宋体" w:eastAsia="宋体" w:cs="宋体"/>
          <w:sz w:val="24"/>
          <w:szCs w:val="24"/>
        </w:rPr>
        <w:t>支付的费用或违约罚款的来源。履约保证金返还申请时间为项目验收合格之日后，</w:t>
      </w:r>
      <w:r>
        <w:rPr>
          <w:rFonts w:hint="eastAsia" w:ascii="宋体" w:hAnsi="宋体" w:cs="宋体"/>
          <w:sz w:val="24"/>
          <w:szCs w:val="24"/>
          <w:lang w:val="en-US" w:eastAsia="zh-CN"/>
        </w:rPr>
        <w:t>乙方</w:t>
      </w:r>
      <w:r>
        <w:rPr>
          <w:rFonts w:hint="eastAsia" w:ascii="宋体" w:hAnsi="宋体" w:eastAsia="宋体" w:cs="宋体"/>
          <w:sz w:val="24"/>
          <w:szCs w:val="24"/>
        </w:rPr>
        <w:t>没有任何违约的情况下由</w:t>
      </w:r>
      <w:r>
        <w:rPr>
          <w:rFonts w:hint="eastAsia" w:ascii="宋体" w:hAnsi="宋体" w:cs="宋体"/>
          <w:sz w:val="24"/>
          <w:szCs w:val="24"/>
          <w:lang w:val="en-US" w:eastAsia="zh-CN"/>
        </w:rPr>
        <w:t>乙方</w:t>
      </w:r>
      <w:r>
        <w:rPr>
          <w:rFonts w:hint="eastAsia" w:ascii="宋体" w:hAnsi="宋体" w:eastAsia="宋体" w:cs="宋体"/>
          <w:sz w:val="24"/>
          <w:szCs w:val="24"/>
        </w:rPr>
        <w:t>提交退款申请，</w:t>
      </w:r>
      <w:r>
        <w:rPr>
          <w:rFonts w:hint="eastAsia" w:ascii="宋体" w:hAnsi="宋体" w:cs="宋体"/>
          <w:sz w:val="24"/>
          <w:szCs w:val="24"/>
          <w:lang w:val="en-US" w:eastAsia="zh-CN"/>
        </w:rPr>
        <w:t>甲方在</w:t>
      </w:r>
      <w:r>
        <w:rPr>
          <w:rFonts w:hint="eastAsia" w:ascii="宋体" w:hAnsi="宋体" w:eastAsia="宋体" w:cs="宋体"/>
          <w:sz w:val="24"/>
          <w:szCs w:val="24"/>
        </w:rPr>
        <w:t>收到</w:t>
      </w:r>
      <w:r>
        <w:rPr>
          <w:rFonts w:hint="eastAsia" w:ascii="宋体" w:hAnsi="宋体" w:cs="宋体"/>
          <w:sz w:val="24"/>
          <w:szCs w:val="24"/>
          <w:lang w:val="en-US" w:eastAsia="zh-CN"/>
        </w:rPr>
        <w:t>乙方</w:t>
      </w:r>
      <w:r>
        <w:rPr>
          <w:rFonts w:hint="eastAsia" w:ascii="宋体" w:hAnsi="宋体" w:eastAsia="宋体" w:cs="宋体"/>
          <w:sz w:val="24"/>
          <w:szCs w:val="24"/>
        </w:rPr>
        <w:t xml:space="preserve">申请后30个日历日内一次性无息退回。。 </w:t>
      </w:r>
    </w:p>
    <w:p w14:paraId="163FC504">
      <w:pPr>
        <w:numPr>
          <w:ilvl w:val="-1"/>
          <w:numId w:val="0"/>
        </w:numPr>
        <w:spacing w:beforeLines="0" w:line="240" w:lineRule="auto"/>
        <w:ind w:left="0" w:leftChars="0" w:right="0" w:firstLine="0" w:firstLineChars="0"/>
        <w:rPr>
          <w:rFonts w:ascii="宋体" w:hAnsi="宋体" w:eastAsia="宋体" w:cs="宋体"/>
          <w:sz w:val="24"/>
          <w:szCs w:val="24"/>
        </w:rPr>
      </w:pPr>
      <w:r>
        <w:rPr>
          <w:rFonts w:hint="eastAsia" w:ascii="宋体" w:hAnsi="宋体" w:eastAsia="宋体" w:cs="宋体"/>
          <w:sz w:val="24"/>
          <w:szCs w:val="24"/>
        </w:rPr>
        <w:t>乙方请款前需向甲方提供请款材料和开具合法有效等额的增值税专用发票，否则甲方有权拒绝付款。</w:t>
      </w:r>
    </w:p>
    <w:p w14:paraId="0E4CA04B">
      <w:pPr>
        <w:numPr>
          <w:ilvl w:val="-1"/>
          <w:numId w:val="0"/>
        </w:numPr>
        <w:spacing w:beforeLines="0" w:line="240" w:lineRule="auto"/>
        <w:ind w:left="0" w:leftChars="0" w:right="0" w:firstLine="0" w:firstLineChars="0"/>
        <w:rPr>
          <w:rFonts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乙方收款账户信息：</w:t>
      </w:r>
    </w:p>
    <w:p w14:paraId="7641DAA5">
      <w:pPr>
        <w:spacing w:beforeLines="0" w:line="240" w:lineRule="auto"/>
        <w:ind w:right="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开户银行地址：</w:t>
      </w:r>
    </w:p>
    <w:p w14:paraId="38D5D763">
      <w:pPr>
        <w:spacing w:beforeLines="0" w:line="240" w:lineRule="auto"/>
        <w:ind w:right="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收款单位账号：</w:t>
      </w:r>
    </w:p>
    <w:p w14:paraId="5D8A464A">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highlight w:val="none"/>
        </w:rPr>
        <w:t xml:space="preserve">收款单位名称：  </w:t>
      </w:r>
      <w:r>
        <w:rPr>
          <w:rFonts w:hint="eastAsia" w:ascii="宋体" w:hAnsi="宋体" w:eastAsia="宋体" w:cs="宋体"/>
          <w:sz w:val="24"/>
          <w:szCs w:val="24"/>
        </w:rPr>
        <w:t xml:space="preserve">                                       </w:t>
      </w:r>
    </w:p>
    <w:p w14:paraId="1238069F">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因乙方提供的收款账户信息错误、乙方擅自变更收款账户信息而未及时书面通知甲方或乙方请款资料不全的，导致甲方付款迟延的，甲方无需承担迟延付款责任。</w:t>
      </w:r>
    </w:p>
    <w:p w14:paraId="089E7747">
      <w:pPr>
        <w:numPr>
          <w:ilvl w:val="-1"/>
          <w:numId w:val="0"/>
        </w:numPr>
        <w:spacing w:beforeLines="0" w:line="240" w:lineRule="auto"/>
        <w:ind w:left="0" w:leftChars="0" w:right="0" w:firstLine="0" w:firstLineChars="0"/>
        <w:rPr>
          <w:rFonts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对本合同没有约定的项目内容，只有双方签订的补充协议才能作为最终款项支付依据，除补充协议外的任何文件（如备忘录、会议纪要等）均不得作为最终款项支付的依据。</w:t>
      </w:r>
    </w:p>
    <w:p w14:paraId="6D38DFF6">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九</w:t>
      </w:r>
      <w:r>
        <w:rPr>
          <w:rFonts w:hint="eastAsia" w:ascii="宋体" w:hAnsi="宋体" w:eastAsia="宋体" w:cs="宋体"/>
          <w:b/>
          <w:sz w:val="24"/>
          <w:szCs w:val="24"/>
        </w:rPr>
        <w:t>条 工作成果归属：</w:t>
      </w:r>
    </w:p>
    <w:p w14:paraId="0C746241">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 xml:space="preserve">1．甲方利用乙方提交的技术服务工作成果所完成的新的技术成果，归 </w:t>
      </w:r>
      <w:bookmarkStart w:id="13" w:name="OLE_LINK1"/>
      <w:bookmarkStart w:id="14" w:name="OLE_LINK2"/>
      <w:r>
        <w:rPr>
          <w:rFonts w:hint="eastAsia" w:ascii="宋体" w:hAnsi="宋体" w:eastAsia="宋体" w:cs="宋体"/>
          <w:sz w:val="24"/>
          <w:szCs w:val="24"/>
          <w:u w:val="single"/>
        </w:rPr>
        <w:t>【甲】</w:t>
      </w:r>
      <w:bookmarkEnd w:id="13"/>
      <w:bookmarkEnd w:id="14"/>
      <w:r>
        <w:rPr>
          <w:rFonts w:hint="eastAsia" w:ascii="宋体" w:hAnsi="宋体" w:eastAsia="宋体" w:cs="宋体"/>
          <w:sz w:val="24"/>
          <w:szCs w:val="24"/>
        </w:rPr>
        <w:t>方所有。</w:t>
      </w:r>
    </w:p>
    <w:p w14:paraId="501DFE6D">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2．乙方利用甲方提供的技术资料和工作条件所完成的新的技术成果，归</w:t>
      </w:r>
      <w:r>
        <w:rPr>
          <w:rFonts w:hint="eastAsia" w:ascii="宋体" w:hAnsi="宋体" w:eastAsia="宋体" w:cs="宋体"/>
          <w:sz w:val="24"/>
          <w:szCs w:val="24"/>
          <w:u w:val="single"/>
        </w:rPr>
        <w:t xml:space="preserve"> 【甲】</w:t>
      </w:r>
      <w:r>
        <w:rPr>
          <w:rFonts w:hint="eastAsia" w:ascii="宋体" w:hAnsi="宋体" w:eastAsia="宋体" w:cs="宋体"/>
          <w:sz w:val="24"/>
          <w:szCs w:val="24"/>
        </w:rPr>
        <w:t>方所有。</w:t>
      </w:r>
    </w:p>
    <w:p w14:paraId="1C339E90">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十</w:t>
      </w:r>
      <w:r>
        <w:rPr>
          <w:rFonts w:hint="eastAsia" w:ascii="宋体" w:hAnsi="宋体" w:eastAsia="宋体" w:cs="宋体"/>
          <w:b/>
          <w:sz w:val="24"/>
          <w:szCs w:val="24"/>
        </w:rPr>
        <w:t>条 违约责任</w:t>
      </w:r>
    </w:p>
    <w:p w14:paraId="0DFAD20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违反本合同约定，违约方应当按《中华人民共和国民法典》有关规定，承担违约责任。</w:t>
      </w:r>
    </w:p>
    <w:p w14:paraId="6585146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1．甲方应按本合同规定的金额和时间向乙方支付合同价款且经乙方出面催告后仍未支付的，每逾期一天，应承担应付未付金额</w:t>
      </w:r>
      <w:r>
        <w:rPr>
          <w:rFonts w:hint="eastAsia" w:ascii="宋体" w:hAnsi="宋体" w:eastAsia="宋体" w:cs="宋体"/>
          <w:sz w:val="24"/>
          <w:szCs w:val="24"/>
          <w:u w:val="single"/>
        </w:rPr>
        <w:t xml:space="preserve">   0.1  ‰</w:t>
      </w:r>
      <w:r>
        <w:rPr>
          <w:rFonts w:hint="eastAsia" w:ascii="宋体" w:hAnsi="宋体" w:eastAsia="宋体" w:cs="宋体"/>
          <w:sz w:val="24"/>
          <w:szCs w:val="24"/>
        </w:rPr>
        <w:t>的逾期违约金。</w:t>
      </w:r>
    </w:p>
    <w:p w14:paraId="2362982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2．乙方必须按本合同第二条的工期及</w:t>
      </w:r>
      <w:r>
        <w:rPr>
          <w:rFonts w:hint="eastAsia" w:ascii="宋体" w:hAnsi="宋体" w:eastAsia="宋体" w:cs="宋体"/>
          <w:sz w:val="24"/>
          <w:szCs w:val="24"/>
          <w:lang w:val="en-US" w:eastAsia="zh-CN"/>
        </w:rPr>
        <w:t>甲方</w:t>
      </w:r>
      <w:r>
        <w:rPr>
          <w:rFonts w:hint="eastAsia" w:ascii="宋体" w:hAnsi="宋体" w:eastAsia="宋体" w:cs="宋体"/>
          <w:sz w:val="24"/>
          <w:szCs w:val="24"/>
        </w:rPr>
        <w:t>要求完成各项任务，如果因乙方原因造成工期延误, 逾期</w:t>
      </w:r>
      <w:r>
        <w:rPr>
          <w:rFonts w:hint="eastAsia" w:ascii="宋体" w:hAnsi="宋体" w:eastAsia="宋体" w:cs="宋体"/>
          <w:sz w:val="24"/>
          <w:szCs w:val="24"/>
          <w:lang w:val="en-US" w:eastAsia="zh-CN"/>
        </w:rPr>
        <w:t>七</w:t>
      </w:r>
      <w:r>
        <w:rPr>
          <w:rFonts w:hint="eastAsia" w:ascii="宋体" w:hAnsi="宋体" w:eastAsia="宋体" w:cs="宋体"/>
          <w:sz w:val="24"/>
          <w:szCs w:val="24"/>
        </w:rPr>
        <w:t xml:space="preserve">日内，每逾期一日，应按合同总额的 </w:t>
      </w:r>
      <w:r>
        <w:rPr>
          <w:rFonts w:hint="eastAsia" w:ascii="宋体" w:hAnsi="宋体" w:eastAsia="宋体" w:cs="宋体"/>
          <w:sz w:val="24"/>
          <w:szCs w:val="24"/>
          <w:u w:val="single"/>
        </w:rPr>
        <w:t xml:space="preserve">  1  </w:t>
      </w:r>
      <w:r>
        <w:rPr>
          <w:rFonts w:hint="eastAsia" w:ascii="宋体" w:hAnsi="宋体" w:eastAsia="宋体" w:cs="宋体"/>
          <w:sz w:val="24"/>
          <w:szCs w:val="24"/>
        </w:rPr>
        <w:t>％向甲方支付违约金；逾期超过</w:t>
      </w:r>
      <w:r>
        <w:rPr>
          <w:rFonts w:hint="eastAsia" w:ascii="宋体" w:hAnsi="宋体" w:eastAsia="宋体" w:cs="宋体"/>
          <w:sz w:val="24"/>
          <w:szCs w:val="24"/>
          <w:lang w:val="en-US" w:eastAsia="zh-CN"/>
        </w:rPr>
        <w:t>七</w:t>
      </w:r>
      <w:r>
        <w:rPr>
          <w:rFonts w:hint="eastAsia" w:ascii="宋体" w:hAnsi="宋体" w:eastAsia="宋体" w:cs="宋体"/>
          <w:sz w:val="24"/>
          <w:szCs w:val="24"/>
        </w:rPr>
        <w:t>日甲方有权单方解除本合同，乙方除支付逾期违约金外，还应按合同总价款的</w:t>
      </w:r>
      <w:r>
        <w:rPr>
          <w:rFonts w:hint="eastAsia" w:ascii="宋体" w:hAnsi="宋体" w:eastAsia="宋体" w:cs="宋体"/>
          <w:sz w:val="24"/>
          <w:szCs w:val="24"/>
          <w:u w:val="single"/>
        </w:rPr>
        <w:t xml:space="preserve"> 30 </w:t>
      </w:r>
      <w:r>
        <w:rPr>
          <w:rFonts w:hint="eastAsia" w:ascii="宋体" w:hAnsi="宋体" w:eastAsia="宋体" w:cs="宋体"/>
          <w:sz w:val="24"/>
          <w:szCs w:val="24"/>
        </w:rPr>
        <w:t>％向甲方支付违约金。如果因甲方原因造成工期延误，工期顺延，乙方不承担违约责任。</w:t>
      </w:r>
    </w:p>
    <w:p w14:paraId="046B29EE">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3.乙方</w:t>
      </w:r>
      <w:r>
        <w:rPr>
          <w:rFonts w:hint="eastAsia" w:ascii="宋体" w:hAnsi="宋体" w:eastAsia="宋体" w:cs="宋体"/>
          <w:sz w:val="24"/>
          <w:szCs w:val="24"/>
          <w:u w:val="single"/>
          <w:lang w:val="en-US" w:eastAsia="zh-CN"/>
        </w:rPr>
        <w:t>工作成果</w:t>
      </w:r>
      <w:r>
        <w:rPr>
          <w:rFonts w:hint="eastAsia" w:ascii="宋体" w:hAnsi="宋体" w:eastAsia="宋体" w:cs="宋体"/>
          <w:sz w:val="24"/>
          <w:szCs w:val="24"/>
        </w:rPr>
        <w:t>不符合本合同约定标准的，应按甲方要求</w:t>
      </w:r>
      <w:r>
        <w:rPr>
          <w:rFonts w:hint="eastAsia" w:ascii="宋体" w:hAnsi="宋体" w:eastAsia="宋体" w:cs="宋体"/>
          <w:sz w:val="24"/>
          <w:szCs w:val="24"/>
          <w:lang w:val="en-US" w:eastAsia="zh-CN"/>
        </w:rPr>
        <w:t>返工</w:t>
      </w:r>
      <w:r>
        <w:rPr>
          <w:rFonts w:hint="eastAsia" w:ascii="宋体" w:hAnsi="宋体" w:eastAsia="宋体" w:cs="宋体"/>
          <w:sz w:val="24"/>
          <w:szCs w:val="24"/>
        </w:rPr>
        <w:t>并重新</w:t>
      </w:r>
      <w:r>
        <w:rPr>
          <w:rFonts w:hint="eastAsia" w:ascii="宋体" w:hAnsi="宋体" w:eastAsia="宋体" w:cs="宋体"/>
          <w:sz w:val="24"/>
          <w:szCs w:val="24"/>
          <w:lang w:val="en-US" w:eastAsia="zh-CN"/>
        </w:rPr>
        <w:t>出具工作成果</w:t>
      </w:r>
      <w:r>
        <w:rPr>
          <w:rFonts w:hint="eastAsia" w:ascii="宋体" w:hAnsi="宋体" w:eastAsia="宋体" w:cs="宋体"/>
          <w:sz w:val="24"/>
          <w:szCs w:val="24"/>
        </w:rPr>
        <w:t>，因此导致</w:t>
      </w:r>
      <w:r>
        <w:rPr>
          <w:rFonts w:hint="eastAsia" w:ascii="宋体" w:hAnsi="宋体" w:eastAsia="宋体" w:cs="宋体"/>
          <w:sz w:val="24"/>
          <w:szCs w:val="24"/>
          <w:lang w:val="en-US" w:eastAsia="zh-CN"/>
        </w:rPr>
        <w:t>服务</w:t>
      </w:r>
      <w:r>
        <w:rPr>
          <w:rFonts w:hint="eastAsia" w:ascii="宋体" w:hAnsi="宋体" w:eastAsia="宋体" w:cs="宋体"/>
          <w:sz w:val="24"/>
          <w:szCs w:val="24"/>
        </w:rPr>
        <w:t>期间逾期的，按本条第2款承担相应违约责任。经整改后乙方出具的</w:t>
      </w:r>
      <w:r>
        <w:rPr>
          <w:rFonts w:hint="eastAsia" w:ascii="宋体" w:hAnsi="宋体" w:eastAsia="宋体" w:cs="宋体"/>
          <w:sz w:val="24"/>
          <w:szCs w:val="24"/>
          <w:u w:val="single"/>
          <w:lang w:val="en-US" w:eastAsia="zh-CN"/>
        </w:rPr>
        <w:t>工作成果</w:t>
      </w:r>
      <w:r>
        <w:rPr>
          <w:rFonts w:hint="eastAsia" w:ascii="宋体" w:hAnsi="宋体" w:eastAsia="宋体" w:cs="宋体"/>
          <w:sz w:val="24"/>
          <w:szCs w:val="24"/>
        </w:rPr>
        <w:t>仍不符合约定标准的，甲方有权解除合同，乙方应向甲方退回全部款项，且乙方应按合同总价款之30%向甲方支付违约金。</w:t>
      </w:r>
    </w:p>
    <w:p w14:paraId="1774BDBF">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4．因乙方的原因导致</w:t>
      </w:r>
      <w:r>
        <w:rPr>
          <w:rFonts w:hint="eastAsia" w:ascii="宋体" w:hAnsi="宋体" w:cs="宋体"/>
          <w:sz w:val="24"/>
          <w:szCs w:val="24"/>
          <w:u w:val="single"/>
          <w:lang w:val="en-US" w:eastAsia="zh-CN"/>
        </w:rPr>
        <w:t>项目</w:t>
      </w:r>
      <w:r>
        <w:rPr>
          <w:rFonts w:hint="eastAsia" w:ascii="宋体" w:hAnsi="宋体" w:eastAsia="宋体" w:cs="宋体"/>
          <w:sz w:val="24"/>
          <w:szCs w:val="24"/>
        </w:rPr>
        <w:t>无法通过甲方组织的验收,甲方有权不支付相应报酬并没收乙方履约保证金，</w:t>
      </w:r>
      <w:r>
        <w:rPr>
          <w:rFonts w:hint="eastAsia" w:ascii="宋体" w:hAnsi="宋体" w:cs="宋体"/>
          <w:sz w:val="24"/>
          <w:szCs w:val="24"/>
          <w:lang w:val="en-US" w:eastAsia="zh-CN"/>
        </w:rPr>
        <w:t>且乙方应退回甲方已支付的费用，</w:t>
      </w:r>
      <w:r>
        <w:rPr>
          <w:rFonts w:hint="eastAsia" w:ascii="宋体" w:hAnsi="宋体" w:eastAsia="宋体" w:cs="宋体"/>
          <w:sz w:val="24"/>
          <w:szCs w:val="24"/>
        </w:rPr>
        <w:t>因此造成的损失有权向乙方索赔。</w:t>
      </w:r>
    </w:p>
    <w:p w14:paraId="39771B5A">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5．因本合同相关事宜产生纠纷，甲方通过司法途径维护自身权益的，乙方应承担甲方因维护自身权益产生的律师费、诉讼/仲裁费、财产保全费、财产保全担保费、鉴定费、评估费、拍卖费、强制执行费、差旅费等全部费用。因乙方违约需向甲方支付违约金的，甲方有权在未付款项中扣除。</w:t>
      </w:r>
    </w:p>
    <w:p w14:paraId="5F7C6212">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6.其他：</w:t>
      </w:r>
      <w:r>
        <w:rPr>
          <w:rFonts w:hint="eastAsia" w:ascii="宋体" w:hAnsi="宋体" w:cs="宋体"/>
          <w:sz w:val="24"/>
          <w:szCs w:val="24"/>
          <w:lang w:val="en-US" w:eastAsia="zh-CN"/>
        </w:rPr>
        <w:t>质保期内，乙方在</w:t>
      </w:r>
      <w:r>
        <w:rPr>
          <w:rFonts w:hint="eastAsia" w:ascii="宋体" w:hAnsi="宋体" w:eastAsia="宋体" w:cs="宋体"/>
          <w:sz w:val="24"/>
          <w:szCs w:val="24"/>
        </w:rPr>
        <w:t>发现故障或接到</w:t>
      </w:r>
      <w:r>
        <w:rPr>
          <w:rFonts w:hint="eastAsia" w:ascii="宋体" w:hAnsi="宋体" w:cs="宋体"/>
          <w:sz w:val="24"/>
          <w:szCs w:val="24"/>
          <w:lang w:val="en-US" w:eastAsia="zh-CN"/>
        </w:rPr>
        <w:t>甲方</w:t>
      </w:r>
      <w:r>
        <w:rPr>
          <w:rFonts w:hint="eastAsia" w:ascii="宋体" w:hAnsi="宋体" w:eastAsia="宋体" w:cs="宋体"/>
          <w:sz w:val="24"/>
          <w:szCs w:val="24"/>
        </w:rPr>
        <w:t>故障通知后1小时内响应，解决时间原则上不应超过 24 小时。</w:t>
      </w:r>
      <w:r>
        <w:rPr>
          <w:rFonts w:hint="eastAsia" w:ascii="宋体" w:hAnsi="宋体" w:cs="宋体"/>
          <w:sz w:val="24"/>
          <w:szCs w:val="24"/>
          <w:lang w:val="en-US" w:eastAsia="zh-CN"/>
        </w:rPr>
        <w:t>每逾期一天</w:t>
      </w:r>
      <w:r>
        <w:rPr>
          <w:rFonts w:hint="eastAsia" w:ascii="宋体" w:hAnsi="宋体" w:eastAsia="宋体" w:cs="宋体"/>
          <w:sz w:val="24"/>
          <w:szCs w:val="24"/>
          <w:lang w:val="en-US" w:eastAsia="zh-CN"/>
        </w:rPr>
        <w:t>，</w:t>
      </w:r>
      <w:r>
        <w:rPr>
          <w:rFonts w:hint="eastAsia" w:ascii="宋体" w:hAnsi="宋体" w:eastAsia="宋体" w:cs="宋体"/>
          <w:sz w:val="24"/>
          <w:szCs w:val="24"/>
        </w:rPr>
        <w:t>须向甲方应承担合同金额</w:t>
      </w:r>
      <w:r>
        <w:rPr>
          <w:rFonts w:hint="eastAsia" w:ascii="宋体" w:hAnsi="宋体" w:eastAsia="宋体" w:cs="宋体"/>
          <w:sz w:val="24"/>
          <w:szCs w:val="24"/>
          <w:u w:val="single"/>
        </w:rPr>
        <w:t xml:space="preserve">   1  ‰</w:t>
      </w:r>
      <w:r>
        <w:rPr>
          <w:rFonts w:hint="eastAsia" w:ascii="宋体" w:hAnsi="宋体" w:eastAsia="宋体" w:cs="宋体"/>
          <w:sz w:val="24"/>
          <w:szCs w:val="24"/>
        </w:rPr>
        <w:t>的逾期违约金。</w:t>
      </w:r>
    </w:p>
    <w:p w14:paraId="61ADDAF3">
      <w:pPr>
        <w:spacing w:beforeLines="0" w:line="240" w:lineRule="auto"/>
        <w:ind w:right="0" w:firstLine="0" w:firstLineChars="0"/>
        <w:rPr>
          <w:rFonts w:ascii="宋体" w:hAnsi="宋体" w:eastAsia="宋体" w:cs="宋体"/>
          <w:b/>
          <w:sz w:val="24"/>
          <w:szCs w:val="24"/>
        </w:rPr>
      </w:pPr>
    </w:p>
    <w:p w14:paraId="26922390">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一</w:t>
      </w:r>
      <w:r>
        <w:rPr>
          <w:rFonts w:hint="eastAsia" w:ascii="宋体" w:hAnsi="宋体" w:eastAsia="宋体" w:cs="宋体"/>
          <w:b/>
          <w:sz w:val="24"/>
          <w:szCs w:val="24"/>
        </w:rPr>
        <w:t>条 争端的解决</w:t>
      </w:r>
    </w:p>
    <w:p w14:paraId="0B46BC43">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合同执行过程中发生的任何争议，如双方不能通过友好协商解决，提交甲方所在地法院诉讼解决。</w:t>
      </w:r>
    </w:p>
    <w:p w14:paraId="47830B9C">
      <w:pPr>
        <w:spacing w:beforeLines="0" w:line="240" w:lineRule="auto"/>
        <w:ind w:right="0" w:firstLine="0" w:firstLineChars="0"/>
        <w:rPr>
          <w:rFonts w:ascii="宋体" w:hAnsi="宋体" w:eastAsia="宋体" w:cs="宋体"/>
          <w:sz w:val="24"/>
          <w:szCs w:val="24"/>
        </w:rPr>
      </w:pPr>
    </w:p>
    <w:p w14:paraId="0B7D7E4F">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二</w:t>
      </w:r>
      <w:r>
        <w:rPr>
          <w:rFonts w:hint="eastAsia" w:ascii="宋体" w:hAnsi="宋体" w:eastAsia="宋体" w:cs="宋体"/>
          <w:b/>
          <w:sz w:val="24"/>
          <w:szCs w:val="24"/>
        </w:rPr>
        <w:t>条 不可抗力</w:t>
      </w:r>
    </w:p>
    <w:p w14:paraId="6C5BFA87">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结束后1个日历日内向对方通报，以减轻可能给对方造成的损失，在取得有关机构的不可抗力证明或双方谅解确认后，允许延期履行或修订合同，并根据情况可部分或全部免于承担违约责任。</w:t>
      </w:r>
    </w:p>
    <w:p w14:paraId="544E2462">
      <w:pPr>
        <w:spacing w:beforeLines="0" w:line="240" w:lineRule="auto"/>
        <w:ind w:right="0" w:firstLine="0" w:firstLineChars="0"/>
        <w:rPr>
          <w:rFonts w:ascii="宋体" w:hAnsi="宋体" w:eastAsia="宋体" w:cs="宋体"/>
          <w:sz w:val="24"/>
          <w:szCs w:val="24"/>
        </w:rPr>
      </w:pPr>
    </w:p>
    <w:p w14:paraId="0B4DBB60">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lang w:val="en-US" w:eastAsia="zh-CN"/>
        </w:rPr>
        <w:t>第</w:t>
      </w:r>
      <w:r>
        <w:rPr>
          <w:rFonts w:hint="eastAsia" w:ascii="宋体" w:hAnsi="宋体" w:eastAsia="宋体" w:cs="宋体"/>
          <w:b/>
          <w:sz w:val="24"/>
          <w:szCs w:val="24"/>
        </w:rPr>
        <w:t>十</w:t>
      </w:r>
      <w:r>
        <w:rPr>
          <w:rFonts w:hint="eastAsia" w:ascii="宋体" w:hAnsi="宋体" w:eastAsia="宋体" w:cs="宋体"/>
          <w:b/>
          <w:sz w:val="24"/>
          <w:szCs w:val="24"/>
          <w:lang w:val="en-US" w:eastAsia="zh-CN"/>
        </w:rPr>
        <w:t>三</w:t>
      </w:r>
      <w:r>
        <w:rPr>
          <w:rFonts w:hint="eastAsia" w:ascii="宋体" w:hAnsi="宋体" w:eastAsia="宋体" w:cs="宋体"/>
          <w:b/>
          <w:sz w:val="24"/>
          <w:szCs w:val="24"/>
        </w:rPr>
        <w:t>条 其它</w:t>
      </w:r>
    </w:p>
    <w:p w14:paraId="3D9D6D8A">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1.本合同所有附件、采购文件、报价文件、结果确认函均为本合同的有效组成部分，与本合同具有同等法律效力。</w:t>
      </w:r>
    </w:p>
    <w:p w14:paraId="0D81D0B7">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2.在执行本合同的过程中，所有经双方签署确认的文件（包括会议纪要、补充协议、往来信函）即成为本合同的有效组成部分。</w:t>
      </w:r>
    </w:p>
    <w:p w14:paraId="2C22A867">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3.如一方地址、电话、传真号码有变更，应在变更当日内书面通知对方，否则，应承担相应责任。</w:t>
      </w:r>
    </w:p>
    <w:p w14:paraId="3E97FF5B">
      <w:pPr>
        <w:spacing w:beforeLines="0" w:line="240" w:lineRule="auto"/>
        <w:ind w:right="0" w:firstLine="0" w:firstLineChars="0"/>
        <w:rPr>
          <w:rFonts w:ascii="宋体" w:hAnsi="宋体" w:eastAsia="宋体" w:cs="宋体"/>
          <w:sz w:val="24"/>
          <w:szCs w:val="24"/>
        </w:rPr>
      </w:pPr>
    </w:p>
    <w:p w14:paraId="4EA2EA7A">
      <w:pPr>
        <w:spacing w:beforeLines="0" w:line="240" w:lineRule="auto"/>
        <w:ind w:right="0" w:firstLine="0" w:firstLineChars="0"/>
        <w:rPr>
          <w:rFonts w:ascii="宋体" w:hAnsi="宋体" w:eastAsia="宋体" w:cs="宋体"/>
          <w:b/>
          <w:sz w:val="24"/>
          <w:szCs w:val="24"/>
        </w:rPr>
      </w:pPr>
      <w:r>
        <w:rPr>
          <w:rFonts w:hint="eastAsia" w:ascii="宋体" w:hAnsi="宋体" w:eastAsia="宋体" w:cs="宋体"/>
          <w:b/>
          <w:sz w:val="24"/>
          <w:szCs w:val="24"/>
          <w:lang w:val="en-US" w:eastAsia="zh-CN"/>
        </w:rPr>
        <w:t>第</w:t>
      </w:r>
      <w:r>
        <w:rPr>
          <w:rFonts w:hint="eastAsia" w:ascii="宋体" w:hAnsi="宋体" w:eastAsia="宋体" w:cs="宋体"/>
          <w:b/>
          <w:sz w:val="24"/>
          <w:szCs w:val="24"/>
        </w:rPr>
        <w:t>十</w:t>
      </w:r>
      <w:r>
        <w:rPr>
          <w:rFonts w:hint="eastAsia" w:ascii="宋体" w:hAnsi="宋体" w:eastAsia="宋体" w:cs="宋体"/>
          <w:b/>
          <w:sz w:val="24"/>
          <w:szCs w:val="24"/>
          <w:lang w:val="en-US" w:eastAsia="zh-CN"/>
        </w:rPr>
        <w:t>四</w:t>
      </w:r>
      <w:r>
        <w:rPr>
          <w:rFonts w:hint="eastAsia" w:ascii="宋体" w:hAnsi="宋体" w:eastAsia="宋体" w:cs="宋体"/>
          <w:b/>
          <w:sz w:val="24"/>
          <w:szCs w:val="24"/>
        </w:rPr>
        <w:t>条  合同生效</w:t>
      </w:r>
    </w:p>
    <w:p w14:paraId="4C681B1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1.本合同在甲乙双方盖章之日及法定代表人或委托代理人签署之日起生效。</w:t>
      </w:r>
    </w:p>
    <w:p w14:paraId="538C4147">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2.本合同一式</w:t>
      </w:r>
      <w:r>
        <w:rPr>
          <w:rFonts w:hint="eastAsia" w:ascii="宋体" w:hAnsi="宋体" w:eastAsia="宋体" w:cs="宋体"/>
          <w:sz w:val="24"/>
          <w:szCs w:val="24"/>
          <w:lang w:val="en-US" w:eastAsia="zh-CN"/>
        </w:rPr>
        <w:t>伍份</w:t>
      </w:r>
      <w:r>
        <w:rPr>
          <w:rFonts w:hint="eastAsia" w:ascii="宋体" w:hAnsi="宋体" w:eastAsia="宋体" w:cs="宋体"/>
          <w:sz w:val="24"/>
          <w:szCs w:val="24"/>
        </w:rPr>
        <w:t>，甲方</w:t>
      </w:r>
      <w:r>
        <w:rPr>
          <w:rFonts w:hint="eastAsia" w:ascii="宋体" w:hAnsi="宋体" w:eastAsia="宋体" w:cs="宋体"/>
          <w:sz w:val="24"/>
          <w:szCs w:val="24"/>
          <w:lang w:val="en-US" w:eastAsia="zh-CN"/>
        </w:rPr>
        <w:t>叁</w:t>
      </w:r>
      <w:r>
        <w:rPr>
          <w:rFonts w:hint="eastAsia" w:ascii="宋体" w:hAnsi="宋体" w:eastAsia="宋体" w:cs="宋体"/>
          <w:sz w:val="24"/>
          <w:szCs w:val="24"/>
        </w:rPr>
        <w:t>份，乙方贰份, 具有同等法律效力。</w:t>
      </w:r>
    </w:p>
    <w:p w14:paraId="2293FDF6">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3.本合同附件：</w:t>
      </w:r>
    </w:p>
    <w:p w14:paraId="33BCFC9C">
      <w:pPr>
        <w:spacing w:beforeLines="0" w:line="240" w:lineRule="auto"/>
        <w:ind w:right="0" w:firstLine="0" w:firstLineChars="0"/>
        <w:rPr>
          <w:rFonts w:hint="eastAsia" w:ascii="宋体" w:hAnsi="宋体" w:cs="宋体"/>
          <w:sz w:val="24"/>
          <w:szCs w:val="24"/>
          <w:lang w:eastAsia="zh-CN"/>
        </w:rPr>
      </w:pPr>
      <w:r>
        <w:rPr>
          <w:rFonts w:hint="eastAsia" w:ascii="宋体" w:hAnsi="宋体" w:eastAsia="宋体" w:cs="宋体"/>
          <w:sz w:val="24"/>
          <w:szCs w:val="24"/>
        </w:rPr>
        <w:t>附件</w:t>
      </w:r>
      <w:r>
        <w:rPr>
          <w:rFonts w:hint="eastAsia" w:ascii="宋体" w:hAnsi="宋体" w:cs="宋体"/>
          <w:sz w:val="24"/>
          <w:szCs w:val="24"/>
          <w:lang w:val="en-US" w:eastAsia="zh-CN"/>
        </w:rPr>
        <w:t>一</w:t>
      </w:r>
      <w:r>
        <w:rPr>
          <w:rFonts w:hint="eastAsia" w:ascii="宋体" w:hAnsi="宋体" w:eastAsia="宋体" w:cs="宋体"/>
          <w:sz w:val="24"/>
          <w:szCs w:val="24"/>
        </w:rPr>
        <w:t>：</w:t>
      </w:r>
      <w:r>
        <w:rPr>
          <w:rFonts w:hint="eastAsia" w:ascii="宋体" w:hAnsi="宋体" w:cs="宋体"/>
          <w:sz w:val="24"/>
          <w:szCs w:val="24"/>
          <w:lang w:eastAsia="zh-CN"/>
        </w:rPr>
        <w:t>《东莞市海心沙资源综合利用中心环保热电厂2M专线改造及安防设备重新授权采购项目技术需求书》</w:t>
      </w:r>
    </w:p>
    <w:p w14:paraId="44F9AFE4">
      <w:pPr>
        <w:spacing w:beforeLines="0" w:line="240" w:lineRule="auto"/>
        <w:ind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附件</w:t>
      </w:r>
      <w:r>
        <w:rPr>
          <w:rFonts w:hint="eastAsia" w:ascii="宋体" w:hAnsi="宋体" w:cs="宋体"/>
          <w:sz w:val="24"/>
          <w:szCs w:val="24"/>
          <w:lang w:val="en-US" w:eastAsia="zh-CN"/>
        </w:rPr>
        <w:t>二</w:t>
      </w:r>
      <w:r>
        <w:rPr>
          <w:rFonts w:hint="eastAsia" w:ascii="宋体" w:hAnsi="宋体" w:eastAsia="宋体" w:cs="宋体"/>
          <w:sz w:val="24"/>
          <w:szCs w:val="24"/>
        </w:rPr>
        <w:t>：</w:t>
      </w:r>
      <w:r>
        <w:rPr>
          <w:rFonts w:hint="eastAsia" w:ascii="宋体" w:hAnsi="宋体" w:cs="宋体"/>
          <w:sz w:val="24"/>
          <w:szCs w:val="24"/>
          <w:lang w:eastAsia="zh-CN"/>
        </w:rPr>
        <w:t>《安全协议书》</w:t>
      </w:r>
    </w:p>
    <w:p w14:paraId="6202A6AF">
      <w:pPr>
        <w:spacing w:beforeLines="0" w:line="240" w:lineRule="auto"/>
        <w:ind w:right="0" w:firstLine="0" w:firstLineChars="0"/>
        <w:rPr>
          <w:rFonts w:hint="eastAsia" w:ascii="宋体" w:hAnsi="宋体" w:eastAsia="宋体" w:cs="宋体"/>
          <w:sz w:val="24"/>
          <w:szCs w:val="24"/>
        </w:rPr>
      </w:pPr>
      <w:r>
        <w:rPr>
          <w:rFonts w:hint="eastAsia" w:ascii="宋体" w:hAnsi="宋体" w:cs="宋体"/>
          <w:sz w:val="24"/>
          <w:szCs w:val="24"/>
          <w:lang w:val="en-US" w:eastAsia="zh-CN"/>
        </w:rPr>
        <w:t>附件三：</w:t>
      </w:r>
      <w:r>
        <w:rPr>
          <w:rFonts w:hint="eastAsia" w:ascii="宋体" w:hAnsi="宋体" w:eastAsia="宋体" w:cs="宋体"/>
          <w:sz w:val="24"/>
          <w:szCs w:val="24"/>
        </w:rPr>
        <w:t>《阳光合作协议》</w:t>
      </w:r>
    </w:p>
    <w:p w14:paraId="74B43C42">
      <w:pPr>
        <w:pStyle w:val="20"/>
        <w:spacing w:beforeLines="0" w:line="240" w:lineRule="auto"/>
        <w:ind w:right="0" w:firstLine="0" w:firstLineChars="0"/>
        <w:rPr>
          <w:rFonts w:ascii="宋体" w:hAnsi="宋体" w:cs="宋体"/>
          <w:sz w:val="24"/>
          <w:szCs w:val="24"/>
        </w:rPr>
      </w:pPr>
    </w:p>
    <w:p w14:paraId="10780F52">
      <w:pPr>
        <w:pStyle w:val="20"/>
        <w:spacing w:beforeLines="0" w:line="240" w:lineRule="auto"/>
        <w:ind w:right="0" w:firstLine="0" w:firstLineChars="0"/>
        <w:rPr>
          <w:rFonts w:ascii="宋体" w:hAnsi="宋体" w:cs="宋体"/>
          <w:sz w:val="24"/>
          <w:szCs w:val="24"/>
        </w:rPr>
      </w:pPr>
    </w:p>
    <w:p w14:paraId="465F55D2">
      <w:pPr>
        <w:pStyle w:val="20"/>
        <w:spacing w:beforeLines="0" w:line="240" w:lineRule="auto"/>
        <w:ind w:right="0" w:firstLine="0" w:firstLineChars="0"/>
        <w:rPr>
          <w:rFonts w:ascii="宋体" w:hAnsi="宋体" w:cs="宋体"/>
          <w:sz w:val="24"/>
          <w:szCs w:val="24"/>
        </w:rPr>
      </w:pPr>
      <w:r>
        <w:rPr>
          <w:rFonts w:hint="eastAsia" w:ascii="宋体" w:hAnsi="宋体" w:cs="宋体"/>
          <w:sz w:val="24"/>
          <w:szCs w:val="24"/>
        </w:rPr>
        <w:t>（盖章页）</w:t>
      </w:r>
    </w:p>
    <w:p w14:paraId="1E8CE764">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甲方（盖章）：                       乙方（盖章）：</w:t>
      </w:r>
    </w:p>
    <w:p w14:paraId="4FC0D497">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法定代表人（签章）：                 法定代表人（签章）：</w:t>
      </w:r>
    </w:p>
    <w:p w14:paraId="5039231A">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或授权代表人（签字）：               或授权代表人（签字）：</w:t>
      </w:r>
    </w:p>
    <w:p w14:paraId="34D1A1D5">
      <w:pPr>
        <w:spacing w:beforeLines="0" w:line="240" w:lineRule="auto"/>
        <w:ind w:right="0" w:firstLine="0" w:firstLineChars="0"/>
        <w:rPr>
          <w:rFonts w:ascii="宋体" w:hAnsi="宋体" w:eastAsia="宋体" w:cs="宋体"/>
          <w:sz w:val="24"/>
          <w:szCs w:val="24"/>
        </w:rPr>
      </w:pPr>
      <w:r>
        <w:rPr>
          <w:rFonts w:hint="eastAsia" w:ascii="宋体" w:hAnsi="宋体" w:eastAsia="宋体" w:cs="宋体"/>
          <w:sz w:val="24"/>
          <w:szCs w:val="24"/>
        </w:rPr>
        <w:t xml:space="preserve">                                 </w:t>
      </w:r>
    </w:p>
    <w:p w14:paraId="57DB500A">
      <w:pPr>
        <w:spacing w:beforeLines="0" w:line="240" w:lineRule="auto"/>
        <w:ind w:right="0" w:firstLine="0" w:firstLineChars="0"/>
        <w:jc w:val="both"/>
        <w:rPr>
          <w:rFonts w:ascii="宋体" w:hAnsi="宋体" w:eastAsia="宋体" w:cs="宋体"/>
          <w:sz w:val="24"/>
          <w:szCs w:val="24"/>
        </w:rPr>
      </w:pPr>
      <w:r>
        <w:rPr>
          <w:rFonts w:hint="eastAsia" w:ascii="宋体" w:hAnsi="宋体" w:eastAsia="宋体" w:cs="宋体"/>
          <w:sz w:val="24"/>
          <w:szCs w:val="24"/>
        </w:rPr>
        <w:t xml:space="preserve">                         签约地点：东莞市</w:t>
      </w:r>
    </w:p>
    <w:p w14:paraId="27C29F71">
      <w:pPr>
        <w:widowControl/>
        <w:spacing w:beforeLines="0" w:line="240" w:lineRule="auto"/>
        <w:ind w:right="0" w:firstLine="0" w:firstLineChars="0"/>
        <w:jc w:val="both"/>
        <w:rPr>
          <w:b/>
          <w:bCs/>
          <w:sz w:val="24"/>
          <w:szCs w:val="24"/>
        </w:rPr>
      </w:pPr>
      <w:r>
        <w:rPr>
          <w:rFonts w:hint="eastAsia" w:ascii="宋体" w:hAnsi="宋体" w:eastAsia="宋体" w:cs="宋体"/>
          <w:sz w:val="24"/>
          <w:szCs w:val="24"/>
        </w:rPr>
        <w:t xml:space="preserve">                         签订时间：202</w:t>
      </w:r>
      <w:r>
        <w:rPr>
          <w:rFonts w:hint="eastAsia" w:ascii="宋体" w:hAnsi="宋体" w:cs="宋体"/>
          <w:sz w:val="24"/>
          <w:szCs w:val="24"/>
          <w:lang w:val="en-US" w:eastAsia="zh-CN"/>
        </w:rPr>
        <w:t>5</w:t>
      </w:r>
      <w:r>
        <w:rPr>
          <w:rFonts w:hint="eastAsia" w:ascii="宋体" w:hAnsi="宋体" w:eastAsia="宋体" w:cs="宋体"/>
          <w:sz w:val="24"/>
          <w:szCs w:val="24"/>
        </w:rPr>
        <w:t>年  月  日</w:t>
      </w:r>
    </w:p>
    <w:p w14:paraId="04CE46A9">
      <w:pPr>
        <w:spacing w:beforeLines="-2147483648" w:line="240" w:lineRule="auto"/>
        <w:jc w:val="left"/>
        <w:rPr>
          <w:rFonts w:hint="eastAsia" w:ascii="宋体" w:hAnsi="宋体" w:eastAsia="宋体"/>
          <w:b/>
          <w:bCs/>
          <w:sz w:val="24"/>
          <w:szCs w:val="24"/>
        </w:rPr>
      </w:pPr>
      <w:r>
        <w:rPr>
          <w:rFonts w:hint="eastAsia" w:ascii="宋体" w:hAnsi="宋体" w:eastAsia="宋体"/>
          <w:b/>
          <w:bCs/>
          <w:sz w:val="24"/>
          <w:szCs w:val="24"/>
        </w:rPr>
        <w:br w:type="page"/>
      </w:r>
    </w:p>
    <w:p w14:paraId="4B96B9B0">
      <w:pPr>
        <w:spacing w:beforeLines="-2147483648" w:line="360" w:lineRule="auto"/>
        <w:jc w:val="both"/>
        <w:rPr>
          <w:rFonts w:hint="eastAsia"/>
          <w:lang w:val="en-US" w:eastAsia="zh-CN"/>
        </w:rPr>
      </w:pPr>
      <w:r>
        <w:rPr>
          <w:rFonts w:hint="eastAsia" w:ascii="宋体" w:hAnsi="宋体" w:eastAsia="宋体"/>
          <w:b/>
          <w:bCs/>
          <w:sz w:val="24"/>
          <w:szCs w:val="24"/>
        </w:rPr>
        <w:t>附件</w:t>
      </w:r>
      <w:r>
        <w:rPr>
          <w:rFonts w:hint="eastAsia" w:ascii="宋体" w:hAnsi="宋体" w:eastAsia="宋体"/>
          <w:b/>
          <w:bCs/>
          <w:sz w:val="24"/>
          <w:szCs w:val="24"/>
          <w:lang w:val="en-US" w:eastAsia="zh-CN"/>
        </w:rPr>
        <w:t>一</w:t>
      </w:r>
      <w:r>
        <w:rPr>
          <w:rFonts w:hint="eastAsia" w:ascii="宋体" w:hAnsi="宋体" w:eastAsia="宋体"/>
          <w:b/>
          <w:bCs/>
          <w:sz w:val="24"/>
          <w:szCs w:val="24"/>
        </w:rPr>
        <w:t>：</w:t>
      </w:r>
      <w:r>
        <w:rPr>
          <w:rFonts w:hint="eastAsia" w:ascii="宋体" w:hAnsi="宋体" w:eastAsia="宋体"/>
          <w:sz w:val="24"/>
          <w:szCs w:val="24"/>
        </w:rPr>
        <w:t>《</w:t>
      </w:r>
      <w:r>
        <w:rPr>
          <w:rFonts w:hint="eastAsia" w:ascii="宋体" w:hAnsi="宋体"/>
          <w:sz w:val="24"/>
          <w:szCs w:val="24"/>
          <w:lang w:val="en-US" w:eastAsia="zh-CN"/>
        </w:rPr>
        <w:t>东莞市海心沙资源综合利用中心环保热电厂2M专线改造及安防设备重新授权采购项目技术需求书</w:t>
      </w:r>
      <w:r>
        <w:rPr>
          <w:rFonts w:hint="eastAsia" w:ascii="宋体" w:hAnsi="宋体" w:eastAsia="宋体"/>
          <w:sz w:val="24"/>
          <w:szCs w:val="24"/>
        </w:rPr>
        <w:t>》</w:t>
      </w:r>
    </w:p>
    <w:p w14:paraId="139EFCF5">
      <w:pPr>
        <w:spacing w:beforeLines="-2147483648" w:line="240" w:lineRule="auto"/>
        <w:jc w:val="both"/>
      </w:pPr>
      <w:r>
        <w:rPr>
          <w:sz w:val="21"/>
          <w:szCs w:val="20"/>
        </w:rPr>
        <w:br w:type="page"/>
      </w:r>
    </w:p>
    <w:p w14:paraId="135B8470">
      <w:pPr>
        <w:spacing w:beforeLines="-2147483648" w:line="360" w:lineRule="auto"/>
        <w:jc w:val="both"/>
        <w:rPr>
          <w:rFonts w:hint="eastAsia" w:ascii="宋体" w:hAnsi="宋体" w:eastAsia="宋体"/>
          <w:b/>
          <w:bCs/>
          <w:sz w:val="24"/>
          <w:szCs w:val="24"/>
        </w:rPr>
      </w:pPr>
      <w:r>
        <w:rPr>
          <w:rFonts w:hint="eastAsia" w:ascii="宋体" w:hAnsi="宋体" w:eastAsia="宋体"/>
          <w:b/>
          <w:bCs/>
          <w:sz w:val="24"/>
          <w:szCs w:val="24"/>
        </w:rPr>
        <w:t>附件</w:t>
      </w:r>
      <w:r>
        <w:rPr>
          <w:rFonts w:hint="eastAsia" w:ascii="宋体" w:hAnsi="宋体"/>
          <w:b/>
          <w:bCs/>
          <w:sz w:val="24"/>
          <w:szCs w:val="24"/>
          <w:lang w:val="en-US" w:eastAsia="zh-CN"/>
        </w:rPr>
        <w:t>二</w:t>
      </w:r>
      <w:r>
        <w:rPr>
          <w:rFonts w:hint="eastAsia" w:ascii="宋体" w:hAnsi="宋体" w:eastAsia="宋体"/>
          <w:b/>
          <w:bCs/>
          <w:sz w:val="24"/>
          <w:szCs w:val="24"/>
        </w:rPr>
        <w:t>：</w:t>
      </w:r>
    </w:p>
    <w:p w14:paraId="63291803">
      <w:pPr>
        <w:jc w:val="center"/>
        <w:rPr>
          <w:rFonts w:ascii="宋体" w:hAnsi="宋体" w:eastAsia="宋体"/>
          <w:b/>
          <w:bCs/>
          <w:sz w:val="30"/>
          <w:szCs w:val="30"/>
        </w:rPr>
      </w:pPr>
      <w:bookmarkStart w:id="15" w:name="_Toc6170"/>
      <w:r>
        <w:rPr>
          <w:rFonts w:hint="eastAsia" w:ascii="宋体" w:hAnsi="宋体" w:eastAsia="宋体"/>
          <w:b/>
          <w:bCs/>
          <w:sz w:val="30"/>
          <w:szCs w:val="30"/>
          <w:lang w:val="zh-CN"/>
        </w:rPr>
        <w:t>安全协议书</w:t>
      </w:r>
      <w:bookmarkEnd w:id="15"/>
    </w:p>
    <w:p w14:paraId="45C389B3">
      <w:pPr>
        <w:spacing w:line="560" w:lineRule="exact"/>
        <w:rPr>
          <w:rFonts w:ascii="宋体" w:hAnsi="宋体" w:eastAsia="宋体"/>
          <w:bCs/>
          <w:spacing w:val="-10"/>
          <w:sz w:val="24"/>
        </w:rPr>
      </w:pPr>
      <w:r>
        <w:rPr>
          <w:rFonts w:hint="eastAsia" w:ascii="宋体" w:hAnsi="宋体" w:eastAsia="宋体"/>
          <w:bCs/>
          <w:spacing w:val="-10"/>
          <w:sz w:val="24"/>
        </w:rPr>
        <w:t>发包单位：</w:t>
      </w:r>
      <w:r>
        <w:rPr>
          <w:rFonts w:hint="eastAsia" w:ascii="宋体" w:hAnsi="宋体" w:eastAsia="宋体"/>
          <w:bCs/>
          <w:spacing w:val="-10"/>
          <w:sz w:val="24"/>
          <w:u w:val="single"/>
        </w:rPr>
        <w:t xml:space="preserve"> 东莞市新东元环保投资有限公司 </w:t>
      </w:r>
      <w:r>
        <w:rPr>
          <w:rFonts w:hint="eastAsia" w:ascii="宋体" w:hAnsi="宋体" w:eastAsia="宋体"/>
          <w:bCs/>
          <w:spacing w:val="-10"/>
          <w:sz w:val="24"/>
        </w:rPr>
        <w:t xml:space="preserve">   （以下简称甲方）</w:t>
      </w:r>
    </w:p>
    <w:p w14:paraId="524751ED">
      <w:pPr>
        <w:spacing w:line="560" w:lineRule="exact"/>
        <w:rPr>
          <w:rFonts w:ascii="宋体" w:hAnsi="宋体" w:eastAsia="宋体"/>
          <w:bCs/>
          <w:spacing w:val="-10"/>
          <w:sz w:val="24"/>
        </w:rPr>
      </w:pPr>
      <w:r>
        <w:rPr>
          <w:rFonts w:hint="eastAsia" w:ascii="宋体" w:hAnsi="宋体" w:eastAsia="宋体"/>
          <w:bCs/>
          <w:spacing w:val="-10"/>
          <w:sz w:val="24"/>
        </w:rPr>
        <w:t>承包单位：</w:t>
      </w:r>
      <w:r>
        <w:rPr>
          <w:rFonts w:hint="eastAsia" w:ascii="宋体" w:hAnsi="宋体" w:eastAsia="宋体"/>
          <w:bCs/>
          <w:spacing w:val="-10"/>
          <w:sz w:val="24"/>
          <w:u w:val="single"/>
        </w:rPr>
        <w:t xml:space="preserve"> </w:t>
      </w:r>
      <w:r>
        <w:rPr>
          <w:rFonts w:ascii="宋体" w:hAnsi="宋体" w:eastAsia="宋体"/>
          <w:bCs/>
          <w:spacing w:val="-10"/>
          <w:sz w:val="24"/>
          <w:u w:val="single"/>
        </w:rPr>
        <w:t xml:space="preserve">                              </w:t>
      </w:r>
      <w:r>
        <w:rPr>
          <w:rFonts w:hint="eastAsia" w:ascii="宋体" w:hAnsi="宋体" w:eastAsia="宋体"/>
          <w:bCs/>
          <w:spacing w:val="-10"/>
          <w:sz w:val="24"/>
          <w:u w:val="single"/>
        </w:rPr>
        <w:t xml:space="preserve"> </w:t>
      </w:r>
      <w:r>
        <w:rPr>
          <w:rFonts w:hint="eastAsia" w:ascii="宋体" w:hAnsi="宋体" w:eastAsia="宋体"/>
          <w:bCs/>
          <w:spacing w:val="-10"/>
          <w:sz w:val="24"/>
        </w:rPr>
        <w:t xml:space="preserve">   （以下简称乙方）</w:t>
      </w:r>
    </w:p>
    <w:p w14:paraId="78B67EE8">
      <w:pPr>
        <w:spacing w:line="560" w:lineRule="exact"/>
        <w:jc w:val="left"/>
        <w:rPr>
          <w:rFonts w:ascii="宋体" w:hAnsi="宋体" w:eastAsia="宋体"/>
          <w:snapToGrid w:val="0"/>
          <w:color w:val="000000"/>
          <w:sz w:val="24"/>
          <w:szCs w:val="24"/>
        </w:rPr>
      </w:pPr>
      <w:r>
        <w:rPr>
          <w:rFonts w:hint="eastAsia" w:ascii="仿宋_GB2312" w:hAnsi="宋体" w:eastAsia="仿宋_GB2312" w:cs="宋体"/>
          <w:sz w:val="24"/>
        </w:rPr>
        <w:t xml:space="preserve">    </w:t>
      </w:r>
      <w:r>
        <w:rPr>
          <w:rFonts w:hint="eastAsia" w:ascii="宋体" w:hAnsi="宋体" w:eastAsia="宋体" w:cs="宋体"/>
          <w:sz w:val="24"/>
        </w:rPr>
        <w:t>根据甲方工作需要，</w:t>
      </w:r>
      <w:r>
        <w:rPr>
          <w:rFonts w:hint="eastAsia" w:ascii="宋体" w:hAnsi="宋体" w:eastAsia="宋体" w:cs="宋体"/>
          <w:sz w:val="24"/>
          <w:u w:val="single"/>
        </w:rPr>
        <w:t>现将</w:t>
      </w:r>
      <w:r>
        <w:rPr>
          <w:rFonts w:hint="eastAsia" w:ascii="宋体" w:hAnsi="宋体"/>
          <w:sz w:val="24"/>
          <w:szCs w:val="24"/>
          <w:u w:val="single"/>
          <w:lang w:val="en-US" w:eastAsia="zh-CN"/>
        </w:rPr>
        <w:t>东莞市海心沙资源综合利用中心环保热电厂2M专线改造及安防设备重新授权采购项目</w:t>
      </w:r>
      <w:r>
        <w:rPr>
          <w:rFonts w:hint="eastAsia" w:ascii="宋体" w:hAnsi="宋体" w:eastAsia="宋体" w:cs="宋体"/>
          <w:sz w:val="24"/>
          <w:u w:val="single"/>
        </w:rPr>
        <w:t>（合同编号：          ）发包乙方</w:t>
      </w:r>
      <w:r>
        <w:rPr>
          <w:rFonts w:hint="eastAsia" w:ascii="宋体" w:hAnsi="宋体" w:eastAsia="宋体" w:cs="宋体"/>
          <w:sz w:val="24"/>
        </w:rPr>
        <w:t>，</w:t>
      </w:r>
      <w:r>
        <w:rPr>
          <w:rFonts w:hint="eastAsia" w:ascii="宋体" w:hAnsi="宋体" w:eastAsia="宋体"/>
          <w:snapToGrid w:val="0"/>
          <w:color w:val="000000"/>
          <w:sz w:val="24"/>
          <w:szCs w:val="24"/>
        </w:rPr>
        <w:t>为了确保实现甲方的安全生产目标，进一步明确双方的安全管理责任，加强安全生产管理工作的协调、管理力度，甲方与乙方依据国家安全生产相关的法律、法规、条例、标准、行业标准，双方同意签订该协议作为正式合同安全管理方面的补充规定，并承诺本协议具有与合同相同的法律效力。具体条款如下：</w:t>
      </w:r>
    </w:p>
    <w:p w14:paraId="35B7027A">
      <w:pPr>
        <w:pStyle w:val="48"/>
        <w:spacing w:before="0" w:after="0" w:line="560" w:lineRule="exact"/>
        <w:jc w:val="left"/>
        <w:rPr>
          <w:rFonts w:ascii="宋体" w:hAnsi="宋体" w:eastAsia="宋体"/>
          <w:sz w:val="24"/>
          <w:szCs w:val="24"/>
        </w:rPr>
      </w:pPr>
      <w:r>
        <w:rPr>
          <w:rFonts w:hint="eastAsia" w:ascii="宋体" w:hAnsi="宋体" w:eastAsia="宋体"/>
          <w:sz w:val="24"/>
          <w:szCs w:val="24"/>
        </w:rPr>
        <w:t>一、协议有效期限</w:t>
      </w:r>
    </w:p>
    <w:p w14:paraId="5A365E4B">
      <w:pPr>
        <w:spacing w:line="560" w:lineRule="exact"/>
        <w:ind w:firstLine="480" w:firstLineChars="200"/>
        <w:rPr>
          <w:rFonts w:ascii="宋体" w:hAnsi="宋体" w:eastAsia="宋体"/>
          <w:snapToGrid w:val="0"/>
          <w:color w:val="000000"/>
          <w:sz w:val="24"/>
          <w:szCs w:val="24"/>
        </w:rPr>
      </w:pPr>
      <w:r>
        <w:rPr>
          <w:rFonts w:hint="eastAsia" w:ascii="宋体" w:hAnsi="宋体" w:eastAsia="宋体"/>
          <w:snapToGrid w:val="0"/>
          <w:color w:val="000000"/>
          <w:sz w:val="24"/>
          <w:szCs w:val="24"/>
        </w:rPr>
        <w:t>本协议中所涉及的安全管理责任自合同签订之日起开始生效，至合同终止之日。</w:t>
      </w:r>
    </w:p>
    <w:p w14:paraId="5363FD9D">
      <w:pPr>
        <w:pStyle w:val="48"/>
        <w:spacing w:before="0" w:after="0" w:line="560" w:lineRule="exact"/>
        <w:jc w:val="left"/>
        <w:rPr>
          <w:rFonts w:ascii="宋体" w:hAnsi="宋体" w:eastAsia="宋体"/>
          <w:sz w:val="24"/>
          <w:szCs w:val="24"/>
        </w:rPr>
      </w:pPr>
      <w:r>
        <w:rPr>
          <w:rFonts w:hint="eastAsia" w:ascii="宋体" w:hAnsi="宋体" w:eastAsia="宋体"/>
          <w:sz w:val="24"/>
          <w:szCs w:val="24"/>
        </w:rPr>
        <w:t>二、安全管理目标</w:t>
      </w:r>
    </w:p>
    <w:p w14:paraId="0165A67C">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(一)乙方承诺履行和承担合同和甲方程序所规定的安全责任，并完成如下控制目标：</w:t>
      </w:r>
    </w:p>
    <w:p w14:paraId="201437BF">
      <w:pPr>
        <w:pStyle w:val="253"/>
        <w:numPr>
          <w:ilvl w:val="0"/>
          <w:numId w:val="7"/>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不发生重伤及以上人身伤亡事故；</w:t>
      </w:r>
    </w:p>
    <w:p w14:paraId="7DEC0922">
      <w:pPr>
        <w:pStyle w:val="253"/>
        <w:numPr>
          <w:ilvl w:val="0"/>
          <w:numId w:val="7"/>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不发生单项直接损失超过20万元以上的经济损失事故；</w:t>
      </w:r>
    </w:p>
    <w:p w14:paraId="1BC5B035">
      <w:pPr>
        <w:pStyle w:val="253"/>
        <w:numPr>
          <w:ilvl w:val="0"/>
          <w:numId w:val="7"/>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不发生造成20万元以上直接经济损失或致人重伤的火灾事故；</w:t>
      </w:r>
    </w:p>
    <w:p w14:paraId="4310AC26">
      <w:pPr>
        <w:pStyle w:val="253"/>
        <w:numPr>
          <w:ilvl w:val="0"/>
          <w:numId w:val="7"/>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不发生负同等及同等以上责任的且导致重伤1人或轻伤3人及以上，或财产损失3万元以上的交通事故；</w:t>
      </w:r>
    </w:p>
    <w:p w14:paraId="09CDD0CA">
      <w:pPr>
        <w:pStyle w:val="253"/>
        <w:numPr>
          <w:ilvl w:val="0"/>
          <w:numId w:val="7"/>
        </w:numPr>
        <w:snapToGrid w:val="0"/>
        <w:spacing w:line="560" w:lineRule="exact"/>
        <w:ind w:firstLineChars="0"/>
        <w:rPr>
          <w:rFonts w:ascii="宋体" w:hAnsi="宋体" w:eastAsia="宋体"/>
          <w:snapToGrid w:val="0"/>
          <w:color w:val="000000"/>
          <w:sz w:val="24"/>
          <w:szCs w:val="24"/>
        </w:rPr>
      </w:pPr>
      <w:r>
        <w:rPr>
          <w:rFonts w:hint="eastAsia" w:ascii="宋体" w:hAnsi="宋体" w:eastAsia="宋体" w:cs="宋体"/>
          <w:sz w:val="24"/>
          <w:szCs w:val="24"/>
        </w:rPr>
        <w:t>不发生被生态环境部门挂网通报或行政处罚的环保事件；</w:t>
      </w:r>
    </w:p>
    <w:p w14:paraId="6AED0D35">
      <w:pPr>
        <w:pStyle w:val="253"/>
        <w:numPr>
          <w:ilvl w:val="0"/>
          <w:numId w:val="7"/>
        </w:numPr>
        <w:snapToGrid w:val="0"/>
        <w:spacing w:line="560" w:lineRule="exact"/>
        <w:ind w:firstLineChars="0"/>
        <w:rPr>
          <w:rFonts w:ascii="宋体" w:hAnsi="宋体" w:eastAsia="宋体" w:cs="宋体"/>
          <w:sz w:val="24"/>
          <w:szCs w:val="24"/>
        </w:rPr>
      </w:pPr>
      <w:r>
        <w:rPr>
          <w:rFonts w:hint="eastAsia" w:ascii="宋体" w:hAnsi="宋体" w:eastAsia="宋体"/>
          <w:snapToGrid w:val="0"/>
          <w:color w:val="000000"/>
          <w:sz w:val="24"/>
          <w:szCs w:val="24"/>
        </w:rPr>
        <w:t>不发生职业病病例；</w:t>
      </w:r>
    </w:p>
    <w:p w14:paraId="66ED84D8">
      <w:pPr>
        <w:pStyle w:val="253"/>
        <w:numPr>
          <w:ilvl w:val="0"/>
          <w:numId w:val="7"/>
        </w:numPr>
        <w:snapToGrid w:val="0"/>
        <w:spacing w:line="560" w:lineRule="exact"/>
        <w:ind w:firstLineChars="0"/>
        <w:rPr>
          <w:rFonts w:ascii="宋体" w:hAnsi="宋体" w:eastAsia="宋体" w:cs="宋体"/>
          <w:sz w:val="24"/>
          <w:szCs w:val="24"/>
        </w:rPr>
      </w:pPr>
      <w:r>
        <w:rPr>
          <w:rFonts w:hint="eastAsia" w:ascii="宋体" w:hAnsi="宋体" w:eastAsia="宋体"/>
          <w:snapToGrid w:val="0"/>
          <w:color w:val="000000"/>
          <w:sz w:val="24"/>
          <w:szCs w:val="24"/>
        </w:rPr>
        <w:t>不发生乙方管理责任导致的治安案件、群体事件；</w:t>
      </w:r>
    </w:p>
    <w:p w14:paraId="02EA5CED">
      <w:pPr>
        <w:pStyle w:val="253"/>
        <w:numPr>
          <w:ilvl w:val="0"/>
          <w:numId w:val="7"/>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w:t>
      </w:r>
      <w:r>
        <w:rPr>
          <w:rFonts w:hint="eastAsia" w:ascii="宋体" w:hAnsi="宋体" w:eastAsia="宋体" w:cs="宋体"/>
          <w:color w:val="000000"/>
          <w:sz w:val="24"/>
          <w:szCs w:val="24"/>
          <w:shd w:val="clear" w:color="auto" w:fill="FFFFFF"/>
        </w:rPr>
        <w:t>安全事故隐瞒不报、谎报或严重迟报（指超过24h）行为。</w:t>
      </w:r>
    </w:p>
    <w:p w14:paraId="5461F539">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（二）乙方承诺在作业中控制以下安全事件（行为）的发生：</w:t>
      </w:r>
    </w:p>
    <w:p w14:paraId="2E2B47BE">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人员轻伤事故；</w:t>
      </w:r>
    </w:p>
    <w:p w14:paraId="47E52408">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未遂事故；</w:t>
      </w:r>
    </w:p>
    <w:p w14:paraId="0F1D751C">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恶性误操作；</w:t>
      </w:r>
    </w:p>
    <w:p w14:paraId="1D82EF29">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无票作业；</w:t>
      </w:r>
    </w:p>
    <w:p w14:paraId="79F69FDC">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严重违章、群体违章；</w:t>
      </w:r>
    </w:p>
    <w:p w14:paraId="59F96647">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未经培训或培训不合格人员上岗；</w:t>
      </w:r>
    </w:p>
    <w:p w14:paraId="240BC428">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特种作业人员无证上岗；</w:t>
      </w:r>
    </w:p>
    <w:p w14:paraId="797379EE">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重大安全隐患。</w:t>
      </w:r>
    </w:p>
    <w:p w14:paraId="23C388AF">
      <w:pPr>
        <w:pStyle w:val="48"/>
        <w:spacing w:before="0" w:after="0" w:line="560" w:lineRule="exact"/>
        <w:jc w:val="left"/>
        <w:rPr>
          <w:rFonts w:ascii="宋体" w:hAnsi="宋体" w:eastAsia="宋体"/>
          <w:sz w:val="24"/>
          <w:szCs w:val="24"/>
        </w:rPr>
      </w:pPr>
      <w:r>
        <w:rPr>
          <w:rFonts w:hint="eastAsia" w:ascii="宋体" w:hAnsi="宋体" w:eastAsia="宋体"/>
          <w:sz w:val="24"/>
          <w:szCs w:val="24"/>
        </w:rPr>
        <w:t>三、安全责任</w:t>
      </w:r>
    </w:p>
    <w:p w14:paraId="651954FB">
      <w:pPr>
        <w:pStyle w:val="48"/>
        <w:spacing w:before="0" w:after="0" w:line="560" w:lineRule="exact"/>
        <w:jc w:val="left"/>
        <w:rPr>
          <w:rFonts w:ascii="宋体" w:hAnsi="宋体" w:eastAsia="宋体"/>
          <w:sz w:val="24"/>
          <w:szCs w:val="24"/>
        </w:rPr>
      </w:pPr>
      <w:r>
        <w:rPr>
          <w:rFonts w:hint="eastAsia" w:ascii="宋体" w:hAnsi="宋体" w:eastAsia="宋体"/>
          <w:sz w:val="24"/>
          <w:szCs w:val="24"/>
        </w:rPr>
        <w:t>（一）甲方安全责任</w:t>
      </w:r>
    </w:p>
    <w:p w14:paraId="7CB62E7C">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对乙方的资质、条件进行审查，符合安全生产相关规定的要求。</w:t>
      </w:r>
    </w:p>
    <w:p w14:paraId="0C540E79">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开工前，对乙方提供的人员名单进行入厂安全教育培训、考试。</w:t>
      </w:r>
    </w:p>
    <w:p w14:paraId="2AA9AAC8">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开工前甲方对乙方进行施工安全技术交底，并应有书面记录或资料。</w:t>
      </w:r>
    </w:p>
    <w:p w14:paraId="31928425">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甲方有权检查督促乙方执行有关安全生产方面的工作规定，对乙方不符合安全文明施工标准的行为进行制止、纠正并发出安全整改通知书。</w:t>
      </w:r>
    </w:p>
    <w:p w14:paraId="59709F15">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甲方指派负责与乙方联系安全生产、质量控制、进度协调等方面的工作。</w:t>
      </w:r>
    </w:p>
    <w:p w14:paraId="4BBDF490">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甲方有权对工作票所填写的安全措施是否正确完备进行监督。</w:t>
      </w:r>
    </w:p>
    <w:p w14:paraId="1706644E">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甲方有权要求乙方制定确保施工安全的组织措施、安全措施和技术措施，并监督执行。</w:t>
      </w:r>
    </w:p>
    <w:p w14:paraId="283F8008">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甲方有权对乙方参与施工的人员进行安全技术知识和安全工作规程的抽考。</w:t>
      </w:r>
    </w:p>
    <w:p w14:paraId="03276038">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发生如上第二项第（二）条所列不安全事件（或行为）的，甲方有权按照本协议考核条款进行考核；发生如上第二项第（一）条控制目标事故的，除依照本协议考核条款进行考核外，还要遵从地方政府对事故的处理决定；因乙方责任原因造成甲方重大损失或重大影响的，甲方保留追诉权。</w:t>
      </w:r>
    </w:p>
    <w:p w14:paraId="48DE4B1E">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在有可能造成火灾、爆炸、中毒、窒息、坍塌、高空坠落、触电等容易引起人身伤害和设备事故的高风险区域内的作业，甲方要求乙方制定安全技术措施，经甲方审查后，监督实施。</w:t>
      </w:r>
    </w:p>
    <w:p w14:paraId="65AEA076">
      <w:pPr>
        <w:pStyle w:val="48"/>
        <w:spacing w:before="0" w:after="0" w:line="560" w:lineRule="exact"/>
        <w:jc w:val="left"/>
        <w:rPr>
          <w:rFonts w:ascii="宋体" w:hAnsi="宋体" w:eastAsia="宋体"/>
          <w:sz w:val="24"/>
          <w:szCs w:val="24"/>
        </w:rPr>
      </w:pPr>
      <w:r>
        <w:rPr>
          <w:rFonts w:hint="eastAsia" w:ascii="宋体" w:hAnsi="宋体" w:eastAsia="宋体"/>
          <w:sz w:val="24"/>
          <w:szCs w:val="24"/>
        </w:rPr>
        <w:t>（二）乙方安全责任</w:t>
      </w:r>
    </w:p>
    <w:p w14:paraId="38E7439D">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乙方的法定代表人对本合同内容的安全管理负有全面领导责任。</w:t>
      </w:r>
    </w:p>
    <w:p w14:paraId="45AD06ED">
      <w:pPr>
        <w:pStyle w:val="253"/>
        <w:numPr>
          <w:ilvl w:val="0"/>
          <w:numId w:val="10"/>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乙方项目经理对作业现场的安全工作负有直接领导责任。</w:t>
      </w:r>
    </w:p>
    <w:p w14:paraId="0B982845">
      <w:pPr>
        <w:pStyle w:val="253"/>
        <w:numPr>
          <w:ilvl w:val="0"/>
          <w:numId w:val="10"/>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保证服从甲方对安全工作的统一协调和监管，遵守甲方安全管理相关规定，接受甲方安全监督人员的指导和监督。在所有的现场工作中，乙方人员必须严格遵守甲方职业健康、安全、环保相关的管理规定，并接受甲方的监督、落实甲方提出的整改要求。</w:t>
      </w:r>
    </w:p>
    <w:p w14:paraId="4D4CD37B">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乙方保证对本项目安全生产条件及其管理资源的投入，保证安全资金的专款专用，并建立适用于本项目的《项目生产安全费用明细一览表》，如实填报，作为项目安全投入的技术性依据。</w:t>
      </w:r>
    </w:p>
    <w:p w14:paraId="3E0EF55A">
      <w:pPr>
        <w:pStyle w:val="253"/>
        <w:numPr>
          <w:ilvl w:val="0"/>
          <w:numId w:val="10"/>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乙方保证建立本项目的安全管理体系，项目安全管理大纲/手册报甲方审查批准后发布实施，安全奖惩制度等安全管理性的程序/制度文件须报甲方备案，相关文件如有升版，应及时分发甲方。</w:t>
      </w:r>
    </w:p>
    <w:p w14:paraId="3FA4D0D3">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乙方保证现场的项目经理、安全管理专职人员、特种作业人员必须持有符合规定的安全生产培训考核合格证书。</w:t>
      </w:r>
    </w:p>
    <w:p w14:paraId="1B477351">
      <w:pPr>
        <w:pStyle w:val="253"/>
        <w:numPr>
          <w:ilvl w:val="0"/>
          <w:numId w:val="10"/>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乙方保证为现场所有工作人员配备符合国家标准的个人劳动保护用品。</w:t>
      </w:r>
    </w:p>
    <w:p w14:paraId="3158857E">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乙方保证按照国家法律规定为所有从业人员办理意外伤害保险、工伤保险，保额不低于当地赔付标准。</w:t>
      </w:r>
    </w:p>
    <w:p w14:paraId="55DF6AE1">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乙方保证生活营地（包括自建的和租用的营地）满足消防、环保、安全用电、卫生防疫、防暴雨、防雷击、防台风等方面的安全标准。</w:t>
      </w:r>
    </w:p>
    <w:p w14:paraId="2764B5B2">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乙方保证对入场大型施工机械、特种设备、工器具、大宗材料按照国家法规和标准进行检测、试验，并按规定持有法定部门出具的检验合格证书。</w:t>
      </w:r>
    </w:p>
    <w:p w14:paraId="56FE7189">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开工前，乙方应组织人员对作业区域、作业环境及使用甲方提供的设施设备、工器具等进行检查，熟悉并确认符合安全要求。一经开工，就表示乙方已确认作业现场、作业环境、设施设备、工器具符合安全要求并处于安全状态。</w:t>
      </w:r>
    </w:p>
    <w:p w14:paraId="7975A6B7">
      <w:pPr>
        <w:pStyle w:val="253"/>
        <w:numPr>
          <w:ilvl w:val="0"/>
          <w:numId w:val="1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作业现场符合甲方现场安全要求规范，保持作业现场的良好秩序和整洁的作业环境，作业现场的物料堆放要摆放整齐，安全标志和宣传标志要清楚醒目，废料、废物要按规定分类收集处置，安全通道要畅通。</w:t>
      </w:r>
    </w:p>
    <w:p w14:paraId="63778C2E">
      <w:pPr>
        <w:pStyle w:val="48"/>
        <w:spacing w:before="0" w:after="0" w:line="560" w:lineRule="exact"/>
        <w:jc w:val="left"/>
        <w:rPr>
          <w:rFonts w:ascii="宋体" w:hAnsi="宋体" w:eastAsia="宋体"/>
          <w:color w:val="000000"/>
          <w:sz w:val="24"/>
          <w:szCs w:val="24"/>
        </w:rPr>
      </w:pPr>
      <w:r>
        <w:rPr>
          <w:rFonts w:hint="eastAsia" w:ascii="宋体" w:hAnsi="宋体" w:eastAsia="宋体"/>
          <w:sz w:val="24"/>
          <w:szCs w:val="24"/>
        </w:rPr>
        <w:t>四、安全投入</w:t>
      </w:r>
    </w:p>
    <w:p w14:paraId="7674A816">
      <w:pPr>
        <w:pStyle w:val="253"/>
        <w:numPr>
          <w:ilvl w:val="0"/>
          <w:numId w:val="11"/>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乙方应按照法规要求对项目的安全投入做出合理、及时、足量的安排，保证有足够的资金用于建立、维护、改善作业安全环境条件和安全作业条件。</w:t>
      </w:r>
    </w:p>
    <w:p w14:paraId="11458A88">
      <w:pPr>
        <w:pStyle w:val="253"/>
        <w:numPr>
          <w:ilvl w:val="0"/>
          <w:numId w:val="11"/>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必须建立专项资金管理机制，保证安全投入专款专用，及时投入，满足现场的安全需求，禁止挪用安全资金。若甲方发现乙方挪用安全资金，则甲方有权在合同支付中扣除，并返作安全投入资金，同时对乙方实施考核。</w:t>
      </w:r>
    </w:p>
    <w:p w14:paraId="1B6C5709">
      <w:pPr>
        <w:pStyle w:val="253"/>
        <w:numPr>
          <w:ilvl w:val="0"/>
          <w:numId w:val="11"/>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乙方的安全投入项目清单如有遗漏，导致合同规定的安全投入专项资金不能满足“安全投入项目”资金需求时，乙方应从其他渠道安排资金，满足现场安全资金的需求。</w:t>
      </w:r>
    </w:p>
    <w:p w14:paraId="4DE70846">
      <w:pPr>
        <w:pStyle w:val="253"/>
        <w:numPr>
          <w:ilvl w:val="0"/>
          <w:numId w:val="11"/>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甲方有权对安全投入的使用情况进行检查，乙方应予以配合。</w:t>
      </w:r>
    </w:p>
    <w:p w14:paraId="7BDF8598">
      <w:pPr>
        <w:pStyle w:val="48"/>
        <w:spacing w:before="0" w:after="0" w:line="560" w:lineRule="exact"/>
        <w:jc w:val="left"/>
        <w:rPr>
          <w:rFonts w:ascii="宋体" w:hAnsi="宋体" w:eastAsia="宋体"/>
          <w:sz w:val="24"/>
          <w:szCs w:val="24"/>
        </w:rPr>
      </w:pPr>
      <w:r>
        <w:rPr>
          <w:rFonts w:hint="eastAsia" w:ascii="宋体" w:hAnsi="宋体" w:eastAsia="宋体"/>
          <w:sz w:val="24"/>
          <w:szCs w:val="24"/>
        </w:rPr>
        <w:t>五、接口及协调</w:t>
      </w:r>
    </w:p>
    <w:p w14:paraId="2DDE67DD">
      <w:pPr>
        <w:pStyle w:val="253"/>
        <w:numPr>
          <w:ilvl w:val="0"/>
          <w:numId w:val="12"/>
        </w:numPr>
        <w:spacing w:line="560" w:lineRule="exact"/>
        <w:ind w:right="199" w:rightChars="83" w:firstLineChars="0"/>
        <w:rPr>
          <w:rFonts w:ascii="宋体" w:hAnsi="宋体" w:eastAsia="宋体"/>
          <w:b/>
          <w:color w:val="000000"/>
          <w:sz w:val="24"/>
          <w:szCs w:val="24"/>
        </w:rPr>
      </w:pPr>
      <w:r>
        <w:rPr>
          <w:rFonts w:hint="eastAsia" w:ascii="宋体" w:hAnsi="宋体" w:eastAsia="宋体"/>
          <w:snapToGrid w:val="0"/>
          <w:color w:val="000000"/>
          <w:sz w:val="24"/>
          <w:szCs w:val="24"/>
        </w:rPr>
        <w:t>乙方必须符合甲方的安全规范，人员、车辆的出入，带入现场的设备、机具、材料，在现场使用的或直接管理的办公、生活、生产性设施的安全管理须满足甲方现场管理的基本要求。</w:t>
      </w:r>
    </w:p>
    <w:p w14:paraId="0D9F2DD0">
      <w:pPr>
        <w:pStyle w:val="253"/>
        <w:numPr>
          <w:ilvl w:val="0"/>
          <w:numId w:val="1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乙方应指定专职（或兼职）安全管理人员与甲方接口，在业务上接受甲方的协调和指导，参与安全协调和管理。</w:t>
      </w:r>
    </w:p>
    <w:p w14:paraId="6DCA6EE8">
      <w:pPr>
        <w:pStyle w:val="253"/>
        <w:numPr>
          <w:ilvl w:val="0"/>
          <w:numId w:val="12"/>
        </w:numPr>
        <w:spacing w:line="560" w:lineRule="exact"/>
        <w:ind w:right="199" w:rightChars="83" w:firstLineChars="0"/>
        <w:rPr>
          <w:rFonts w:ascii="宋体" w:hAnsi="宋体" w:eastAsia="宋体"/>
          <w:b/>
          <w:color w:val="000000"/>
          <w:sz w:val="24"/>
          <w:szCs w:val="24"/>
        </w:rPr>
      </w:pPr>
      <w:r>
        <w:rPr>
          <w:rFonts w:hint="eastAsia" w:ascii="宋体" w:hAnsi="宋体" w:eastAsia="宋体"/>
          <w:snapToGrid w:val="0"/>
          <w:color w:val="000000"/>
          <w:sz w:val="24"/>
          <w:szCs w:val="24"/>
        </w:rPr>
        <w:t>乙方的安全管理人员应具备协调安全工作的能力和授权。甲方有权对安全管理人员的能力和权力做出评价，对于不能胜任的安全管理人员，甲方有权要求乙方换人。</w:t>
      </w:r>
    </w:p>
    <w:p w14:paraId="14F7FB43">
      <w:pPr>
        <w:pStyle w:val="253"/>
        <w:numPr>
          <w:ilvl w:val="0"/>
          <w:numId w:val="12"/>
        </w:numPr>
        <w:spacing w:line="560" w:lineRule="exact"/>
        <w:ind w:right="199" w:rightChars="83" w:firstLineChars="0"/>
        <w:rPr>
          <w:rFonts w:ascii="宋体" w:hAnsi="宋体" w:eastAsia="宋体"/>
          <w:b/>
          <w:color w:val="000000"/>
          <w:sz w:val="24"/>
          <w:szCs w:val="24"/>
        </w:rPr>
      </w:pPr>
      <w:r>
        <w:rPr>
          <w:rFonts w:hint="eastAsia" w:ascii="宋体" w:hAnsi="宋体" w:eastAsia="宋体"/>
          <w:snapToGrid w:val="0"/>
          <w:color w:val="000000"/>
          <w:sz w:val="24"/>
          <w:szCs w:val="24"/>
        </w:rPr>
        <w:t>如合同内容出现较大变更，本协议的有关条款也应做出相应的修改。</w:t>
      </w:r>
    </w:p>
    <w:p w14:paraId="359C5C54">
      <w:pPr>
        <w:pStyle w:val="48"/>
        <w:spacing w:before="0" w:after="0" w:line="560" w:lineRule="exact"/>
        <w:jc w:val="left"/>
        <w:rPr>
          <w:rFonts w:ascii="宋体" w:hAnsi="宋体" w:eastAsia="宋体"/>
          <w:sz w:val="24"/>
          <w:szCs w:val="24"/>
        </w:rPr>
      </w:pPr>
      <w:r>
        <w:rPr>
          <w:rFonts w:hint="eastAsia" w:ascii="宋体" w:hAnsi="宋体" w:eastAsia="宋体"/>
          <w:sz w:val="24"/>
          <w:szCs w:val="24"/>
        </w:rPr>
        <w:t>六、安全资质审查</w:t>
      </w:r>
    </w:p>
    <w:p w14:paraId="632B9149">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乙方在项目开工前5个工作日向甲方提供以下安全资质供审查和存档：</w:t>
      </w:r>
    </w:p>
    <w:p w14:paraId="79200752">
      <w:pPr>
        <w:pStyle w:val="253"/>
        <w:numPr>
          <w:ilvl w:val="0"/>
          <w:numId w:val="13"/>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项目经理及安全管理人员资质；</w:t>
      </w:r>
    </w:p>
    <w:p w14:paraId="6EFBF797">
      <w:pPr>
        <w:pStyle w:val="253"/>
        <w:numPr>
          <w:ilvl w:val="0"/>
          <w:numId w:val="13"/>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特种作业人员资格证书；</w:t>
      </w:r>
    </w:p>
    <w:p w14:paraId="659E8496">
      <w:pPr>
        <w:pStyle w:val="253"/>
        <w:numPr>
          <w:ilvl w:val="0"/>
          <w:numId w:val="13"/>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适用于本项目的安全管理体系文件；</w:t>
      </w:r>
    </w:p>
    <w:p w14:paraId="435E0610">
      <w:pPr>
        <w:pStyle w:val="253"/>
        <w:numPr>
          <w:ilvl w:val="0"/>
          <w:numId w:val="13"/>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适用于本项目的《项目生产安全费用明细一览表》；</w:t>
      </w:r>
    </w:p>
    <w:p w14:paraId="722D2454">
      <w:pPr>
        <w:pStyle w:val="253"/>
        <w:numPr>
          <w:ilvl w:val="0"/>
          <w:numId w:val="13"/>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近三年的安全无事故证明（针对建设施工单位）。</w:t>
      </w:r>
    </w:p>
    <w:p w14:paraId="3FDAEA41">
      <w:pPr>
        <w:pStyle w:val="48"/>
        <w:spacing w:before="0" w:after="0" w:line="560" w:lineRule="exact"/>
        <w:jc w:val="left"/>
        <w:rPr>
          <w:rFonts w:ascii="宋体" w:hAnsi="宋体" w:eastAsia="宋体"/>
          <w:sz w:val="24"/>
          <w:szCs w:val="24"/>
        </w:rPr>
      </w:pPr>
      <w:r>
        <w:rPr>
          <w:rFonts w:hint="eastAsia" w:ascii="宋体" w:hAnsi="宋体" w:eastAsia="宋体"/>
          <w:sz w:val="24"/>
          <w:szCs w:val="24"/>
        </w:rPr>
        <w:t>七、人员基本素质</w:t>
      </w:r>
    </w:p>
    <w:p w14:paraId="298EA236">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乙方提供的人员必须满足下列要求:</w:t>
      </w:r>
    </w:p>
    <w:p w14:paraId="54E4C9AD">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身体健康，无影响工作的高血压、心脏病、低血糖，无精神疾病、无传染病和其他重大疾病，年龄在</w:t>
      </w:r>
      <w:r>
        <w:rPr>
          <w:rFonts w:hint="eastAsia" w:ascii="宋体" w:hAnsi="宋体" w:eastAsia="宋体"/>
          <w:snapToGrid w:val="0"/>
          <w:color w:val="000000"/>
          <w:sz w:val="24"/>
          <w:szCs w:val="24"/>
          <w:u w:val="single"/>
        </w:rPr>
        <w:t>55</w:t>
      </w:r>
      <w:r>
        <w:rPr>
          <w:rFonts w:hint="eastAsia" w:ascii="宋体" w:hAnsi="宋体" w:eastAsia="宋体"/>
          <w:snapToGrid w:val="0"/>
          <w:color w:val="000000"/>
          <w:sz w:val="24"/>
          <w:szCs w:val="24"/>
        </w:rPr>
        <w:t>岁以下；在上岗前应提供符合甲方要求的体检报告以供审核评价，作为人员办理相应入场授权证件的必备材料；</w:t>
      </w:r>
    </w:p>
    <w:p w14:paraId="780FB8B6">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无刑事案件牵连；</w:t>
      </w:r>
    </w:p>
    <w:p w14:paraId="3E1FCA97">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无吸毒、酗酒、赌博、嫖娼等恶习及违法行为；</w:t>
      </w:r>
    </w:p>
    <w:p w14:paraId="245A26E3">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甲方有权对乙方员工的基本素质情况进行检查，对不能满足要求的人员有权进行清理，对乙方则予以考核。</w:t>
      </w:r>
    </w:p>
    <w:p w14:paraId="7B72A341">
      <w:pPr>
        <w:pStyle w:val="48"/>
        <w:spacing w:before="0" w:after="0" w:line="560" w:lineRule="exact"/>
        <w:jc w:val="left"/>
        <w:rPr>
          <w:rFonts w:ascii="宋体" w:hAnsi="宋体" w:eastAsia="宋体"/>
          <w:color w:val="000000"/>
          <w:sz w:val="24"/>
          <w:szCs w:val="24"/>
        </w:rPr>
      </w:pPr>
      <w:r>
        <w:rPr>
          <w:rFonts w:hint="eastAsia" w:ascii="宋体" w:hAnsi="宋体" w:eastAsia="宋体"/>
          <w:sz w:val="24"/>
          <w:szCs w:val="24"/>
        </w:rPr>
        <w:t>八、劳动保护</w:t>
      </w:r>
    </w:p>
    <w:p w14:paraId="6C962662">
      <w:pPr>
        <w:pStyle w:val="253"/>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乙方须为其从业人员提供符合国家标准的劳动保护用品，包括安全鞋、工作服和安全帽、安全带、防酸碱服和防酸碱手套、呼吸保护器、口罩、护目镜等。</w:t>
      </w:r>
    </w:p>
    <w:p w14:paraId="691A4729">
      <w:pPr>
        <w:pStyle w:val="253"/>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乙方入场前将个人劳动保护用品配用标准交甲方审核。</w:t>
      </w:r>
    </w:p>
    <w:p w14:paraId="6D3CD5FD">
      <w:pPr>
        <w:pStyle w:val="253"/>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乙方应为其从事射线探伤人员配备个人剂量计。</w:t>
      </w:r>
    </w:p>
    <w:p w14:paraId="78BEFEE8">
      <w:pPr>
        <w:pStyle w:val="253"/>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乙方的劳动保护必须满足甲方的劳动保护要求；甲方对乙方安全实施的情况进行检查，乙方应予以配合,不满足安全条件的，甲方有权中止现场活动，由此产生的工期和成本的影响,由乙方自行负责。</w:t>
      </w:r>
    </w:p>
    <w:p w14:paraId="2734356D">
      <w:pPr>
        <w:pStyle w:val="253"/>
        <w:numPr>
          <w:ilvl w:val="0"/>
          <w:numId w:val="15"/>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开工前应组织全体施工人员认真学习《中华人民共和国安全生产法》、《电力安全工作规程》、《电力建设安全工作规程》、甲方安健环管理规章制度等规定中的相关部分，经考试合格方可进行工作，并将考试成绩书面报甲方项目公司审核备案。若发生人员变更，在进入现场前，保证遵照以上程序办理报备。</w:t>
      </w:r>
    </w:p>
    <w:p w14:paraId="51D9A754">
      <w:pPr>
        <w:pStyle w:val="253"/>
        <w:numPr>
          <w:ilvl w:val="0"/>
          <w:numId w:val="15"/>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乙方负责所属工作人员着装整齐，符合《电力安全工作规程》着装规定，佩戴《出入证》和反光马甲。乙方保证不使用未成年工和不适应现场安全施工的老、弱、病、残等人员进行施工。</w:t>
      </w:r>
    </w:p>
    <w:p w14:paraId="7B4F4463">
      <w:pPr>
        <w:pStyle w:val="48"/>
        <w:spacing w:before="0" w:after="0" w:line="560" w:lineRule="exact"/>
        <w:jc w:val="left"/>
        <w:rPr>
          <w:rFonts w:ascii="宋体" w:hAnsi="宋体" w:eastAsia="宋体"/>
          <w:sz w:val="24"/>
          <w:szCs w:val="24"/>
        </w:rPr>
      </w:pPr>
      <w:r>
        <w:rPr>
          <w:rFonts w:hint="eastAsia" w:ascii="宋体" w:hAnsi="宋体" w:eastAsia="宋体"/>
          <w:sz w:val="24"/>
          <w:szCs w:val="24"/>
        </w:rPr>
        <w:t>九、作业机具与材料</w:t>
      </w:r>
    </w:p>
    <w:p w14:paraId="50D257AE">
      <w:pPr>
        <w:pStyle w:val="253"/>
        <w:numPr>
          <w:ilvl w:val="0"/>
          <w:numId w:val="16"/>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乙方对带入现场的作业机械和工器具的安全可靠性负责。</w:t>
      </w:r>
    </w:p>
    <w:p w14:paraId="054F094A">
      <w:pPr>
        <w:pStyle w:val="253"/>
        <w:numPr>
          <w:ilvl w:val="0"/>
          <w:numId w:val="16"/>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对于乙方带入现场的特殊工器具、设备，如起重设备、索具、机动车辆、压缩气瓶等，乙方必须按国家法规和标准进行检测、试验，并按规定持有法定部门出具的检验合格证书。</w:t>
      </w:r>
    </w:p>
    <w:p w14:paraId="3C0F1992">
      <w:pPr>
        <w:pStyle w:val="253"/>
        <w:numPr>
          <w:ilvl w:val="0"/>
          <w:numId w:val="16"/>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对于不属于法定检测的工器具，乙方也必须建立相应的管理、检测制度。</w:t>
      </w:r>
    </w:p>
    <w:p w14:paraId="09BCF936">
      <w:pPr>
        <w:pStyle w:val="48"/>
        <w:spacing w:before="0" w:after="0" w:line="560" w:lineRule="exact"/>
        <w:jc w:val="left"/>
        <w:rPr>
          <w:rFonts w:ascii="宋体" w:hAnsi="宋体" w:eastAsia="宋体"/>
          <w:sz w:val="24"/>
          <w:szCs w:val="24"/>
        </w:rPr>
      </w:pPr>
      <w:r>
        <w:rPr>
          <w:rFonts w:hint="eastAsia" w:ascii="宋体" w:hAnsi="宋体" w:eastAsia="宋体"/>
          <w:sz w:val="24"/>
          <w:szCs w:val="24"/>
        </w:rPr>
        <w:t>十、安全监督</w:t>
      </w:r>
    </w:p>
    <w:p w14:paraId="66512DF7">
      <w:pPr>
        <w:pStyle w:val="253"/>
        <w:numPr>
          <w:ilvl w:val="0"/>
          <w:numId w:val="17"/>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乙方应设安全监督机构，建立、健全安全、消防、应急、环保、职业健康等管理体系。配备有满足项目安全管理需要的安全管理人员，并持证上岗。</w:t>
      </w:r>
    </w:p>
    <w:p w14:paraId="6B176E82">
      <w:pPr>
        <w:pStyle w:val="253"/>
        <w:numPr>
          <w:ilvl w:val="0"/>
          <w:numId w:val="17"/>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乙方的安全管理专职人员必须经过甲方考核，且常驻现场；乙方的专职安全监督人员在业务上接受甲方的协调和指导。</w:t>
      </w:r>
    </w:p>
    <w:p w14:paraId="0241A83D">
      <w:pPr>
        <w:pStyle w:val="253"/>
        <w:numPr>
          <w:ilvl w:val="0"/>
          <w:numId w:val="17"/>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乙方应定期开展安全生产自我评估，开展经验反馈活动和日常安全宣传教育，传达甲方的安全要求和信息、对本单位的风险和安全指标趋势进行分析和预测，提出安全工作重点，并向甲方提供评估报告。</w:t>
      </w:r>
    </w:p>
    <w:p w14:paraId="0EA4A601">
      <w:pPr>
        <w:pStyle w:val="253"/>
        <w:numPr>
          <w:ilvl w:val="0"/>
          <w:numId w:val="17"/>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乙方应接受和配合甲方的监督与安全评估。</w:t>
      </w:r>
    </w:p>
    <w:p w14:paraId="463EFC9D">
      <w:pPr>
        <w:pStyle w:val="253"/>
        <w:numPr>
          <w:ilvl w:val="0"/>
          <w:numId w:val="17"/>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甲方有权对乙方履行安全条款的情况进行监督，并有权对违章行为进行考核。</w:t>
      </w:r>
    </w:p>
    <w:p w14:paraId="4781750F">
      <w:pPr>
        <w:pStyle w:val="48"/>
        <w:spacing w:before="0" w:after="0" w:line="560" w:lineRule="exact"/>
        <w:jc w:val="left"/>
        <w:rPr>
          <w:rFonts w:ascii="宋体" w:hAnsi="宋体" w:eastAsia="宋体"/>
          <w:sz w:val="24"/>
          <w:szCs w:val="24"/>
        </w:rPr>
      </w:pPr>
      <w:r>
        <w:rPr>
          <w:rFonts w:hint="eastAsia" w:ascii="宋体" w:hAnsi="宋体" w:eastAsia="宋体"/>
          <w:sz w:val="24"/>
          <w:szCs w:val="24"/>
        </w:rPr>
        <w:t>十一、安全培训与授权</w:t>
      </w:r>
    </w:p>
    <w:p w14:paraId="460846D7">
      <w:pPr>
        <w:pStyle w:val="253"/>
        <w:numPr>
          <w:ilvl w:val="0"/>
          <w:numId w:val="18"/>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乙方所有特种作业人员必须持证上岗，甲方有权对其进行抽查。乙方要建立特种作业定期培训和检查计划，这些工种包括但不限于：高压焊工、起重工、电工、架子工等。</w:t>
      </w:r>
    </w:p>
    <w:p w14:paraId="5F095B0A">
      <w:pPr>
        <w:pStyle w:val="253"/>
        <w:numPr>
          <w:ilvl w:val="0"/>
          <w:numId w:val="18"/>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由乙方负责其员工安全、消防、应急、环保、职业健康培训和授权的，其培训大纲、教材内容、教员资格等提交甲方审核。甲方有权对乙方培训质量进行检查，对不符合要求的人员，将不能进入现场工作。</w:t>
      </w:r>
    </w:p>
    <w:p w14:paraId="2D50025B">
      <w:pPr>
        <w:pStyle w:val="48"/>
        <w:spacing w:before="0" w:after="0" w:line="560" w:lineRule="exact"/>
        <w:jc w:val="left"/>
        <w:rPr>
          <w:rFonts w:ascii="宋体" w:hAnsi="宋体" w:eastAsia="宋体"/>
          <w:sz w:val="24"/>
          <w:szCs w:val="24"/>
        </w:rPr>
      </w:pPr>
      <w:r>
        <w:rPr>
          <w:rFonts w:hint="eastAsia" w:ascii="宋体" w:hAnsi="宋体" w:eastAsia="宋体"/>
          <w:sz w:val="24"/>
          <w:szCs w:val="24"/>
        </w:rPr>
        <w:t>十二、入场控制</w:t>
      </w:r>
    </w:p>
    <w:p w14:paraId="643765B5">
      <w:pPr>
        <w:pStyle w:val="253"/>
        <w:numPr>
          <w:ilvl w:val="0"/>
          <w:numId w:val="19"/>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甲方对乙方安全准备的情况进行检查。不满足开工安全条件的，乙方不得入场，由此产生的工期和成本的影响，由乙方自行负责。</w:t>
      </w:r>
    </w:p>
    <w:p w14:paraId="6E6B23F7">
      <w:pPr>
        <w:pStyle w:val="253"/>
        <w:numPr>
          <w:ilvl w:val="0"/>
          <w:numId w:val="19"/>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入场前安全检查的基本内容包括：安全责任制建设、安全投入、危险源识别和风险分析、施工机械的安全状况、安全工器具和材料、安全培训教材和教员、专职安全人员的到岗情况、培训的有效性、流动人员控制、个人劳动保护用品的发放等内容。</w:t>
      </w:r>
    </w:p>
    <w:p w14:paraId="4E05B776">
      <w:pPr>
        <w:pStyle w:val="48"/>
        <w:spacing w:before="0" w:after="0" w:line="560" w:lineRule="exact"/>
        <w:jc w:val="both"/>
        <w:rPr>
          <w:rFonts w:ascii="宋体" w:hAnsi="宋体" w:eastAsia="宋体"/>
          <w:sz w:val="24"/>
          <w:szCs w:val="24"/>
        </w:rPr>
      </w:pPr>
      <w:r>
        <w:rPr>
          <w:rFonts w:hint="eastAsia" w:ascii="宋体" w:hAnsi="宋体" w:eastAsia="宋体"/>
          <w:sz w:val="24"/>
          <w:szCs w:val="24"/>
        </w:rPr>
        <w:t>十三、职业健康与卫生防疫</w:t>
      </w:r>
    </w:p>
    <w:p w14:paraId="5D56BCF0">
      <w:pPr>
        <w:pStyle w:val="253"/>
        <w:numPr>
          <w:ilvl w:val="0"/>
          <w:numId w:val="20"/>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乙方应有特殊健康检查制度，预防有禁忌症患者从事有关职业，如恐高症患者不得从事高空作业，特种作业人员的体检应符合国家的规定。杜绝体检不合格或犯职业禁忌症人员上岗。</w:t>
      </w:r>
    </w:p>
    <w:p w14:paraId="7B25B97B">
      <w:pPr>
        <w:pStyle w:val="253"/>
        <w:numPr>
          <w:ilvl w:val="0"/>
          <w:numId w:val="2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乙方应保证卫生防疫基本设施的投入，以满足医疗、急救的要求。</w:t>
      </w:r>
    </w:p>
    <w:p w14:paraId="4396AD2C">
      <w:pPr>
        <w:pStyle w:val="253"/>
        <w:numPr>
          <w:ilvl w:val="0"/>
          <w:numId w:val="2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卫生防疫措施计划，做好生活区和作业区的卫生防疫工作；制定和执行保证饮水卫生、饮食卫生、环境卫生和预防集体食物中毒的措施；有灭蚊、灭鼠和消毒的专项工作计划；有针对性地制订预防SARS、冠状病毒肺炎、禽流感、疟疾、霍乱、肠道传染病、肝炎等疾病的措施。</w:t>
      </w:r>
    </w:p>
    <w:p w14:paraId="1E886656">
      <w:pPr>
        <w:pStyle w:val="48"/>
        <w:spacing w:before="0" w:after="0" w:line="560" w:lineRule="exact"/>
        <w:jc w:val="left"/>
        <w:rPr>
          <w:rFonts w:ascii="宋体" w:hAnsi="宋体" w:eastAsia="宋体"/>
          <w:sz w:val="24"/>
          <w:szCs w:val="24"/>
        </w:rPr>
      </w:pPr>
      <w:r>
        <w:rPr>
          <w:rFonts w:hint="eastAsia" w:ascii="宋体" w:hAnsi="宋体" w:eastAsia="宋体"/>
          <w:sz w:val="24"/>
          <w:szCs w:val="24"/>
        </w:rPr>
        <w:t>十四、项目风险管理与事故预防</w:t>
      </w:r>
    </w:p>
    <w:p w14:paraId="08577F90">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乙方应对作业过程进行全面、深入的危险源识别和风险分析。在作业安全组织设计中提供危险源及重要危险源清单、作业风险分析报告，该报告应包括（但不限于）如下信息：</w:t>
      </w:r>
    </w:p>
    <w:p w14:paraId="7E8222CD">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高风险作业和工种清单：作业名称、这些作业工种的类别和数量、主要事故风险。</w:t>
      </w:r>
    </w:p>
    <w:p w14:paraId="5FB584C2">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作业机械的种类、数量和主要事故风险。</w:t>
      </w:r>
    </w:p>
    <w:p w14:paraId="5E7176CF">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作业条件的类型和主要事故风险。</w:t>
      </w:r>
    </w:p>
    <w:p w14:paraId="29457257">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主要工艺过程（或作业活动）的类别及其相关的事故风险。</w:t>
      </w:r>
    </w:p>
    <w:p w14:paraId="1943C5D0">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主要火灾危险（可燃物、点火源）。</w:t>
      </w:r>
    </w:p>
    <w:p w14:paraId="554020CB">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其他。</w:t>
      </w:r>
    </w:p>
    <w:p w14:paraId="201EB5C5">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乙方应针对识别出的危险源制定有针对性的事故预防措施并确保在作业中得到有效落实。</w:t>
      </w:r>
    </w:p>
    <w:p w14:paraId="5B5FC748">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乙方应建立日常作业活动的动态作业风险分析和安全交底制度。该制度应明确规定风险分析的方法、责任和交底的内容、时间及记录。</w:t>
      </w:r>
    </w:p>
    <w:p w14:paraId="0CC98673">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对于危险性较大的施工、维修作业，乙方必须专门制定施工安全方案，并报甲方备案。甲方认为不合格的方案，有权要求乙方重新进行制定，新方案批准前不得开工。开工前，对作业组成员开展安全技术交底。</w:t>
      </w:r>
    </w:p>
    <w:p w14:paraId="5578392E">
      <w:pPr>
        <w:pStyle w:val="48"/>
        <w:spacing w:before="0" w:after="0" w:line="560" w:lineRule="exact"/>
        <w:jc w:val="left"/>
        <w:rPr>
          <w:rFonts w:ascii="宋体" w:hAnsi="宋体" w:eastAsia="宋体"/>
          <w:sz w:val="24"/>
          <w:szCs w:val="24"/>
        </w:rPr>
      </w:pPr>
      <w:r>
        <w:rPr>
          <w:rFonts w:hint="eastAsia" w:ascii="宋体" w:hAnsi="宋体" w:eastAsia="宋体"/>
          <w:sz w:val="24"/>
          <w:szCs w:val="24"/>
        </w:rPr>
        <w:t>十五、事故报告与应急救援</w:t>
      </w:r>
    </w:p>
    <w:p w14:paraId="743752FA">
      <w:pPr>
        <w:pStyle w:val="253"/>
        <w:numPr>
          <w:ilvl w:val="0"/>
          <w:numId w:val="23"/>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乙方应建立安全事故统计记录、医学处置事件统计记录、未遂事件统计记录、违章统计记录，并根据统计情况进行分析，并就分析结果制定相应的预防措施。</w:t>
      </w:r>
    </w:p>
    <w:p w14:paraId="512DC6B4">
      <w:pPr>
        <w:pStyle w:val="253"/>
        <w:numPr>
          <w:ilvl w:val="0"/>
          <w:numId w:val="23"/>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乙方应根据《电力安全隐患监督管理暂行规定》等规定要求建立安全隐患统计记录，并根据统计情况进行分析，并就分析结果制定相应的预防措施。</w:t>
      </w:r>
    </w:p>
    <w:p w14:paraId="0186C62F">
      <w:pPr>
        <w:pStyle w:val="253"/>
        <w:numPr>
          <w:ilvl w:val="0"/>
          <w:numId w:val="23"/>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生产安全事件报告准则；对于未遂事件及以上级别的安全事件和事故，应建立事故快速报告制度，即在事件、事故发生后，立即口头报告甲方。在事件发生后的24小时以内，向甲方发出书面安全事件通告。</w:t>
      </w:r>
    </w:p>
    <w:p w14:paraId="7C775DCC">
      <w:pPr>
        <w:pStyle w:val="253"/>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乙方应制定安全生产事故/事件管理程序，发生事故/事件后要及时向甲方报告，不得瞒报、漏报、谎报和迟报。</w:t>
      </w:r>
    </w:p>
    <w:p w14:paraId="03866569">
      <w:pPr>
        <w:pStyle w:val="253"/>
        <w:numPr>
          <w:ilvl w:val="0"/>
          <w:numId w:val="23"/>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根据国家相关法规、文件规定和甲方相关管理程序要求，建立应急管理体系和应急救援机制，制定本单位突发事件应急预案和核事故应急撤离计划，准备并保障相应的应急物资，严格按照甲方的要求及时报送应急值班信息和本单位人员、资源等信息，在事故情况下及时启动应急响应机制，及时报告相关信息，并采取措施限制事故扩大,必要时接受甲方的统一协调和指挥。</w:t>
      </w:r>
    </w:p>
    <w:p w14:paraId="7119AA98">
      <w:pPr>
        <w:pStyle w:val="253"/>
        <w:numPr>
          <w:ilvl w:val="0"/>
          <w:numId w:val="23"/>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在现场其他单位发生重大事故时，乙方应无条件立即配合、支持事故抢险。</w:t>
      </w:r>
    </w:p>
    <w:p w14:paraId="3068457F">
      <w:pPr>
        <w:pStyle w:val="253"/>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乙方必须为事故处置支付各项费用，包括受伤者的抚恤、补偿等费用，对甲方造成损失的，造价赔偿。</w:t>
      </w:r>
    </w:p>
    <w:p w14:paraId="3048832B">
      <w:pPr>
        <w:pStyle w:val="253"/>
        <w:numPr>
          <w:ilvl w:val="0"/>
          <w:numId w:val="23"/>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涉及乙方员工的伤害事故，乙方除要报告甲方外，还应负责按照国家、行业和本单位上级公司的要求，上报事故。</w:t>
      </w:r>
    </w:p>
    <w:p w14:paraId="78E08061">
      <w:pPr>
        <w:pStyle w:val="253"/>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乙方负责组织事件调查的，甲方有权参与。</w:t>
      </w:r>
    </w:p>
    <w:p w14:paraId="74A3C601">
      <w:pPr>
        <w:pStyle w:val="48"/>
        <w:spacing w:before="0" w:after="0" w:line="560" w:lineRule="exact"/>
        <w:jc w:val="left"/>
        <w:rPr>
          <w:rFonts w:ascii="宋体" w:hAnsi="宋体" w:eastAsia="宋体"/>
          <w:sz w:val="24"/>
          <w:szCs w:val="24"/>
        </w:rPr>
      </w:pPr>
      <w:r>
        <w:rPr>
          <w:rFonts w:hint="eastAsia" w:ascii="宋体" w:hAnsi="宋体" w:eastAsia="宋体"/>
          <w:sz w:val="24"/>
          <w:szCs w:val="24"/>
        </w:rPr>
        <w:t>十六、协议条款的修订</w:t>
      </w:r>
    </w:p>
    <w:p w14:paraId="3CC95891">
      <w:pPr>
        <w:pStyle w:val="253"/>
        <w:numPr>
          <w:ilvl w:val="0"/>
          <w:numId w:val="2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在项目实施过程中，经双方友好协商，本协议的有关条款也可做出相应的修改。</w:t>
      </w:r>
    </w:p>
    <w:p w14:paraId="48F98555">
      <w:pPr>
        <w:pStyle w:val="253"/>
        <w:numPr>
          <w:ilvl w:val="0"/>
          <w:numId w:val="2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本协议自合同生效日起实施，甲方保留最终解释权。</w:t>
      </w:r>
    </w:p>
    <w:p w14:paraId="3BF1936A">
      <w:pPr>
        <w:pStyle w:val="48"/>
        <w:spacing w:before="0" w:after="0" w:line="560" w:lineRule="exact"/>
        <w:jc w:val="left"/>
        <w:rPr>
          <w:rFonts w:ascii="宋体" w:hAnsi="宋体" w:eastAsia="宋体"/>
          <w:sz w:val="24"/>
          <w:szCs w:val="24"/>
        </w:rPr>
      </w:pPr>
      <w:r>
        <w:rPr>
          <w:rFonts w:hint="eastAsia" w:ascii="宋体" w:hAnsi="宋体" w:eastAsia="宋体"/>
          <w:sz w:val="24"/>
          <w:szCs w:val="24"/>
        </w:rPr>
        <w:t>十七、附件</w:t>
      </w:r>
    </w:p>
    <w:p w14:paraId="4941A607">
      <w:pPr>
        <w:pStyle w:val="48"/>
        <w:spacing w:before="0" w:after="0" w:line="560" w:lineRule="exact"/>
        <w:jc w:val="left"/>
        <w:rPr>
          <w:rFonts w:ascii="宋体" w:hAnsi="宋体" w:eastAsia="宋体"/>
          <w:b w:val="0"/>
          <w:bCs w:val="0"/>
          <w:sz w:val="24"/>
          <w:szCs w:val="24"/>
        </w:rPr>
      </w:pPr>
      <w:r>
        <w:rPr>
          <w:rFonts w:hint="eastAsia" w:ascii="宋体" w:hAnsi="宋体" w:eastAsia="宋体"/>
          <w:b w:val="0"/>
          <w:bCs w:val="0"/>
          <w:sz w:val="24"/>
          <w:szCs w:val="24"/>
        </w:rPr>
        <w:t>附件1：考核指标定义</w:t>
      </w:r>
    </w:p>
    <w:p w14:paraId="6A649406">
      <w:pPr>
        <w:pStyle w:val="48"/>
        <w:spacing w:before="0" w:after="0" w:line="560" w:lineRule="exact"/>
        <w:jc w:val="left"/>
        <w:rPr>
          <w:rFonts w:ascii="宋体" w:hAnsi="宋体" w:eastAsia="宋体"/>
          <w:b w:val="0"/>
          <w:bCs w:val="0"/>
          <w:sz w:val="24"/>
          <w:szCs w:val="24"/>
        </w:rPr>
      </w:pPr>
      <w:r>
        <w:rPr>
          <w:rFonts w:hint="eastAsia" w:ascii="宋体" w:hAnsi="宋体" w:eastAsia="宋体"/>
          <w:b w:val="0"/>
          <w:bCs w:val="0"/>
          <w:sz w:val="24"/>
          <w:szCs w:val="24"/>
        </w:rPr>
        <w:t>附件2：考核条款</w:t>
      </w:r>
    </w:p>
    <w:p w14:paraId="1C247D80">
      <w:pPr>
        <w:tabs>
          <w:tab w:val="center" w:pos="4433"/>
        </w:tabs>
        <w:spacing w:line="560" w:lineRule="exact"/>
        <w:ind w:firstLine="480" w:firstLineChars="200"/>
        <w:rPr>
          <w:rFonts w:ascii="宋体" w:hAnsi="宋体" w:eastAsia="宋体" w:cs="宋体"/>
          <w:sz w:val="24"/>
        </w:rPr>
      </w:pPr>
      <w:r>
        <w:rPr>
          <w:rFonts w:hint="eastAsia" w:ascii="宋体" w:hAnsi="宋体" w:eastAsia="宋体" w:cs="宋体"/>
          <w:sz w:val="24"/>
        </w:rPr>
        <w:t>本协议一式</w:t>
      </w:r>
      <w:r>
        <w:rPr>
          <w:rFonts w:hint="eastAsia" w:ascii="宋体" w:hAnsi="宋体" w:cs="宋体"/>
          <w:sz w:val="24"/>
          <w:lang w:val="en-US" w:eastAsia="zh-CN"/>
        </w:rPr>
        <w:t>伍</w:t>
      </w:r>
      <w:r>
        <w:rPr>
          <w:rFonts w:hint="eastAsia" w:ascii="宋体" w:hAnsi="宋体" w:eastAsia="宋体" w:cs="宋体"/>
          <w:sz w:val="24"/>
        </w:rPr>
        <w:t>份，经双方法定代表人或委托代理人签字、盖章后生效，与合同（合同编号：        ）具有同等法律效率。本协议一式</w:t>
      </w:r>
      <w:r>
        <w:rPr>
          <w:rFonts w:hint="eastAsia" w:ascii="宋体" w:hAnsi="宋体" w:cs="宋体"/>
          <w:sz w:val="24"/>
          <w:lang w:val="en-US" w:eastAsia="zh-CN"/>
        </w:rPr>
        <w:t>伍</w:t>
      </w:r>
      <w:r>
        <w:rPr>
          <w:rFonts w:hint="eastAsia" w:ascii="宋体" w:hAnsi="宋体" w:eastAsia="宋体" w:cs="宋体"/>
          <w:sz w:val="24"/>
        </w:rPr>
        <w:t>份，甲</w:t>
      </w:r>
      <w:r>
        <w:rPr>
          <w:rFonts w:hint="eastAsia" w:ascii="宋体" w:hAnsi="宋体" w:cs="宋体"/>
          <w:sz w:val="24"/>
          <w:lang w:val="en-US" w:eastAsia="zh-CN"/>
        </w:rPr>
        <w:t>方执叁份</w:t>
      </w:r>
      <w:r>
        <w:rPr>
          <w:rFonts w:hint="eastAsia" w:ascii="宋体" w:hAnsi="宋体" w:eastAsia="宋体" w:cs="宋体"/>
          <w:sz w:val="24"/>
        </w:rPr>
        <w:t>、乙方执</w:t>
      </w:r>
      <w:r>
        <w:rPr>
          <w:rFonts w:hint="eastAsia" w:ascii="宋体" w:hAnsi="宋体" w:cs="宋体"/>
          <w:sz w:val="24"/>
          <w:lang w:val="en-US" w:eastAsia="zh-CN"/>
        </w:rPr>
        <w:t>二</w:t>
      </w:r>
      <w:r>
        <w:rPr>
          <w:rFonts w:hint="eastAsia" w:ascii="宋体" w:hAnsi="宋体" w:eastAsia="宋体" w:cs="宋体"/>
          <w:sz w:val="24"/>
        </w:rPr>
        <w:t>份。</w:t>
      </w:r>
    </w:p>
    <w:p w14:paraId="7AC5CD2B">
      <w:pPr>
        <w:tabs>
          <w:tab w:val="center" w:pos="4433"/>
        </w:tabs>
        <w:spacing w:line="560" w:lineRule="exact"/>
        <w:rPr>
          <w:rFonts w:ascii="仿宋_GB2312" w:eastAsia="仿宋_GB2312"/>
          <w:sz w:val="24"/>
        </w:rPr>
      </w:pPr>
    </w:p>
    <w:p w14:paraId="6AEFE20D">
      <w:pPr>
        <w:spacing w:line="560" w:lineRule="exact"/>
        <w:rPr>
          <w:rFonts w:ascii="宋体" w:hAnsi="宋体" w:eastAsia="宋体" w:cs="宋体"/>
          <w:bCs/>
          <w:color w:val="FFFFFF"/>
          <w:sz w:val="24"/>
        </w:rPr>
      </w:pPr>
      <w:r>
        <w:rPr>
          <w:rFonts w:hint="eastAsia" w:ascii="宋体" w:hAnsi="宋体" w:eastAsia="宋体" w:cs="宋体"/>
          <w:bCs/>
          <w:sz w:val="24"/>
        </w:rPr>
        <w:t>发包单位：</w:t>
      </w:r>
      <w:r>
        <w:rPr>
          <w:rFonts w:hint="eastAsia" w:ascii="宋体" w:hAnsi="宋体" w:eastAsia="宋体"/>
          <w:bCs/>
          <w:spacing w:val="-10"/>
          <w:sz w:val="24"/>
          <w:u w:val="single"/>
        </w:rPr>
        <w:t>东莞市新东元环保投资有限公司</w:t>
      </w:r>
      <w:r>
        <w:rPr>
          <w:rFonts w:hint="eastAsia" w:ascii="宋体" w:hAnsi="宋体" w:eastAsia="宋体" w:cs="宋体"/>
          <w:bCs/>
          <w:spacing w:val="-10"/>
          <w:sz w:val="24"/>
        </w:rPr>
        <w:t xml:space="preserve">  </w:t>
      </w:r>
      <w:r>
        <w:rPr>
          <w:rFonts w:hint="eastAsia" w:ascii="宋体" w:hAnsi="宋体" w:eastAsia="宋体" w:cs="宋体"/>
          <w:bCs/>
          <w:sz w:val="24"/>
        </w:rPr>
        <w:t xml:space="preserve">  承包单位：</w:t>
      </w:r>
      <w:r>
        <w:rPr>
          <w:rFonts w:hint="eastAsia" w:ascii="宋体" w:hAnsi="宋体" w:eastAsia="宋体" w:cs="宋体"/>
          <w:bCs/>
          <w:color w:val="FFFFFF"/>
          <w:sz w:val="24"/>
        </w:rPr>
        <w:t xml:space="preserve"> </w:t>
      </w:r>
    </w:p>
    <w:p w14:paraId="2137CBA0">
      <w:pPr>
        <w:pStyle w:val="2"/>
        <w:rPr>
          <w:rFonts w:hint="eastAsia"/>
        </w:rPr>
      </w:pPr>
    </w:p>
    <w:p w14:paraId="0289CAFD">
      <w:pPr>
        <w:spacing w:line="560" w:lineRule="exact"/>
        <w:rPr>
          <w:rFonts w:ascii="宋体" w:hAnsi="宋体" w:eastAsia="宋体" w:cs="宋体"/>
          <w:bCs/>
          <w:sz w:val="24"/>
        </w:rPr>
      </w:pPr>
      <w:r>
        <w:rPr>
          <w:rFonts w:hint="eastAsia" w:ascii="宋体" w:hAnsi="宋体" w:eastAsia="宋体" w:cs="宋体"/>
          <w:bCs/>
          <w:sz w:val="24"/>
        </w:rPr>
        <w:t>（盖章）                              （盖章）</w:t>
      </w:r>
    </w:p>
    <w:p w14:paraId="3F85BFE9">
      <w:pPr>
        <w:spacing w:line="560" w:lineRule="exact"/>
        <w:rPr>
          <w:rFonts w:ascii="宋体" w:hAnsi="宋体" w:eastAsia="宋体" w:cs="宋体"/>
          <w:bCs/>
          <w:sz w:val="24"/>
        </w:rPr>
      </w:pPr>
      <w:r>
        <w:rPr>
          <w:rFonts w:hint="eastAsia" w:ascii="宋体" w:hAnsi="宋体" w:eastAsia="宋体" w:cs="宋体"/>
          <w:bCs/>
          <w:sz w:val="24"/>
        </w:rPr>
        <w:t>法定代表人或                           法定代表人或</w:t>
      </w:r>
    </w:p>
    <w:p w14:paraId="3ABD0997">
      <w:pPr>
        <w:spacing w:line="560" w:lineRule="exact"/>
        <w:rPr>
          <w:rFonts w:ascii="宋体" w:hAnsi="宋体" w:eastAsia="宋体" w:cs="宋体"/>
          <w:bCs/>
          <w:sz w:val="24"/>
        </w:rPr>
      </w:pPr>
      <w:r>
        <w:rPr>
          <w:rFonts w:hint="eastAsia" w:ascii="宋体" w:hAnsi="宋体" w:eastAsia="宋体" w:cs="宋体"/>
          <w:bCs/>
          <w:sz w:val="24"/>
        </w:rPr>
        <w:t>代表人：                               代表人：</w:t>
      </w:r>
    </w:p>
    <w:p w14:paraId="280D74BB">
      <w:pPr>
        <w:spacing w:line="560" w:lineRule="exact"/>
        <w:rPr>
          <w:rFonts w:ascii="宋体" w:hAnsi="宋体" w:eastAsia="宋体" w:cs="宋体"/>
          <w:snapToGrid w:val="0"/>
          <w:color w:val="000000"/>
          <w:sz w:val="24"/>
          <w:szCs w:val="24"/>
        </w:rPr>
      </w:pPr>
      <w:r>
        <w:rPr>
          <w:rFonts w:hint="eastAsia" w:ascii="宋体" w:hAnsi="宋体" w:eastAsia="宋体" w:cs="宋体"/>
          <w:bCs/>
          <w:sz w:val="24"/>
        </w:rPr>
        <w:t>日  期：</w:t>
      </w:r>
      <w:r>
        <w:rPr>
          <w:rFonts w:hint="eastAsia" w:ascii="宋体" w:hAnsi="宋体" w:cs="宋体"/>
          <w:bCs/>
          <w:sz w:val="24"/>
          <w:lang w:val="en-US" w:eastAsia="zh-CN"/>
        </w:rPr>
        <w:t>2025</w:t>
      </w:r>
      <w:r>
        <w:rPr>
          <w:rFonts w:hint="eastAsia" w:ascii="宋体" w:hAnsi="宋体" w:eastAsia="宋体" w:cs="宋体"/>
          <w:bCs/>
          <w:sz w:val="24"/>
        </w:rPr>
        <w:t>年  月   日                日  期：</w:t>
      </w:r>
      <w:r>
        <w:rPr>
          <w:rFonts w:hint="eastAsia" w:ascii="宋体" w:hAnsi="宋体" w:cs="宋体"/>
          <w:bCs/>
          <w:sz w:val="24"/>
          <w:lang w:val="en-US" w:eastAsia="zh-CN"/>
        </w:rPr>
        <w:t>2025</w:t>
      </w:r>
      <w:r>
        <w:rPr>
          <w:rFonts w:hint="eastAsia" w:ascii="宋体" w:hAnsi="宋体" w:eastAsia="宋体" w:cs="宋体"/>
          <w:bCs/>
          <w:sz w:val="24"/>
        </w:rPr>
        <w:t>年    月   日</w:t>
      </w:r>
    </w:p>
    <w:p w14:paraId="742B1920">
      <w:pPr>
        <w:snapToGrid w:val="0"/>
        <w:spacing w:line="560" w:lineRule="exact"/>
        <w:rPr>
          <w:rFonts w:ascii="宋体" w:hAnsi="宋体" w:eastAsia="宋体" w:cs="宋体"/>
          <w:snapToGrid w:val="0"/>
          <w:color w:val="000000"/>
          <w:sz w:val="24"/>
          <w:szCs w:val="24"/>
        </w:rPr>
        <w:sectPr>
          <w:pgSz w:w="11906" w:h="16838"/>
          <w:pgMar w:top="2098" w:right="1474" w:bottom="1985" w:left="1588" w:header="851" w:footer="992" w:gutter="0"/>
          <w:cols w:space="425" w:num="1"/>
          <w:docGrid w:type="lines" w:linePitch="579" w:charSpace="17613"/>
        </w:sectPr>
      </w:pPr>
    </w:p>
    <w:p w14:paraId="6401850D">
      <w:pPr>
        <w:spacing w:line="560" w:lineRule="exact"/>
        <w:jc w:val="left"/>
        <w:rPr>
          <w:rFonts w:ascii="宋体" w:hAnsi="宋体" w:eastAsia="宋体"/>
          <w:bCs/>
          <w:snapToGrid w:val="0"/>
          <w:color w:val="000000"/>
          <w:sz w:val="24"/>
          <w:szCs w:val="24"/>
        </w:rPr>
      </w:pPr>
      <w:r>
        <w:rPr>
          <w:rFonts w:hint="eastAsia" w:ascii="宋体" w:hAnsi="宋体" w:eastAsia="宋体"/>
          <w:bCs/>
          <w:snapToGrid w:val="0"/>
          <w:color w:val="000000"/>
          <w:sz w:val="24"/>
          <w:szCs w:val="24"/>
        </w:rPr>
        <w:t>附件1 考核指标定义</w:t>
      </w:r>
    </w:p>
    <w:p w14:paraId="697134A9">
      <w:pPr>
        <w:spacing w:line="560" w:lineRule="exact"/>
        <w:jc w:val="center"/>
        <w:rPr>
          <w:rFonts w:ascii="宋体" w:hAnsi="宋体" w:eastAsia="宋体"/>
          <w:b/>
          <w:snapToGrid w:val="0"/>
          <w:color w:val="000000"/>
          <w:sz w:val="24"/>
          <w:szCs w:val="24"/>
        </w:rPr>
      </w:pPr>
      <w:r>
        <w:rPr>
          <w:rFonts w:hint="eastAsia" w:ascii="宋体" w:hAnsi="宋体" w:eastAsia="宋体"/>
          <w:b/>
          <w:snapToGrid w:val="0"/>
          <w:color w:val="000000"/>
          <w:sz w:val="24"/>
          <w:szCs w:val="24"/>
        </w:rPr>
        <w:t>考核指标定义</w:t>
      </w:r>
    </w:p>
    <w:p w14:paraId="28FA8FE3">
      <w:pPr>
        <w:pStyle w:val="253"/>
        <w:numPr>
          <w:ilvl w:val="0"/>
          <w:numId w:val="25"/>
        </w:numPr>
        <w:spacing w:line="540" w:lineRule="exact"/>
        <w:ind w:firstLineChars="0"/>
        <w:rPr>
          <w:rStyle w:val="54"/>
          <w:rFonts w:ascii="新宋体" w:hAnsi="新宋体" w:eastAsia="新宋体" w:cs="新宋体"/>
          <w:b w:val="0"/>
          <w:bCs w:val="0"/>
          <w:sz w:val="24"/>
          <w:szCs w:val="24"/>
        </w:rPr>
      </w:pPr>
      <w:r>
        <w:rPr>
          <w:rFonts w:hint="eastAsia" w:ascii="新宋体" w:hAnsi="新宋体" w:eastAsia="新宋体" w:cs="新宋体"/>
          <w:snapToGrid w:val="0"/>
          <w:color w:val="000000"/>
          <w:sz w:val="24"/>
          <w:szCs w:val="24"/>
        </w:rPr>
        <w:t>死亡及以上事故：见</w:t>
      </w:r>
      <w:r>
        <w:rPr>
          <w:rFonts w:hint="eastAsia" w:ascii="新宋体" w:hAnsi="新宋体" w:eastAsia="新宋体" w:cs="新宋体"/>
          <w:sz w:val="24"/>
          <w:szCs w:val="24"/>
        </w:rPr>
        <w:t>中华人民共和国《生产安全事故报告和调查处理条例》（国务院令第493号）事故标准。</w:t>
      </w:r>
    </w:p>
    <w:p w14:paraId="3876C2D5">
      <w:pPr>
        <w:pStyle w:val="253"/>
        <w:numPr>
          <w:ilvl w:val="0"/>
          <w:numId w:val="25"/>
        </w:numPr>
        <w:spacing w:line="540" w:lineRule="exact"/>
        <w:ind w:firstLineChars="0"/>
        <w:rPr>
          <w:rFonts w:ascii="新宋体" w:hAnsi="新宋体" w:eastAsia="新宋体" w:cs="新宋体"/>
          <w:snapToGrid w:val="0"/>
          <w:color w:val="000000"/>
          <w:sz w:val="24"/>
          <w:szCs w:val="24"/>
        </w:rPr>
      </w:pPr>
      <w:r>
        <w:rPr>
          <w:rFonts w:hint="eastAsia" w:ascii="新宋体" w:hAnsi="新宋体" w:eastAsia="新宋体" w:cs="新宋体"/>
          <w:sz w:val="24"/>
          <w:szCs w:val="24"/>
        </w:rPr>
        <w:t>重伤事故：（1）</w:t>
      </w:r>
      <w:r>
        <w:rPr>
          <w:rStyle w:val="54"/>
          <w:rFonts w:hint="eastAsia" w:ascii="新宋体" w:hAnsi="新宋体" w:eastAsia="新宋体" w:cs="新宋体"/>
          <w:b w:val="0"/>
          <w:bCs w:val="0"/>
          <w:sz w:val="24"/>
          <w:szCs w:val="24"/>
        </w:rPr>
        <w:t>指造成人员肢体残废、毁人容貌、丧失听觉、丧失视觉、丧失其他器官功能或者其他对于人身健康有重大伤害的事故，包括重伤一级和重伤二级，具体以劳动能力鉴定委员会的最终评定结果为准。（2）</w:t>
      </w:r>
      <w:r>
        <w:rPr>
          <w:rStyle w:val="54"/>
          <w:rFonts w:hint="eastAsia" w:ascii="新宋体" w:hAnsi="新宋体" w:eastAsia="新宋体" w:cs="新宋体"/>
          <w:b w:val="0"/>
          <w:sz w:val="24"/>
          <w:szCs w:val="24"/>
        </w:rPr>
        <w:t>造成20万元以上100万元以下直接经济损失的，与重伤事故同等级别认定。</w:t>
      </w:r>
    </w:p>
    <w:p w14:paraId="34A06296">
      <w:pPr>
        <w:pStyle w:val="253"/>
        <w:numPr>
          <w:ilvl w:val="0"/>
          <w:numId w:val="25"/>
        </w:numPr>
        <w:spacing w:line="540" w:lineRule="exact"/>
        <w:ind w:firstLineChars="0"/>
        <w:rPr>
          <w:rFonts w:ascii="宋体" w:hAnsi="宋体" w:eastAsia="宋体"/>
          <w:snapToGrid w:val="0"/>
          <w:color w:val="000000"/>
          <w:sz w:val="24"/>
          <w:szCs w:val="24"/>
        </w:rPr>
      </w:pPr>
      <w:r>
        <w:rPr>
          <w:rStyle w:val="54"/>
          <w:rFonts w:hint="eastAsia" w:ascii="新宋体" w:hAnsi="新宋体" w:eastAsia="新宋体" w:cs="新宋体"/>
          <w:b w:val="0"/>
          <w:sz w:val="24"/>
          <w:szCs w:val="24"/>
        </w:rPr>
        <w:t>轻伤事故：（1）造成1人肢体或者容貌损害，听觉、视觉或者其他器官功能部分障碍或者其他对于人身健康有中度伤害的事故，</w:t>
      </w:r>
      <w:r>
        <w:rPr>
          <w:rStyle w:val="54"/>
          <w:rFonts w:hint="eastAsia" w:ascii="新宋体" w:hAnsi="新宋体" w:eastAsia="新宋体" w:cs="新宋体"/>
          <w:b w:val="0"/>
          <w:bCs w:val="0"/>
          <w:sz w:val="24"/>
          <w:szCs w:val="24"/>
        </w:rPr>
        <w:t>包括轻伤一级和轻伤二级，具体</w:t>
      </w:r>
      <w:r>
        <w:rPr>
          <w:rStyle w:val="54"/>
          <w:rFonts w:hint="eastAsia" w:ascii="新宋体" w:hAnsi="新宋体" w:eastAsia="新宋体" w:cs="新宋体"/>
          <w:b w:val="0"/>
          <w:sz w:val="24"/>
          <w:szCs w:val="24"/>
        </w:rPr>
        <w:t>以劳动能力鉴定委员会的最终评定结果为准。（2）造成3万元以上20万元以下直接经济损失的，与重伤事故同等级别认定。</w:t>
      </w:r>
    </w:p>
    <w:p w14:paraId="0AA8484F">
      <w:pPr>
        <w:pStyle w:val="253"/>
        <w:numPr>
          <w:ilvl w:val="0"/>
          <w:numId w:val="25"/>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损失工时事故（LWC）：造成员工离开工作岗位一天或一天以上（不含事故当天）；</w:t>
      </w:r>
    </w:p>
    <w:p w14:paraId="746CDED5">
      <w:pPr>
        <w:pStyle w:val="253"/>
        <w:numPr>
          <w:ilvl w:val="0"/>
          <w:numId w:val="25"/>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限制工时事故（RWC）：造成员工工作受限制一天或一天以上（不含事故当天）；限制性工业事故由职业医疗根据员工的实际情况和医疗部门给出的休息建议确定；</w:t>
      </w:r>
    </w:p>
    <w:p w14:paraId="2D3CE59A">
      <w:pPr>
        <w:pStyle w:val="253"/>
        <w:numPr>
          <w:ilvl w:val="0"/>
          <w:numId w:val="25"/>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医学处置事件（MTC）：该事故需要医疗处置但又没有LWC和RWC的后果；医疗处置事件分为医护处置事件、急救箱处置事件；</w:t>
      </w:r>
    </w:p>
    <w:p w14:paraId="219CCB67">
      <w:pPr>
        <w:pStyle w:val="253"/>
        <w:numPr>
          <w:ilvl w:val="0"/>
          <w:numId w:val="25"/>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医护处置事件：需要专业医护人员进行一般医学处理的事件。</w:t>
      </w:r>
    </w:p>
    <w:p w14:paraId="32DA7473">
      <w:pPr>
        <w:pStyle w:val="253"/>
        <w:numPr>
          <w:ilvl w:val="0"/>
          <w:numId w:val="25"/>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急救箱处置事件：需要专业医护人员进行简单医学处理的事件，或可自行处理的伤害事件，例如：</w:t>
      </w:r>
    </w:p>
    <w:p w14:paraId="318C5AAE">
      <w:pPr>
        <w:numPr>
          <w:ilvl w:val="3"/>
          <w:numId w:val="26"/>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使用创可贴、纱布及绷带对伤口包扎，不影响工作活动；</w:t>
      </w:r>
    </w:p>
    <w:p w14:paraId="08AFD977">
      <w:pPr>
        <w:numPr>
          <w:ilvl w:val="3"/>
          <w:numId w:val="26"/>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轻微挫伤，皮肤没有破损，只需冷敷或理疗处理；</w:t>
      </w:r>
    </w:p>
    <w:p w14:paraId="3CA449B2">
      <w:pPr>
        <w:numPr>
          <w:ilvl w:val="3"/>
          <w:numId w:val="26"/>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推拿治疗；</w:t>
      </w:r>
    </w:p>
    <w:p w14:paraId="3DA3F829">
      <w:pPr>
        <w:numPr>
          <w:ilvl w:val="3"/>
          <w:numId w:val="26"/>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只使用冲洗或棉签来清除眼中的异物；</w:t>
      </w:r>
    </w:p>
    <w:p w14:paraId="3F7CE227">
      <w:pPr>
        <w:numPr>
          <w:ilvl w:val="3"/>
          <w:numId w:val="26"/>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使用非刚性的方法进行支撑，例如弹性绷带、护套、非刚性的腰背带等；</w:t>
      </w:r>
    </w:p>
    <w:p w14:paraId="46FDC0F0">
      <w:pPr>
        <w:numPr>
          <w:ilvl w:val="3"/>
          <w:numId w:val="26"/>
        </w:numPr>
        <w:tabs>
          <w:tab w:val="clear" w:pos="226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使用手指防护装置等。</w:t>
      </w:r>
    </w:p>
    <w:p w14:paraId="64DF795A">
      <w:pPr>
        <w:numPr>
          <w:ilvl w:val="0"/>
          <w:numId w:val="27"/>
        </w:num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未遂事件：</w:t>
      </w:r>
    </w:p>
    <w:p w14:paraId="63236BDC">
      <w:pPr>
        <w:spacing w:line="540" w:lineRule="exact"/>
        <w:ind w:firstLine="540" w:firstLineChars="225"/>
        <w:rPr>
          <w:rFonts w:ascii="宋体" w:hAnsi="宋体" w:eastAsia="宋体"/>
          <w:snapToGrid w:val="0"/>
          <w:sz w:val="24"/>
          <w:szCs w:val="24"/>
        </w:rPr>
      </w:pPr>
      <w:r>
        <w:rPr>
          <w:rFonts w:hint="eastAsia" w:ascii="宋体" w:hAnsi="宋体" w:eastAsia="宋体"/>
          <w:snapToGrid w:val="0"/>
          <w:sz w:val="24"/>
          <w:szCs w:val="24"/>
        </w:rPr>
        <w:t>未造成人员伤害但是可能会导致工业事故的事件，未遂事件分为严重未遂事件、普通未遂事件。</w:t>
      </w:r>
    </w:p>
    <w:p w14:paraId="12D6F1F9">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严重未遂事件：指已经发生，未构成事故，潜在后果严重，可能导致人员死亡、重伤的意外事件。满足下列条件的可确定为严重未遂（举例）：</w:t>
      </w:r>
    </w:p>
    <w:p w14:paraId="537CA580">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脚手架坍塌时人员及时撤离、躲避或不在现场；</w:t>
      </w:r>
    </w:p>
    <w:p w14:paraId="0D026C14">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吊运物品过程中挂碰周围设备（施），造成周围设备（施）划痕、变形、不可用但未造成人员受伤的；</w:t>
      </w:r>
    </w:p>
    <w:p w14:paraId="035B1643">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车辆倾翻但未造成人员受伤的；</w:t>
      </w:r>
    </w:p>
    <w:p w14:paraId="08997302">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物品运输、装卸过程中坠落倾翻，但未造成人员受伤的；</w:t>
      </w:r>
    </w:p>
    <w:p w14:paraId="22313F63">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较重物体从高处落下或突然弹射出，未砸到人，或人员不在场但落在人行通道上；</w:t>
      </w:r>
    </w:p>
    <w:p w14:paraId="0BCABD08">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无证作业、作业中发现隔离边界不完整，误操作（如误合刀闸、误开或误关重要阀门）或操作严重漏项，且有较大人身伤害或主要设备损坏风险；</w:t>
      </w:r>
    </w:p>
    <w:p w14:paraId="64AF7FCA">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人员高处坠落（2m及以上），但因保护设施起作用或缓冲等因素避免人员受伤的；</w:t>
      </w:r>
    </w:p>
    <w:p w14:paraId="63097A25">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作业过程中安全防护装置发生故障（如起重机电梯限位、紧急制动失效）；</w:t>
      </w:r>
    </w:p>
    <w:p w14:paraId="62A323DC">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高温（</w:t>
      </w:r>
      <w:r>
        <w:rPr>
          <w:rFonts w:ascii="宋体" w:hAnsi="宋体" w:eastAsia="宋体"/>
          <w:snapToGrid w:val="0"/>
          <w:color w:val="000000"/>
          <w:sz w:val="24"/>
          <w:szCs w:val="24"/>
        </w:rPr>
        <w:t>≥</w:t>
      </w:r>
      <w:r>
        <w:rPr>
          <w:rFonts w:hint="eastAsia" w:ascii="宋体" w:hAnsi="宋体" w:eastAsia="宋体"/>
          <w:snapToGrid w:val="0"/>
          <w:color w:val="000000"/>
          <w:sz w:val="24"/>
          <w:szCs w:val="24"/>
        </w:rPr>
        <w:t>70</w:t>
      </w:r>
      <w:r>
        <w:rPr>
          <w:rFonts w:ascii="宋体" w:hAnsi="宋体" w:eastAsia="宋体"/>
          <w:snapToGrid w:val="0"/>
          <w:color w:val="000000"/>
          <w:sz w:val="24"/>
          <w:szCs w:val="24"/>
        </w:rPr>
        <w:t>℃</w:t>
      </w:r>
      <w:r>
        <w:rPr>
          <w:rFonts w:hint="eastAsia" w:ascii="宋体" w:hAnsi="宋体" w:eastAsia="宋体"/>
          <w:snapToGrid w:val="0"/>
          <w:color w:val="000000"/>
          <w:sz w:val="24"/>
          <w:szCs w:val="24"/>
        </w:rPr>
        <w:t>）、高压水（水蒸气、绝对压力＞1bar）、低温液体（液N2）等危险品突然泄漏喷射，没有造成在场人员的受伤的；</w:t>
      </w:r>
    </w:p>
    <w:p w14:paraId="329A8D7A">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设备、设施的专设安全保护装置在非控情况下被拆除，如格栅、盖板、围栏、转动机械防护装置，给人员带来较大伤害风险；</w:t>
      </w:r>
    </w:p>
    <w:p w14:paraId="145B94B1">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可导致人员窒息、中毒、触电、淹溺的作业，未采取有效措施且已出现较大伤害风险；</w:t>
      </w:r>
    </w:p>
    <w:p w14:paraId="43F7E247">
      <w:pPr>
        <w:numPr>
          <w:ilvl w:val="0"/>
          <w:numId w:val="28"/>
        </w:numPr>
        <w:tabs>
          <w:tab w:val="clear" w:pos="1848"/>
        </w:tabs>
        <w:spacing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经甲方认定的对人身有重大伤害风险的事件。</w:t>
      </w:r>
    </w:p>
    <w:p w14:paraId="1A2248DF">
      <w:pPr>
        <w:numPr>
          <w:ilvl w:val="0"/>
          <w:numId w:val="29"/>
        </w:numPr>
        <w:tabs>
          <w:tab w:val="left" w:pos="90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普通未遂事件：指已经发生未构成事件，潜在后果一般的意外事件。满足下列条件的可确定为普通未遂（举例）：</w:t>
      </w:r>
    </w:p>
    <w:p w14:paraId="40A084A3">
      <w:pPr>
        <w:numPr>
          <w:ilvl w:val="0"/>
          <w:numId w:val="30"/>
        </w:numPr>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较轻物体（如手电、小工具）高处坠落未砸（击）到人；</w:t>
      </w:r>
    </w:p>
    <w:p w14:paraId="4F05254E">
      <w:pPr>
        <w:numPr>
          <w:ilvl w:val="0"/>
          <w:numId w:val="30"/>
        </w:numPr>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走错间隔，有人身伤害风险，但未造成后果；</w:t>
      </w:r>
    </w:p>
    <w:p w14:paraId="6AD8E793">
      <w:pPr>
        <w:numPr>
          <w:ilvl w:val="0"/>
          <w:numId w:val="30"/>
        </w:numPr>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错用工作票作业，工作开始前被发现且潜在后果存在人身伤害风险；</w:t>
      </w:r>
    </w:p>
    <w:p w14:paraId="3C50CC02">
      <w:pPr>
        <w:numPr>
          <w:ilvl w:val="0"/>
          <w:numId w:val="30"/>
        </w:numPr>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造成人员失足、失手、身体不适的作业条件（如孔洞、照明、通风），并已给人员带来普通风险。</w:t>
      </w:r>
    </w:p>
    <w:p w14:paraId="3FF806D6">
      <w:pPr>
        <w:numPr>
          <w:ilvl w:val="0"/>
          <w:numId w:val="31"/>
        </w:num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 xml:space="preserve"> 异常事件：任何未构成未遂事故的不安全的条件、设备/设施缺陷违章行为、不良工作习惯等不构成未遂事故的事件；或</w:t>
      </w:r>
      <w:r>
        <w:rPr>
          <w:rStyle w:val="54"/>
          <w:rFonts w:hint="eastAsia" w:ascii="新宋体" w:hAnsi="新宋体" w:eastAsia="新宋体" w:cs="新宋体"/>
          <w:b w:val="0"/>
          <w:bCs w:val="0"/>
          <w:sz w:val="24"/>
          <w:szCs w:val="24"/>
        </w:rPr>
        <w:t>主设备被迫停运12h以内、火灾一次损失0.2万以下等生产安全事件。</w:t>
      </w:r>
    </w:p>
    <w:p w14:paraId="70910B3B">
      <w:pPr>
        <w:tabs>
          <w:tab w:val="left" w:pos="360"/>
        </w:tabs>
        <w:spacing w:line="540" w:lineRule="exact"/>
        <w:rPr>
          <w:rStyle w:val="54"/>
          <w:rFonts w:ascii="新宋体" w:hAnsi="新宋体" w:eastAsia="新宋体" w:cs="新宋体"/>
          <w:b w:val="0"/>
          <w:bCs w:val="0"/>
          <w:sz w:val="24"/>
          <w:szCs w:val="24"/>
        </w:rPr>
      </w:pPr>
      <w:r>
        <w:rPr>
          <w:rFonts w:hint="eastAsia" w:ascii="宋体" w:hAnsi="宋体" w:eastAsia="宋体"/>
          <w:snapToGrid w:val="0"/>
          <w:color w:val="000000"/>
          <w:sz w:val="24"/>
          <w:szCs w:val="24"/>
        </w:rPr>
        <w:t>12.一类障碍：</w:t>
      </w:r>
      <w:r>
        <w:rPr>
          <w:rFonts w:hint="eastAsia" w:ascii="新宋体" w:hAnsi="新宋体" w:eastAsia="新宋体" w:cs="新宋体"/>
          <w:sz w:val="24"/>
          <w:szCs w:val="24"/>
          <w:shd w:val="clear" w:color="auto" w:fill="FFFFFF"/>
        </w:rPr>
        <w:t>主设备被迫停运超过48h低于96小于、火灾一次损失0.5万—1万元、恶性电气误操作（如带负荷拉、合隔离刀闸等）等安全生产事件。</w:t>
      </w:r>
    </w:p>
    <w:p w14:paraId="08D3AC2F">
      <w:pPr>
        <w:tabs>
          <w:tab w:val="left" w:pos="360"/>
        </w:tabs>
        <w:spacing w:line="540" w:lineRule="exact"/>
        <w:rPr>
          <w:rStyle w:val="54"/>
          <w:rFonts w:ascii="新宋体" w:hAnsi="新宋体" w:eastAsia="新宋体" w:cs="新宋体"/>
          <w:b w:val="0"/>
          <w:bCs w:val="0"/>
          <w:sz w:val="24"/>
          <w:szCs w:val="24"/>
        </w:rPr>
      </w:pPr>
      <w:r>
        <w:rPr>
          <w:rStyle w:val="54"/>
          <w:rFonts w:hint="eastAsia" w:ascii="新宋体" w:hAnsi="新宋体" w:eastAsia="新宋体" w:cs="新宋体"/>
          <w:b w:val="0"/>
          <w:bCs w:val="0"/>
          <w:sz w:val="24"/>
          <w:szCs w:val="24"/>
        </w:rPr>
        <w:t>13.二类障碍：主设备被迫停运超过12h低于48h、火灾一次损失0.2万—0.5万、误操作引起主设备被迫停运等安全生产事件。</w:t>
      </w:r>
    </w:p>
    <w:p w14:paraId="1356742B">
      <w:p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14.一类设备缺陷：严重威胁系统主设备安全运行及人身安全的或已造成发电出力降低和影响对外输送电力的重大缺陷。</w:t>
      </w:r>
    </w:p>
    <w:p w14:paraId="4B6BBE2F">
      <w:p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15.二类设备缺陷：暂时不影响机组继续运行，但对设备安全经济运行和人身安全有一定的威胁，继续发展将导致设备停止运行，或损坏设备，需机组停运或降低出力才能消除的缺陷。</w:t>
      </w:r>
    </w:p>
    <w:p w14:paraId="778BDAEF">
      <w:pPr>
        <w:tabs>
          <w:tab w:val="left" w:pos="360"/>
        </w:tabs>
        <w:spacing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16.三类设备缺陷：不需要停用主设备或降低出力可随时消除的设备缺陷，以及不影响主设备正常运行，可结合检修或停机备用期间进行消除的缺陷。</w:t>
      </w:r>
    </w:p>
    <w:p w14:paraId="6E12F015">
      <w:pPr>
        <w:numPr>
          <w:ilvl w:val="0"/>
          <w:numId w:val="32"/>
        </w:numPr>
        <w:spacing w:line="560" w:lineRule="exact"/>
        <w:rPr>
          <w:rFonts w:ascii="宋体" w:hAnsi="宋体" w:eastAsia="宋体"/>
          <w:snapToGrid w:val="0"/>
          <w:color w:val="000000"/>
          <w:sz w:val="24"/>
          <w:szCs w:val="24"/>
        </w:rPr>
        <w:sectPr>
          <w:pgSz w:w="11906" w:h="16838"/>
          <w:pgMar w:top="2098" w:right="1138" w:bottom="1985" w:left="1588" w:header="851" w:footer="992" w:gutter="0"/>
          <w:cols w:space="425" w:num="1"/>
          <w:docGrid w:type="lines" w:linePitch="579" w:charSpace="17613"/>
        </w:sectPr>
      </w:pPr>
    </w:p>
    <w:p w14:paraId="33B50C85">
      <w:pPr>
        <w:rPr>
          <w:rFonts w:ascii="仿宋" w:hAnsi="仿宋" w:eastAsia="仿宋"/>
          <w:snapToGrid w:val="0"/>
          <w:sz w:val="24"/>
          <w:szCs w:val="28"/>
        </w:rPr>
      </w:pPr>
      <w:r>
        <w:rPr>
          <w:rFonts w:hint="eastAsia" w:ascii="仿宋" w:hAnsi="仿宋" w:eastAsia="仿宋"/>
          <w:snapToGrid w:val="0"/>
          <w:sz w:val="24"/>
          <w:szCs w:val="28"/>
        </w:rPr>
        <w:t>附件2：考核条款</w:t>
      </w:r>
    </w:p>
    <w:p w14:paraId="0D777F1B">
      <w:pPr>
        <w:jc w:val="center"/>
        <w:rPr>
          <w:rFonts w:ascii="宋体" w:hAnsi="宋体" w:eastAsia="宋体"/>
          <w:b/>
          <w:bCs/>
          <w:snapToGrid w:val="0"/>
          <w:sz w:val="28"/>
          <w:szCs w:val="28"/>
        </w:rPr>
      </w:pPr>
      <w:r>
        <w:rPr>
          <w:rFonts w:hint="eastAsia" w:ascii="宋体" w:hAnsi="宋体" w:eastAsia="宋体"/>
          <w:b/>
          <w:bCs/>
          <w:snapToGrid w:val="0"/>
          <w:sz w:val="28"/>
          <w:szCs w:val="28"/>
        </w:rPr>
        <w:t>考核条款</w:t>
      </w:r>
    </w:p>
    <w:tbl>
      <w:tblPr>
        <w:tblStyle w:val="51"/>
        <w:tblW w:w="9466" w:type="dxa"/>
        <w:jc w:val="center"/>
        <w:tblLayout w:type="autofit"/>
        <w:tblCellMar>
          <w:top w:w="0" w:type="dxa"/>
          <w:left w:w="108" w:type="dxa"/>
          <w:bottom w:w="0" w:type="dxa"/>
          <w:right w:w="108" w:type="dxa"/>
        </w:tblCellMar>
      </w:tblPr>
      <w:tblGrid>
        <w:gridCol w:w="716"/>
        <w:gridCol w:w="5030"/>
        <w:gridCol w:w="3720"/>
      </w:tblGrid>
      <w:tr w14:paraId="3D8385D2">
        <w:tblPrEx>
          <w:tblCellMar>
            <w:top w:w="0" w:type="dxa"/>
            <w:left w:w="108" w:type="dxa"/>
            <w:bottom w:w="0" w:type="dxa"/>
            <w:right w:w="108" w:type="dxa"/>
          </w:tblCellMar>
        </w:tblPrEx>
        <w:trPr>
          <w:trHeight w:val="285" w:hRule="atLeast"/>
          <w:tblHeader/>
          <w:jc w:val="center"/>
        </w:trPr>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20ECEEF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030" w:type="dxa"/>
            <w:tcBorders>
              <w:top w:val="single" w:color="auto" w:sz="4" w:space="0"/>
              <w:left w:val="nil"/>
              <w:bottom w:val="single" w:color="auto" w:sz="4" w:space="0"/>
              <w:right w:val="single" w:color="auto" w:sz="4" w:space="0"/>
            </w:tcBorders>
            <w:shd w:val="clear" w:color="auto" w:fill="auto"/>
            <w:vAlign w:val="center"/>
          </w:tcPr>
          <w:p w14:paraId="107955E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考核项目</w:t>
            </w:r>
          </w:p>
        </w:tc>
        <w:tc>
          <w:tcPr>
            <w:tcW w:w="3720" w:type="dxa"/>
            <w:tcBorders>
              <w:top w:val="single" w:color="auto" w:sz="4" w:space="0"/>
              <w:left w:val="nil"/>
              <w:bottom w:val="single" w:color="auto" w:sz="4" w:space="0"/>
              <w:right w:val="single" w:color="auto" w:sz="4" w:space="0"/>
            </w:tcBorders>
            <w:shd w:val="clear" w:color="auto" w:fill="auto"/>
            <w:vAlign w:val="center"/>
          </w:tcPr>
          <w:p w14:paraId="55D42D1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考核标准</w:t>
            </w:r>
          </w:p>
        </w:tc>
      </w:tr>
      <w:tr w14:paraId="4469D7EF">
        <w:tblPrEx>
          <w:tblCellMar>
            <w:top w:w="0" w:type="dxa"/>
            <w:left w:w="108" w:type="dxa"/>
            <w:bottom w:w="0" w:type="dxa"/>
            <w:right w:w="108" w:type="dxa"/>
          </w:tblCellMar>
        </w:tblPrEx>
        <w:trPr>
          <w:trHeight w:val="45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78EC91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w:t>
            </w:r>
          </w:p>
        </w:tc>
        <w:tc>
          <w:tcPr>
            <w:tcW w:w="8750" w:type="dxa"/>
            <w:gridSpan w:val="2"/>
            <w:tcBorders>
              <w:top w:val="nil"/>
              <w:left w:val="nil"/>
              <w:bottom w:val="single" w:color="auto" w:sz="4" w:space="0"/>
              <w:right w:val="single" w:color="auto" w:sz="4" w:space="0"/>
            </w:tcBorders>
            <w:shd w:val="clear" w:color="auto" w:fill="auto"/>
            <w:vAlign w:val="center"/>
          </w:tcPr>
          <w:p w14:paraId="42D3916D">
            <w:pPr>
              <w:widowControl/>
              <w:spacing w:line="360" w:lineRule="exact"/>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安全目标考核</w:t>
            </w:r>
          </w:p>
        </w:tc>
      </w:tr>
      <w:tr w14:paraId="79AC458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2E4737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030" w:type="dxa"/>
            <w:tcBorders>
              <w:top w:val="nil"/>
              <w:left w:val="nil"/>
              <w:bottom w:val="single" w:color="auto" w:sz="4" w:space="0"/>
              <w:right w:val="single" w:color="auto" w:sz="4" w:space="0"/>
            </w:tcBorders>
            <w:shd w:val="clear" w:color="auto" w:fill="auto"/>
            <w:vAlign w:val="center"/>
          </w:tcPr>
          <w:p w14:paraId="3DFA957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乙方发生责任性人身死亡事件</w:t>
            </w:r>
          </w:p>
        </w:tc>
        <w:tc>
          <w:tcPr>
            <w:tcW w:w="3720" w:type="dxa"/>
            <w:tcBorders>
              <w:top w:val="nil"/>
              <w:left w:val="nil"/>
              <w:bottom w:val="single" w:color="auto" w:sz="4" w:space="0"/>
              <w:right w:val="single" w:color="auto" w:sz="4" w:space="0"/>
            </w:tcBorders>
            <w:shd w:val="clear" w:color="auto" w:fill="auto"/>
            <w:vAlign w:val="center"/>
          </w:tcPr>
          <w:p w14:paraId="0BB3E0C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乙方除接受政府主管部门的处罚和承担死者善后费用外，甲方对乙方另按每死亡一人不低于</w:t>
            </w:r>
            <w:r>
              <w:rPr>
                <w:rFonts w:ascii="宋体" w:hAnsi="宋体" w:eastAsia="宋体" w:cs="宋体"/>
                <w:color w:val="000000"/>
                <w:kern w:val="0"/>
                <w:sz w:val="24"/>
                <w:szCs w:val="24"/>
              </w:rPr>
              <w:t>10</w:t>
            </w:r>
            <w:r>
              <w:rPr>
                <w:rFonts w:hint="eastAsia" w:ascii="宋体" w:hAnsi="宋体" w:eastAsia="宋体" w:cs="宋体"/>
                <w:color w:val="000000"/>
                <w:kern w:val="0"/>
                <w:sz w:val="24"/>
                <w:szCs w:val="24"/>
              </w:rPr>
              <w:t>万元的标准进行考核。</w:t>
            </w:r>
          </w:p>
        </w:tc>
      </w:tr>
      <w:tr w14:paraId="3567B57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5EE9DB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030" w:type="dxa"/>
            <w:tcBorders>
              <w:top w:val="nil"/>
              <w:left w:val="nil"/>
              <w:bottom w:val="single" w:color="auto" w:sz="4" w:space="0"/>
              <w:right w:val="single" w:color="auto" w:sz="4" w:space="0"/>
            </w:tcBorders>
            <w:shd w:val="clear" w:color="auto" w:fill="auto"/>
            <w:vAlign w:val="center"/>
          </w:tcPr>
          <w:p w14:paraId="33772FA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乙方发生责任性人身重伤事件</w:t>
            </w:r>
          </w:p>
        </w:tc>
        <w:tc>
          <w:tcPr>
            <w:tcW w:w="3720" w:type="dxa"/>
            <w:tcBorders>
              <w:top w:val="nil"/>
              <w:left w:val="nil"/>
              <w:bottom w:val="single" w:color="auto" w:sz="4" w:space="0"/>
              <w:right w:val="single" w:color="auto" w:sz="4" w:space="0"/>
            </w:tcBorders>
            <w:shd w:val="clear" w:color="auto" w:fill="auto"/>
            <w:vAlign w:val="center"/>
          </w:tcPr>
          <w:p w14:paraId="3B9E16B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考核3万-5万元/人·次</w:t>
            </w:r>
          </w:p>
        </w:tc>
      </w:tr>
      <w:tr w14:paraId="52A0694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E78456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030" w:type="dxa"/>
            <w:tcBorders>
              <w:top w:val="nil"/>
              <w:left w:val="nil"/>
              <w:bottom w:val="single" w:color="auto" w:sz="4" w:space="0"/>
              <w:right w:val="single" w:color="auto" w:sz="4" w:space="0"/>
            </w:tcBorders>
            <w:shd w:val="clear" w:color="auto" w:fill="auto"/>
            <w:vAlign w:val="center"/>
          </w:tcPr>
          <w:p w14:paraId="3DAADF8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乙方发生责任性人身轻伤事件</w:t>
            </w:r>
          </w:p>
        </w:tc>
        <w:tc>
          <w:tcPr>
            <w:tcW w:w="3720" w:type="dxa"/>
            <w:tcBorders>
              <w:top w:val="nil"/>
              <w:left w:val="nil"/>
              <w:bottom w:val="single" w:color="auto" w:sz="4" w:space="0"/>
              <w:right w:val="single" w:color="auto" w:sz="4" w:space="0"/>
            </w:tcBorders>
            <w:shd w:val="clear" w:color="auto" w:fill="auto"/>
            <w:vAlign w:val="center"/>
          </w:tcPr>
          <w:p w14:paraId="469894C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考核1万-2万元/人·次</w:t>
            </w:r>
          </w:p>
        </w:tc>
      </w:tr>
      <w:tr w14:paraId="6871A53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11E706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030" w:type="dxa"/>
            <w:tcBorders>
              <w:top w:val="nil"/>
              <w:left w:val="nil"/>
              <w:bottom w:val="single" w:color="auto" w:sz="4" w:space="0"/>
              <w:right w:val="single" w:color="auto" w:sz="4" w:space="0"/>
            </w:tcBorders>
            <w:shd w:val="clear" w:color="auto" w:fill="auto"/>
            <w:vAlign w:val="center"/>
          </w:tcPr>
          <w:p w14:paraId="59F46A1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乙方发生责任性人身未遂事件</w:t>
            </w:r>
          </w:p>
        </w:tc>
        <w:tc>
          <w:tcPr>
            <w:tcW w:w="3720" w:type="dxa"/>
            <w:tcBorders>
              <w:top w:val="nil"/>
              <w:left w:val="nil"/>
              <w:bottom w:val="single" w:color="auto" w:sz="4" w:space="0"/>
              <w:right w:val="single" w:color="auto" w:sz="4" w:space="0"/>
            </w:tcBorders>
            <w:shd w:val="clear" w:color="auto" w:fill="auto"/>
            <w:vAlign w:val="center"/>
          </w:tcPr>
          <w:p w14:paraId="5C87455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3万元-0.5万元/次</w:t>
            </w:r>
          </w:p>
        </w:tc>
      </w:tr>
      <w:tr w14:paraId="00D054E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F96BA6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5030" w:type="dxa"/>
            <w:tcBorders>
              <w:top w:val="nil"/>
              <w:left w:val="nil"/>
              <w:bottom w:val="single" w:color="auto" w:sz="4" w:space="0"/>
              <w:right w:val="single" w:color="auto" w:sz="4" w:space="0"/>
            </w:tcBorders>
            <w:shd w:val="clear" w:color="auto" w:fill="auto"/>
            <w:vAlign w:val="center"/>
          </w:tcPr>
          <w:p w14:paraId="4AF7DAC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发生乙方责任导致的经济损失事故</w:t>
            </w:r>
          </w:p>
        </w:tc>
        <w:tc>
          <w:tcPr>
            <w:tcW w:w="3720" w:type="dxa"/>
            <w:tcBorders>
              <w:top w:val="nil"/>
              <w:left w:val="nil"/>
              <w:bottom w:val="single" w:color="auto" w:sz="4" w:space="0"/>
              <w:right w:val="single" w:color="auto" w:sz="4" w:space="0"/>
            </w:tcBorders>
            <w:shd w:val="clear" w:color="auto" w:fill="auto"/>
            <w:vAlign w:val="center"/>
          </w:tcPr>
          <w:p w14:paraId="0C41DFD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承担相应经济损失并按损失金额的10%进行考核。</w:t>
            </w:r>
          </w:p>
        </w:tc>
      </w:tr>
      <w:tr w14:paraId="6090884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3828EB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5030" w:type="dxa"/>
            <w:tcBorders>
              <w:top w:val="nil"/>
              <w:left w:val="nil"/>
              <w:bottom w:val="single" w:color="auto" w:sz="4" w:space="0"/>
              <w:right w:val="single" w:color="auto" w:sz="4" w:space="0"/>
            </w:tcBorders>
            <w:shd w:val="clear" w:color="auto" w:fill="auto"/>
            <w:vAlign w:val="center"/>
          </w:tcPr>
          <w:p w14:paraId="4CB9C0C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乙方发生管辖范围内（含检修厂房、生活区域和运输车辆等）责任性火灾事故。</w:t>
            </w:r>
          </w:p>
        </w:tc>
        <w:tc>
          <w:tcPr>
            <w:tcW w:w="3720" w:type="dxa"/>
            <w:tcBorders>
              <w:top w:val="nil"/>
              <w:left w:val="nil"/>
              <w:bottom w:val="single" w:color="auto" w:sz="4" w:space="0"/>
              <w:right w:val="single" w:color="auto" w:sz="4" w:space="0"/>
            </w:tcBorders>
            <w:shd w:val="clear" w:color="auto" w:fill="auto"/>
            <w:vAlign w:val="center"/>
          </w:tcPr>
          <w:p w14:paraId="019E19B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根据人员伤害及财产损失情况，参照以上标准分别考核。</w:t>
            </w:r>
          </w:p>
        </w:tc>
      </w:tr>
      <w:tr w14:paraId="3FA67A1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B9B546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5030" w:type="dxa"/>
            <w:tcBorders>
              <w:top w:val="nil"/>
              <w:left w:val="nil"/>
              <w:bottom w:val="single" w:color="auto" w:sz="4" w:space="0"/>
              <w:right w:val="single" w:color="auto" w:sz="4" w:space="0"/>
            </w:tcBorders>
            <w:shd w:val="clear" w:color="auto" w:fill="auto"/>
            <w:vAlign w:val="center"/>
          </w:tcPr>
          <w:p w14:paraId="68D4C56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乙方因管理疏忽、员工违章等原因导致工作期间或管辖范围内发生火灾险情。</w:t>
            </w:r>
          </w:p>
        </w:tc>
        <w:tc>
          <w:tcPr>
            <w:tcW w:w="3720" w:type="dxa"/>
            <w:tcBorders>
              <w:top w:val="nil"/>
              <w:left w:val="nil"/>
              <w:bottom w:val="single" w:color="auto" w:sz="4" w:space="0"/>
              <w:right w:val="single" w:color="auto" w:sz="4" w:space="0"/>
            </w:tcBorders>
            <w:shd w:val="clear" w:color="auto" w:fill="auto"/>
            <w:vAlign w:val="center"/>
          </w:tcPr>
          <w:p w14:paraId="1B40D4D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4万-1万元/次，并包赔甲方损失。</w:t>
            </w:r>
          </w:p>
        </w:tc>
      </w:tr>
      <w:tr w14:paraId="627910D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760684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5030" w:type="dxa"/>
            <w:tcBorders>
              <w:top w:val="nil"/>
              <w:left w:val="nil"/>
              <w:bottom w:val="single" w:color="auto" w:sz="4" w:space="0"/>
              <w:right w:val="single" w:color="auto" w:sz="4" w:space="0"/>
            </w:tcBorders>
            <w:shd w:val="clear" w:color="auto" w:fill="auto"/>
            <w:vAlign w:val="center"/>
          </w:tcPr>
          <w:p w14:paraId="0DD3B3F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乙方在甲方范围内发生责任性交通事故</w:t>
            </w:r>
          </w:p>
        </w:tc>
        <w:tc>
          <w:tcPr>
            <w:tcW w:w="3720" w:type="dxa"/>
            <w:tcBorders>
              <w:top w:val="nil"/>
              <w:left w:val="nil"/>
              <w:bottom w:val="single" w:color="auto" w:sz="4" w:space="0"/>
              <w:right w:val="single" w:color="auto" w:sz="4" w:space="0"/>
            </w:tcBorders>
            <w:shd w:val="clear" w:color="auto" w:fill="auto"/>
            <w:vAlign w:val="center"/>
          </w:tcPr>
          <w:p w14:paraId="4C26097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按人身伤亡、经济损失类事故考核标准执行，并包赔甲方损失。</w:t>
            </w:r>
          </w:p>
        </w:tc>
      </w:tr>
      <w:tr w14:paraId="4E83A39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6E0612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5030" w:type="dxa"/>
            <w:tcBorders>
              <w:top w:val="nil"/>
              <w:left w:val="nil"/>
              <w:bottom w:val="single" w:color="auto" w:sz="4" w:space="0"/>
              <w:right w:val="single" w:color="auto" w:sz="4" w:space="0"/>
            </w:tcBorders>
            <w:shd w:val="clear" w:color="auto" w:fill="auto"/>
            <w:vAlign w:val="center"/>
          </w:tcPr>
          <w:p w14:paraId="7C28900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乙方管理责任导致发生、发现职业病病例。</w:t>
            </w:r>
          </w:p>
        </w:tc>
        <w:tc>
          <w:tcPr>
            <w:tcW w:w="3720" w:type="dxa"/>
            <w:tcBorders>
              <w:top w:val="nil"/>
              <w:left w:val="nil"/>
              <w:bottom w:val="single" w:color="auto" w:sz="4" w:space="0"/>
              <w:right w:val="single" w:color="auto" w:sz="4" w:space="0"/>
            </w:tcBorders>
            <w:shd w:val="clear" w:color="auto" w:fill="auto"/>
            <w:vAlign w:val="center"/>
          </w:tcPr>
          <w:p w14:paraId="57C54F5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参照重伤考核标准</w:t>
            </w:r>
          </w:p>
        </w:tc>
      </w:tr>
      <w:tr w14:paraId="0737649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D5CCBE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5030" w:type="dxa"/>
            <w:tcBorders>
              <w:top w:val="nil"/>
              <w:left w:val="nil"/>
              <w:bottom w:val="single" w:color="auto" w:sz="4" w:space="0"/>
              <w:right w:val="single" w:color="auto" w:sz="4" w:space="0"/>
            </w:tcBorders>
            <w:shd w:val="clear" w:color="auto" w:fill="auto"/>
            <w:vAlign w:val="center"/>
          </w:tcPr>
          <w:p w14:paraId="1384999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乙方原因导致被环保主管部门通报、考核的环保事件。</w:t>
            </w:r>
          </w:p>
        </w:tc>
        <w:tc>
          <w:tcPr>
            <w:tcW w:w="3720" w:type="dxa"/>
            <w:tcBorders>
              <w:top w:val="nil"/>
              <w:left w:val="nil"/>
              <w:bottom w:val="single" w:color="auto" w:sz="4" w:space="0"/>
              <w:right w:val="single" w:color="auto" w:sz="4" w:space="0"/>
            </w:tcBorders>
            <w:shd w:val="clear" w:color="auto" w:fill="auto"/>
            <w:vAlign w:val="center"/>
          </w:tcPr>
          <w:p w14:paraId="4770BDE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考核1万－5万元/次，并按责任定性承担主管部门的考核或罚款，并包赔甲方损失。</w:t>
            </w:r>
          </w:p>
        </w:tc>
      </w:tr>
      <w:tr w14:paraId="65844C2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DEF8A3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5030" w:type="dxa"/>
            <w:tcBorders>
              <w:top w:val="nil"/>
              <w:left w:val="nil"/>
              <w:bottom w:val="single" w:color="auto" w:sz="4" w:space="0"/>
              <w:right w:val="single" w:color="auto" w:sz="4" w:space="0"/>
            </w:tcBorders>
            <w:shd w:val="clear" w:color="auto" w:fill="auto"/>
            <w:vAlign w:val="center"/>
          </w:tcPr>
          <w:p w14:paraId="21D1F56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乙方在甲方范围内发生性质恶劣的治安事件，或乙方员工组织或参与盗窃的事件。</w:t>
            </w:r>
          </w:p>
        </w:tc>
        <w:tc>
          <w:tcPr>
            <w:tcW w:w="3720" w:type="dxa"/>
            <w:tcBorders>
              <w:top w:val="nil"/>
              <w:left w:val="nil"/>
              <w:bottom w:val="single" w:color="auto" w:sz="4" w:space="0"/>
              <w:right w:val="single" w:color="auto" w:sz="4" w:space="0"/>
            </w:tcBorders>
            <w:shd w:val="clear" w:color="auto" w:fill="auto"/>
            <w:vAlign w:val="center"/>
          </w:tcPr>
          <w:p w14:paraId="70A6007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3－3万元/次，并负责赔偿损失；情节特别严重的按国家法律处理。</w:t>
            </w:r>
          </w:p>
        </w:tc>
      </w:tr>
      <w:tr w14:paraId="158CA91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542E9E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030" w:type="dxa"/>
            <w:tcBorders>
              <w:top w:val="nil"/>
              <w:left w:val="nil"/>
              <w:bottom w:val="single" w:color="auto" w:sz="4" w:space="0"/>
              <w:right w:val="single" w:color="auto" w:sz="4" w:space="0"/>
            </w:tcBorders>
            <w:shd w:val="clear" w:color="auto" w:fill="auto"/>
            <w:vAlign w:val="center"/>
          </w:tcPr>
          <w:p w14:paraId="3E5CFEB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乙方3个月内重复发生同样性质的人身伤亡、治安事件、违法事件或火灾事故、环保事件、交通事故。</w:t>
            </w:r>
          </w:p>
        </w:tc>
        <w:tc>
          <w:tcPr>
            <w:tcW w:w="3720" w:type="dxa"/>
            <w:tcBorders>
              <w:top w:val="nil"/>
              <w:left w:val="nil"/>
              <w:bottom w:val="single" w:color="auto" w:sz="4" w:space="0"/>
              <w:right w:val="single" w:color="auto" w:sz="4" w:space="0"/>
            </w:tcBorders>
            <w:shd w:val="clear" w:color="auto" w:fill="auto"/>
            <w:vAlign w:val="center"/>
          </w:tcPr>
          <w:p w14:paraId="7D92389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对应上述款项加倍处罚。</w:t>
            </w:r>
          </w:p>
        </w:tc>
      </w:tr>
      <w:tr w14:paraId="362D3D6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A7CD76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5030" w:type="dxa"/>
            <w:tcBorders>
              <w:top w:val="nil"/>
              <w:left w:val="nil"/>
              <w:bottom w:val="single" w:color="auto" w:sz="4" w:space="0"/>
              <w:right w:val="single" w:color="auto" w:sz="4" w:space="0"/>
            </w:tcBorders>
            <w:shd w:val="clear" w:color="auto" w:fill="auto"/>
            <w:vAlign w:val="center"/>
          </w:tcPr>
          <w:p w14:paraId="0DACBE4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发生乙方原因导致的责任性一类障碍</w:t>
            </w:r>
          </w:p>
        </w:tc>
        <w:tc>
          <w:tcPr>
            <w:tcW w:w="3720" w:type="dxa"/>
            <w:tcBorders>
              <w:top w:val="nil"/>
              <w:left w:val="nil"/>
              <w:bottom w:val="single" w:color="auto" w:sz="4" w:space="0"/>
              <w:right w:val="single" w:color="auto" w:sz="4" w:space="0"/>
            </w:tcBorders>
            <w:shd w:val="clear" w:color="auto" w:fill="auto"/>
            <w:vAlign w:val="center"/>
          </w:tcPr>
          <w:p w14:paraId="4742F33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考核1万-3万元/次，视具体情况追加考核同期电量损失。</w:t>
            </w:r>
          </w:p>
        </w:tc>
      </w:tr>
      <w:tr w14:paraId="6EBB92D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C42591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5030" w:type="dxa"/>
            <w:tcBorders>
              <w:top w:val="nil"/>
              <w:left w:val="nil"/>
              <w:bottom w:val="single" w:color="auto" w:sz="4" w:space="0"/>
              <w:right w:val="single" w:color="auto" w:sz="4" w:space="0"/>
            </w:tcBorders>
            <w:shd w:val="clear" w:color="auto" w:fill="auto"/>
            <w:vAlign w:val="center"/>
          </w:tcPr>
          <w:p w14:paraId="7F9D039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发生乙方原因导致的责任性二类障碍</w:t>
            </w:r>
          </w:p>
        </w:tc>
        <w:tc>
          <w:tcPr>
            <w:tcW w:w="3720" w:type="dxa"/>
            <w:tcBorders>
              <w:top w:val="nil"/>
              <w:left w:val="nil"/>
              <w:bottom w:val="single" w:color="auto" w:sz="4" w:space="0"/>
              <w:right w:val="single" w:color="auto" w:sz="4" w:space="0"/>
            </w:tcBorders>
            <w:shd w:val="clear" w:color="auto" w:fill="auto"/>
            <w:vAlign w:val="center"/>
          </w:tcPr>
          <w:p w14:paraId="26B3954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4万-1万元/次，视具体情况追加考核同期电量损失。</w:t>
            </w:r>
          </w:p>
        </w:tc>
      </w:tr>
      <w:tr w14:paraId="5BCB812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0A6FDD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030" w:type="dxa"/>
            <w:tcBorders>
              <w:top w:val="nil"/>
              <w:left w:val="nil"/>
              <w:bottom w:val="single" w:color="auto" w:sz="4" w:space="0"/>
              <w:right w:val="single" w:color="auto" w:sz="4" w:space="0"/>
            </w:tcBorders>
            <w:shd w:val="clear" w:color="auto" w:fill="auto"/>
            <w:vAlign w:val="center"/>
          </w:tcPr>
          <w:p w14:paraId="0CC8F5A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乙方发生责任性异常事件</w:t>
            </w:r>
          </w:p>
        </w:tc>
        <w:tc>
          <w:tcPr>
            <w:tcW w:w="3720" w:type="dxa"/>
            <w:tcBorders>
              <w:top w:val="nil"/>
              <w:left w:val="nil"/>
              <w:bottom w:val="single" w:color="auto" w:sz="4" w:space="0"/>
              <w:right w:val="single" w:color="auto" w:sz="4" w:space="0"/>
            </w:tcBorders>
            <w:shd w:val="clear" w:color="auto" w:fill="auto"/>
            <w:vAlign w:val="center"/>
          </w:tcPr>
          <w:p w14:paraId="76609D9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4万元/次，视具体情况追加考核同期电量损失。</w:t>
            </w:r>
          </w:p>
        </w:tc>
      </w:tr>
      <w:tr w14:paraId="0142A9E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1AF22B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030" w:type="dxa"/>
            <w:tcBorders>
              <w:top w:val="nil"/>
              <w:left w:val="nil"/>
              <w:bottom w:val="single" w:color="auto" w:sz="4" w:space="0"/>
              <w:right w:val="single" w:color="auto" w:sz="4" w:space="0"/>
            </w:tcBorders>
            <w:shd w:val="clear" w:color="auto" w:fill="auto"/>
            <w:vAlign w:val="center"/>
          </w:tcPr>
          <w:p w14:paraId="1D4AAB9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乙方发生误操作事件</w:t>
            </w:r>
          </w:p>
        </w:tc>
        <w:tc>
          <w:tcPr>
            <w:tcW w:w="3720" w:type="dxa"/>
            <w:tcBorders>
              <w:top w:val="nil"/>
              <w:left w:val="nil"/>
              <w:bottom w:val="single" w:color="auto" w:sz="4" w:space="0"/>
              <w:right w:val="single" w:color="auto" w:sz="4" w:space="0"/>
            </w:tcBorders>
            <w:shd w:val="clear" w:color="auto" w:fill="auto"/>
            <w:vAlign w:val="center"/>
          </w:tcPr>
          <w:p w14:paraId="2740528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一般误操作考核0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4万－1万元/次，恶性误操作按一类障碍考核，造成后果的按责任定性另外考核。</w:t>
            </w:r>
          </w:p>
        </w:tc>
      </w:tr>
      <w:tr w14:paraId="59BB962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4F3140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5030" w:type="dxa"/>
            <w:tcBorders>
              <w:top w:val="nil"/>
              <w:left w:val="nil"/>
              <w:bottom w:val="single" w:color="auto" w:sz="4" w:space="0"/>
              <w:right w:val="single" w:color="auto" w:sz="4" w:space="0"/>
            </w:tcBorders>
            <w:shd w:val="clear" w:color="auto" w:fill="auto"/>
            <w:vAlign w:val="center"/>
          </w:tcPr>
          <w:p w14:paraId="4755629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乙方发生安全事故不及时汇报（超过24h），或谎报、瞒报，逃避责任等行为。</w:t>
            </w:r>
          </w:p>
        </w:tc>
        <w:tc>
          <w:tcPr>
            <w:tcW w:w="3720" w:type="dxa"/>
            <w:tcBorders>
              <w:top w:val="nil"/>
              <w:left w:val="nil"/>
              <w:bottom w:val="single" w:color="auto" w:sz="4" w:space="0"/>
              <w:right w:val="single" w:color="auto" w:sz="4" w:space="0"/>
            </w:tcBorders>
            <w:shd w:val="clear" w:color="auto" w:fill="auto"/>
            <w:vAlign w:val="center"/>
          </w:tcPr>
          <w:p w14:paraId="774F289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按事故事件的级别给予不超过2万元/次的考核（事故责任另计）</w:t>
            </w:r>
          </w:p>
        </w:tc>
      </w:tr>
      <w:tr w14:paraId="44D13B29">
        <w:tblPrEx>
          <w:tblCellMar>
            <w:top w:w="0" w:type="dxa"/>
            <w:left w:w="108" w:type="dxa"/>
            <w:bottom w:w="0" w:type="dxa"/>
            <w:right w:w="108" w:type="dxa"/>
          </w:tblCellMar>
        </w:tblPrEx>
        <w:trPr>
          <w:trHeight w:val="372"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F83D658">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w:t>
            </w:r>
          </w:p>
        </w:tc>
        <w:tc>
          <w:tcPr>
            <w:tcW w:w="5030" w:type="dxa"/>
            <w:tcBorders>
              <w:top w:val="nil"/>
              <w:left w:val="nil"/>
              <w:bottom w:val="single" w:color="auto" w:sz="4" w:space="0"/>
              <w:right w:val="single" w:color="auto" w:sz="4" w:space="0"/>
            </w:tcBorders>
            <w:shd w:val="clear" w:color="auto" w:fill="auto"/>
            <w:vAlign w:val="center"/>
          </w:tcPr>
          <w:p w14:paraId="5A32E4C1">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安全管理考核</w:t>
            </w:r>
          </w:p>
        </w:tc>
        <w:tc>
          <w:tcPr>
            <w:tcW w:w="3720" w:type="dxa"/>
            <w:tcBorders>
              <w:top w:val="nil"/>
              <w:left w:val="nil"/>
              <w:bottom w:val="single" w:color="auto" w:sz="4" w:space="0"/>
              <w:right w:val="single" w:color="auto" w:sz="4" w:space="0"/>
            </w:tcBorders>
            <w:shd w:val="clear" w:color="auto" w:fill="auto"/>
            <w:vAlign w:val="center"/>
          </w:tcPr>
          <w:p w14:paraId="7552ED1F">
            <w:pPr>
              <w:widowControl/>
              <w:spacing w:line="360" w:lineRule="exact"/>
              <w:jc w:val="left"/>
              <w:rPr>
                <w:rFonts w:ascii="宋体" w:hAnsi="宋体" w:eastAsia="宋体" w:cs="宋体"/>
                <w:color w:val="000000"/>
                <w:kern w:val="0"/>
                <w:sz w:val="24"/>
                <w:szCs w:val="24"/>
              </w:rPr>
            </w:pPr>
          </w:p>
        </w:tc>
      </w:tr>
      <w:tr w14:paraId="0F1C2BC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4448D5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5030" w:type="dxa"/>
            <w:tcBorders>
              <w:top w:val="nil"/>
              <w:left w:val="nil"/>
              <w:bottom w:val="single" w:color="auto" w:sz="4" w:space="0"/>
              <w:right w:val="single" w:color="auto" w:sz="4" w:space="0"/>
            </w:tcBorders>
            <w:shd w:val="clear" w:color="auto" w:fill="auto"/>
            <w:vAlign w:val="center"/>
          </w:tcPr>
          <w:p w14:paraId="0B57E92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乙方不设立现场安全组织管理机构，不按要求设置安全员，项目经理或专职安全人员不具备国家要求的相应安全资格。</w:t>
            </w:r>
          </w:p>
        </w:tc>
        <w:tc>
          <w:tcPr>
            <w:tcW w:w="3720" w:type="dxa"/>
            <w:tcBorders>
              <w:top w:val="nil"/>
              <w:left w:val="nil"/>
              <w:bottom w:val="single" w:color="auto" w:sz="4" w:space="0"/>
              <w:right w:val="single" w:color="auto" w:sz="4" w:space="0"/>
            </w:tcBorders>
            <w:shd w:val="clear" w:color="auto" w:fill="auto"/>
            <w:vAlign w:val="center"/>
          </w:tcPr>
          <w:p w14:paraId="5CF7081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1万－0.5万元/人·次</w:t>
            </w:r>
          </w:p>
        </w:tc>
      </w:tr>
      <w:tr w14:paraId="7CE794D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54565B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5030" w:type="dxa"/>
            <w:tcBorders>
              <w:top w:val="nil"/>
              <w:left w:val="nil"/>
              <w:bottom w:val="single" w:color="auto" w:sz="4" w:space="0"/>
              <w:right w:val="single" w:color="auto" w:sz="4" w:space="0"/>
            </w:tcBorders>
            <w:shd w:val="clear" w:color="auto" w:fill="auto"/>
            <w:vAlign w:val="center"/>
          </w:tcPr>
          <w:p w14:paraId="192EDFA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乙方新人员未经安全教育或考试不合格上岗</w:t>
            </w:r>
          </w:p>
        </w:tc>
        <w:tc>
          <w:tcPr>
            <w:tcW w:w="3720" w:type="dxa"/>
            <w:tcBorders>
              <w:top w:val="nil"/>
              <w:left w:val="nil"/>
              <w:bottom w:val="single" w:color="auto" w:sz="4" w:space="0"/>
              <w:right w:val="single" w:color="auto" w:sz="4" w:space="0"/>
            </w:tcBorders>
            <w:shd w:val="clear" w:color="auto" w:fill="auto"/>
            <w:vAlign w:val="center"/>
          </w:tcPr>
          <w:p w14:paraId="73461F5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考核500－1000元/人，屡教不改或形成普遍现象的加倍考核.</w:t>
            </w:r>
          </w:p>
        </w:tc>
      </w:tr>
      <w:tr w14:paraId="6E1FDB3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0E9659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5030" w:type="dxa"/>
            <w:tcBorders>
              <w:top w:val="nil"/>
              <w:left w:val="nil"/>
              <w:bottom w:val="single" w:color="auto" w:sz="4" w:space="0"/>
              <w:right w:val="single" w:color="auto" w:sz="4" w:space="0"/>
            </w:tcBorders>
            <w:shd w:val="clear" w:color="auto" w:fill="auto"/>
            <w:vAlign w:val="center"/>
          </w:tcPr>
          <w:p w14:paraId="0483452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乙方人员变更未及时向甲方或监理方申报、备案的。</w:t>
            </w:r>
          </w:p>
        </w:tc>
        <w:tc>
          <w:tcPr>
            <w:tcW w:w="3720" w:type="dxa"/>
            <w:tcBorders>
              <w:top w:val="nil"/>
              <w:left w:val="nil"/>
              <w:bottom w:val="single" w:color="auto" w:sz="4" w:space="0"/>
              <w:right w:val="single" w:color="auto" w:sz="4" w:space="0"/>
            </w:tcBorders>
            <w:shd w:val="clear" w:color="auto" w:fill="auto"/>
            <w:vAlign w:val="center"/>
          </w:tcPr>
          <w:p w14:paraId="1C3E243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考核500元－1000元/人·次</w:t>
            </w:r>
          </w:p>
        </w:tc>
      </w:tr>
      <w:tr w14:paraId="13730D6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012888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5030" w:type="dxa"/>
            <w:tcBorders>
              <w:top w:val="nil"/>
              <w:left w:val="nil"/>
              <w:bottom w:val="single" w:color="auto" w:sz="4" w:space="0"/>
              <w:right w:val="single" w:color="auto" w:sz="4" w:space="0"/>
            </w:tcBorders>
            <w:shd w:val="clear" w:color="auto" w:fill="auto"/>
            <w:vAlign w:val="center"/>
          </w:tcPr>
          <w:p w14:paraId="1250AAC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乙方施工过程中特种作业人员没有特种作业证，或不随身携带特种作业证。</w:t>
            </w:r>
          </w:p>
        </w:tc>
        <w:tc>
          <w:tcPr>
            <w:tcW w:w="3720" w:type="dxa"/>
            <w:tcBorders>
              <w:top w:val="nil"/>
              <w:left w:val="nil"/>
              <w:bottom w:val="single" w:color="auto" w:sz="4" w:space="0"/>
              <w:right w:val="single" w:color="auto" w:sz="4" w:space="0"/>
            </w:tcBorders>
            <w:shd w:val="clear" w:color="auto" w:fill="auto"/>
            <w:vAlign w:val="center"/>
          </w:tcPr>
          <w:p w14:paraId="739AC94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特种作业人员无证上岗考核0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5万元/人.次，特种作业证未随身携带考核500元/人次</w:t>
            </w:r>
          </w:p>
        </w:tc>
      </w:tr>
      <w:tr w14:paraId="38CE5D7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FA3FD9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5030" w:type="dxa"/>
            <w:tcBorders>
              <w:top w:val="nil"/>
              <w:left w:val="nil"/>
              <w:bottom w:val="single" w:color="auto" w:sz="4" w:space="0"/>
              <w:right w:val="single" w:color="auto" w:sz="4" w:space="0"/>
            </w:tcBorders>
            <w:shd w:val="clear" w:color="auto" w:fill="auto"/>
            <w:vAlign w:val="center"/>
          </w:tcPr>
          <w:p w14:paraId="4919795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乙方不按规定开展安全培训、安全交底、风险分析、隐患排查、事故应急等安全活动，或安全活动查无实据、或弄虚作假。</w:t>
            </w:r>
          </w:p>
        </w:tc>
        <w:tc>
          <w:tcPr>
            <w:tcW w:w="3720" w:type="dxa"/>
            <w:tcBorders>
              <w:top w:val="nil"/>
              <w:left w:val="nil"/>
              <w:bottom w:val="single" w:color="auto" w:sz="4" w:space="0"/>
              <w:right w:val="single" w:color="auto" w:sz="4" w:space="0"/>
            </w:tcBorders>
            <w:shd w:val="clear" w:color="auto" w:fill="auto"/>
            <w:vAlign w:val="center"/>
          </w:tcPr>
          <w:p w14:paraId="6F7A85A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0.3</w:t>
            </w:r>
            <w:r>
              <w:rPr>
                <w:rFonts w:hint="eastAsia" w:ascii="宋体" w:hAnsi="宋体" w:eastAsia="宋体" w:cs="宋体"/>
                <w:color w:val="000000"/>
                <w:kern w:val="0"/>
                <w:sz w:val="24"/>
                <w:szCs w:val="24"/>
              </w:rPr>
              <w:t>万元/项</w:t>
            </w:r>
          </w:p>
        </w:tc>
      </w:tr>
      <w:tr w14:paraId="2742D8BE">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0BAA22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5030" w:type="dxa"/>
            <w:tcBorders>
              <w:top w:val="nil"/>
              <w:left w:val="nil"/>
              <w:bottom w:val="single" w:color="auto" w:sz="4" w:space="0"/>
              <w:right w:val="single" w:color="auto" w:sz="4" w:space="0"/>
            </w:tcBorders>
            <w:shd w:val="clear" w:color="auto" w:fill="auto"/>
            <w:vAlign w:val="center"/>
          </w:tcPr>
          <w:p w14:paraId="2AA4B3C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乙方不按要求落实甲方反事故措施或重大安全事故隐患整改措施。</w:t>
            </w:r>
          </w:p>
        </w:tc>
        <w:tc>
          <w:tcPr>
            <w:tcW w:w="3720" w:type="dxa"/>
            <w:tcBorders>
              <w:top w:val="nil"/>
              <w:left w:val="nil"/>
              <w:bottom w:val="single" w:color="auto" w:sz="4" w:space="0"/>
              <w:right w:val="single" w:color="auto" w:sz="4" w:space="0"/>
            </w:tcBorders>
            <w:shd w:val="clear" w:color="auto" w:fill="auto"/>
            <w:vAlign w:val="center"/>
          </w:tcPr>
          <w:p w14:paraId="5810FCB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5万元/项</w:t>
            </w:r>
          </w:p>
        </w:tc>
      </w:tr>
      <w:tr w14:paraId="4726D1C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DF6E82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5030" w:type="dxa"/>
            <w:tcBorders>
              <w:top w:val="nil"/>
              <w:left w:val="nil"/>
              <w:bottom w:val="single" w:color="auto" w:sz="4" w:space="0"/>
              <w:right w:val="single" w:color="auto" w:sz="4" w:space="0"/>
            </w:tcBorders>
            <w:shd w:val="clear" w:color="auto" w:fill="auto"/>
            <w:vAlign w:val="center"/>
          </w:tcPr>
          <w:p w14:paraId="6FB80D9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乙方对甲方提出的安全整改意见无特殊原因未安排整改的。</w:t>
            </w:r>
          </w:p>
        </w:tc>
        <w:tc>
          <w:tcPr>
            <w:tcW w:w="3720" w:type="dxa"/>
            <w:tcBorders>
              <w:top w:val="nil"/>
              <w:left w:val="nil"/>
              <w:bottom w:val="single" w:color="auto" w:sz="4" w:space="0"/>
              <w:right w:val="single" w:color="auto" w:sz="4" w:space="0"/>
            </w:tcBorders>
            <w:shd w:val="clear" w:color="auto" w:fill="auto"/>
            <w:vAlign w:val="center"/>
          </w:tcPr>
          <w:p w14:paraId="51CB8C8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每逾期1天考核500元</w:t>
            </w:r>
          </w:p>
        </w:tc>
      </w:tr>
      <w:tr w14:paraId="61CC141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05D0F8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5030" w:type="dxa"/>
            <w:tcBorders>
              <w:top w:val="nil"/>
              <w:left w:val="nil"/>
              <w:bottom w:val="single" w:color="auto" w:sz="4" w:space="0"/>
              <w:right w:val="single" w:color="auto" w:sz="4" w:space="0"/>
            </w:tcBorders>
            <w:shd w:val="clear" w:color="auto" w:fill="auto"/>
            <w:vAlign w:val="center"/>
          </w:tcPr>
          <w:p w14:paraId="3D9F145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乙方在甲方厂区内未经许可，未履行完申请报批手续，违规建设。</w:t>
            </w:r>
          </w:p>
        </w:tc>
        <w:tc>
          <w:tcPr>
            <w:tcW w:w="3720" w:type="dxa"/>
            <w:tcBorders>
              <w:top w:val="nil"/>
              <w:left w:val="nil"/>
              <w:bottom w:val="single" w:color="auto" w:sz="4" w:space="0"/>
              <w:right w:val="single" w:color="auto" w:sz="4" w:space="0"/>
            </w:tcBorders>
            <w:shd w:val="clear" w:color="auto" w:fill="auto"/>
            <w:vAlign w:val="center"/>
          </w:tcPr>
          <w:p w14:paraId="6C4D839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5万－1万元/次，并恢复原貌。</w:t>
            </w:r>
          </w:p>
        </w:tc>
      </w:tr>
      <w:tr w14:paraId="06AB7D6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EC5499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5030" w:type="dxa"/>
            <w:tcBorders>
              <w:top w:val="nil"/>
              <w:left w:val="nil"/>
              <w:bottom w:val="single" w:color="auto" w:sz="4" w:space="0"/>
              <w:right w:val="single" w:color="auto" w:sz="4" w:space="0"/>
            </w:tcBorders>
            <w:shd w:val="clear" w:color="auto" w:fill="auto"/>
            <w:vAlign w:val="center"/>
          </w:tcPr>
          <w:p w14:paraId="4191E9F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乙方未落实审批程序擅自开工</w:t>
            </w:r>
          </w:p>
        </w:tc>
        <w:tc>
          <w:tcPr>
            <w:tcW w:w="3720" w:type="dxa"/>
            <w:tcBorders>
              <w:top w:val="nil"/>
              <w:left w:val="nil"/>
              <w:bottom w:val="single" w:color="auto" w:sz="4" w:space="0"/>
              <w:right w:val="single" w:color="auto" w:sz="4" w:space="0"/>
            </w:tcBorders>
            <w:shd w:val="clear" w:color="auto" w:fill="auto"/>
            <w:vAlign w:val="center"/>
          </w:tcPr>
          <w:p w14:paraId="7BD6706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2万－0.5万元/次，并立即停工整改。</w:t>
            </w:r>
          </w:p>
        </w:tc>
      </w:tr>
      <w:tr w14:paraId="36880E8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BB1A1E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5030" w:type="dxa"/>
            <w:tcBorders>
              <w:top w:val="nil"/>
              <w:left w:val="nil"/>
              <w:bottom w:val="single" w:color="auto" w:sz="4" w:space="0"/>
              <w:right w:val="single" w:color="auto" w:sz="4" w:space="0"/>
            </w:tcBorders>
            <w:shd w:val="clear" w:color="auto" w:fill="auto"/>
            <w:vAlign w:val="center"/>
          </w:tcPr>
          <w:p w14:paraId="41C178A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乙方施工现场在用的特种设备未经法定检验或未及时备案，或超检验期使用。</w:t>
            </w:r>
          </w:p>
        </w:tc>
        <w:tc>
          <w:tcPr>
            <w:tcW w:w="3720" w:type="dxa"/>
            <w:tcBorders>
              <w:top w:val="nil"/>
              <w:left w:val="nil"/>
              <w:bottom w:val="single" w:color="auto" w:sz="4" w:space="0"/>
              <w:right w:val="single" w:color="auto" w:sz="4" w:space="0"/>
            </w:tcBorders>
            <w:shd w:val="clear" w:color="auto" w:fill="auto"/>
            <w:vAlign w:val="center"/>
          </w:tcPr>
          <w:p w14:paraId="23643D5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5万－1万元/次</w:t>
            </w:r>
          </w:p>
        </w:tc>
      </w:tr>
      <w:tr w14:paraId="5545761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09A257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5030" w:type="dxa"/>
            <w:tcBorders>
              <w:top w:val="nil"/>
              <w:left w:val="nil"/>
              <w:bottom w:val="single" w:color="auto" w:sz="4" w:space="0"/>
              <w:right w:val="single" w:color="auto" w:sz="4" w:space="0"/>
            </w:tcBorders>
            <w:shd w:val="clear" w:color="auto" w:fill="auto"/>
            <w:vAlign w:val="center"/>
          </w:tcPr>
          <w:p w14:paraId="4A588B0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乙方使用未经检验或超过检验期的安全工器具</w:t>
            </w:r>
          </w:p>
        </w:tc>
        <w:tc>
          <w:tcPr>
            <w:tcW w:w="3720" w:type="dxa"/>
            <w:tcBorders>
              <w:top w:val="nil"/>
              <w:left w:val="nil"/>
              <w:bottom w:val="single" w:color="auto" w:sz="4" w:space="0"/>
              <w:right w:val="single" w:color="auto" w:sz="4" w:space="0"/>
            </w:tcBorders>
            <w:shd w:val="clear" w:color="auto" w:fill="auto"/>
            <w:vAlign w:val="center"/>
          </w:tcPr>
          <w:p w14:paraId="1176302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2万元/项</w:t>
            </w:r>
          </w:p>
        </w:tc>
      </w:tr>
      <w:tr w14:paraId="1D07E15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5C15B3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5030" w:type="dxa"/>
            <w:tcBorders>
              <w:top w:val="nil"/>
              <w:left w:val="nil"/>
              <w:bottom w:val="single" w:color="auto" w:sz="4" w:space="0"/>
              <w:right w:val="single" w:color="auto" w:sz="4" w:space="0"/>
            </w:tcBorders>
            <w:shd w:val="clear" w:color="auto" w:fill="auto"/>
            <w:vAlign w:val="center"/>
          </w:tcPr>
          <w:p w14:paraId="7A85B12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乙方不按规定投入安全资金或虚报、瞒报安全设施投入情况。</w:t>
            </w:r>
          </w:p>
        </w:tc>
        <w:tc>
          <w:tcPr>
            <w:tcW w:w="3720" w:type="dxa"/>
            <w:tcBorders>
              <w:top w:val="nil"/>
              <w:left w:val="nil"/>
              <w:bottom w:val="single" w:color="auto" w:sz="4" w:space="0"/>
              <w:right w:val="single" w:color="auto" w:sz="4" w:space="0"/>
            </w:tcBorders>
            <w:shd w:val="clear" w:color="auto" w:fill="auto"/>
            <w:vAlign w:val="center"/>
          </w:tcPr>
          <w:p w14:paraId="15F7244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5万－2万元/次，并责令按规定投入足额安全资金。</w:t>
            </w:r>
          </w:p>
        </w:tc>
      </w:tr>
      <w:tr w14:paraId="3FBC5B6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B45A76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5030" w:type="dxa"/>
            <w:tcBorders>
              <w:top w:val="nil"/>
              <w:left w:val="nil"/>
              <w:bottom w:val="single" w:color="auto" w:sz="4" w:space="0"/>
              <w:right w:val="single" w:color="auto" w:sz="4" w:space="0"/>
            </w:tcBorders>
            <w:shd w:val="clear" w:color="auto" w:fill="auto"/>
            <w:vAlign w:val="center"/>
          </w:tcPr>
          <w:p w14:paraId="64BB3F9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乙方不服从甲方对口管理部门、管理人员指挥，且态度恶劣、拒不整改的。</w:t>
            </w:r>
          </w:p>
        </w:tc>
        <w:tc>
          <w:tcPr>
            <w:tcW w:w="3720" w:type="dxa"/>
            <w:tcBorders>
              <w:top w:val="nil"/>
              <w:left w:val="nil"/>
              <w:bottom w:val="single" w:color="auto" w:sz="4" w:space="0"/>
              <w:right w:val="single" w:color="auto" w:sz="4" w:space="0"/>
            </w:tcBorders>
            <w:shd w:val="clear" w:color="auto" w:fill="auto"/>
            <w:vAlign w:val="center"/>
          </w:tcPr>
          <w:p w14:paraId="660D744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1万－0.3万元/次，情节严重者驱逐出厂。</w:t>
            </w:r>
          </w:p>
        </w:tc>
      </w:tr>
      <w:tr w14:paraId="17CFF784">
        <w:tblPrEx>
          <w:tblCellMar>
            <w:top w:w="0" w:type="dxa"/>
            <w:left w:w="108" w:type="dxa"/>
            <w:bottom w:w="0" w:type="dxa"/>
            <w:right w:w="108" w:type="dxa"/>
          </w:tblCellMar>
        </w:tblPrEx>
        <w:trPr>
          <w:trHeight w:val="457"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AE5037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w:t>
            </w:r>
          </w:p>
        </w:tc>
        <w:tc>
          <w:tcPr>
            <w:tcW w:w="5030" w:type="dxa"/>
            <w:tcBorders>
              <w:top w:val="nil"/>
              <w:left w:val="nil"/>
              <w:bottom w:val="single" w:color="auto" w:sz="4" w:space="0"/>
              <w:right w:val="single" w:color="auto" w:sz="4" w:space="0"/>
            </w:tcBorders>
            <w:shd w:val="clear" w:color="auto" w:fill="auto"/>
            <w:vAlign w:val="center"/>
          </w:tcPr>
          <w:p w14:paraId="492F1400">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违章考核</w:t>
            </w:r>
          </w:p>
        </w:tc>
        <w:tc>
          <w:tcPr>
            <w:tcW w:w="3720" w:type="dxa"/>
            <w:tcBorders>
              <w:top w:val="nil"/>
              <w:left w:val="nil"/>
              <w:bottom w:val="single" w:color="auto" w:sz="4" w:space="0"/>
              <w:right w:val="single" w:color="auto" w:sz="4" w:space="0"/>
            </w:tcBorders>
            <w:shd w:val="clear" w:color="auto" w:fill="auto"/>
            <w:vAlign w:val="center"/>
          </w:tcPr>
          <w:p w14:paraId="74F9F496">
            <w:pPr>
              <w:widowControl/>
              <w:spacing w:line="360" w:lineRule="exact"/>
              <w:jc w:val="left"/>
              <w:rPr>
                <w:rFonts w:ascii="宋体" w:hAnsi="宋体" w:eastAsia="宋体" w:cs="宋体"/>
                <w:color w:val="000000"/>
                <w:kern w:val="0"/>
                <w:sz w:val="24"/>
                <w:szCs w:val="24"/>
              </w:rPr>
            </w:pPr>
          </w:p>
        </w:tc>
      </w:tr>
      <w:tr w14:paraId="0837699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529B2B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5030" w:type="dxa"/>
            <w:tcBorders>
              <w:top w:val="nil"/>
              <w:left w:val="nil"/>
              <w:bottom w:val="single" w:color="auto" w:sz="4" w:space="0"/>
              <w:right w:val="single" w:color="auto" w:sz="4" w:space="0"/>
            </w:tcBorders>
            <w:shd w:val="clear" w:color="auto" w:fill="auto"/>
            <w:vAlign w:val="center"/>
          </w:tcPr>
          <w:p w14:paraId="13DB6C6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乙方违反甲方两票管理制度</w:t>
            </w:r>
          </w:p>
        </w:tc>
        <w:tc>
          <w:tcPr>
            <w:tcW w:w="3720" w:type="dxa"/>
            <w:tcBorders>
              <w:top w:val="nil"/>
              <w:left w:val="nil"/>
              <w:bottom w:val="single" w:color="auto" w:sz="4" w:space="0"/>
              <w:right w:val="single" w:color="auto" w:sz="4" w:space="0"/>
            </w:tcBorders>
            <w:shd w:val="clear" w:color="auto" w:fill="auto"/>
            <w:vAlign w:val="center"/>
          </w:tcPr>
          <w:p w14:paraId="0AC7BE07">
            <w:pPr>
              <w:widowControl/>
              <w:spacing w:line="3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无票作业考核0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3万－1万元/次，工作票不合格或未按安措执行的每次考核500元－0.2万元</w:t>
            </w:r>
          </w:p>
        </w:tc>
      </w:tr>
      <w:tr w14:paraId="2754A39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C2B811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5030" w:type="dxa"/>
            <w:tcBorders>
              <w:top w:val="nil"/>
              <w:left w:val="nil"/>
              <w:bottom w:val="single" w:color="auto" w:sz="4" w:space="0"/>
              <w:right w:val="single" w:color="auto" w:sz="4" w:space="0"/>
            </w:tcBorders>
            <w:shd w:val="clear" w:color="auto" w:fill="auto"/>
            <w:vAlign w:val="center"/>
          </w:tcPr>
          <w:p w14:paraId="6195EA1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乙方人员未经许可擅动甲方的生产设备、设施</w:t>
            </w:r>
          </w:p>
        </w:tc>
        <w:tc>
          <w:tcPr>
            <w:tcW w:w="3720" w:type="dxa"/>
            <w:tcBorders>
              <w:top w:val="nil"/>
              <w:left w:val="nil"/>
              <w:bottom w:val="single" w:color="auto" w:sz="4" w:space="0"/>
              <w:right w:val="single" w:color="auto" w:sz="4" w:space="0"/>
            </w:tcBorders>
            <w:shd w:val="clear" w:color="auto" w:fill="auto"/>
            <w:vAlign w:val="center"/>
          </w:tcPr>
          <w:p w14:paraId="6815502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考核0.2万元-0.5万元/次，造成后果的视损失另行考核。</w:t>
            </w:r>
          </w:p>
        </w:tc>
      </w:tr>
      <w:tr w14:paraId="1279D10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B0379A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5030" w:type="dxa"/>
            <w:tcBorders>
              <w:top w:val="nil"/>
              <w:left w:val="nil"/>
              <w:bottom w:val="single" w:color="auto" w:sz="4" w:space="0"/>
              <w:right w:val="single" w:color="auto" w:sz="4" w:space="0"/>
            </w:tcBorders>
            <w:shd w:val="clear" w:color="auto" w:fill="auto"/>
            <w:vAlign w:val="center"/>
          </w:tcPr>
          <w:p w14:paraId="5524ECF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乙方不经批准在甲方设备、结构、建筑物上开孔或焊接临时构件，变更设备设施用途。</w:t>
            </w:r>
          </w:p>
        </w:tc>
        <w:tc>
          <w:tcPr>
            <w:tcW w:w="3720" w:type="dxa"/>
            <w:tcBorders>
              <w:top w:val="nil"/>
              <w:left w:val="nil"/>
              <w:bottom w:val="single" w:color="auto" w:sz="4" w:space="0"/>
              <w:right w:val="single" w:color="auto" w:sz="4" w:space="0"/>
            </w:tcBorders>
            <w:shd w:val="clear" w:color="auto" w:fill="auto"/>
            <w:vAlign w:val="center"/>
          </w:tcPr>
          <w:p w14:paraId="5CD736B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考核0.2万元-0.5万元/次，造成后果的视损失另行考核。</w:t>
            </w:r>
          </w:p>
        </w:tc>
      </w:tr>
      <w:tr w14:paraId="7C8890A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9A9558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5030" w:type="dxa"/>
            <w:tcBorders>
              <w:top w:val="nil"/>
              <w:left w:val="nil"/>
              <w:bottom w:val="single" w:color="auto" w:sz="4" w:space="0"/>
              <w:right w:val="single" w:color="auto" w:sz="4" w:space="0"/>
            </w:tcBorders>
            <w:shd w:val="clear" w:color="auto" w:fill="auto"/>
            <w:vAlign w:val="center"/>
          </w:tcPr>
          <w:p w14:paraId="486CF18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乙方违规搭设脚手架或无票随意搭设脚手架，脚手架未验收或无验收合格证投入使用。</w:t>
            </w:r>
          </w:p>
        </w:tc>
        <w:tc>
          <w:tcPr>
            <w:tcW w:w="3720" w:type="dxa"/>
            <w:tcBorders>
              <w:top w:val="nil"/>
              <w:left w:val="nil"/>
              <w:bottom w:val="single" w:color="auto" w:sz="4" w:space="0"/>
              <w:right w:val="single" w:color="auto" w:sz="4" w:space="0"/>
            </w:tcBorders>
            <w:shd w:val="clear" w:color="auto" w:fill="auto"/>
            <w:vAlign w:val="center"/>
          </w:tcPr>
          <w:p w14:paraId="55462F9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脚手架存在较大安全隐患考核0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1万－0.5万元/项，未经验收投入使用考核0.5万元-1万元/处。</w:t>
            </w:r>
          </w:p>
        </w:tc>
      </w:tr>
      <w:tr w14:paraId="7DF86AD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5CDF92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5030" w:type="dxa"/>
            <w:tcBorders>
              <w:top w:val="nil"/>
              <w:left w:val="nil"/>
              <w:bottom w:val="single" w:color="auto" w:sz="4" w:space="0"/>
              <w:right w:val="single" w:color="auto" w:sz="4" w:space="0"/>
            </w:tcBorders>
            <w:shd w:val="clear" w:color="auto" w:fill="auto"/>
            <w:vAlign w:val="center"/>
          </w:tcPr>
          <w:p w14:paraId="53315B6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乙方违反《电力安全工作规程》高处、临边、起重等作业有关规定，隔离、防护设施不到位。</w:t>
            </w:r>
          </w:p>
        </w:tc>
        <w:tc>
          <w:tcPr>
            <w:tcW w:w="3720" w:type="dxa"/>
            <w:tcBorders>
              <w:top w:val="nil"/>
              <w:left w:val="nil"/>
              <w:bottom w:val="single" w:color="auto" w:sz="4" w:space="0"/>
              <w:right w:val="single" w:color="auto" w:sz="4" w:space="0"/>
            </w:tcBorders>
            <w:shd w:val="clear" w:color="auto" w:fill="auto"/>
            <w:vAlign w:val="center"/>
          </w:tcPr>
          <w:p w14:paraId="53E5C22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0.5</w:t>
            </w:r>
            <w:r>
              <w:rPr>
                <w:rFonts w:hint="eastAsia" w:ascii="宋体" w:hAnsi="宋体" w:eastAsia="宋体" w:cs="宋体"/>
                <w:color w:val="000000"/>
                <w:kern w:val="0"/>
                <w:sz w:val="24"/>
                <w:szCs w:val="24"/>
              </w:rPr>
              <w:t>万元/处</w:t>
            </w:r>
          </w:p>
        </w:tc>
      </w:tr>
      <w:tr w14:paraId="08EE463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6621B6A">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5030" w:type="dxa"/>
            <w:tcBorders>
              <w:top w:val="nil"/>
              <w:left w:val="nil"/>
              <w:bottom w:val="single" w:color="auto" w:sz="4" w:space="0"/>
              <w:right w:val="single" w:color="auto" w:sz="4" w:space="0"/>
            </w:tcBorders>
            <w:shd w:val="clear" w:color="auto" w:fill="auto"/>
            <w:vAlign w:val="center"/>
          </w:tcPr>
          <w:p w14:paraId="5BED05E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乙方在受限空间作业时，未办理许可票，未遵守通风、检测、监护、电动工具的使用、电源管理等有关规定的行为。</w:t>
            </w:r>
          </w:p>
        </w:tc>
        <w:tc>
          <w:tcPr>
            <w:tcW w:w="3720" w:type="dxa"/>
            <w:tcBorders>
              <w:top w:val="nil"/>
              <w:left w:val="nil"/>
              <w:bottom w:val="single" w:color="auto" w:sz="4" w:space="0"/>
              <w:right w:val="single" w:color="auto" w:sz="4" w:space="0"/>
            </w:tcBorders>
            <w:shd w:val="clear" w:color="auto" w:fill="auto"/>
            <w:vAlign w:val="center"/>
          </w:tcPr>
          <w:p w14:paraId="0222080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0.5</w:t>
            </w:r>
            <w:r>
              <w:rPr>
                <w:rFonts w:hint="eastAsia" w:ascii="宋体" w:hAnsi="宋体" w:eastAsia="宋体" w:cs="宋体"/>
                <w:color w:val="000000"/>
                <w:kern w:val="0"/>
                <w:sz w:val="24"/>
                <w:szCs w:val="24"/>
              </w:rPr>
              <w:t>万元/处</w:t>
            </w:r>
          </w:p>
        </w:tc>
      </w:tr>
      <w:tr w14:paraId="0FED00E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A758F1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5030" w:type="dxa"/>
            <w:tcBorders>
              <w:top w:val="nil"/>
              <w:left w:val="nil"/>
              <w:bottom w:val="single" w:color="auto" w:sz="4" w:space="0"/>
              <w:right w:val="single" w:color="auto" w:sz="4" w:space="0"/>
            </w:tcBorders>
            <w:shd w:val="clear" w:color="auto" w:fill="auto"/>
            <w:vAlign w:val="center"/>
          </w:tcPr>
          <w:p w14:paraId="444F924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乙方违反起重设备使用规定或由于使用不当造成起重设备的损坏。</w:t>
            </w:r>
          </w:p>
        </w:tc>
        <w:tc>
          <w:tcPr>
            <w:tcW w:w="3720" w:type="dxa"/>
            <w:tcBorders>
              <w:top w:val="nil"/>
              <w:left w:val="nil"/>
              <w:bottom w:val="single" w:color="auto" w:sz="4" w:space="0"/>
              <w:right w:val="single" w:color="auto" w:sz="4" w:space="0"/>
            </w:tcBorders>
            <w:shd w:val="clear" w:color="auto" w:fill="auto"/>
            <w:vAlign w:val="center"/>
          </w:tcPr>
          <w:p w14:paraId="2D5AA5B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0.3</w:t>
            </w:r>
            <w:r>
              <w:rPr>
                <w:rFonts w:hint="eastAsia" w:ascii="宋体" w:hAnsi="宋体" w:eastAsia="宋体" w:cs="宋体"/>
                <w:color w:val="000000"/>
                <w:kern w:val="0"/>
                <w:sz w:val="24"/>
                <w:szCs w:val="24"/>
              </w:rPr>
              <w:t>万元/次，并负责修复。</w:t>
            </w:r>
          </w:p>
        </w:tc>
      </w:tr>
      <w:tr w14:paraId="3C0F45C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A3CB7D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5030" w:type="dxa"/>
            <w:tcBorders>
              <w:top w:val="nil"/>
              <w:left w:val="nil"/>
              <w:bottom w:val="single" w:color="auto" w:sz="4" w:space="0"/>
              <w:right w:val="single" w:color="auto" w:sz="4" w:space="0"/>
            </w:tcBorders>
            <w:shd w:val="clear" w:color="auto" w:fill="auto"/>
            <w:vAlign w:val="center"/>
          </w:tcPr>
          <w:p w14:paraId="3EC38C6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乙方员工工作现场不穿戴或不正确穿戴劳动防护用品，使用不合格工器具。</w:t>
            </w:r>
          </w:p>
        </w:tc>
        <w:tc>
          <w:tcPr>
            <w:tcW w:w="3720" w:type="dxa"/>
            <w:tcBorders>
              <w:top w:val="nil"/>
              <w:left w:val="nil"/>
              <w:bottom w:val="single" w:color="auto" w:sz="4" w:space="0"/>
              <w:right w:val="single" w:color="auto" w:sz="4" w:space="0"/>
            </w:tcBorders>
            <w:shd w:val="clear" w:color="auto" w:fill="auto"/>
            <w:vAlign w:val="center"/>
          </w:tcPr>
          <w:p w14:paraId="4386D21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万元/人·次</w:t>
            </w:r>
          </w:p>
        </w:tc>
      </w:tr>
      <w:tr w14:paraId="14D84A4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3861A1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5030" w:type="dxa"/>
            <w:tcBorders>
              <w:top w:val="nil"/>
              <w:left w:val="nil"/>
              <w:bottom w:val="single" w:color="auto" w:sz="4" w:space="0"/>
              <w:right w:val="single" w:color="auto" w:sz="4" w:space="0"/>
            </w:tcBorders>
            <w:shd w:val="clear" w:color="auto" w:fill="auto"/>
            <w:vAlign w:val="center"/>
          </w:tcPr>
          <w:p w14:paraId="707DDAC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乙方工作人员在甲方厂区内吸烟（规定的吸烟点除外）。</w:t>
            </w:r>
          </w:p>
        </w:tc>
        <w:tc>
          <w:tcPr>
            <w:tcW w:w="3720" w:type="dxa"/>
            <w:tcBorders>
              <w:top w:val="nil"/>
              <w:left w:val="nil"/>
              <w:bottom w:val="single" w:color="auto" w:sz="4" w:space="0"/>
              <w:right w:val="single" w:color="auto" w:sz="4" w:space="0"/>
            </w:tcBorders>
            <w:shd w:val="clear" w:color="auto" w:fill="auto"/>
            <w:vAlign w:val="center"/>
          </w:tcPr>
          <w:p w14:paraId="2F14FE6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厂（场）区吸烟考核</w:t>
            </w:r>
            <w:r>
              <w:rPr>
                <w:rFonts w:ascii="宋体" w:hAnsi="宋体" w:eastAsia="宋体" w:cs="宋体"/>
                <w:color w:val="000000"/>
                <w:kern w:val="0"/>
                <w:sz w:val="24"/>
                <w:szCs w:val="24"/>
              </w:rPr>
              <w:t>500</w:t>
            </w:r>
            <w:r>
              <w:rPr>
                <w:rFonts w:hint="eastAsia" w:ascii="宋体" w:hAnsi="宋体" w:eastAsia="宋体" w:cs="宋体"/>
                <w:color w:val="000000"/>
                <w:kern w:val="0"/>
                <w:sz w:val="24"/>
                <w:szCs w:val="24"/>
              </w:rPr>
              <w:t>元</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人次，重点防火区域吸烟考核</w:t>
            </w:r>
            <w:r>
              <w:rPr>
                <w:rFonts w:ascii="宋体" w:hAnsi="宋体" w:eastAsia="宋体" w:cs="宋体"/>
                <w:color w:val="000000"/>
                <w:kern w:val="0"/>
                <w:sz w:val="24"/>
                <w:szCs w:val="24"/>
              </w:rPr>
              <w:t>0.1</w:t>
            </w:r>
            <w:r>
              <w:rPr>
                <w:rFonts w:hint="eastAsia" w:ascii="宋体" w:hAnsi="宋体" w:eastAsia="宋体" w:cs="宋体"/>
                <w:color w:val="000000"/>
                <w:kern w:val="0"/>
                <w:sz w:val="24"/>
                <w:szCs w:val="24"/>
              </w:rPr>
              <w:t>万－0</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万元</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人</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次。</w:t>
            </w:r>
          </w:p>
        </w:tc>
      </w:tr>
      <w:tr w14:paraId="52CF57DE">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3BF077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5030" w:type="dxa"/>
            <w:tcBorders>
              <w:top w:val="nil"/>
              <w:left w:val="nil"/>
              <w:bottom w:val="single" w:color="auto" w:sz="4" w:space="0"/>
              <w:right w:val="single" w:color="auto" w:sz="4" w:space="0"/>
            </w:tcBorders>
            <w:shd w:val="clear" w:color="auto" w:fill="auto"/>
            <w:vAlign w:val="center"/>
          </w:tcPr>
          <w:p w14:paraId="38984BF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乙方在重点防火部位违规动火</w:t>
            </w:r>
          </w:p>
        </w:tc>
        <w:tc>
          <w:tcPr>
            <w:tcW w:w="3720" w:type="dxa"/>
            <w:tcBorders>
              <w:top w:val="nil"/>
              <w:left w:val="nil"/>
              <w:bottom w:val="single" w:color="auto" w:sz="4" w:space="0"/>
              <w:right w:val="single" w:color="auto" w:sz="4" w:space="0"/>
            </w:tcBorders>
            <w:shd w:val="clear" w:color="auto" w:fill="auto"/>
            <w:vAlign w:val="center"/>
          </w:tcPr>
          <w:p w14:paraId="1015A8B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5万元/项</w:t>
            </w:r>
          </w:p>
        </w:tc>
      </w:tr>
      <w:tr w14:paraId="379FBD18">
        <w:tblPrEx>
          <w:tblCellMar>
            <w:top w:w="0" w:type="dxa"/>
            <w:left w:w="108" w:type="dxa"/>
            <w:bottom w:w="0" w:type="dxa"/>
            <w:right w:w="108" w:type="dxa"/>
          </w:tblCellMar>
        </w:tblPrEx>
        <w:trPr>
          <w:trHeight w:val="937"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42DA01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5030" w:type="dxa"/>
            <w:tcBorders>
              <w:top w:val="nil"/>
              <w:left w:val="nil"/>
              <w:bottom w:val="single" w:color="auto" w:sz="4" w:space="0"/>
              <w:right w:val="single" w:color="auto" w:sz="4" w:space="0"/>
            </w:tcBorders>
            <w:shd w:val="clear" w:color="auto" w:fill="auto"/>
            <w:vAlign w:val="center"/>
          </w:tcPr>
          <w:p w14:paraId="756566E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乙方高处动火作业，对下方的设备不采取防火隔离措施，或在地板砖、网格栅等处施工未采取保护措施。</w:t>
            </w:r>
          </w:p>
        </w:tc>
        <w:tc>
          <w:tcPr>
            <w:tcW w:w="3720" w:type="dxa"/>
            <w:tcBorders>
              <w:top w:val="nil"/>
              <w:left w:val="nil"/>
              <w:bottom w:val="single" w:color="auto" w:sz="4" w:space="0"/>
              <w:right w:val="single" w:color="auto" w:sz="4" w:space="0"/>
            </w:tcBorders>
            <w:shd w:val="clear" w:color="auto" w:fill="auto"/>
            <w:vAlign w:val="center"/>
          </w:tcPr>
          <w:p w14:paraId="39D5FF6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1万元/次</w:t>
            </w:r>
          </w:p>
        </w:tc>
      </w:tr>
      <w:tr w14:paraId="6C55E27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583639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5030" w:type="dxa"/>
            <w:tcBorders>
              <w:top w:val="nil"/>
              <w:left w:val="nil"/>
              <w:bottom w:val="single" w:color="auto" w:sz="4" w:space="0"/>
              <w:right w:val="single" w:color="auto" w:sz="4" w:space="0"/>
            </w:tcBorders>
            <w:shd w:val="clear" w:color="auto" w:fill="auto"/>
            <w:vAlign w:val="center"/>
          </w:tcPr>
          <w:p w14:paraId="00DB397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乙方擅自使用甲方消防水源，挪用、摆压、封堵、圈围、拆除、停用甲方消防设施。</w:t>
            </w:r>
          </w:p>
        </w:tc>
        <w:tc>
          <w:tcPr>
            <w:tcW w:w="3720" w:type="dxa"/>
            <w:tcBorders>
              <w:top w:val="nil"/>
              <w:left w:val="nil"/>
              <w:bottom w:val="single" w:color="auto" w:sz="4" w:space="0"/>
              <w:right w:val="single" w:color="auto" w:sz="4" w:space="0"/>
            </w:tcBorders>
            <w:shd w:val="clear" w:color="auto" w:fill="auto"/>
            <w:vAlign w:val="center"/>
          </w:tcPr>
          <w:p w14:paraId="0969CF8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1万元/项，并负责修复或恢复。</w:t>
            </w:r>
          </w:p>
        </w:tc>
      </w:tr>
      <w:tr w14:paraId="746F3C8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4ED5A4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5030" w:type="dxa"/>
            <w:tcBorders>
              <w:top w:val="nil"/>
              <w:left w:val="nil"/>
              <w:bottom w:val="single" w:color="auto" w:sz="4" w:space="0"/>
              <w:right w:val="single" w:color="auto" w:sz="4" w:space="0"/>
            </w:tcBorders>
            <w:shd w:val="clear" w:color="auto" w:fill="auto"/>
            <w:vAlign w:val="center"/>
          </w:tcPr>
          <w:p w14:paraId="294E08A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乙方未经批准堵塞安全出口、疏散通道、消防通道或者占用防火间距。</w:t>
            </w:r>
          </w:p>
        </w:tc>
        <w:tc>
          <w:tcPr>
            <w:tcW w:w="3720" w:type="dxa"/>
            <w:tcBorders>
              <w:top w:val="nil"/>
              <w:left w:val="nil"/>
              <w:bottom w:val="single" w:color="auto" w:sz="4" w:space="0"/>
              <w:right w:val="single" w:color="auto" w:sz="4" w:space="0"/>
            </w:tcBorders>
            <w:shd w:val="clear" w:color="auto" w:fill="auto"/>
            <w:vAlign w:val="center"/>
          </w:tcPr>
          <w:p w14:paraId="2CB5C66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1万元/项</w:t>
            </w:r>
          </w:p>
        </w:tc>
      </w:tr>
      <w:tr w14:paraId="416129D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85822B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5030" w:type="dxa"/>
            <w:tcBorders>
              <w:top w:val="nil"/>
              <w:left w:val="nil"/>
              <w:bottom w:val="single" w:color="auto" w:sz="4" w:space="0"/>
              <w:right w:val="single" w:color="auto" w:sz="4" w:space="0"/>
            </w:tcBorders>
            <w:shd w:val="clear" w:color="auto" w:fill="auto"/>
            <w:vAlign w:val="center"/>
          </w:tcPr>
          <w:p w14:paraId="5326124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乙方不执行甲方临时电源管理规定，私拉乱接电线，或不正确使用现场检修电源箱。</w:t>
            </w:r>
          </w:p>
        </w:tc>
        <w:tc>
          <w:tcPr>
            <w:tcW w:w="3720" w:type="dxa"/>
            <w:tcBorders>
              <w:top w:val="nil"/>
              <w:left w:val="nil"/>
              <w:bottom w:val="single" w:color="auto" w:sz="4" w:space="0"/>
              <w:right w:val="single" w:color="auto" w:sz="4" w:space="0"/>
            </w:tcBorders>
            <w:shd w:val="clear" w:color="auto" w:fill="auto"/>
            <w:vAlign w:val="center"/>
          </w:tcPr>
          <w:p w14:paraId="7F9CBCD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1万元/项</w:t>
            </w:r>
          </w:p>
        </w:tc>
      </w:tr>
      <w:tr w14:paraId="3F8E827E">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9CB1B8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5030" w:type="dxa"/>
            <w:tcBorders>
              <w:top w:val="nil"/>
              <w:left w:val="nil"/>
              <w:bottom w:val="single" w:color="auto" w:sz="4" w:space="0"/>
              <w:right w:val="single" w:color="auto" w:sz="4" w:space="0"/>
            </w:tcBorders>
            <w:shd w:val="clear" w:color="auto" w:fill="auto"/>
            <w:vAlign w:val="center"/>
          </w:tcPr>
          <w:p w14:paraId="3294F4C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乙方违反规程中有关电焊、气焊管理规定，气瓶储存、定置不附合规定，作业工具及施工工艺不附合要求。</w:t>
            </w:r>
          </w:p>
        </w:tc>
        <w:tc>
          <w:tcPr>
            <w:tcW w:w="3720" w:type="dxa"/>
            <w:tcBorders>
              <w:top w:val="nil"/>
              <w:left w:val="nil"/>
              <w:bottom w:val="single" w:color="auto" w:sz="4" w:space="0"/>
              <w:right w:val="single" w:color="auto" w:sz="4" w:space="0"/>
            </w:tcBorders>
            <w:shd w:val="clear" w:color="auto" w:fill="auto"/>
            <w:vAlign w:val="center"/>
          </w:tcPr>
          <w:p w14:paraId="2B3A345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1万元/项</w:t>
            </w:r>
          </w:p>
        </w:tc>
      </w:tr>
      <w:tr w14:paraId="7FF7D78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DD95A1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5030" w:type="dxa"/>
            <w:tcBorders>
              <w:top w:val="nil"/>
              <w:left w:val="nil"/>
              <w:bottom w:val="single" w:color="auto" w:sz="4" w:space="0"/>
              <w:right w:val="single" w:color="auto" w:sz="4" w:space="0"/>
            </w:tcBorders>
            <w:shd w:val="clear" w:color="auto" w:fill="auto"/>
            <w:vAlign w:val="center"/>
          </w:tcPr>
          <w:p w14:paraId="0461FC8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乙方车辆超速行驶或不按规定线路行驶、停放，违反甲方厂（场）区交通规定。</w:t>
            </w:r>
          </w:p>
        </w:tc>
        <w:tc>
          <w:tcPr>
            <w:tcW w:w="3720" w:type="dxa"/>
            <w:tcBorders>
              <w:top w:val="nil"/>
              <w:left w:val="nil"/>
              <w:bottom w:val="single" w:color="auto" w:sz="4" w:space="0"/>
              <w:right w:val="single" w:color="auto" w:sz="4" w:space="0"/>
            </w:tcBorders>
            <w:shd w:val="clear" w:color="auto" w:fill="auto"/>
            <w:vAlign w:val="center"/>
          </w:tcPr>
          <w:p w14:paraId="0470CF8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考核200元－500万元/次，造成经济损失的照价赔偿。</w:t>
            </w:r>
          </w:p>
        </w:tc>
      </w:tr>
      <w:tr w14:paraId="619EC73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BE4CC1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5030" w:type="dxa"/>
            <w:tcBorders>
              <w:top w:val="nil"/>
              <w:left w:val="nil"/>
              <w:bottom w:val="single" w:color="auto" w:sz="4" w:space="0"/>
              <w:right w:val="single" w:color="auto" w:sz="4" w:space="0"/>
            </w:tcBorders>
            <w:shd w:val="clear" w:color="auto" w:fill="auto"/>
            <w:vAlign w:val="center"/>
          </w:tcPr>
          <w:p w14:paraId="1BEA5A8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乙方在甲方范围违反规定使用叉车、推扒机、电瓶车等厂内专用车辆，或车辆维护、保养不到位，安全可靠性不达标。</w:t>
            </w:r>
          </w:p>
        </w:tc>
        <w:tc>
          <w:tcPr>
            <w:tcW w:w="3720" w:type="dxa"/>
            <w:tcBorders>
              <w:top w:val="nil"/>
              <w:left w:val="nil"/>
              <w:bottom w:val="single" w:color="auto" w:sz="4" w:space="0"/>
              <w:right w:val="single" w:color="auto" w:sz="4" w:space="0"/>
            </w:tcBorders>
            <w:shd w:val="clear" w:color="auto" w:fill="auto"/>
            <w:vAlign w:val="center"/>
          </w:tcPr>
          <w:p w14:paraId="6808047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2万元/次</w:t>
            </w:r>
          </w:p>
        </w:tc>
      </w:tr>
      <w:tr w14:paraId="2527E365">
        <w:tblPrEx>
          <w:tblCellMar>
            <w:top w:w="0" w:type="dxa"/>
            <w:left w:w="108" w:type="dxa"/>
            <w:bottom w:w="0" w:type="dxa"/>
            <w:right w:w="108" w:type="dxa"/>
          </w:tblCellMar>
        </w:tblPrEx>
        <w:trPr>
          <w:trHeight w:val="415"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CE7256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w:t>
            </w:r>
          </w:p>
        </w:tc>
        <w:tc>
          <w:tcPr>
            <w:tcW w:w="5030" w:type="dxa"/>
            <w:tcBorders>
              <w:top w:val="nil"/>
              <w:left w:val="nil"/>
              <w:bottom w:val="single" w:color="auto" w:sz="4" w:space="0"/>
              <w:right w:val="single" w:color="auto" w:sz="4" w:space="0"/>
            </w:tcBorders>
            <w:shd w:val="clear" w:color="auto" w:fill="auto"/>
            <w:vAlign w:val="center"/>
          </w:tcPr>
          <w:p w14:paraId="2683B4CF">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其它类考核</w:t>
            </w:r>
          </w:p>
        </w:tc>
        <w:tc>
          <w:tcPr>
            <w:tcW w:w="3720" w:type="dxa"/>
            <w:tcBorders>
              <w:top w:val="nil"/>
              <w:left w:val="nil"/>
              <w:bottom w:val="single" w:color="auto" w:sz="4" w:space="0"/>
              <w:right w:val="single" w:color="auto" w:sz="4" w:space="0"/>
            </w:tcBorders>
            <w:shd w:val="clear" w:color="auto" w:fill="auto"/>
            <w:vAlign w:val="center"/>
          </w:tcPr>
          <w:p w14:paraId="117F2AE5">
            <w:pPr>
              <w:widowControl/>
              <w:spacing w:line="360" w:lineRule="exact"/>
              <w:jc w:val="left"/>
              <w:rPr>
                <w:rFonts w:ascii="宋体" w:hAnsi="宋体" w:eastAsia="宋体" w:cs="宋体"/>
                <w:color w:val="000000"/>
                <w:kern w:val="0"/>
                <w:sz w:val="24"/>
                <w:szCs w:val="24"/>
              </w:rPr>
            </w:pPr>
          </w:p>
        </w:tc>
      </w:tr>
      <w:tr w14:paraId="746B158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327003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5030" w:type="dxa"/>
            <w:tcBorders>
              <w:top w:val="nil"/>
              <w:left w:val="nil"/>
              <w:bottom w:val="single" w:color="auto" w:sz="4" w:space="0"/>
              <w:right w:val="single" w:color="auto" w:sz="4" w:space="0"/>
            </w:tcBorders>
            <w:shd w:val="clear" w:color="auto" w:fill="auto"/>
            <w:vAlign w:val="center"/>
          </w:tcPr>
          <w:p w14:paraId="7EBB3C8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乙方无故缺席甲方项目安全会议，或未及时传达、下发甲方专项要求、事故通报等。</w:t>
            </w:r>
          </w:p>
        </w:tc>
        <w:tc>
          <w:tcPr>
            <w:tcW w:w="3720" w:type="dxa"/>
            <w:tcBorders>
              <w:top w:val="nil"/>
              <w:left w:val="nil"/>
              <w:bottom w:val="single" w:color="auto" w:sz="4" w:space="0"/>
              <w:right w:val="single" w:color="auto" w:sz="4" w:space="0"/>
            </w:tcBorders>
            <w:shd w:val="clear" w:color="auto" w:fill="auto"/>
            <w:vAlign w:val="center"/>
          </w:tcPr>
          <w:p w14:paraId="3FCA807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考核200-500元/次</w:t>
            </w:r>
          </w:p>
        </w:tc>
      </w:tr>
      <w:tr w14:paraId="422CD08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E32EB6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5030" w:type="dxa"/>
            <w:tcBorders>
              <w:top w:val="nil"/>
              <w:left w:val="nil"/>
              <w:bottom w:val="single" w:color="auto" w:sz="4" w:space="0"/>
              <w:right w:val="single" w:color="auto" w:sz="4" w:space="0"/>
            </w:tcBorders>
            <w:shd w:val="clear" w:color="auto" w:fill="auto"/>
            <w:vAlign w:val="center"/>
          </w:tcPr>
          <w:p w14:paraId="77C9E2B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乙方违反《电力安全工作规程》中搬运规定，造成厂区道路污染、草木或设备损坏等。</w:t>
            </w:r>
          </w:p>
        </w:tc>
        <w:tc>
          <w:tcPr>
            <w:tcW w:w="3720" w:type="dxa"/>
            <w:tcBorders>
              <w:top w:val="nil"/>
              <w:left w:val="nil"/>
              <w:bottom w:val="single" w:color="auto" w:sz="4" w:space="0"/>
              <w:right w:val="single" w:color="auto" w:sz="4" w:space="0"/>
            </w:tcBorders>
            <w:shd w:val="clear" w:color="auto" w:fill="auto"/>
            <w:vAlign w:val="center"/>
          </w:tcPr>
          <w:p w14:paraId="713A824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2万元/次，并负责修复。</w:t>
            </w:r>
          </w:p>
        </w:tc>
      </w:tr>
      <w:tr w14:paraId="2C9EFC4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F9A7B2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5030" w:type="dxa"/>
            <w:tcBorders>
              <w:top w:val="nil"/>
              <w:left w:val="nil"/>
              <w:bottom w:val="single" w:color="auto" w:sz="4" w:space="0"/>
              <w:right w:val="single" w:color="auto" w:sz="4" w:space="0"/>
            </w:tcBorders>
            <w:shd w:val="clear" w:color="auto" w:fill="auto"/>
            <w:vAlign w:val="center"/>
          </w:tcPr>
          <w:p w14:paraId="2897BBF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乙方作业区域脏、乱、差现象严重，工作结束未做到“工完、料尽、场地清”。</w:t>
            </w:r>
          </w:p>
        </w:tc>
        <w:tc>
          <w:tcPr>
            <w:tcW w:w="3720" w:type="dxa"/>
            <w:tcBorders>
              <w:top w:val="nil"/>
              <w:left w:val="nil"/>
              <w:bottom w:val="single" w:color="auto" w:sz="4" w:space="0"/>
              <w:right w:val="single" w:color="auto" w:sz="4" w:space="0"/>
            </w:tcBorders>
            <w:shd w:val="clear" w:color="auto" w:fill="auto"/>
            <w:vAlign w:val="center"/>
          </w:tcPr>
          <w:p w14:paraId="7042E94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2万元/次</w:t>
            </w:r>
          </w:p>
        </w:tc>
      </w:tr>
      <w:tr w14:paraId="04CAD2F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153A6B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5030" w:type="dxa"/>
            <w:tcBorders>
              <w:top w:val="nil"/>
              <w:left w:val="nil"/>
              <w:bottom w:val="single" w:color="auto" w:sz="4" w:space="0"/>
              <w:right w:val="single" w:color="auto" w:sz="4" w:space="0"/>
            </w:tcBorders>
            <w:shd w:val="clear" w:color="auto" w:fill="auto"/>
            <w:vAlign w:val="center"/>
          </w:tcPr>
          <w:p w14:paraId="3D739DD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乙方现场材料、工具、部件、棚架、油漆、废料等不符合定置管理要求，经提出后仍不整改</w:t>
            </w:r>
          </w:p>
        </w:tc>
        <w:tc>
          <w:tcPr>
            <w:tcW w:w="3720" w:type="dxa"/>
            <w:tcBorders>
              <w:top w:val="nil"/>
              <w:left w:val="nil"/>
              <w:bottom w:val="single" w:color="auto" w:sz="4" w:space="0"/>
              <w:right w:val="single" w:color="auto" w:sz="4" w:space="0"/>
            </w:tcBorders>
            <w:shd w:val="clear" w:color="auto" w:fill="auto"/>
            <w:vAlign w:val="center"/>
          </w:tcPr>
          <w:p w14:paraId="6D2A8BC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2万元/项</w:t>
            </w:r>
          </w:p>
        </w:tc>
      </w:tr>
      <w:tr w14:paraId="4631B28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3E904E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5030" w:type="dxa"/>
            <w:tcBorders>
              <w:top w:val="nil"/>
              <w:left w:val="nil"/>
              <w:bottom w:val="single" w:color="auto" w:sz="4" w:space="0"/>
              <w:right w:val="single" w:color="auto" w:sz="4" w:space="0"/>
            </w:tcBorders>
            <w:shd w:val="clear" w:color="auto" w:fill="auto"/>
            <w:vAlign w:val="center"/>
          </w:tcPr>
          <w:p w14:paraId="6884356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乙方设备作业区域不采取完善的隔离保护措施，或由此造成设备、备品备件、零配件丢失或损坏，杂物掉入、设施损坏、环境污染等。</w:t>
            </w:r>
          </w:p>
        </w:tc>
        <w:tc>
          <w:tcPr>
            <w:tcW w:w="3720" w:type="dxa"/>
            <w:tcBorders>
              <w:top w:val="nil"/>
              <w:left w:val="nil"/>
              <w:bottom w:val="single" w:color="auto" w:sz="4" w:space="0"/>
              <w:right w:val="single" w:color="auto" w:sz="4" w:space="0"/>
            </w:tcBorders>
            <w:shd w:val="clear" w:color="auto" w:fill="auto"/>
            <w:vAlign w:val="center"/>
          </w:tcPr>
          <w:p w14:paraId="7A10439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万元/次，设备和备件丢失、损坏按原价赔偿。</w:t>
            </w:r>
          </w:p>
        </w:tc>
      </w:tr>
      <w:tr w14:paraId="56B20F0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23FDB3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5030" w:type="dxa"/>
            <w:tcBorders>
              <w:top w:val="nil"/>
              <w:left w:val="nil"/>
              <w:bottom w:val="single" w:color="auto" w:sz="4" w:space="0"/>
              <w:right w:val="single" w:color="auto" w:sz="4" w:space="0"/>
            </w:tcBorders>
            <w:shd w:val="clear" w:color="auto" w:fill="auto"/>
            <w:vAlign w:val="center"/>
          </w:tcPr>
          <w:p w14:paraId="2734C2C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乙方损坏或丢弃甲方设备标示牌及安措警示牌，未及时恢复。</w:t>
            </w:r>
          </w:p>
        </w:tc>
        <w:tc>
          <w:tcPr>
            <w:tcW w:w="3720" w:type="dxa"/>
            <w:tcBorders>
              <w:top w:val="nil"/>
              <w:left w:val="nil"/>
              <w:bottom w:val="single" w:color="auto" w:sz="4" w:space="0"/>
              <w:right w:val="single" w:color="auto" w:sz="4" w:space="0"/>
            </w:tcBorders>
            <w:shd w:val="clear" w:color="auto" w:fill="auto"/>
            <w:vAlign w:val="center"/>
          </w:tcPr>
          <w:p w14:paraId="1CFADEB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考核100元－200元/个，并负责恢复。</w:t>
            </w:r>
          </w:p>
        </w:tc>
      </w:tr>
      <w:tr w14:paraId="355DF8F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6A3AFA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5030" w:type="dxa"/>
            <w:tcBorders>
              <w:top w:val="nil"/>
              <w:left w:val="nil"/>
              <w:bottom w:val="single" w:color="auto" w:sz="4" w:space="0"/>
              <w:right w:val="single" w:color="auto" w:sz="4" w:space="0"/>
            </w:tcBorders>
            <w:shd w:val="clear" w:color="auto" w:fill="auto"/>
            <w:vAlign w:val="center"/>
          </w:tcPr>
          <w:p w14:paraId="6DA6098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乙方违反甲方安全管理制度等的其它未列事项。</w:t>
            </w:r>
          </w:p>
        </w:tc>
        <w:tc>
          <w:tcPr>
            <w:tcW w:w="3720" w:type="dxa"/>
            <w:tcBorders>
              <w:top w:val="nil"/>
              <w:left w:val="nil"/>
              <w:bottom w:val="single" w:color="auto" w:sz="4" w:space="0"/>
              <w:right w:val="single" w:color="auto" w:sz="4" w:space="0"/>
            </w:tcBorders>
            <w:shd w:val="clear" w:color="auto" w:fill="auto"/>
            <w:vAlign w:val="center"/>
          </w:tcPr>
          <w:p w14:paraId="48BFD50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考核200元－0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1万元/次，或按甲方相关管理制度执行。</w:t>
            </w:r>
          </w:p>
        </w:tc>
      </w:tr>
    </w:tbl>
    <w:p w14:paraId="03727DB2">
      <w:pPr>
        <w:rPr>
          <w:rFonts w:hint="eastAsia"/>
          <w:snapToGrid w:val="0"/>
          <w:sz w:val="10"/>
          <w:szCs w:val="10"/>
        </w:rPr>
      </w:pPr>
    </w:p>
    <w:p w14:paraId="301972DF">
      <w:pPr>
        <w:pStyle w:val="2"/>
        <w:rPr>
          <w:rFonts w:hint="eastAsia"/>
        </w:rPr>
      </w:pPr>
    </w:p>
    <w:p w14:paraId="5C1E6155">
      <w:pPr>
        <w:spacing w:beforeLines="-2147483648" w:line="240" w:lineRule="auto"/>
        <w:jc w:val="left"/>
        <w:rPr>
          <w:rFonts w:hint="eastAsia" w:ascii="宋体" w:hAnsi="宋体" w:eastAsia="宋体"/>
          <w:b/>
          <w:bCs/>
          <w:sz w:val="24"/>
          <w:szCs w:val="24"/>
        </w:rPr>
      </w:pPr>
      <w:r>
        <w:rPr>
          <w:rFonts w:hint="eastAsia" w:ascii="宋体" w:hAnsi="宋体" w:eastAsia="宋体"/>
          <w:b/>
          <w:bCs/>
          <w:sz w:val="24"/>
          <w:szCs w:val="24"/>
        </w:rPr>
        <w:br w:type="page"/>
      </w:r>
    </w:p>
    <w:p w14:paraId="2EB2F6C4">
      <w:pPr>
        <w:spacing w:beforeLines="-2147483648" w:line="360" w:lineRule="auto"/>
        <w:jc w:val="both"/>
        <w:rPr>
          <w:rFonts w:ascii="宋体" w:hAnsi="宋体"/>
        </w:rPr>
      </w:pPr>
      <w:r>
        <w:rPr>
          <w:rFonts w:hint="eastAsia" w:ascii="宋体" w:hAnsi="宋体" w:eastAsia="宋体"/>
          <w:b/>
          <w:bCs/>
          <w:sz w:val="24"/>
          <w:szCs w:val="24"/>
        </w:rPr>
        <w:t>附件</w:t>
      </w:r>
      <w:r>
        <w:rPr>
          <w:rFonts w:hint="eastAsia" w:ascii="宋体" w:hAnsi="宋体" w:eastAsia="宋体"/>
          <w:b/>
          <w:bCs/>
          <w:sz w:val="24"/>
          <w:szCs w:val="24"/>
          <w:lang w:val="en-US" w:eastAsia="zh-CN"/>
        </w:rPr>
        <w:t>三</w:t>
      </w:r>
      <w:r>
        <w:rPr>
          <w:rFonts w:hint="eastAsia" w:ascii="宋体" w:hAnsi="宋体" w:eastAsia="宋体"/>
          <w:b/>
          <w:bCs/>
          <w:sz w:val="24"/>
          <w:szCs w:val="24"/>
        </w:rPr>
        <w:t>：</w:t>
      </w:r>
      <w:r>
        <w:rPr>
          <w:rFonts w:hint="eastAsia" w:ascii="宋体" w:hAnsi="宋体"/>
        </w:rPr>
        <w:t>阳光合作协议</w:t>
      </w:r>
    </w:p>
    <w:p w14:paraId="27B93CCD">
      <w:pPr>
        <w:pStyle w:val="2"/>
        <w:tabs>
          <w:tab w:val="left" w:pos="930"/>
        </w:tabs>
        <w:spacing w:before="120"/>
        <w:ind w:left="480" w:firstLine="480"/>
        <w:rPr>
          <w:rFonts w:ascii="宋体" w:hAnsi="宋体"/>
        </w:rPr>
      </w:pPr>
    </w:p>
    <w:p w14:paraId="569A3D5B">
      <w:pPr>
        <w:spacing w:line="360" w:lineRule="auto"/>
        <w:jc w:val="center"/>
        <w:rPr>
          <w:rFonts w:eastAsia="方正小标宋简体"/>
          <w:b/>
          <w:color w:val="000000"/>
          <w:sz w:val="44"/>
          <w:szCs w:val="44"/>
        </w:rPr>
      </w:pPr>
      <w:bookmarkStart w:id="16" w:name="_Toc23645_WPSOffice_Level1"/>
      <w:r>
        <w:rPr>
          <w:rFonts w:hint="eastAsia" w:eastAsia="方正小标宋简体"/>
          <w:b/>
          <w:color w:val="000000"/>
          <w:sz w:val="44"/>
          <w:szCs w:val="44"/>
        </w:rPr>
        <w:t>阳光合作协议</w:t>
      </w:r>
      <w:bookmarkEnd w:id="16"/>
    </w:p>
    <w:p w14:paraId="06CE9D74">
      <w:pPr>
        <w:spacing w:line="360" w:lineRule="auto"/>
        <w:rPr>
          <w:b/>
          <w:color w:val="000000"/>
          <w:sz w:val="28"/>
          <w:szCs w:val="28"/>
        </w:rPr>
      </w:pPr>
    </w:p>
    <w:p w14:paraId="5D26005E">
      <w:pPr>
        <w:spacing w:before="159" w:beforeLines="50" w:after="159" w:afterLines="50" w:line="360" w:lineRule="auto"/>
        <w:contextualSpacing/>
        <w:rPr>
          <w:color w:val="000000"/>
          <w:sz w:val="24"/>
          <w:szCs w:val="24"/>
        </w:rPr>
      </w:pPr>
      <w:r>
        <w:rPr>
          <w:rFonts w:hint="eastAsia"/>
          <w:color w:val="000000"/>
          <w:sz w:val="24"/>
          <w:szCs w:val="24"/>
        </w:rPr>
        <w:t>甲方（采购方全称）：</w:t>
      </w:r>
      <w:r>
        <w:rPr>
          <w:color w:val="000000"/>
          <w:sz w:val="24"/>
          <w:szCs w:val="24"/>
        </w:rPr>
        <w:t xml:space="preserve"> </w:t>
      </w:r>
      <w:r>
        <w:rPr>
          <w:rFonts w:hint="eastAsia"/>
          <w:color w:val="000000"/>
          <w:sz w:val="24"/>
          <w:szCs w:val="24"/>
        </w:rPr>
        <w:t>东莞市新东元环保投资有限公司</w:t>
      </w:r>
    </w:p>
    <w:p w14:paraId="183929D5">
      <w:pPr>
        <w:spacing w:line="360" w:lineRule="auto"/>
        <w:jc w:val="left"/>
      </w:pPr>
      <w:r>
        <w:rPr>
          <w:rFonts w:hint="eastAsia"/>
          <w:color w:val="000000"/>
          <w:sz w:val="24"/>
          <w:szCs w:val="24"/>
        </w:rPr>
        <w:t>乙方（供应方全称）：</w:t>
      </w:r>
      <w:r>
        <w:rPr>
          <w:color w:val="000000"/>
          <w:sz w:val="24"/>
          <w:szCs w:val="24"/>
        </w:rPr>
        <w:t xml:space="preserve">        </w:t>
      </w:r>
      <w:r>
        <w:rPr>
          <w:rFonts w:hint="eastAsia"/>
        </w:rPr>
        <w:t xml:space="preserve">    </w:t>
      </w:r>
    </w:p>
    <w:p w14:paraId="623E877C">
      <w:pPr>
        <w:kinsoku/>
        <w:autoSpaceDE/>
        <w:autoSpaceDN/>
        <w:adjustRightInd/>
        <w:snapToGrid/>
        <w:spacing w:before="120" w:beforeLines="50" w:after="120" w:afterLines="50" w:line="360" w:lineRule="auto"/>
        <w:ind w:firstLine="480" w:firstLineChars="200"/>
        <w:contextualSpacing/>
        <w:textAlignment w:val="auto"/>
        <w:rPr>
          <w:rFonts w:ascii="宋体"/>
          <w:color w:val="auto"/>
        </w:rPr>
      </w:pPr>
      <w:r>
        <w:rPr>
          <w:rFonts w:hint="eastAsia"/>
        </w:rPr>
        <w:t>甲乙双方于</w:t>
      </w:r>
      <w:r>
        <w:t>202</w:t>
      </w:r>
      <w:r>
        <w:rPr>
          <w:rFonts w:hint="eastAsia"/>
          <w:lang w:val="en-US" w:eastAsia="zh-CN"/>
        </w:rPr>
        <w:t>5</w:t>
      </w:r>
      <w:r>
        <w:rPr>
          <w:rFonts w:hint="eastAsia"/>
        </w:rPr>
        <w:t>年</w:t>
      </w:r>
      <w:r>
        <w:t xml:space="preserve">  </w:t>
      </w:r>
      <w:r>
        <w:rPr>
          <w:rFonts w:hint="eastAsia"/>
        </w:rPr>
        <w:t>月</w:t>
      </w:r>
      <w:r>
        <w:t xml:space="preserve">  </w:t>
      </w:r>
      <w:r>
        <w:rPr>
          <w:rFonts w:hint="eastAsia"/>
        </w:rPr>
        <w:t>日签署了</w:t>
      </w:r>
      <w:r>
        <w:rPr>
          <w:rFonts w:hint="eastAsia"/>
          <w:lang w:eastAsia="zh-CN"/>
        </w:rPr>
        <w:t>《东莞市海心沙资源综合利用中心环保热电厂2M专线改造及安防设备重新授权采购项目</w:t>
      </w:r>
      <w:r>
        <w:rPr>
          <w:rFonts w:hint="eastAsia"/>
        </w:rPr>
        <w:t>合同</w:t>
      </w:r>
      <w:r>
        <w:rPr>
          <w:rFonts w:hint="eastAsia"/>
          <w:lang w:eastAsia="zh-CN"/>
        </w:rPr>
        <w:t>》</w:t>
      </w:r>
      <w:r>
        <w:rPr>
          <w:rFonts w:hint="eastAsia" w:ascii="宋体" w:hAnsi="宋体"/>
          <w:color w:val="auto"/>
        </w:rPr>
        <w:t>，为加强双方阳光合作，保证职员职业安全，甲乙双方经协商签订本协议并作为双方共同遵守的阳光合作行为准则。</w:t>
      </w:r>
    </w:p>
    <w:p w14:paraId="3C0F8ABE">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一、</w:t>
      </w:r>
      <w:r>
        <w:rPr>
          <w:rFonts w:hint="eastAsia" w:ascii="宋体" w:hAnsi="宋体"/>
          <w:b/>
        </w:rPr>
        <w:t>甲方责任</w:t>
      </w:r>
    </w:p>
    <w:p w14:paraId="3868401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1.甲方有责任向乙方介绍本单位有关采购管理通用原则和本协议的规定。</w:t>
      </w:r>
    </w:p>
    <w:p w14:paraId="609F5E84">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2.甲方有责任对本单位相关人员进行阳光合作教育。</w:t>
      </w:r>
    </w:p>
    <w:p w14:paraId="7559A2B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5B13B38E">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4.甲方人员如违反阳光合作管理制度及本协议规定，甲方视情节轻重、影响大小给予行政及经济处罚。</w:t>
      </w:r>
    </w:p>
    <w:p w14:paraId="174CB8B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3D8146D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52346751">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二、</w:t>
      </w:r>
      <w:r>
        <w:rPr>
          <w:rFonts w:hint="eastAsia" w:ascii="宋体" w:hAnsi="宋体"/>
          <w:b/>
        </w:rPr>
        <w:t>乙方责任</w:t>
      </w:r>
    </w:p>
    <w:p w14:paraId="128206C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1.乙方应保证乙方人员了解甲方有关采购管理通用原则和及本协议的规定，并遵照执行。</w:t>
      </w:r>
    </w:p>
    <w:p w14:paraId="036DE05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1D9B238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1D2D05E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w:t>
      </w:r>
      <w:r>
        <w:rPr>
          <w:rFonts w:hint="eastAsia" w:ascii="宋体" w:hAnsi="宋体"/>
          <w:color w:val="auto"/>
          <w:lang w:val="en-US" w:eastAsia="zh-CN"/>
        </w:rPr>
        <w:t>法律合规</w:t>
      </w:r>
      <w:r>
        <w:rPr>
          <w:rFonts w:hint="eastAsia" w:ascii="宋体" w:hAnsi="宋体"/>
          <w:color w:val="auto"/>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2FB620FA">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5．甲方接受乙方实名或匿名举报，保证为举报者的信息保密，常设举报部门及电</w:t>
      </w:r>
      <w:r>
        <w:rPr>
          <w:rFonts w:hint="eastAsia" w:ascii="宋体" w:hAnsi="宋体" w:eastAsia="宋体"/>
          <w:color w:val="auto"/>
          <w:lang w:val="en-US" w:eastAsia="zh-CN"/>
        </w:rPr>
        <w:t>话</w:t>
      </w:r>
      <w:r>
        <w:rPr>
          <w:rFonts w:hint="eastAsia" w:ascii="宋体" w:hAnsi="宋体"/>
          <w:color w:val="auto"/>
        </w:rPr>
        <w:t xml:space="preserve">： </w:t>
      </w:r>
    </w:p>
    <w:p w14:paraId="54A139F3">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举报受理部门：东莞实业投资控股集团有限公司</w:t>
      </w:r>
      <w:r>
        <w:rPr>
          <w:rFonts w:hint="eastAsia" w:ascii="宋体" w:hAnsi="宋体"/>
          <w:color w:val="auto"/>
          <w:lang w:val="en-US" w:eastAsia="zh-CN"/>
        </w:rPr>
        <w:t>法律合规</w:t>
      </w:r>
      <w:r>
        <w:rPr>
          <w:rFonts w:hint="eastAsia" w:ascii="宋体" w:hAnsi="宋体"/>
          <w:color w:val="auto"/>
        </w:rPr>
        <w:t>部</w:t>
      </w:r>
    </w:p>
    <w:p w14:paraId="7D09EAA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东实集团举报邮箱：dgsyxf@163.com</w:t>
      </w:r>
    </w:p>
    <w:p w14:paraId="752CCA1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东实集团举报电话：0769-28820703（周一至周五9:00-12:00和14:00-18:00）</w:t>
      </w:r>
    </w:p>
    <w:p w14:paraId="355EF08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邮寄地址：东莞市东城区八一路1号机关二号大院9号楼，东莞实业投资控股集团有限公司</w:t>
      </w:r>
      <w:r>
        <w:rPr>
          <w:rFonts w:hint="eastAsia" w:ascii="宋体" w:hAnsi="宋体"/>
          <w:color w:val="auto"/>
          <w:lang w:val="en-US" w:eastAsia="zh-CN"/>
        </w:rPr>
        <w:t>法律合规</w:t>
      </w:r>
      <w:r>
        <w:rPr>
          <w:rFonts w:hint="eastAsia" w:ascii="宋体" w:hAnsi="宋体"/>
          <w:color w:val="auto"/>
        </w:rPr>
        <w:t>部收，邮编523000。</w:t>
      </w:r>
    </w:p>
    <w:p w14:paraId="502DE833">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三、</w:t>
      </w:r>
      <w:r>
        <w:rPr>
          <w:rFonts w:hint="eastAsia" w:ascii="宋体" w:hAnsi="宋体"/>
          <w:b/>
          <w:color w:val="auto"/>
        </w:rPr>
        <w:t>其他</w:t>
      </w:r>
    </w:p>
    <w:p w14:paraId="339CAEDC">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1.本协议是原合同的补充协议，与原合同有同等法律效力。</w:t>
      </w:r>
    </w:p>
    <w:p w14:paraId="6475A27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lang w:val="en-US" w:eastAsia="zh-CN"/>
        </w:rPr>
        <w:t>伍</w:t>
      </w:r>
      <w:r>
        <w:rPr>
          <w:rFonts w:ascii="宋体" w:hAnsi="宋体"/>
          <w:color w:val="auto"/>
        </w:rPr>
        <w:t>份，甲方执</w:t>
      </w:r>
      <w:r>
        <w:rPr>
          <w:rFonts w:hint="eastAsia" w:ascii="宋体" w:hAnsi="宋体"/>
          <w:color w:val="auto"/>
          <w:lang w:val="en-US" w:eastAsia="zh-CN"/>
        </w:rPr>
        <w:t>叁</w:t>
      </w:r>
      <w:r>
        <w:rPr>
          <w:rFonts w:ascii="宋体" w:hAnsi="宋体"/>
          <w:color w:val="auto"/>
        </w:rPr>
        <w:t>份，乙方执</w:t>
      </w:r>
      <w:r>
        <w:rPr>
          <w:rFonts w:hint="eastAsia" w:ascii="宋体" w:hAnsi="宋体"/>
          <w:color w:val="auto"/>
          <w:lang w:val="en-US" w:eastAsia="zh-CN"/>
        </w:rPr>
        <w:t>贰</w:t>
      </w:r>
      <w:r>
        <w:rPr>
          <w:rFonts w:ascii="宋体" w:hAnsi="宋体"/>
          <w:color w:val="auto"/>
        </w:rPr>
        <w:t>份</w:t>
      </w:r>
      <w:r>
        <w:rPr>
          <w:rFonts w:hint="eastAsia" w:ascii="宋体" w:hAnsi="宋体"/>
          <w:color w:val="auto"/>
        </w:rPr>
        <w:t>,具有同等法律效力。</w:t>
      </w:r>
    </w:p>
    <w:p w14:paraId="2BBA7519">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3.本协议经双方签署后生效。</w:t>
      </w:r>
    </w:p>
    <w:p w14:paraId="19873ED6">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CCA0C4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甲方（盖章）：                      乙方（盖章）：</w:t>
      </w:r>
      <w:r>
        <w:rPr>
          <w:rFonts w:ascii="宋体"/>
        </w:rPr>
        <w:t xml:space="preserve"> </w:t>
      </w:r>
    </w:p>
    <w:p w14:paraId="22A3601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6214CB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法定代表人（授权代表）：</w:t>
      </w:r>
      <w:r>
        <w:rPr>
          <w:rFonts w:hint="eastAsia" w:ascii="宋体"/>
        </w:rPr>
        <w:tab/>
      </w:r>
      <w:r>
        <w:rPr>
          <w:rFonts w:hint="eastAsia" w:ascii="宋体"/>
        </w:rPr>
        <w:tab/>
      </w:r>
      <w:r>
        <w:rPr>
          <w:rFonts w:hint="eastAsia" w:ascii="宋体"/>
        </w:rPr>
        <w:t xml:space="preserve">  </w:t>
      </w:r>
      <w:r>
        <w:rPr>
          <w:rFonts w:hint="eastAsia" w:ascii="宋体"/>
        </w:rPr>
        <w:tab/>
      </w:r>
      <w:r>
        <w:rPr>
          <w:rFonts w:hint="eastAsia" w:ascii="宋体"/>
        </w:rPr>
        <w:t xml:space="preserve">   </w:t>
      </w:r>
      <w:r>
        <w:rPr>
          <w:rFonts w:hint="eastAsia" w:ascii="宋体"/>
          <w:lang w:val="en-US" w:eastAsia="zh-CN"/>
        </w:rPr>
        <w:t xml:space="preserve">  </w:t>
      </w:r>
      <w:r>
        <w:rPr>
          <w:rFonts w:hint="eastAsia" w:ascii="宋体" w:hAnsi="宋体"/>
        </w:rPr>
        <w:t>法定代表人（授权代表）：</w:t>
      </w:r>
    </w:p>
    <w:p w14:paraId="450BB8F1">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A66693A">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pPr>
      <w:r>
        <w:rPr>
          <w:rFonts w:hint="eastAsia" w:ascii="宋体" w:hAnsi="宋体"/>
        </w:rPr>
        <w:t>签约日期：</w:t>
      </w:r>
      <w:r>
        <w:rPr>
          <w:rFonts w:hint="eastAsia" w:ascii="宋体" w:hAnsi="宋体"/>
          <w:lang w:val="en-US" w:eastAsia="zh-CN"/>
        </w:rPr>
        <w:t>2025</w:t>
      </w:r>
      <w:r>
        <w:rPr>
          <w:rFonts w:hint="eastAsia" w:ascii="宋体" w:hAnsi="宋体"/>
        </w:rPr>
        <w:t>年   月   日</w:t>
      </w:r>
      <w:bookmarkStart w:id="17" w:name="现场签证通知单"/>
      <w:bookmarkEnd w:id="17"/>
      <w:bookmarkStart w:id="18" w:name="设计变更通知单"/>
      <w:bookmarkEnd w:id="18"/>
      <w:r>
        <w:tab/>
      </w:r>
      <w:r>
        <w:t xml:space="preserve">    </w:t>
      </w:r>
      <w:r>
        <w:rPr>
          <w:rFonts w:hint="eastAsia"/>
        </w:rPr>
        <w:t xml:space="preserve">   </w:t>
      </w:r>
      <w:r>
        <w:rPr>
          <w:rFonts w:hint="eastAsia" w:ascii="宋体" w:hAnsi="宋体"/>
        </w:rPr>
        <w:t>签约日期：</w:t>
      </w:r>
      <w:r>
        <w:rPr>
          <w:rFonts w:hint="eastAsia" w:ascii="宋体" w:hAnsi="宋体"/>
          <w:lang w:val="en-US" w:eastAsia="zh-CN"/>
        </w:rPr>
        <w:t>2025</w:t>
      </w:r>
      <w:r>
        <w:rPr>
          <w:rFonts w:hint="eastAsia" w:ascii="宋体" w:hAnsi="宋体"/>
        </w:rPr>
        <w:t>年   月   日</w:t>
      </w:r>
    </w:p>
    <w:p w14:paraId="4BF719D3">
      <w:pPr>
        <w:spacing w:before="120"/>
      </w:pPr>
    </w:p>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Vivaldi">
    <w:panose1 w:val="03020602050506090804"/>
    <w:charset w:val="00"/>
    <w:family w:val="script"/>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B153">
    <w:pPr>
      <w:pStyle w:val="32"/>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BAFDC">
    <w:pPr>
      <w:pStyle w:val="32"/>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BB4B">
    <w:pPr>
      <w:pStyle w:val="32"/>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C994">
    <w:pPr>
      <w:pStyle w:val="32"/>
      <w:spacing w:before="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5EEFF5A0">
                          <w:pPr>
                            <w:pStyle w:val="32"/>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5EEFF5A0">
                    <w:pPr>
                      <w:pStyle w:val="32"/>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D4B1">
    <w:pPr>
      <w:pStyle w:val="32"/>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E2F1">
    <w:pPr>
      <w:pStyle w:val="32"/>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D81AD">
    <w:pPr>
      <w:pStyle w:val="32"/>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79ADC">
    <w:pPr>
      <w:pStyle w:val="33"/>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BC269">
    <w:pPr>
      <w:pStyle w:val="33"/>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495F">
    <w:pPr>
      <w:pStyle w:val="33"/>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8B1A">
    <w:pPr>
      <w:pStyle w:val="33"/>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6BA1">
    <w:pPr>
      <w:pStyle w:val="33"/>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9E606">
    <w:pPr>
      <w:pStyle w:val="33"/>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E7680"/>
    <w:multiLevelType w:val="singleLevel"/>
    <w:tmpl w:val="8AAE7680"/>
    <w:lvl w:ilvl="0" w:tentative="0">
      <w:start w:val="1"/>
      <w:numFmt w:val="decimal"/>
      <w:lvlText w:val="%1)"/>
      <w:lvlJc w:val="left"/>
      <w:pPr>
        <w:ind w:left="425" w:hanging="425"/>
      </w:pPr>
      <w:rPr>
        <w:rFonts w:hint="default"/>
      </w:rPr>
    </w:lvl>
  </w:abstractNum>
  <w:abstractNum w:abstractNumId="1">
    <w:nsid w:val="AD2819AC"/>
    <w:multiLevelType w:val="singleLevel"/>
    <w:tmpl w:val="AD2819AC"/>
    <w:lvl w:ilvl="0" w:tentative="0">
      <w:start w:val="1"/>
      <w:numFmt w:val="decimal"/>
      <w:lvlText w:val="%1."/>
      <w:lvlJc w:val="left"/>
      <w:pPr>
        <w:ind w:left="425" w:hanging="425"/>
      </w:pPr>
      <w:rPr>
        <w:rFonts w:hint="default"/>
      </w:rPr>
    </w:lvl>
  </w:abstractNum>
  <w:abstractNum w:abstractNumId="2">
    <w:nsid w:val="C27DD8A2"/>
    <w:multiLevelType w:val="singleLevel"/>
    <w:tmpl w:val="C27DD8A2"/>
    <w:lvl w:ilvl="0" w:tentative="0">
      <w:start w:val="1"/>
      <w:numFmt w:val="none"/>
      <w:lvlText w:val="9."/>
      <w:lvlJc w:val="left"/>
      <w:pPr>
        <w:tabs>
          <w:tab w:val="left" w:pos="420"/>
        </w:tabs>
        <w:ind w:left="425" w:hanging="425"/>
      </w:pPr>
      <w:rPr>
        <w:rFonts w:hint="default"/>
      </w:rPr>
    </w:lvl>
  </w:abstractNum>
  <w:abstractNum w:abstractNumId="3">
    <w:nsid w:val="D2923793"/>
    <w:multiLevelType w:val="singleLevel"/>
    <w:tmpl w:val="D2923793"/>
    <w:lvl w:ilvl="0" w:tentative="0">
      <w:start w:val="1"/>
      <w:numFmt w:val="none"/>
      <w:lvlText w:val="11."/>
      <w:lvlJc w:val="left"/>
      <w:pPr>
        <w:tabs>
          <w:tab w:val="left" w:pos="420"/>
        </w:tabs>
        <w:ind w:left="425" w:hanging="425"/>
      </w:pPr>
      <w:rPr>
        <w:rFonts w:hint="default"/>
      </w:rPr>
    </w:lvl>
  </w:abstractNum>
  <w:abstractNum w:abstractNumId="4">
    <w:nsid w:val="D87EF04F"/>
    <w:multiLevelType w:val="singleLevel"/>
    <w:tmpl w:val="D87EF04F"/>
    <w:lvl w:ilvl="0" w:tentative="0">
      <w:start w:val="1"/>
      <w:numFmt w:val="chineseCounting"/>
      <w:suff w:val="nothing"/>
      <w:lvlText w:val="（%1）"/>
      <w:lvlJc w:val="left"/>
      <w:pPr>
        <w:ind w:left="0" w:firstLine="420"/>
      </w:pPr>
      <w:rPr>
        <w:rFonts w:hint="eastAsia"/>
      </w:rPr>
    </w:lvl>
  </w:abstractNum>
  <w:abstractNum w:abstractNumId="5">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6">
    <w:nsid w:val="063373CA"/>
    <w:multiLevelType w:val="multilevel"/>
    <w:tmpl w:val="063373CA"/>
    <w:lvl w:ilvl="0" w:tentative="0">
      <w:start w:val="1"/>
      <w:numFmt w:val="decimal"/>
      <w:lvlText w:val="%1)"/>
      <w:lvlJc w:val="left"/>
      <w:pPr>
        <w:tabs>
          <w:tab w:val="left" w:pos="1848"/>
        </w:tabs>
        <w:ind w:left="1848"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B957E8"/>
    <w:multiLevelType w:val="multilevel"/>
    <w:tmpl w:val="08B957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5249B9"/>
    <w:multiLevelType w:val="multilevel"/>
    <w:tmpl w:val="145249B9"/>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27AA7115"/>
    <w:multiLevelType w:val="multilevel"/>
    <w:tmpl w:val="27AA71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84A5AE6"/>
    <w:multiLevelType w:val="multilevel"/>
    <w:tmpl w:val="284A5A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2F0E49"/>
    <w:multiLevelType w:val="multilevel"/>
    <w:tmpl w:val="2E2F0E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048E292"/>
    <w:multiLevelType w:val="singleLevel"/>
    <w:tmpl w:val="3048E292"/>
    <w:lvl w:ilvl="0" w:tentative="0">
      <w:start w:val="1"/>
      <w:numFmt w:val="none"/>
      <w:lvlText w:val="10."/>
      <w:lvlJc w:val="left"/>
      <w:pPr>
        <w:tabs>
          <w:tab w:val="left" w:pos="420"/>
        </w:tabs>
        <w:ind w:left="425" w:hanging="425"/>
      </w:pPr>
      <w:rPr>
        <w:rFonts w:hint="default"/>
      </w:rPr>
    </w:lvl>
  </w:abstractNum>
  <w:abstractNum w:abstractNumId="14">
    <w:nsid w:val="3E9C347D"/>
    <w:multiLevelType w:val="multilevel"/>
    <w:tmpl w:val="3E9C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0F54389"/>
    <w:multiLevelType w:val="multilevel"/>
    <w:tmpl w:val="40F543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AE62E51"/>
    <w:multiLevelType w:val="multilevel"/>
    <w:tmpl w:val="4AE62E51"/>
    <w:lvl w:ilvl="0" w:tentative="0">
      <w:start w:val="1"/>
      <w:numFmt w:val="decimal"/>
      <w:lvlText w:val="%1."/>
      <w:lvlJc w:val="left"/>
      <w:pPr>
        <w:ind w:left="1129" w:hanging="420"/>
      </w:pPr>
    </w:lvl>
    <w:lvl w:ilvl="1" w:tentative="0">
      <w:start w:val="1"/>
      <w:numFmt w:val="decimal"/>
      <w:lvlText w:val="%2."/>
      <w:lvlJc w:val="left"/>
      <w:pPr>
        <w:tabs>
          <w:tab w:val="left" w:pos="1368"/>
        </w:tabs>
        <w:ind w:left="1368" w:hanging="360"/>
      </w:pPr>
      <w:rPr>
        <w:rFonts w:hint="default"/>
      </w:rPr>
    </w:lvl>
    <w:lvl w:ilvl="2" w:tentative="0">
      <w:start w:val="1"/>
      <w:numFmt w:val="bullet"/>
      <w:lvlText w:val=""/>
      <w:lvlJc w:val="left"/>
      <w:pPr>
        <w:tabs>
          <w:tab w:val="left" w:pos="1848"/>
        </w:tabs>
        <w:ind w:left="1848" w:hanging="420"/>
      </w:pPr>
      <w:rPr>
        <w:rFonts w:hint="default" w:ascii="Wingdings" w:hAnsi="Wingdings"/>
      </w:rPr>
    </w:lvl>
    <w:lvl w:ilvl="3" w:tentative="0">
      <w:start w:val="1"/>
      <w:numFmt w:val="bullet"/>
      <w:lvlText w:val="—"/>
      <w:lvlJc w:val="left"/>
      <w:pPr>
        <w:tabs>
          <w:tab w:val="left" w:pos="2268"/>
        </w:tabs>
        <w:ind w:left="2268" w:hanging="420"/>
      </w:pPr>
      <w:rPr>
        <w:rFonts w:hint="default" w:ascii="Vivaldi" w:hAnsi="Vivaldi"/>
      </w:rPr>
    </w:lvl>
    <w:lvl w:ilvl="4" w:tentative="0">
      <w:start w:val="6"/>
      <w:numFmt w:val="decimal"/>
      <w:lvlText w:val="%5)"/>
      <w:lvlJc w:val="left"/>
      <w:pPr>
        <w:tabs>
          <w:tab w:val="left" w:pos="2688"/>
        </w:tabs>
        <w:ind w:left="2688" w:hanging="420"/>
      </w:pPr>
      <w:rPr>
        <w:rFonts w:hint="eastAsia"/>
      </w:r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abstractNum w:abstractNumId="17">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18">
    <w:nsid w:val="5142289F"/>
    <w:multiLevelType w:val="multilevel"/>
    <w:tmpl w:val="514228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932DD5"/>
    <w:multiLevelType w:val="multilevel"/>
    <w:tmpl w:val="55932D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5A72853"/>
    <w:multiLevelType w:val="multilevel"/>
    <w:tmpl w:val="55A7285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67E6C43"/>
    <w:multiLevelType w:val="multilevel"/>
    <w:tmpl w:val="567E6C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5FB902D1"/>
    <w:multiLevelType w:val="multilevel"/>
    <w:tmpl w:val="5FB902D1"/>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82E7D62"/>
    <w:multiLevelType w:val="multilevel"/>
    <w:tmpl w:val="682E7D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C816579"/>
    <w:multiLevelType w:val="multilevel"/>
    <w:tmpl w:val="6C8165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abstractNum w:abstractNumId="27">
    <w:nsid w:val="71940EDB"/>
    <w:multiLevelType w:val="multilevel"/>
    <w:tmpl w:val="71940E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39315A4"/>
    <w:multiLevelType w:val="multilevel"/>
    <w:tmpl w:val="739315A4"/>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4EC6053"/>
    <w:multiLevelType w:val="multilevel"/>
    <w:tmpl w:val="74EC6053"/>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EA970C7"/>
    <w:multiLevelType w:val="multilevel"/>
    <w:tmpl w:val="7EA970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F50071B"/>
    <w:multiLevelType w:val="multilevel"/>
    <w:tmpl w:val="7F50071B"/>
    <w:lvl w:ilvl="0" w:tentative="0">
      <w:start w:val="1"/>
      <w:numFmt w:val="decimal"/>
      <w:lvlText w:val="%1."/>
      <w:lvlJc w:val="left"/>
      <w:pPr>
        <w:ind w:left="1129" w:hanging="420"/>
      </w:pPr>
    </w:lvl>
    <w:lvl w:ilvl="1" w:tentative="0">
      <w:start w:val="1"/>
      <w:numFmt w:val="decimal"/>
      <w:lvlText w:val="%2）"/>
      <w:lvlJc w:val="left"/>
      <w:pPr>
        <w:tabs>
          <w:tab w:val="left" w:pos="1368"/>
        </w:tabs>
        <w:ind w:left="1368" w:hanging="360"/>
      </w:pPr>
      <w:rPr>
        <w:rFonts w:hint="default"/>
      </w:rPr>
    </w:lvl>
    <w:lvl w:ilvl="2" w:tentative="0">
      <w:start w:val="1"/>
      <w:numFmt w:val="bullet"/>
      <w:lvlText w:val=""/>
      <w:lvlJc w:val="left"/>
      <w:pPr>
        <w:tabs>
          <w:tab w:val="left" w:pos="1848"/>
        </w:tabs>
        <w:ind w:left="1848" w:hanging="420"/>
      </w:pPr>
      <w:rPr>
        <w:rFonts w:hint="default" w:ascii="Wingdings" w:hAnsi="Wingdings"/>
      </w:rPr>
    </w:lvl>
    <w:lvl w:ilvl="3" w:tentative="0">
      <w:start w:val="1"/>
      <w:numFmt w:val="decimal"/>
      <w:lvlText w:val="（%4）"/>
      <w:lvlJc w:val="left"/>
      <w:pPr>
        <w:tabs>
          <w:tab w:val="left" w:pos="2268"/>
        </w:tabs>
        <w:ind w:left="2268" w:hanging="420"/>
      </w:pPr>
      <w:rPr>
        <w:rFonts w:hint="default"/>
      </w:rPr>
    </w:lvl>
    <w:lvl w:ilvl="4" w:tentative="0">
      <w:start w:val="6"/>
      <w:numFmt w:val="decimal"/>
      <w:lvlText w:val="%5)"/>
      <w:lvlJc w:val="left"/>
      <w:pPr>
        <w:tabs>
          <w:tab w:val="left" w:pos="2688"/>
        </w:tabs>
        <w:ind w:left="2688" w:hanging="420"/>
      </w:pPr>
      <w:rPr>
        <w:rFonts w:hint="eastAsia"/>
      </w:r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num w:numId="1">
    <w:abstractNumId w:val="22"/>
  </w:num>
  <w:num w:numId="2">
    <w:abstractNumId w:val="26"/>
  </w:num>
  <w:num w:numId="3">
    <w:abstractNumId w:val="9"/>
  </w:num>
  <w:num w:numId="4">
    <w:abstractNumId w:val="17"/>
  </w:num>
  <w:num w:numId="5">
    <w:abstractNumId w:val="5"/>
  </w:num>
  <w:num w:numId="6">
    <w:abstractNumId w:val="4"/>
  </w:num>
  <w:num w:numId="7">
    <w:abstractNumId w:val="29"/>
  </w:num>
  <w:num w:numId="8">
    <w:abstractNumId w:val="8"/>
  </w:num>
  <w:num w:numId="9">
    <w:abstractNumId w:val="25"/>
  </w:num>
  <w:num w:numId="10">
    <w:abstractNumId w:val="10"/>
  </w:num>
  <w:num w:numId="11">
    <w:abstractNumId w:val="7"/>
  </w:num>
  <w:num w:numId="12">
    <w:abstractNumId w:val="23"/>
  </w:num>
  <w:num w:numId="13">
    <w:abstractNumId w:val="15"/>
  </w:num>
  <w:num w:numId="14">
    <w:abstractNumId w:val="19"/>
  </w:num>
  <w:num w:numId="15">
    <w:abstractNumId w:val="14"/>
  </w:num>
  <w:num w:numId="16">
    <w:abstractNumId w:val="28"/>
  </w:num>
  <w:num w:numId="17">
    <w:abstractNumId w:val="21"/>
  </w:num>
  <w:num w:numId="18">
    <w:abstractNumId w:val="24"/>
  </w:num>
  <w:num w:numId="19">
    <w:abstractNumId w:val="27"/>
  </w:num>
  <w:num w:numId="20">
    <w:abstractNumId w:val="18"/>
  </w:num>
  <w:num w:numId="21">
    <w:abstractNumId w:val="12"/>
  </w:num>
  <w:num w:numId="22">
    <w:abstractNumId w:val="20"/>
  </w:num>
  <w:num w:numId="23">
    <w:abstractNumId w:val="11"/>
  </w:num>
  <w:num w:numId="24">
    <w:abstractNumId w:val="30"/>
  </w:num>
  <w:num w:numId="25">
    <w:abstractNumId w:val="1"/>
  </w:num>
  <w:num w:numId="26">
    <w:abstractNumId w:val="31"/>
  </w:num>
  <w:num w:numId="27">
    <w:abstractNumId w:val="2"/>
  </w:num>
  <w:num w:numId="28">
    <w:abstractNumId w:val="6"/>
  </w:num>
  <w:num w:numId="29">
    <w:abstractNumId w:val="13"/>
  </w:num>
  <w:num w:numId="30">
    <w:abstractNumId w:val="0"/>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MTFkMDI3ZjBmZjczM2Q3M2EwOGI5M2VjYzUzMDk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4CB0"/>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7236"/>
    <w:rsid w:val="00FC7865"/>
    <w:rsid w:val="00FD2D5A"/>
    <w:rsid w:val="00FE22BE"/>
    <w:rsid w:val="00FE31C5"/>
    <w:rsid w:val="00FE7D2C"/>
    <w:rsid w:val="00FF06F0"/>
    <w:rsid w:val="00FF6FC6"/>
    <w:rsid w:val="00FF7556"/>
    <w:rsid w:val="01185E6B"/>
    <w:rsid w:val="01C16D6E"/>
    <w:rsid w:val="02F71580"/>
    <w:rsid w:val="03D7671D"/>
    <w:rsid w:val="04622147"/>
    <w:rsid w:val="04CB26B7"/>
    <w:rsid w:val="05264E69"/>
    <w:rsid w:val="054961CF"/>
    <w:rsid w:val="057B0CF5"/>
    <w:rsid w:val="057C2E83"/>
    <w:rsid w:val="05A30F1F"/>
    <w:rsid w:val="05A35B11"/>
    <w:rsid w:val="05CF0384"/>
    <w:rsid w:val="05E675D9"/>
    <w:rsid w:val="066628A8"/>
    <w:rsid w:val="06855A4E"/>
    <w:rsid w:val="06AD17A9"/>
    <w:rsid w:val="06EA49B3"/>
    <w:rsid w:val="08127882"/>
    <w:rsid w:val="08321448"/>
    <w:rsid w:val="08B7263C"/>
    <w:rsid w:val="093A6551"/>
    <w:rsid w:val="095424B6"/>
    <w:rsid w:val="09A14FB0"/>
    <w:rsid w:val="0A12001B"/>
    <w:rsid w:val="0A4A3863"/>
    <w:rsid w:val="0AA221DA"/>
    <w:rsid w:val="0B4732CE"/>
    <w:rsid w:val="0BE35B73"/>
    <w:rsid w:val="0C0E5344"/>
    <w:rsid w:val="0CA239C8"/>
    <w:rsid w:val="0CD54276"/>
    <w:rsid w:val="0D350DE1"/>
    <w:rsid w:val="0D422387"/>
    <w:rsid w:val="0D7A4A46"/>
    <w:rsid w:val="0D8A4B9A"/>
    <w:rsid w:val="0DAA0D03"/>
    <w:rsid w:val="0DE77DD1"/>
    <w:rsid w:val="0E674286"/>
    <w:rsid w:val="0E7E3DF2"/>
    <w:rsid w:val="0E8404DC"/>
    <w:rsid w:val="0E9B3219"/>
    <w:rsid w:val="0F3D6293"/>
    <w:rsid w:val="0F3F5F47"/>
    <w:rsid w:val="0F64775C"/>
    <w:rsid w:val="0FF8457D"/>
    <w:rsid w:val="10980124"/>
    <w:rsid w:val="10E937C3"/>
    <w:rsid w:val="11893C2E"/>
    <w:rsid w:val="118C2F9A"/>
    <w:rsid w:val="119E7A6E"/>
    <w:rsid w:val="11E838BD"/>
    <w:rsid w:val="127B7EBF"/>
    <w:rsid w:val="12C91B7D"/>
    <w:rsid w:val="12CC1500"/>
    <w:rsid w:val="12ED103D"/>
    <w:rsid w:val="12EF215A"/>
    <w:rsid w:val="137837D5"/>
    <w:rsid w:val="13E96481"/>
    <w:rsid w:val="13E966D7"/>
    <w:rsid w:val="15E904EC"/>
    <w:rsid w:val="161D35C4"/>
    <w:rsid w:val="16E32FB8"/>
    <w:rsid w:val="17351F8D"/>
    <w:rsid w:val="17617865"/>
    <w:rsid w:val="17BC5001"/>
    <w:rsid w:val="181910A0"/>
    <w:rsid w:val="185D2F9A"/>
    <w:rsid w:val="186B0413"/>
    <w:rsid w:val="18AF0451"/>
    <w:rsid w:val="190A364B"/>
    <w:rsid w:val="1996012B"/>
    <w:rsid w:val="19A86E39"/>
    <w:rsid w:val="19D87E0C"/>
    <w:rsid w:val="19FF69FF"/>
    <w:rsid w:val="1A7647E7"/>
    <w:rsid w:val="1AEA1107"/>
    <w:rsid w:val="1B005993"/>
    <w:rsid w:val="1B6373E0"/>
    <w:rsid w:val="1BFA5CF3"/>
    <w:rsid w:val="1C3A0B86"/>
    <w:rsid w:val="1CC57360"/>
    <w:rsid w:val="1D046CBC"/>
    <w:rsid w:val="1D130BE5"/>
    <w:rsid w:val="1D277FFB"/>
    <w:rsid w:val="1D896844"/>
    <w:rsid w:val="1E9E000F"/>
    <w:rsid w:val="1EC20311"/>
    <w:rsid w:val="1EE91A2B"/>
    <w:rsid w:val="1EF030AE"/>
    <w:rsid w:val="1F1E2764"/>
    <w:rsid w:val="1F5D7D23"/>
    <w:rsid w:val="2130423F"/>
    <w:rsid w:val="215317CD"/>
    <w:rsid w:val="21BD6CCF"/>
    <w:rsid w:val="23314DDF"/>
    <w:rsid w:val="23FE6FD1"/>
    <w:rsid w:val="2418312D"/>
    <w:rsid w:val="24A361D8"/>
    <w:rsid w:val="24AB3089"/>
    <w:rsid w:val="24E0742D"/>
    <w:rsid w:val="253569B8"/>
    <w:rsid w:val="258D3FCB"/>
    <w:rsid w:val="259C4D58"/>
    <w:rsid w:val="261F65FD"/>
    <w:rsid w:val="26515BC8"/>
    <w:rsid w:val="26747525"/>
    <w:rsid w:val="268B34BD"/>
    <w:rsid w:val="269009DE"/>
    <w:rsid w:val="26AF390F"/>
    <w:rsid w:val="26F22A50"/>
    <w:rsid w:val="2753038A"/>
    <w:rsid w:val="277117DF"/>
    <w:rsid w:val="277D18E8"/>
    <w:rsid w:val="27DB190D"/>
    <w:rsid w:val="293D0CDF"/>
    <w:rsid w:val="29821A47"/>
    <w:rsid w:val="29BD4C05"/>
    <w:rsid w:val="29CC61D1"/>
    <w:rsid w:val="29F80D74"/>
    <w:rsid w:val="2A9A4881"/>
    <w:rsid w:val="2AF6189F"/>
    <w:rsid w:val="2B2922BB"/>
    <w:rsid w:val="2B4548C5"/>
    <w:rsid w:val="2B6A6C85"/>
    <w:rsid w:val="2B8C79C6"/>
    <w:rsid w:val="2BA50D37"/>
    <w:rsid w:val="2C222D0F"/>
    <w:rsid w:val="2C2B6E73"/>
    <w:rsid w:val="2C876482"/>
    <w:rsid w:val="2CBA2011"/>
    <w:rsid w:val="2D0D506D"/>
    <w:rsid w:val="2D750DC5"/>
    <w:rsid w:val="2D7947A6"/>
    <w:rsid w:val="2DE17253"/>
    <w:rsid w:val="2E6171BA"/>
    <w:rsid w:val="2EF91839"/>
    <w:rsid w:val="2FD50595"/>
    <w:rsid w:val="30185CCC"/>
    <w:rsid w:val="30837CDD"/>
    <w:rsid w:val="30F66BB1"/>
    <w:rsid w:val="310D15A9"/>
    <w:rsid w:val="317F1A54"/>
    <w:rsid w:val="31A071D6"/>
    <w:rsid w:val="31C64CA0"/>
    <w:rsid w:val="31C93411"/>
    <w:rsid w:val="32504B42"/>
    <w:rsid w:val="32A90DD9"/>
    <w:rsid w:val="32AF5BAB"/>
    <w:rsid w:val="330D6A25"/>
    <w:rsid w:val="338D0CCC"/>
    <w:rsid w:val="341C2A49"/>
    <w:rsid w:val="342047F4"/>
    <w:rsid w:val="343063EC"/>
    <w:rsid w:val="34600516"/>
    <w:rsid w:val="347D2FEF"/>
    <w:rsid w:val="34A35C8A"/>
    <w:rsid w:val="34B91844"/>
    <w:rsid w:val="3511009F"/>
    <w:rsid w:val="356B5CAD"/>
    <w:rsid w:val="35D50CAB"/>
    <w:rsid w:val="35F44AE6"/>
    <w:rsid w:val="3600556A"/>
    <w:rsid w:val="36280A77"/>
    <w:rsid w:val="365D4FC6"/>
    <w:rsid w:val="36897924"/>
    <w:rsid w:val="369E3E6A"/>
    <w:rsid w:val="37273501"/>
    <w:rsid w:val="37414EE7"/>
    <w:rsid w:val="37733392"/>
    <w:rsid w:val="37763BA2"/>
    <w:rsid w:val="37AF289D"/>
    <w:rsid w:val="37BA5695"/>
    <w:rsid w:val="37D916D8"/>
    <w:rsid w:val="37F00CC4"/>
    <w:rsid w:val="37FC59AD"/>
    <w:rsid w:val="385B17A2"/>
    <w:rsid w:val="38776B9A"/>
    <w:rsid w:val="38AF316F"/>
    <w:rsid w:val="38F54890"/>
    <w:rsid w:val="39033292"/>
    <w:rsid w:val="392B247B"/>
    <w:rsid w:val="3999584A"/>
    <w:rsid w:val="3A121204"/>
    <w:rsid w:val="3A440A28"/>
    <w:rsid w:val="3AA00696"/>
    <w:rsid w:val="3AD24545"/>
    <w:rsid w:val="3AD80437"/>
    <w:rsid w:val="3B036BE7"/>
    <w:rsid w:val="3B5B038D"/>
    <w:rsid w:val="3B5F2AD3"/>
    <w:rsid w:val="3B9403C6"/>
    <w:rsid w:val="3B97077E"/>
    <w:rsid w:val="3BC23B67"/>
    <w:rsid w:val="3CC33464"/>
    <w:rsid w:val="3D033CA2"/>
    <w:rsid w:val="3D8373F3"/>
    <w:rsid w:val="3E0C37D6"/>
    <w:rsid w:val="3F3F2027"/>
    <w:rsid w:val="3F4141E4"/>
    <w:rsid w:val="3FA54285"/>
    <w:rsid w:val="3FAE0274"/>
    <w:rsid w:val="3FFF507D"/>
    <w:rsid w:val="40427790"/>
    <w:rsid w:val="409158D4"/>
    <w:rsid w:val="40A1586A"/>
    <w:rsid w:val="40BC4452"/>
    <w:rsid w:val="41543F87"/>
    <w:rsid w:val="41855690"/>
    <w:rsid w:val="419E00B9"/>
    <w:rsid w:val="41DE7C3B"/>
    <w:rsid w:val="428B4A24"/>
    <w:rsid w:val="42AF4664"/>
    <w:rsid w:val="42CB5C59"/>
    <w:rsid w:val="4379487C"/>
    <w:rsid w:val="43C773AF"/>
    <w:rsid w:val="445C6183"/>
    <w:rsid w:val="449B7D7B"/>
    <w:rsid w:val="454E1116"/>
    <w:rsid w:val="46037BE1"/>
    <w:rsid w:val="462C5BD6"/>
    <w:rsid w:val="4671642F"/>
    <w:rsid w:val="46A872A9"/>
    <w:rsid w:val="46BB472D"/>
    <w:rsid w:val="47377C56"/>
    <w:rsid w:val="47E9474F"/>
    <w:rsid w:val="484C4096"/>
    <w:rsid w:val="48562C83"/>
    <w:rsid w:val="48C44DA1"/>
    <w:rsid w:val="48F84EE1"/>
    <w:rsid w:val="493030F5"/>
    <w:rsid w:val="4932421A"/>
    <w:rsid w:val="49325BF9"/>
    <w:rsid w:val="497B1D8E"/>
    <w:rsid w:val="49B93C25"/>
    <w:rsid w:val="4A2B54F7"/>
    <w:rsid w:val="4A4E6A63"/>
    <w:rsid w:val="4A800D54"/>
    <w:rsid w:val="4A9B332A"/>
    <w:rsid w:val="4AA75C70"/>
    <w:rsid w:val="4AA76173"/>
    <w:rsid w:val="4AC7603E"/>
    <w:rsid w:val="4ADB6797"/>
    <w:rsid w:val="4B4C237C"/>
    <w:rsid w:val="4B68037D"/>
    <w:rsid w:val="4BA62077"/>
    <w:rsid w:val="4BD91028"/>
    <w:rsid w:val="4C5C37E2"/>
    <w:rsid w:val="4C5E42D2"/>
    <w:rsid w:val="4DC4578B"/>
    <w:rsid w:val="4E507EBE"/>
    <w:rsid w:val="4E7F0FFB"/>
    <w:rsid w:val="4EEC17B6"/>
    <w:rsid w:val="4F390BD3"/>
    <w:rsid w:val="500137A2"/>
    <w:rsid w:val="500C7C04"/>
    <w:rsid w:val="50114E25"/>
    <w:rsid w:val="50445C50"/>
    <w:rsid w:val="5051584E"/>
    <w:rsid w:val="50A519B9"/>
    <w:rsid w:val="50AB7180"/>
    <w:rsid w:val="50FE0AB7"/>
    <w:rsid w:val="516A34B7"/>
    <w:rsid w:val="51D26EE6"/>
    <w:rsid w:val="52591BFD"/>
    <w:rsid w:val="54225486"/>
    <w:rsid w:val="54517751"/>
    <w:rsid w:val="54595AAF"/>
    <w:rsid w:val="5468240D"/>
    <w:rsid w:val="54FA711C"/>
    <w:rsid w:val="554271C4"/>
    <w:rsid w:val="5598564B"/>
    <w:rsid w:val="559D40A9"/>
    <w:rsid w:val="55A411C8"/>
    <w:rsid w:val="55BA7B6C"/>
    <w:rsid w:val="5650772A"/>
    <w:rsid w:val="569C4220"/>
    <w:rsid w:val="56CF4ABA"/>
    <w:rsid w:val="577A2A68"/>
    <w:rsid w:val="57961D82"/>
    <w:rsid w:val="57A56CA7"/>
    <w:rsid w:val="585C67EF"/>
    <w:rsid w:val="58661700"/>
    <w:rsid w:val="588A1E31"/>
    <w:rsid w:val="59BE4E8D"/>
    <w:rsid w:val="5A541CEC"/>
    <w:rsid w:val="5A9E3304"/>
    <w:rsid w:val="5B7454FD"/>
    <w:rsid w:val="5BA24215"/>
    <w:rsid w:val="5BB61A63"/>
    <w:rsid w:val="5C19274C"/>
    <w:rsid w:val="5C474125"/>
    <w:rsid w:val="5C5F7F06"/>
    <w:rsid w:val="5C8701BA"/>
    <w:rsid w:val="5C94133A"/>
    <w:rsid w:val="5CA77CF1"/>
    <w:rsid w:val="5D0D6F39"/>
    <w:rsid w:val="5D4D42DE"/>
    <w:rsid w:val="5D716E9C"/>
    <w:rsid w:val="5E492C7B"/>
    <w:rsid w:val="5E4F2952"/>
    <w:rsid w:val="5E970A1C"/>
    <w:rsid w:val="5F7A5C9D"/>
    <w:rsid w:val="5FD749AD"/>
    <w:rsid w:val="6050696E"/>
    <w:rsid w:val="607057AF"/>
    <w:rsid w:val="60914018"/>
    <w:rsid w:val="609B71E7"/>
    <w:rsid w:val="60B83C9C"/>
    <w:rsid w:val="60F90469"/>
    <w:rsid w:val="612E3B80"/>
    <w:rsid w:val="6172022C"/>
    <w:rsid w:val="619A00FB"/>
    <w:rsid w:val="61EE3664"/>
    <w:rsid w:val="620B3E28"/>
    <w:rsid w:val="62395975"/>
    <w:rsid w:val="626E4233"/>
    <w:rsid w:val="627B5AC3"/>
    <w:rsid w:val="628C29ED"/>
    <w:rsid w:val="629879F7"/>
    <w:rsid w:val="62BE12BA"/>
    <w:rsid w:val="62F81BDC"/>
    <w:rsid w:val="638666E3"/>
    <w:rsid w:val="642108EC"/>
    <w:rsid w:val="64A13C7E"/>
    <w:rsid w:val="64DE2339"/>
    <w:rsid w:val="652C12F7"/>
    <w:rsid w:val="65BD7342"/>
    <w:rsid w:val="65C61973"/>
    <w:rsid w:val="65EB7404"/>
    <w:rsid w:val="66000AE7"/>
    <w:rsid w:val="66004AC9"/>
    <w:rsid w:val="663E5786"/>
    <w:rsid w:val="66517838"/>
    <w:rsid w:val="665770C1"/>
    <w:rsid w:val="66A52013"/>
    <w:rsid w:val="66B13A44"/>
    <w:rsid w:val="67481970"/>
    <w:rsid w:val="67F92022"/>
    <w:rsid w:val="68281955"/>
    <w:rsid w:val="684A230B"/>
    <w:rsid w:val="686F2605"/>
    <w:rsid w:val="68D06397"/>
    <w:rsid w:val="69201173"/>
    <w:rsid w:val="698143CC"/>
    <w:rsid w:val="6AA07B5A"/>
    <w:rsid w:val="6ACD6345"/>
    <w:rsid w:val="6B226435"/>
    <w:rsid w:val="6B573020"/>
    <w:rsid w:val="6B8C146E"/>
    <w:rsid w:val="6BBD2E50"/>
    <w:rsid w:val="6BF54B38"/>
    <w:rsid w:val="6C6877A8"/>
    <w:rsid w:val="6C8B4AD0"/>
    <w:rsid w:val="6D5E495F"/>
    <w:rsid w:val="6DB26844"/>
    <w:rsid w:val="6DDA6292"/>
    <w:rsid w:val="6E926416"/>
    <w:rsid w:val="6F18437B"/>
    <w:rsid w:val="6F3C490B"/>
    <w:rsid w:val="6F6368F4"/>
    <w:rsid w:val="6F7307BE"/>
    <w:rsid w:val="6F733366"/>
    <w:rsid w:val="6FB915DB"/>
    <w:rsid w:val="6FCA62DC"/>
    <w:rsid w:val="700579DC"/>
    <w:rsid w:val="706978A3"/>
    <w:rsid w:val="70932B72"/>
    <w:rsid w:val="710410CD"/>
    <w:rsid w:val="7105559F"/>
    <w:rsid w:val="71154548"/>
    <w:rsid w:val="71294FA1"/>
    <w:rsid w:val="717E737E"/>
    <w:rsid w:val="71E969C8"/>
    <w:rsid w:val="722C440B"/>
    <w:rsid w:val="72323749"/>
    <w:rsid w:val="729C4E3F"/>
    <w:rsid w:val="732C6966"/>
    <w:rsid w:val="73465F9E"/>
    <w:rsid w:val="73634A7D"/>
    <w:rsid w:val="73970283"/>
    <w:rsid w:val="73E2166B"/>
    <w:rsid w:val="73EA283C"/>
    <w:rsid w:val="73EF7A39"/>
    <w:rsid w:val="742E7C98"/>
    <w:rsid w:val="754349D5"/>
    <w:rsid w:val="755C229D"/>
    <w:rsid w:val="761F0133"/>
    <w:rsid w:val="767862B7"/>
    <w:rsid w:val="769C1C9A"/>
    <w:rsid w:val="76A424AE"/>
    <w:rsid w:val="76B94B84"/>
    <w:rsid w:val="76BD35BC"/>
    <w:rsid w:val="76E65862"/>
    <w:rsid w:val="77332F94"/>
    <w:rsid w:val="77461754"/>
    <w:rsid w:val="7751412C"/>
    <w:rsid w:val="77B40166"/>
    <w:rsid w:val="77C55584"/>
    <w:rsid w:val="77CF7FAB"/>
    <w:rsid w:val="782F5B16"/>
    <w:rsid w:val="792225F5"/>
    <w:rsid w:val="7A053C05"/>
    <w:rsid w:val="7B590514"/>
    <w:rsid w:val="7B8659DA"/>
    <w:rsid w:val="7BFE6B62"/>
    <w:rsid w:val="7C676C6F"/>
    <w:rsid w:val="7CB955D9"/>
    <w:rsid w:val="7CE02698"/>
    <w:rsid w:val="7D13711B"/>
    <w:rsid w:val="7DEE3105"/>
    <w:rsid w:val="7E8374ED"/>
    <w:rsid w:val="7F1E7AAB"/>
    <w:rsid w:val="7FA403CE"/>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4">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5">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6">
    <w:name w:val="heading 3"/>
    <w:basedOn w:val="1"/>
    <w:next w:val="1"/>
    <w:link w:val="85"/>
    <w:qFormat/>
    <w:uiPriority w:val="0"/>
    <w:pPr>
      <w:keepNext/>
      <w:keepLines/>
      <w:spacing w:beforeLines="0" w:line="416" w:lineRule="auto"/>
      <w:outlineLvl w:val="2"/>
    </w:pPr>
    <w:rPr>
      <w:b/>
      <w:bCs/>
      <w:sz w:val="32"/>
      <w:szCs w:val="32"/>
    </w:rPr>
  </w:style>
  <w:style w:type="paragraph" w:styleId="7">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8">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9">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10">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11">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2">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beforeLines="50" w:after="120" w:line="360" w:lineRule="auto"/>
      <w:ind w:left="420" w:leftChars="200" w:firstLine="420" w:firstLineChars="200"/>
      <w:jc w:val="left"/>
    </w:pPr>
  </w:style>
  <w:style w:type="paragraph" w:styleId="3">
    <w:name w:val="Body Text Indent"/>
    <w:basedOn w:val="1"/>
    <w:link w:val="315"/>
    <w:semiHidden/>
    <w:unhideWhenUsed/>
    <w:qFormat/>
    <w:uiPriority w:val="99"/>
    <w:pPr>
      <w:spacing w:beforeLines="0" w:line="500" w:lineRule="exact"/>
      <w:ind w:firstLine="442"/>
      <w:jc w:val="both"/>
    </w:pPr>
  </w:style>
  <w:style w:type="paragraph" w:styleId="13">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4">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5">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6">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7">
    <w:name w:val="Document Map"/>
    <w:basedOn w:val="1"/>
    <w:link w:val="263"/>
    <w:qFormat/>
    <w:uiPriority w:val="99"/>
    <w:pPr>
      <w:shd w:val="clear" w:color="auto" w:fill="000080"/>
    </w:pPr>
  </w:style>
  <w:style w:type="paragraph" w:styleId="18">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9">
    <w:name w:val="Body Text 3"/>
    <w:basedOn w:val="1"/>
    <w:semiHidden/>
    <w:unhideWhenUsed/>
    <w:qFormat/>
    <w:uiPriority w:val="99"/>
    <w:pPr>
      <w:spacing w:beforeLines="0"/>
      <w:jc w:val="center"/>
    </w:pPr>
    <w:rPr>
      <w:bCs/>
      <w:color w:val="000000"/>
      <w:szCs w:val="20"/>
    </w:rPr>
  </w:style>
  <w:style w:type="paragraph" w:styleId="20">
    <w:name w:val="Body Text"/>
    <w:basedOn w:val="1"/>
    <w:link w:val="259"/>
    <w:qFormat/>
    <w:uiPriority w:val="99"/>
    <w:pPr>
      <w:snapToGrid w:val="0"/>
      <w:spacing w:beforeLines="0" w:line="240" w:lineRule="auto"/>
      <w:jc w:val="center"/>
    </w:pPr>
    <w:rPr>
      <w:rFonts w:ascii="宋体" w:hAnsi="宋体"/>
      <w:sz w:val="21"/>
    </w:rPr>
  </w:style>
  <w:style w:type="paragraph" w:styleId="21">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2">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3">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4">
    <w:name w:val="toc 5"/>
    <w:basedOn w:val="1"/>
    <w:next w:val="1"/>
    <w:semiHidden/>
    <w:unhideWhenUsed/>
    <w:qFormat/>
    <w:uiPriority w:val="39"/>
    <w:pPr>
      <w:spacing w:beforeLines="0" w:line="240" w:lineRule="auto"/>
      <w:ind w:left="1680" w:leftChars="800"/>
      <w:jc w:val="both"/>
    </w:pPr>
    <w:rPr>
      <w:sz w:val="21"/>
    </w:rPr>
  </w:style>
  <w:style w:type="paragraph" w:styleId="25">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6">
    <w:name w:val="Plain Text"/>
    <w:basedOn w:val="1"/>
    <w:link w:val="86"/>
    <w:qFormat/>
    <w:uiPriority w:val="0"/>
    <w:pPr>
      <w:spacing w:beforeLines="0" w:line="240" w:lineRule="auto"/>
      <w:jc w:val="both"/>
    </w:pPr>
    <w:rPr>
      <w:rFonts w:ascii="宋体" w:hAnsi="Courier New" w:cs="Courier New"/>
      <w:sz w:val="21"/>
      <w:szCs w:val="21"/>
    </w:rPr>
  </w:style>
  <w:style w:type="paragraph" w:styleId="27">
    <w:name w:val="toc 8"/>
    <w:basedOn w:val="1"/>
    <w:next w:val="1"/>
    <w:semiHidden/>
    <w:unhideWhenUsed/>
    <w:qFormat/>
    <w:uiPriority w:val="39"/>
    <w:pPr>
      <w:spacing w:beforeLines="0" w:line="240" w:lineRule="auto"/>
      <w:ind w:left="2940" w:leftChars="1400"/>
      <w:jc w:val="both"/>
    </w:pPr>
    <w:rPr>
      <w:sz w:val="21"/>
    </w:rPr>
  </w:style>
  <w:style w:type="paragraph" w:styleId="28">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9">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30">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1">
    <w:name w:val="Balloon Text"/>
    <w:basedOn w:val="1"/>
    <w:link w:val="262"/>
    <w:qFormat/>
    <w:uiPriority w:val="0"/>
    <w:rPr>
      <w:sz w:val="18"/>
      <w:szCs w:val="18"/>
    </w:rPr>
  </w:style>
  <w:style w:type="paragraph" w:styleId="32">
    <w:name w:val="footer"/>
    <w:basedOn w:val="1"/>
    <w:link w:val="79"/>
    <w:qFormat/>
    <w:uiPriority w:val="99"/>
    <w:pPr>
      <w:tabs>
        <w:tab w:val="center" w:pos="4153"/>
        <w:tab w:val="right" w:pos="8306"/>
      </w:tabs>
      <w:snapToGrid w:val="0"/>
    </w:pPr>
    <w:rPr>
      <w:sz w:val="18"/>
      <w:szCs w:val="18"/>
    </w:rPr>
  </w:style>
  <w:style w:type="paragraph" w:styleId="33">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4">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5">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6">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7">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8">
    <w:name w:val="toc 6"/>
    <w:basedOn w:val="1"/>
    <w:next w:val="1"/>
    <w:semiHidden/>
    <w:unhideWhenUsed/>
    <w:qFormat/>
    <w:uiPriority w:val="39"/>
    <w:pPr>
      <w:spacing w:beforeLines="0" w:line="240" w:lineRule="auto"/>
      <w:ind w:left="2100" w:leftChars="1000"/>
      <w:jc w:val="both"/>
    </w:pPr>
    <w:rPr>
      <w:sz w:val="21"/>
    </w:rPr>
  </w:style>
  <w:style w:type="paragraph" w:styleId="39">
    <w:name w:val="Body Text Indent 3"/>
    <w:basedOn w:val="1"/>
    <w:semiHidden/>
    <w:unhideWhenUsed/>
    <w:qFormat/>
    <w:uiPriority w:val="99"/>
    <w:pPr>
      <w:ind w:left="420" w:leftChars="200"/>
    </w:pPr>
    <w:rPr>
      <w:sz w:val="16"/>
      <w:szCs w:val="16"/>
    </w:rPr>
  </w:style>
  <w:style w:type="paragraph" w:styleId="40">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1">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2">
    <w:name w:val="toc 9"/>
    <w:basedOn w:val="1"/>
    <w:next w:val="1"/>
    <w:semiHidden/>
    <w:unhideWhenUsed/>
    <w:qFormat/>
    <w:uiPriority w:val="39"/>
    <w:pPr>
      <w:spacing w:beforeLines="0" w:line="240" w:lineRule="auto"/>
      <w:ind w:left="3360" w:leftChars="1600"/>
      <w:jc w:val="both"/>
    </w:pPr>
    <w:rPr>
      <w:sz w:val="21"/>
    </w:rPr>
  </w:style>
  <w:style w:type="paragraph" w:styleId="43">
    <w:name w:val="Body Text 2"/>
    <w:basedOn w:val="1"/>
    <w:semiHidden/>
    <w:unhideWhenUsed/>
    <w:qFormat/>
    <w:uiPriority w:val="99"/>
    <w:pPr>
      <w:spacing w:beforeLines="0" w:line="200" w:lineRule="exact"/>
      <w:jc w:val="both"/>
    </w:pPr>
    <w:rPr>
      <w:rFonts w:eastAsia="MS Mincho"/>
      <w:sz w:val="20"/>
      <w:lang w:eastAsia="ja-JP"/>
    </w:rPr>
  </w:style>
  <w:style w:type="paragraph" w:styleId="44">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5">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6">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7">
    <w:name w:val="index 1"/>
    <w:basedOn w:val="1"/>
    <w:next w:val="1"/>
    <w:semiHidden/>
    <w:unhideWhenUsed/>
    <w:qFormat/>
    <w:uiPriority w:val="99"/>
    <w:pPr>
      <w:spacing w:beforeLines="0" w:line="240" w:lineRule="auto"/>
      <w:jc w:val="center"/>
    </w:pPr>
    <w:rPr>
      <w:rFonts w:ascii="宋体" w:hAnsi="宋体"/>
      <w:sz w:val="28"/>
    </w:rPr>
  </w:style>
  <w:style w:type="paragraph" w:styleId="48">
    <w:name w:val="Title"/>
    <w:basedOn w:val="1"/>
    <w:next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9">
    <w:name w:val="annotation subject"/>
    <w:basedOn w:val="18"/>
    <w:next w:val="18"/>
    <w:link w:val="266"/>
    <w:unhideWhenUsed/>
    <w:qFormat/>
    <w:uiPriority w:val="0"/>
    <w:pPr>
      <w:autoSpaceDE/>
      <w:autoSpaceDN/>
      <w:adjustRightInd/>
      <w:textAlignment w:val="auto"/>
    </w:pPr>
    <w:rPr>
      <w:rFonts w:ascii="Times New Roman" w:hAnsi="Times New Roman"/>
      <w:b/>
      <w:bCs/>
      <w:kern w:val="2"/>
      <w:sz w:val="21"/>
    </w:rPr>
  </w:style>
  <w:style w:type="paragraph" w:styleId="50">
    <w:name w:val="Body Text First Indent"/>
    <w:basedOn w:val="20"/>
    <w:link w:val="260"/>
    <w:qFormat/>
    <w:uiPriority w:val="0"/>
    <w:pPr>
      <w:snapToGrid/>
      <w:ind w:firstLine="420" w:firstLineChars="100"/>
      <w:jc w:val="both"/>
    </w:pPr>
    <w:rPr>
      <w:rFonts w:ascii="Times New Roman" w:hAnsi="Times New Roman"/>
      <w:szCs w:val="20"/>
    </w:r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2"/>
    <w:qFormat/>
    <w:uiPriority w:val="0"/>
    <w:rPr>
      <w:rFonts w:eastAsia="宋体"/>
      <w:kern w:val="2"/>
      <w:sz w:val="18"/>
      <w:szCs w:val="18"/>
      <w:lang w:val="en-US" w:eastAsia="zh-CN" w:bidi="ar-SA"/>
    </w:rPr>
  </w:style>
  <w:style w:type="character" w:customStyle="1" w:styleId="80">
    <w:name w:val="标题 9 字符"/>
    <w:link w:val="12"/>
    <w:qFormat/>
    <w:uiPriority w:val="0"/>
    <w:rPr>
      <w:rFonts w:ascii="Arial" w:hAnsi="Arial" w:eastAsia="黑体"/>
      <w:kern w:val="2"/>
      <w:sz w:val="21"/>
      <w:szCs w:val="21"/>
      <w:lang w:val="en-US" w:eastAsia="zh-CN" w:bidi="ar-SA"/>
    </w:rPr>
  </w:style>
  <w:style w:type="character" w:customStyle="1" w:styleId="81">
    <w:name w:val="正文缩进 字符"/>
    <w:link w:val="14"/>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6"/>
    <w:qFormat/>
    <w:uiPriority w:val="0"/>
    <w:rPr>
      <w:rFonts w:eastAsia="宋体"/>
      <w:b/>
      <w:bCs/>
      <w:kern w:val="2"/>
      <w:sz w:val="32"/>
      <w:szCs w:val="32"/>
      <w:lang w:val="en-US" w:eastAsia="zh-CN" w:bidi="ar-SA"/>
    </w:rPr>
  </w:style>
  <w:style w:type="character" w:customStyle="1" w:styleId="86">
    <w:name w:val="纯文本 字符"/>
    <w:basedOn w:val="53"/>
    <w:link w:val="26"/>
    <w:qFormat/>
    <w:uiPriority w:val="0"/>
    <w:rPr>
      <w:rFonts w:ascii="宋体" w:hAnsi="Courier New" w:eastAsia="宋体" w:cs="Courier New"/>
      <w:kern w:val="2"/>
      <w:sz w:val="21"/>
      <w:szCs w:val="21"/>
      <w:lang w:val="en-US" w:eastAsia="zh-CN" w:bidi="ar-SA"/>
    </w:rPr>
  </w:style>
  <w:style w:type="character" w:customStyle="1" w:styleId="87">
    <w:name w:val="标题 7 字符"/>
    <w:link w:val="10"/>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4"/>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9"/>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7"/>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5"/>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30"/>
    <w:qFormat/>
    <w:uiPriority w:val="0"/>
    <w:rPr>
      <w:sz w:val="24"/>
      <w:lang w:bidi="ar-SA"/>
    </w:rPr>
  </w:style>
  <w:style w:type="character" w:customStyle="1" w:styleId="112">
    <w:name w:val="标题 6 字符"/>
    <w:link w:val="9"/>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4"/>
    <w:next w:val="4"/>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6"/>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6"/>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4"/>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4"/>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5"/>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6"/>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7"/>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4"/>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3"/>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8"/>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5"/>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20"/>
    <w:qFormat/>
    <w:uiPriority w:val="99"/>
    <w:rPr>
      <w:rFonts w:ascii="宋体" w:hAnsi="宋体" w:eastAsia="宋体" w:cs="Times New Roman"/>
      <w:sz w:val="21"/>
    </w:rPr>
  </w:style>
  <w:style w:type="character" w:customStyle="1" w:styleId="260">
    <w:name w:val="正文文本首行缩进 字符"/>
    <w:basedOn w:val="259"/>
    <w:link w:val="50"/>
    <w:qFormat/>
    <w:uiPriority w:val="0"/>
    <w:rPr>
      <w:rFonts w:ascii="Times New Roman" w:hAnsi="Times New Roman" w:eastAsia="宋体" w:cs="Times New Roman"/>
      <w:sz w:val="21"/>
      <w:szCs w:val="20"/>
    </w:rPr>
  </w:style>
  <w:style w:type="character" w:customStyle="1" w:styleId="261">
    <w:name w:val="页眉 字符"/>
    <w:basedOn w:val="53"/>
    <w:link w:val="33"/>
    <w:qFormat/>
    <w:uiPriority w:val="99"/>
    <w:rPr>
      <w:rFonts w:ascii="Times New Roman" w:hAnsi="Times New Roman" w:eastAsia="宋体" w:cs="Times New Roman"/>
      <w:sz w:val="18"/>
      <w:szCs w:val="18"/>
    </w:rPr>
  </w:style>
  <w:style w:type="character" w:customStyle="1" w:styleId="262">
    <w:name w:val="批注框文本 字符"/>
    <w:basedOn w:val="53"/>
    <w:link w:val="31"/>
    <w:qFormat/>
    <w:uiPriority w:val="0"/>
    <w:rPr>
      <w:rFonts w:ascii="Times New Roman" w:hAnsi="Times New Roman" w:eastAsia="宋体" w:cs="Times New Roman"/>
      <w:sz w:val="18"/>
      <w:szCs w:val="18"/>
    </w:rPr>
  </w:style>
  <w:style w:type="character" w:customStyle="1" w:styleId="263">
    <w:name w:val="文档结构图 字符"/>
    <w:basedOn w:val="53"/>
    <w:link w:val="17"/>
    <w:qFormat/>
    <w:uiPriority w:val="99"/>
    <w:rPr>
      <w:rFonts w:ascii="Times New Roman" w:hAnsi="Times New Roman" w:eastAsia="宋体" w:cs="Times New Roman"/>
    </w:rPr>
  </w:style>
  <w:style w:type="character" w:customStyle="1" w:styleId="264">
    <w:name w:val="批注文字 字符"/>
    <w:basedOn w:val="53"/>
    <w:link w:val="18"/>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9"/>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7"/>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3"/>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50</Pages>
  <Words>4624</Words>
  <Characters>4791</Characters>
  <Lines>186</Lines>
  <Paragraphs>52</Paragraphs>
  <TotalTime>16</TotalTime>
  <ScaleCrop>false</ScaleCrop>
  <LinksUpToDate>false</LinksUpToDate>
  <CharactersWithSpaces>5004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 </cp:lastModifiedBy>
  <cp:lastPrinted>2025-10-13T03:27:56Z</cp:lastPrinted>
  <dcterms:modified xsi:type="dcterms:W3CDTF">2025-10-13T03:28:06Z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