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E0BA">
      <w:pPr>
        <w:jc w:val="right"/>
        <w:rPr>
          <w:rFonts w:ascii="黑体" w:eastAsia="黑体"/>
          <w:szCs w:val="21"/>
        </w:rPr>
      </w:pPr>
      <w:bookmarkStart w:id="193" w:name="_GoBack"/>
      <w:bookmarkEnd w:id="193"/>
    </w:p>
    <w:p w14:paraId="5CC2C295">
      <w:pPr>
        <w:pStyle w:val="39"/>
        <w:ind w:firstLine="400"/>
      </w:pPr>
    </w:p>
    <w:p w14:paraId="41F959A1"/>
    <w:p w14:paraId="786D20F2"/>
    <w:p w14:paraId="6E61AE1D"/>
    <w:p w14:paraId="0675FBC8">
      <w:pPr>
        <w:ind w:right="-28"/>
        <w:jc w:val="center"/>
        <w:textAlignment w:val="bottom"/>
        <w:rPr>
          <w:rFonts w:ascii="黑体" w:hAnsi="黑体" w:eastAsia="黑体" w:cs="黑体"/>
          <w:bCs/>
          <w:spacing w:val="57"/>
          <w:sz w:val="96"/>
          <w:szCs w:val="96"/>
        </w:rPr>
      </w:pPr>
      <w:r>
        <w:rPr>
          <w:rFonts w:hint="eastAsia" w:ascii="黑体" w:hAnsi="黑体" w:eastAsia="黑体" w:cs="黑体"/>
          <w:bCs/>
          <w:spacing w:val="57"/>
          <w:sz w:val="96"/>
          <w:szCs w:val="96"/>
        </w:rPr>
        <w:t>公开采购文件</w:t>
      </w:r>
    </w:p>
    <w:p w14:paraId="37030F99"/>
    <w:p w14:paraId="659E0959">
      <w:pPr>
        <w:pStyle w:val="2"/>
      </w:pPr>
    </w:p>
    <w:tbl>
      <w:tblPr>
        <w:tblStyle w:val="31"/>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71CC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28315735">
            <w:pPr>
              <w:spacing w:before="200"/>
              <w:jc w:val="both"/>
              <w:rPr>
                <w:rFonts w:ascii="黑体" w:hAnsi="黑体" w:eastAsia="黑体" w:cs="黑体"/>
                <w:bCs/>
                <w:sz w:val="32"/>
                <w:szCs w:val="24"/>
              </w:rPr>
            </w:pPr>
            <w:r>
              <w:rPr>
                <w:rFonts w:hint="eastAsia" w:ascii="黑体" w:hAnsi="黑体" w:eastAsia="黑体" w:cs="黑体"/>
                <w:bCs/>
                <w:sz w:val="32"/>
                <w:szCs w:val="24"/>
              </w:rPr>
              <w:t>项目名称：</w:t>
            </w:r>
          </w:p>
        </w:tc>
        <w:tc>
          <w:tcPr>
            <w:tcW w:w="6203" w:type="dxa"/>
            <w:noWrap/>
            <w:vAlign w:val="center"/>
          </w:tcPr>
          <w:p w14:paraId="1EE5AE2C">
            <w:pPr>
              <w:spacing w:before="200"/>
              <w:jc w:val="both"/>
              <w:rPr>
                <w:rFonts w:hint="eastAsia" w:ascii="黑体" w:hAnsi="黑体" w:eastAsia="黑体" w:cs="黑体"/>
                <w:bCs/>
                <w:sz w:val="32"/>
                <w:szCs w:val="24"/>
                <w:lang w:eastAsia="zh-CN"/>
              </w:rPr>
            </w:pPr>
            <w:r>
              <w:rPr>
                <w:rFonts w:hint="eastAsia" w:ascii="黑体" w:hAnsi="黑体" w:eastAsia="黑体" w:cs="黑体"/>
                <w:bCs/>
                <w:sz w:val="32"/>
                <w:szCs w:val="24"/>
                <w:lang w:eastAsia="zh-CN"/>
              </w:rPr>
              <w:t>东莞市海心沙资源综合利用中心环保热电厂3号线低温SCR脱硝催化技术服务采购项目</w:t>
            </w:r>
          </w:p>
        </w:tc>
      </w:tr>
      <w:tr w14:paraId="5D73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5E7987D0">
            <w:pPr>
              <w:spacing w:before="200"/>
              <w:jc w:val="both"/>
              <w:rPr>
                <w:rFonts w:ascii="黑体" w:hAnsi="黑体" w:eastAsia="黑体" w:cs="黑体"/>
                <w:bCs/>
                <w:sz w:val="32"/>
                <w:szCs w:val="24"/>
              </w:rPr>
            </w:pPr>
            <w:r>
              <w:rPr>
                <w:rFonts w:hint="eastAsia" w:ascii="黑体" w:hAnsi="黑体" w:eastAsia="黑体" w:cs="黑体"/>
                <w:bCs/>
                <w:sz w:val="32"/>
                <w:szCs w:val="24"/>
              </w:rPr>
              <w:t>项目采购编号：</w:t>
            </w:r>
          </w:p>
        </w:tc>
        <w:tc>
          <w:tcPr>
            <w:tcW w:w="6203" w:type="dxa"/>
            <w:noWrap/>
            <w:vAlign w:val="center"/>
          </w:tcPr>
          <w:p w14:paraId="471F092C">
            <w:pPr>
              <w:spacing w:before="200"/>
              <w:jc w:val="both"/>
              <w:rPr>
                <w:rFonts w:ascii="黑体" w:hAnsi="黑体" w:eastAsia="黑体" w:cs="黑体"/>
                <w:bCs/>
                <w:sz w:val="32"/>
                <w:szCs w:val="24"/>
              </w:rPr>
            </w:pPr>
            <w:r>
              <w:rPr>
                <w:rFonts w:hint="eastAsia" w:ascii="黑体" w:hAnsi="黑体" w:eastAsia="黑体" w:cs="黑体"/>
                <w:bCs/>
                <w:sz w:val="32"/>
                <w:szCs w:val="24"/>
              </w:rPr>
              <w:t>XDY-GK-2025-002</w:t>
            </w:r>
          </w:p>
        </w:tc>
      </w:tr>
      <w:tr w14:paraId="30E0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04F80CAC">
            <w:pPr>
              <w:spacing w:before="200"/>
              <w:jc w:val="both"/>
              <w:rPr>
                <w:rFonts w:ascii="黑体" w:hAnsi="黑体" w:eastAsia="黑体" w:cs="黑体"/>
                <w:bCs/>
                <w:sz w:val="32"/>
                <w:szCs w:val="24"/>
              </w:rPr>
            </w:pPr>
            <w:r>
              <w:rPr>
                <w:rFonts w:hint="eastAsia" w:ascii="黑体" w:hAnsi="黑体" w:eastAsia="黑体" w:cs="黑体"/>
                <w:bCs/>
                <w:sz w:val="32"/>
                <w:szCs w:val="24"/>
              </w:rPr>
              <w:t>采购人：</w:t>
            </w:r>
          </w:p>
        </w:tc>
        <w:tc>
          <w:tcPr>
            <w:tcW w:w="6203" w:type="dxa"/>
            <w:noWrap/>
            <w:vAlign w:val="center"/>
          </w:tcPr>
          <w:p w14:paraId="64E34A32">
            <w:pPr>
              <w:spacing w:before="200"/>
              <w:jc w:val="both"/>
              <w:rPr>
                <w:rFonts w:hint="default" w:ascii="黑体" w:hAnsi="黑体" w:eastAsia="黑体" w:cs="黑体"/>
                <w:bCs/>
                <w:sz w:val="32"/>
                <w:szCs w:val="24"/>
                <w:lang w:val="en-US" w:eastAsia="zh-CN"/>
              </w:rPr>
            </w:pPr>
            <w:r>
              <w:rPr>
                <w:rFonts w:hint="eastAsia" w:ascii="黑体" w:hAnsi="黑体" w:eastAsia="黑体" w:cs="黑体"/>
                <w:bCs/>
                <w:sz w:val="32"/>
                <w:szCs w:val="24"/>
                <w:u w:val="single"/>
                <w:lang w:val="en-US" w:eastAsia="zh-CN"/>
              </w:rPr>
              <w:t>东莞市新东元环保投资有限公司</w:t>
            </w:r>
          </w:p>
        </w:tc>
      </w:tr>
    </w:tbl>
    <w:p w14:paraId="25344A09">
      <w:pPr>
        <w:jc w:val="center"/>
        <w:rPr>
          <w:rFonts w:ascii="黑体" w:eastAsia="黑体"/>
          <w:szCs w:val="21"/>
        </w:rPr>
      </w:pPr>
    </w:p>
    <w:p w14:paraId="0EDA6901">
      <w:pPr>
        <w:jc w:val="center"/>
        <w:rPr>
          <w:rFonts w:ascii="黑体" w:eastAsia="黑体"/>
          <w:szCs w:val="21"/>
        </w:rPr>
      </w:pPr>
    </w:p>
    <w:p w14:paraId="091C8A93">
      <w:pPr>
        <w:jc w:val="center"/>
        <w:rPr>
          <w:rFonts w:ascii="黑体" w:eastAsia="黑体"/>
          <w:szCs w:val="21"/>
        </w:rPr>
      </w:pPr>
    </w:p>
    <w:p w14:paraId="1F0A0348">
      <w:pPr>
        <w:pStyle w:val="39"/>
        <w:ind w:firstLine="400"/>
      </w:pPr>
    </w:p>
    <w:p w14:paraId="2872CE1F">
      <w:pPr>
        <w:jc w:val="center"/>
        <w:rPr>
          <w:rFonts w:ascii="黑体" w:eastAsia="黑体"/>
          <w:szCs w:val="21"/>
        </w:rPr>
      </w:pPr>
    </w:p>
    <w:p w14:paraId="12FF8E0C">
      <w:pPr>
        <w:jc w:val="center"/>
        <w:rPr>
          <w:rFonts w:ascii="黑体" w:eastAsia="黑体"/>
          <w:szCs w:val="21"/>
        </w:rPr>
      </w:pPr>
    </w:p>
    <w:p w14:paraId="06A3C689">
      <w:pPr>
        <w:spacing w:before="200"/>
        <w:jc w:val="center"/>
        <w:rPr>
          <w:rFonts w:ascii="黑体" w:hAnsi="黑体" w:eastAsia="黑体" w:cs="黑体"/>
          <w:bCs/>
          <w:sz w:val="32"/>
          <w:szCs w:val="24"/>
        </w:rPr>
      </w:pPr>
      <w:r>
        <w:rPr>
          <w:rFonts w:hint="eastAsia" w:ascii="黑体" w:hAnsi="黑体" w:eastAsia="黑体" w:cs="黑体"/>
          <w:bCs/>
          <w:sz w:val="32"/>
          <w:szCs w:val="24"/>
        </w:rPr>
        <w:t>20</w:t>
      </w:r>
      <w:r>
        <w:rPr>
          <w:rFonts w:hint="eastAsia" w:ascii="黑体" w:hAnsi="黑体" w:eastAsia="黑体" w:cs="黑体"/>
          <w:bCs/>
          <w:sz w:val="32"/>
          <w:szCs w:val="24"/>
          <w:lang w:val="en-US" w:eastAsia="zh-CN"/>
        </w:rPr>
        <w:t>25</w:t>
      </w:r>
      <w:r>
        <w:rPr>
          <w:rFonts w:hint="eastAsia" w:ascii="黑体" w:hAnsi="黑体" w:eastAsia="黑体" w:cs="黑体"/>
          <w:bCs/>
          <w:sz w:val="32"/>
          <w:szCs w:val="24"/>
        </w:rPr>
        <w:t>年</w:t>
      </w:r>
      <w:r>
        <w:rPr>
          <w:rFonts w:hint="eastAsia" w:ascii="黑体" w:hAnsi="黑体" w:eastAsia="黑体" w:cs="黑体"/>
          <w:bCs/>
          <w:sz w:val="32"/>
          <w:szCs w:val="24"/>
          <w:lang w:val="en-US" w:eastAsia="zh-CN"/>
        </w:rPr>
        <w:t>10</w:t>
      </w:r>
      <w:r>
        <w:rPr>
          <w:rFonts w:hint="eastAsia" w:ascii="黑体" w:hAnsi="黑体" w:eastAsia="黑体" w:cs="黑体"/>
          <w:bCs/>
          <w:sz w:val="32"/>
          <w:szCs w:val="24"/>
        </w:rPr>
        <w:t>月</w:t>
      </w:r>
    </w:p>
    <w:p w14:paraId="7CC5FCD4">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pgNumType w:start="1"/>
          <w:cols w:space="708" w:num="1"/>
          <w:titlePg/>
          <w:docGrid w:type="lines" w:linePitch="360" w:charSpace="0"/>
        </w:sectPr>
      </w:pPr>
    </w:p>
    <w:p w14:paraId="0F5D614D">
      <w:pPr>
        <w:pStyle w:val="23"/>
        <w:ind w:left="0" w:leftChars="0"/>
        <w:rPr>
          <w:sz w:val="40"/>
          <w:szCs w:val="40"/>
        </w:rPr>
      </w:pPr>
      <w:r>
        <w:rPr>
          <w:rFonts w:hint="eastAsia"/>
          <w:sz w:val="40"/>
          <w:szCs w:val="40"/>
        </w:rPr>
        <w:t>目录</w:t>
      </w:r>
    </w:p>
    <w:p w14:paraId="1B9499E4">
      <w:pPr>
        <w:pStyle w:val="23"/>
        <w:tabs>
          <w:tab w:val="right" w:leader="dot" w:pos="8306"/>
          <w:tab w:val="clear" w:pos="8296"/>
        </w:tabs>
        <w:ind w:left="0" w:leftChars="0"/>
        <w:rPr>
          <w:rFonts w:cs="宋体"/>
          <w:sz w:val="21"/>
          <w:szCs w:val="21"/>
        </w:rPr>
      </w:pPr>
      <w:r>
        <w:rPr>
          <w:rFonts w:hint="eastAsia" w:cs="宋体"/>
          <w:sz w:val="21"/>
          <w:szCs w:val="21"/>
        </w:rPr>
        <w:fldChar w:fldCharType="begin"/>
      </w:r>
      <w:r>
        <w:rPr>
          <w:rFonts w:hint="eastAsia" w:cs="宋体"/>
          <w:sz w:val="21"/>
          <w:szCs w:val="21"/>
        </w:rPr>
        <w:instrText xml:space="preserve"> TOC \o "1-4" \h \z \u </w:instrText>
      </w:r>
      <w:r>
        <w:rPr>
          <w:rFonts w:hint="eastAsia" w:cs="宋体"/>
          <w:sz w:val="21"/>
          <w:szCs w:val="21"/>
        </w:rPr>
        <w:fldChar w:fldCharType="separate"/>
      </w:r>
      <w:r>
        <w:fldChar w:fldCharType="begin"/>
      </w:r>
      <w:r>
        <w:instrText xml:space="preserve"> HYPERLINK \l "_Toc21044" </w:instrText>
      </w:r>
      <w:r>
        <w:fldChar w:fldCharType="separate"/>
      </w:r>
      <w:r>
        <w:rPr>
          <w:rFonts w:hint="eastAsia" w:cs="宋体"/>
          <w:sz w:val="21"/>
          <w:szCs w:val="21"/>
        </w:rPr>
        <w:t>第一部分投标邀请</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_Toc21044 \h </w:instrText>
      </w:r>
      <w:r>
        <w:rPr>
          <w:rFonts w:hint="eastAsia" w:cs="宋体"/>
          <w:sz w:val="21"/>
          <w:szCs w:val="21"/>
        </w:rPr>
        <w:fldChar w:fldCharType="separate"/>
      </w:r>
      <w:r>
        <w:rPr>
          <w:rFonts w:hint="eastAsia" w:cs="宋体"/>
          <w:sz w:val="21"/>
          <w:szCs w:val="21"/>
        </w:rPr>
        <w:t>5</w:t>
      </w:r>
      <w:r>
        <w:rPr>
          <w:rFonts w:hint="eastAsia" w:cs="宋体"/>
          <w:sz w:val="21"/>
          <w:szCs w:val="21"/>
        </w:rPr>
        <w:fldChar w:fldCharType="end"/>
      </w:r>
      <w:r>
        <w:rPr>
          <w:rFonts w:hint="eastAsia" w:cs="宋体"/>
          <w:sz w:val="21"/>
          <w:szCs w:val="21"/>
        </w:rPr>
        <w:fldChar w:fldCharType="end"/>
      </w:r>
    </w:p>
    <w:p w14:paraId="752AE103">
      <w:pPr>
        <w:pStyle w:val="23"/>
        <w:tabs>
          <w:tab w:val="right" w:leader="dot" w:pos="8306"/>
          <w:tab w:val="clear" w:pos="8296"/>
        </w:tabs>
        <w:ind w:left="0" w:leftChars="0"/>
        <w:rPr>
          <w:rFonts w:cs="宋体"/>
          <w:sz w:val="21"/>
          <w:szCs w:val="21"/>
        </w:rPr>
      </w:pPr>
      <w:r>
        <w:fldChar w:fldCharType="begin"/>
      </w:r>
      <w:r>
        <w:instrText xml:space="preserve"> HYPERLINK \l "_Toc8950" </w:instrText>
      </w:r>
      <w:r>
        <w:fldChar w:fldCharType="separate"/>
      </w:r>
      <w:r>
        <w:rPr>
          <w:rFonts w:hint="eastAsia" w:cs="宋体"/>
          <w:sz w:val="21"/>
          <w:szCs w:val="21"/>
        </w:rPr>
        <w:t>投标邀请书</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_Toc8950 \h </w:instrText>
      </w:r>
      <w:r>
        <w:rPr>
          <w:rFonts w:hint="eastAsia" w:cs="宋体"/>
          <w:sz w:val="21"/>
          <w:szCs w:val="21"/>
        </w:rPr>
        <w:fldChar w:fldCharType="separate"/>
      </w:r>
      <w:r>
        <w:rPr>
          <w:rFonts w:hint="eastAsia" w:cs="宋体"/>
          <w:sz w:val="21"/>
          <w:szCs w:val="21"/>
        </w:rPr>
        <w:t>5</w:t>
      </w:r>
      <w:r>
        <w:rPr>
          <w:rFonts w:hint="eastAsia" w:cs="宋体"/>
          <w:sz w:val="21"/>
          <w:szCs w:val="21"/>
        </w:rPr>
        <w:fldChar w:fldCharType="end"/>
      </w:r>
      <w:r>
        <w:rPr>
          <w:rFonts w:hint="eastAsia" w:cs="宋体"/>
          <w:sz w:val="21"/>
          <w:szCs w:val="21"/>
        </w:rPr>
        <w:fldChar w:fldCharType="end"/>
      </w:r>
    </w:p>
    <w:p w14:paraId="07987D38">
      <w:pPr>
        <w:pStyle w:val="23"/>
        <w:tabs>
          <w:tab w:val="right" w:leader="dot" w:pos="8306"/>
          <w:tab w:val="clear" w:pos="8296"/>
        </w:tabs>
        <w:ind w:left="0" w:leftChars="0"/>
        <w:rPr>
          <w:rFonts w:cs="宋体"/>
          <w:sz w:val="21"/>
          <w:szCs w:val="21"/>
        </w:rPr>
      </w:pPr>
      <w:r>
        <w:fldChar w:fldCharType="begin"/>
      </w:r>
      <w:r>
        <w:instrText xml:space="preserve"> HYPERLINK \l "_Toc20564" </w:instrText>
      </w:r>
      <w:r>
        <w:fldChar w:fldCharType="separate"/>
      </w:r>
      <w:r>
        <w:rPr>
          <w:rFonts w:hint="eastAsia" w:cs="宋体"/>
          <w:sz w:val="21"/>
          <w:szCs w:val="21"/>
        </w:rPr>
        <w:t>第二部分相关资料表格</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_Toc20564 \h </w:instrText>
      </w:r>
      <w:r>
        <w:rPr>
          <w:rFonts w:hint="eastAsia" w:cs="宋体"/>
          <w:sz w:val="21"/>
          <w:szCs w:val="21"/>
        </w:rPr>
        <w:fldChar w:fldCharType="separate"/>
      </w:r>
      <w:r>
        <w:rPr>
          <w:rFonts w:hint="eastAsia" w:cs="宋体"/>
          <w:sz w:val="21"/>
          <w:szCs w:val="21"/>
        </w:rPr>
        <w:t>7</w:t>
      </w:r>
      <w:r>
        <w:rPr>
          <w:rFonts w:hint="eastAsia" w:cs="宋体"/>
          <w:sz w:val="21"/>
          <w:szCs w:val="21"/>
        </w:rPr>
        <w:fldChar w:fldCharType="end"/>
      </w:r>
      <w:r>
        <w:rPr>
          <w:rFonts w:hint="eastAsia" w:cs="宋体"/>
          <w:sz w:val="21"/>
          <w:szCs w:val="21"/>
        </w:rPr>
        <w:fldChar w:fldCharType="end"/>
      </w:r>
    </w:p>
    <w:p w14:paraId="08011693">
      <w:pPr>
        <w:pStyle w:val="23"/>
        <w:tabs>
          <w:tab w:val="right" w:leader="dot" w:pos="8306"/>
          <w:tab w:val="clear" w:pos="8296"/>
        </w:tabs>
        <w:ind w:left="0" w:leftChars="0"/>
        <w:rPr>
          <w:rFonts w:cs="宋体"/>
          <w:sz w:val="21"/>
          <w:szCs w:val="21"/>
        </w:rPr>
      </w:pPr>
      <w:r>
        <w:fldChar w:fldCharType="begin"/>
      </w:r>
      <w:r>
        <w:instrText xml:space="preserve"> HYPERLINK \l "_Toc14333" </w:instrText>
      </w:r>
      <w:r>
        <w:fldChar w:fldCharType="separate"/>
      </w:r>
      <w:r>
        <w:rPr>
          <w:rFonts w:hint="eastAsia" w:cs="宋体"/>
          <w:sz w:val="21"/>
          <w:szCs w:val="21"/>
        </w:rPr>
        <w:t>附表一：投标资料表</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_Toc14333 \h </w:instrText>
      </w:r>
      <w:r>
        <w:rPr>
          <w:rFonts w:hint="eastAsia" w:cs="宋体"/>
          <w:sz w:val="21"/>
          <w:szCs w:val="21"/>
        </w:rPr>
        <w:fldChar w:fldCharType="separate"/>
      </w:r>
      <w:r>
        <w:rPr>
          <w:rFonts w:hint="eastAsia" w:cs="宋体"/>
          <w:sz w:val="21"/>
          <w:szCs w:val="21"/>
        </w:rPr>
        <w:t>7</w:t>
      </w:r>
      <w:r>
        <w:rPr>
          <w:rFonts w:hint="eastAsia" w:cs="宋体"/>
          <w:sz w:val="21"/>
          <w:szCs w:val="21"/>
        </w:rPr>
        <w:fldChar w:fldCharType="end"/>
      </w:r>
      <w:r>
        <w:rPr>
          <w:rFonts w:hint="eastAsia" w:cs="宋体"/>
          <w:sz w:val="21"/>
          <w:szCs w:val="21"/>
        </w:rPr>
        <w:fldChar w:fldCharType="end"/>
      </w:r>
    </w:p>
    <w:p w14:paraId="6652FB84">
      <w:pPr>
        <w:pStyle w:val="23"/>
        <w:tabs>
          <w:tab w:val="right" w:leader="dot" w:pos="8306"/>
          <w:tab w:val="clear" w:pos="8296"/>
        </w:tabs>
        <w:ind w:left="0" w:leftChars="0"/>
        <w:rPr>
          <w:rFonts w:cs="宋体"/>
          <w:sz w:val="21"/>
          <w:szCs w:val="21"/>
        </w:rPr>
      </w:pPr>
      <w:r>
        <w:fldChar w:fldCharType="begin"/>
      </w:r>
      <w:r>
        <w:instrText xml:space="preserve"> HYPERLINK \l "_Toc21237" </w:instrText>
      </w:r>
      <w:r>
        <w:fldChar w:fldCharType="separate"/>
      </w:r>
      <w:r>
        <w:rPr>
          <w:rFonts w:hint="eastAsia" w:cs="宋体"/>
          <w:sz w:val="21"/>
          <w:szCs w:val="21"/>
        </w:rPr>
        <w:t>第三部分用户需求书</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_Toc21237 \h </w:instrText>
      </w:r>
      <w:r>
        <w:rPr>
          <w:rFonts w:hint="eastAsia" w:cs="宋体"/>
          <w:sz w:val="21"/>
          <w:szCs w:val="21"/>
        </w:rPr>
        <w:fldChar w:fldCharType="separate"/>
      </w:r>
      <w:r>
        <w:rPr>
          <w:rFonts w:hint="eastAsia" w:cs="宋体"/>
          <w:sz w:val="21"/>
          <w:szCs w:val="21"/>
        </w:rPr>
        <w:t>12</w:t>
      </w:r>
      <w:r>
        <w:rPr>
          <w:rFonts w:hint="eastAsia" w:cs="宋体"/>
          <w:sz w:val="21"/>
          <w:szCs w:val="21"/>
        </w:rPr>
        <w:fldChar w:fldCharType="end"/>
      </w:r>
      <w:r>
        <w:rPr>
          <w:rFonts w:hint="eastAsia" w:cs="宋体"/>
          <w:sz w:val="21"/>
          <w:szCs w:val="21"/>
        </w:rPr>
        <w:fldChar w:fldCharType="end"/>
      </w:r>
    </w:p>
    <w:p w14:paraId="0AD093B4">
      <w:pPr>
        <w:pStyle w:val="23"/>
        <w:tabs>
          <w:tab w:val="right" w:leader="dot" w:pos="8306"/>
          <w:tab w:val="clear" w:pos="8296"/>
        </w:tabs>
        <w:ind w:left="0" w:leftChars="0"/>
        <w:rPr>
          <w:rFonts w:cs="宋体"/>
          <w:sz w:val="21"/>
          <w:szCs w:val="21"/>
        </w:rPr>
      </w:pPr>
      <w:r>
        <w:fldChar w:fldCharType="begin"/>
      </w:r>
      <w:r>
        <w:instrText xml:space="preserve"> HYPERLINK \l "_Toc15266" </w:instrText>
      </w:r>
      <w:r>
        <w:fldChar w:fldCharType="separate"/>
      </w:r>
      <w:r>
        <w:rPr>
          <w:rFonts w:hint="eastAsia" w:cs="宋体"/>
          <w:sz w:val="21"/>
          <w:szCs w:val="21"/>
        </w:rPr>
        <w:t>第一章 商务需求书</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_Toc15266 \h </w:instrText>
      </w:r>
      <w:r>
        <w:rPr>
          <w:rFonts w:hint="eastAsia" w:cs="宋体"/>
          <w:sz w:val="21"/>
          <w:szCs w:val="21"/>
        </w:rPr>
        <w:fldChar w:fldCharType="separate"/>
      </w:r>
      <w:r>
        <w:rPr>
          <w:rFonts w:hint="eastAsia" w:cs="宋体"/>
          <w:sz w:val="21"/>
          <w:szCs w:val="21"/>
        </w:rPr>
        <w:t>12</w:t>
      </w:r>
      <w:r>
        <w:rPr>
          <w:rFonts w:hint="eastAsia" w:cs="宋体"/>
          <w:sz w:val="21"/>
          <w:szCs w:val="21"/>
        </w:rPr>
        <w:fldChar w:fldCharType="end"/>
      </w:r>
      <w:r>
        <w:rPr>
          <w:rFonts w:hint="eastAsia" w:cs="宋体"/>
          <w:sz w:val="21"/>
          <w:szCs w:val="21"/>
        </w:rPr>
        <w:fldChar w:fldCharType="end"/>
      </w:r>
    </w:p>
    <w:p w14:paraId="19E7A72C">
      <w:pPr>
        <w:pStyle w:val="23"/>
        <w:tabs>
          <w:tab w:val="right" w:leader="dot" w:pos="8306"/>
          <w:tab w:val="clear" w:pos="8296"/>
        </w:tabs>
        <w:ind w:left="0" w:leftChars="0"/>
        <w:rPr>
          <w:rFonts w:cs="宋体"/>
          <w:sz w:val="21"/>
          <w:szCs w:val="21"/>
        </w:rPr>
      </w:pPr>
      <w:r>
        <w:fldChar w:fldCharType="begin"/>
      </w:r>
      <w:r>
        <w:instrText xml:space="preserve"> HYPERLINK \l "_Toc30066" </w:instrText>
      </w:r>
      <w:r>
        <w:fldChar w:fldCharType="separate"/>
      </w:r>
      <w:r>
        <w:rPr>
          <w:rFonts w:hint="eastAsia" w:cs="宋体"/>
          <w:sz w:val="21"/>
          <w:szCs w:val="21"/>
        </w:rPr>
        <w:t>第二章 技术需求书</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_Toc30066 \h </w:instrText>
      </w:r>
      <w:r>
        <w:rPr>
          <w:rFonts w:hint="eastAsia" w:cs="宋体"/>
          <w:sz w:val="21"/>
          <w:szCs w:val="21"/>
        </w:rPr>
        <w:fldChar w:fldCharType="separate"/>
      </w:r>
      <w:r>
        <w:rPr>
          <w:rFonts w:hint="eastAsia" w:cs="宋体"/>
          <w:sz w:val="21"/>
          <w:szCs w:val="21"/>
        </w:rPr>
        <w:t>14</w:t>
      </w:r>
      <w:r>
        <w:rPr>
          <w:rFonts w:hint="eastAsia" w:cs="宋体"/>
          <w:sz w:val="21"/>
          <w:szCs w:val="21"/>
        </w:rPr>
        <w:fldChar w:fldCharType="end"/>
      </w:r>
      <w:r>
        <w:rPr>
          <w:rFonts w:hint="eastAsia" w:cs="宋体"/>
          <w:sz w:val="21"/>
          <w:szCs w:val="21"/>
        </w:rPr>
        <w:fldChar w:fldCharType="end"/>
      </w:r>
    </w:p>
    <w:p w14:paraId="18902CF1">
      <w:pPr>
        <w:pStyle w:val="23"/>
        <w:tabs>
          <w:tab w:val="right" w:leader="dot" w:pos="8306"/>
          <w:tab w:val="clear" w:pos="8296"/>
        </w:tabs>
        <w:ind w:left="0" w:leftChars="0"/>
        <w:rPr>
          <w:rFonts w:cs="宋体"/>
          <w:sz w:val="21"/>
          <w:szCs w:val="21"/>
        </w:rPr>
      </w:pPr>
      <w:r>
        <w:fldChar w:fldCharType="begin"/>
      </w:r>
      <w:r>
        <w:instrText xml:space="preserve"> HYPERLINK \l "_Toc31595" </w:instrText>
      </w:r>
      <w:r>
        <w:fldChar w:fldCharType="separate"/>
      </w:r>
      <w:r>
        <w:rPr>
          <w:rFonts w:hint="eastAsia" w:cs="宋体"/>
          <w:sz w:val="21"/>
          <w:szCs w:val="21"/>
        </w:rPr>
        <w:t>第四部分投标人须知</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_Toc31595 \h </w:instrText>
      </w:r>
      <w:r>
        <w:rPr>
          <w:rFonts w:hint="eastAsia" w:cs="宋体"/>
          <w:sz w:val="21"/>
          <w:szCs w:val="21"/>
        </w:rPr>
        <w:fldChar w:fldCharType="separate"/>
      </w:r>
      <w:r>
        <w:rPr>
          <w:rFonts w:hint="eastAsia" w:cs="宋体"/>
          <w:sz w:val="21"/>
          <w:szCs w:val="21"/>
        </w:rPr>
        <w:t>25</w:t>
      </w:r>
      <w:r>
        <w:rPr>
          <w:rFonts w:hint="eastAsia" w:cs="宋体"/>
          <w:sz w:val="21"/>
          <w:szCs w:val="21"/>
        </w:rPr>
        <w:fldChar w:fldCharType="end"/>
      </w:r>
      <w:r>
        <w:rPr>
          <w:rFonts w:hint="eastAsia" w:cs="宋体"/>
          <w:sz w:val="21"/>
          <w:szCs w:val="21"/>
        </w:rPr>
        <w:fldChar w:fldCharType="end"/>
      </w:r>
    </w:p>
    <w:p w14:paraId="1EE94EEB">
      <w:pPr>
        <w:pStyle w:val="23"/>
        <w:tabs>
          <w:tab w:val="right" w:leader="dot" w:pos="8306"/>
          <w:tab w:val="clear" w:pos="8296"/>
        </w:tabs>
        <w:ind w:left="0" w:leftChars="0"/>
        <w:rPr>
          <w:rFonts w:cs="宋体"/>
          <w:sz w:val="21"/>
          <w:szCs w:val="21"/>
        </w:rPr>
      </w:pPr>
      <w:r>
        <w:fldChar w:fldCharType="begin"/>
      </w:r>
      <w:r>
        <w:instrText xml:space="preserve"> HYPERLINK \l "_Toc25201" </w:instrText>
      </w:r>
      <w:r>
        <w:fldChar w:fldCharType="separate"/>
      </w:r>
      <w:r>
        <w:rPr>
          <w:rFonts w:cs="宋体"/>
          <w:sz w:val="21"/>
          <w:szCs w:val="21"/>
        </w:rPr>
        <w:t xml:space="preserve">一、 </w:t>
      </w:r>
      <w:r>
        <w:rPr>
          <w:rFonts w:hint="eastAsia" w:cs="宋体"/>
          <w:sz w:val="21"/>
          <w:szCs w:val="21"/>
        </w:rPr>
        <w:t>说明</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_Toc25201 \h </w:instrText>
      </w:r>
      <w:r>
        <w:rPr>
          <w:rFonts w:hint="eastAsia" w:cs="宋体"/>
          <w:sz w:val="21"/>
          <w:szCs w:val="21"/>
        </w:rPr>
        <w:fldChar w:fldCharType="separate"/>
      </w:r>
      <w:r>
        <w:rPr>
          <w:rFonts w:hint="eastAsia" w:cs="宋体"/>
          <w:sz w:val="21"/>
          <w:szCs w:val="21"/>
        </w:rPr>
        <w:t>25</w:t>
      </w:r>
      <w:r>
        <w:rPr>
          <w:rFonts w:hint="eastAsia" w:cs="宋体"/>
          <w:sz w:val="21"/>
          <w:szCs w:val="21"/>
        </w:rPr>
        <w:fldChar w:fldCharType="end"/>
      </w:r>
      <w:r>
        <w:rPr>
          <w:rFonts w:hint="eastAsia" w:cs="宋体"/>
          <w:sz w:val="21"/>
          <w:szCs w:val="21"/>
        </w:rPr>
        <w:fldChar w:fldCharType="end"/>
      </w:r>
    </w:p>
    <w:p w14:paraId="4F6F07FB">
      <w:pPr>
        <w:pStyle w:val="23"/>
        <w:tabs>
          <w:tab w:val="right" w:leader="dot" w:pos="8306"/>
          <w:tab w:val="clear" w:pos="8296"/>
        </w:tabs>
        <w:ind w:left="0" w:leftChars="0"/>
        <w:rPr>
          <w:rFonts w:cs="宋体"/>
          <w:sz w:val="21"/>
          <w:szCs w:val="21"/>
        </w:rPr>
      </w:pPr>
      <w:r>
        <w:fldChar w:fldCharType="begin"/>
      </w:r>
      <w:r>
        <w:instrText xml:space="preserve"> HYPERLINK \l "_Toc18690" </w:instrText>
      </w:r>
      <w:r>
        <w:fldChar w:fldCharType="separate"/>
      </w:r>
      <w:r>
        <w:rPr>
          <w:rFonts w:cs="宋体"/>
          <w:sz w:val="21"/>
          <w:szCs w:val="21"/>
        </w:rPr>
        <w:t xml:space="preserve">1. </w:t>
      </w:r>
      <w:r>
        <w:rPr>
          <w:rFonts w:hint="eastAsia" w:cs="宋体"/>
          <w:sz w:val="21"/>
          <w:szCs w:val="21"/>
        </w:rPr>
        <w:t>适用范围</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_Toc18690 \h </w:instrText>
      </w:r>
      <w:r>
        <w:rPr>
          <w:rFonts w:hint="eastAsia" w:cs="宋体"/>
          <w:sz w:val="21"/>
          <w:szCs w:val="21"/>
        </w:rPr>
        <w:fldChar w:fldCharType="separate"/>
      </w:r>
      <w:r>
        <w:rPr>
          <w:rFonts w:hint="eastAsia" w:cs="宋体"/>
          <w:sz w:val="21"/>
          <w:szCs w:val="21"/>
        </w:rPr>
        <w:t>25</w:t>
      </w:r>
      <w:r>
        <w:rPr>
          <w:rFonts w:hint="eastAsia" w:cs="宋体"/>
          <w:sz w:val="21"/>
          <w:szCs w:val="21"/>
        </w:rPr>
        <w:fldChar w:fldCharType="end"/>
      </w:r>
      <w:r>
        <w:rPr>
          <w:rFonts w:hint="eastAsia" w:cs="宋体"/>
          <w:sz w:val="21"/>
          <w:szCs w:val="21"/>
        </w:rPr>
        <w:fldChar w:fldCharType="end"/>
      </w:r>
    </w:p>
    <w:p w14:paraId="5C4E93EB">
      <w:pPr>
        <w:pStyle w:val="23"/>
        <w:tabs>
          <w:tab w:val="right" w:leader="dot" w:pos="8306"/>
          <w:tab w:val="clear" w:pos="8296"/>
        </w:tabs>
        <w:ind w:left="0" w:leftChars="0"/>
        <w:rPr>
          <w:rFonts w:cs="宋体"/>
          <w:sz w:val="21"/>
          <w:szCs w:val="21"/>
        </w:rPr>
      </w:pPr>
      <w:r>
        <w:fldChar w:fldCharType="begin"/>
      </w:r>
      <w:r>
        <w:instrText xml:space="preserve"> HYPERLINK \l "_Toc28435" </w:instrText>
      </w:r>
      <w:r>
        <w:fldChar w:fldCharType="separate"/>
      </w:r>
      <w:r>
        <w:rPr>
          <w:rFonts w:cs="宋体"/>
          <w:sz w:val="21"/>
          <w:szCs w:val="21"/>
        </w:rPr>
        <w:t xml:space="preserve">2. </w:t>
      </w:r>
      <w:r>
        <w:rPr>
          <w:rFonts w:hint="eastAsia" w:cs="宋体"/>
          <w:sz w:val="21"/>
          <w:szCs w:val="21"/>
        </w:rPr>
        <w:t>定义</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_Toc28435 \h </w:instrText>
      </w:r>
      <w:r>
        <w:rPr>
          <w:rFonts w:hint="eastAsia" w:cs="宋体"/>
          <w:sz w:val="21"/>
          <w:szCs w:val="21"/>
        </w:rPr>
        <w:fldChar w:fldCharType="separate"/>
      </w:r>
      <w:r>
        <w:rPr>
          <w:rFonts w:hint="eastAsia" w:cs="宋体"/>
          <w:sz w:val="21"/>
          <w:szCs w:val="21"/>
        </w:rPr>
        <w:t>25</w:t>
      </w:r>
      <w:r>
        <w:rPr>
          <w:rFonts w:hint="eastAsia" w:cs="宋体"/>
          <w:sz w:val="21"/>
          <w:szCs w:val="21"/>
        </w:rPr>
        <w:fldChar w:fldCharType="end"/>
      </w:r>
      <w:r>
        <w:rPr>
          <w:rFonts w:hint="eastAsia" w:cs="宋体"/>
          <w:sz w:val="21"/>
          <w:szCs w:val="21"/>
        </w:rPr>
        <w:fldChar w:fldCharType="end"/>
      </w:r>
    </w:p>
    <w:p w14:paraId="17863D07">
      <w:pPr>
        <w:pStyle w:val="23"/>
        <w:tabs>
          <w:tab w:val="right" w:leader="dot" w:pos="8306"/>
          <w:tab w:val="clear" w:pos="8296"/>
        </w:tabs>
        <w:ind w:left="0" w:leftChars="0"/>
        <w:rPr>
          <w:rFonts w:cs="宋体"/>
          <w:sz w:val="21"/>
          <w:szCs w:val="21"/>
        </w:rPr>
      </w:pPr>
      <w:r>
        <w:fldChar w:fldCharType="begin"/>
      </w:r>
      <w:r>
        <w:instrText xml:space="preserve"> HYPERLINK \l "_Toc10625" </w:instrText>
      </w:r>
      <w:r>
        <w:fldChar w:fldCharType="separate"/>
      </w:r>
      <w:r>
        <w:rPr>
          <w:rFonts w:cs="宋体"/>
          <w:sz w:val="21"/>
          <w:szCs w:val="21"/>
        </w:rPr>
        <w:t xml:space="preserve">3. </w:t>
      </w:r>
      <w:r>
        <w:rPr>
          <w:rFonts w:hint="eastAsia" w:cs="宋体"/>
          <w:sz w:val="21"/>
          <w:szCs w:val="21"/>
        </w:rPr>
        <w:t>货物和服务</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_Toc10625 \h </w:instrText>
      </w:r>
      <w:r>
        <w:rPr>
          <w:rFonts w:hint="eastAsia" w:cs="宋体"/>
          <w:sz w:val="21"/>
          <w:szCs w:val="21"/>
        </w:rPr>
        <w:fldChar w:fldCharType="separate"/>
      </w:r>
      <w:r>
        <w:rPr>
          <w:rFonts w:hint="eastAsia" w:cs="宋体"/>
          <w:sz w:val="21"/>
          <w:szCs w:val="21"/>
        </w:rPr>
        <w:t>25</w:t>
      </w:r>
      <w:r>
        <w:rPr>
          <w:rFonts w:hint="eastAsia" w:cs="宋体"/>
          <w:sz w:val="21"/>
          <w:szCs w:val="21"/>
        </w:rPr>
        <w:fldChar w:fldCharType="end"/>
      </w:r>
      <w:r>
        <w:rPr>
          <w:rFonts w:hint="eastAsia" w:cs="宋体"/>
          <w:sz w:val="21"/>
          <w:szCs w:val="21"/>
        </w:rPr>
        <w:fldChar w:fldCharType="end"/>
      </w:r>
    </w:p>
    <w:p w14:paraId="2EE3BDD8">
      <w:pPr>
        <w:pStyle w:val="23"/>
        <w:tabs>
          <w:tab w:val="right" w:leader="dot" w:pos="8306"/>
          <w:tab w:val="clear" w:pos="8296"/>
        </w:tabs>
        <w:ind w:left="0" w:leftChars="0"/>
        <w:rPr>
          <w:rFonts w:cs="宋体"/>
          <w:sz w:val="21"/>
          <w:szCs w:val="21"/>
        </w:rPr>
      </w:pPr>
      <w:r>
        <w:fldChar w:fldCharType="begin"/>
      </w:r>
      <w:r>
        <w:instrText xml:space="preserve"> HYPERLINK \l "_Toc1673" </w:instrText>
      </w:r>
      <w:r>
        <w:fldChar w:fldCharType="separate"/>
      </w:r>
      <w:r>
        <w:rPr>
          <w:rFonts w:cs="宋体"/>
          <w:sz w:val="21"/>
          <w:szCs w:val="21"/>
        </w:rPr>
        <w:t xml:space="preserve">4. </w:t>
      </w:r>
      <w:r>
        <w:rPr>
          <w:rFonts w:hint="eastAsia" w:cs="宋体"/>
          <w:sz w:val="21"/>
          <w:szCs w:val="21"/>
        </w:rPr>
        <w:t>投标费用</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_Toc1673 \h </w:instrText>
      </w:r>
      <w:r>
        <w:rPr>
          <w:rFonts w:hint="eastAsia" w:cs="宋体"/>
          <w:sz w:val="21"/>
          <w:szCs w:val="21"/>
        </w:rPr>
        <w:fldChar w:fldCharType="separate"/>
      </w:r>
      <w:r>
        <w:rPr>
          <w:rFonts w:hint="eastAsia" w:cs="宋体"/>
          <w:sz w:val="21"/>
          <w:szCs w:val="21"/>
        </w:rPr>
        <w:t>25</w:t>
      </w:r>
      <w:r>
        <w:rPr>
          <w:rFonts w:hint="eastAsia" w:cs="宋体"/>
          <w:sz w:val="21"/>
          <w:szCs w:val="21"/>
        </w:rPr>
        <w:fldChar w:fldCharType="end"/>
      </w:r>
      <w:r>
        <w:rPr>
          <w:rFonts w:hint="eastAsia" w:cs="宋体"/>
          <w:sz w:val="21"/>
          <w:szCs w:val="21"/>
        </w:rPr>
        <w:fldChar w:fldCharType="end"/>
      </w:r>
    </w:p>
    <w:p w14:paraId="573726BE">
      <w:pPr>
        <w:pStyle w:val="23"/>
        <w:tabs>
          <w:tab w:val="right" w:leader="dot" w:pos="8306"/>
          <w:tab w:val="clear" w:pos="8296"/>
        </w:tabs>
        <w:ind w:left="0" w:leftChars="0"/>
        <w:rPr>
          <w:rFonts w:cs="宋体"/>
          <w:sz w:val="21"/>
          <w:szCs w:val="21"/>
        </w:rPr>
      </w:pPr>
      <w:r>
        <w:fldChar w:fldCharType="begin"/>
      </w:r>
      <w:r>
        <w:instrText xml:space="preserve"> HYPERLINK \l "_Toc21477" </w:instrText>
      </w:r>
      <w:r>
        <w:fldChar w:fldCharType="separate"/>
      </w:r>
      <w:r>
        <w:rPr>
          <w:rFonts w:cs="宋体"/>
          <w:sz w:val="21"/>
          <w:szCs w:val="21"/>
        </w:rPr>
        <w:t xml:space="preserve">5. </w:t>
      </w:r>
      <w:r>
        <w:rPr>
          <w:rFonts w:hint="eastAsia" w:cs="宋体"/>
          <w:sz w:val="21"/>
          <w:szCs w:val="21"/>
        </w:rPr>
        <w:t>知识产权</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_Toc21477 \h </w:instrText>
      </w:r>
      <w:r>
        <w:rPr>
          <w:rFonts w:hint="eastAsia" w:cs="宋体"/>
          <w:sz w:val="21"/>
          <w:szCs w:val="21"/>
        </w:rPr>
        <w:fldChar w:fldCharType="separate"/>
      </w:r>
      <w:r>
        <w:rPr>
          <w:rFonts w:hint="eastAsia" w:cs="宋体"/>
          <w:sz w:val="21"/>
          <w:szCs w:val="21"/>
        </w:rPr>
        <w:t>25</w:t>
      </w:r>
      <w:r>
        <w:rPr>
          <w:rFonts w:hint="eastAsia" w:cs="宋体"/>
          <w:sz w:val="21"/>
          <w:szCs w:val="21"/>
        </w:rPr>
        <w:fldChar w:fldCharType="end"/>
      </w:r>
      <w:r>
        <w:rPr>
          <w:rFonts w:hint="eastAsia" w:cs="宋体"/>
          <w:sz w:val="21"/>
          <w:szCs w:val="21"/>
        </w:rPr>
        <w:fldChar w:fldCharType="end"/>
      </w:r>
    </w:p>
    <w:p w14:paraId="497105B3">
      <w:pPr>
        <w:pStyle w:val="23"/>
        <w:tabs>
          <w:tab w:val="right" w:leader="dot" w:pos="8306"/>
          <w:tab w:val="clear" w:pos="8296"/>
        </w:tabs>
        <w:ind w:left="0" w:leftChars="0"/>
        <w:rPr>
          <w:rFonts w:hint="eastAsia" w:eastAsia="宋体" w:cs="宋体"/>
          <w:sz w:val="21"/>
          <w:szCs w:val="21"/>
          <w:lang w:val="en-US" w:eastAsia="zh-CN"/>
        </w:rPr>
      </w:pPr>
      <w:r>
        <w:fldChar w:fldCharType="begin"/>
      </w:r>
      <w:r>
        <w:instrText xml:space="preserve"> HYPERLINK \l "_Toc25122" </w:instrText>
      </w:r>
      <w:r>
        <w:fldChar w:fldCharType="separate"/>
      </w:r>
      <w:r>
        <w:rPr>
          <w:rFonts w:cs="宋体"/>
          <w:sz w:val="21"/>
          <w:szCs w:val="21"/>
        </w:rPr>
        <w:t xml:space="preserve">6. </w:t>
      </w:r>
      <w:r>
        <w:rPr>
          <w:rFonts w:hint="eastAsia" w:cs="宋体"/>
          <w:sz w:val="21"/>
          <w:szCs w:val="21"/>
        </w:rPr>
        <w:t>关于联合体投标</w:t>
      </w:r>
      <w:r>
        <w:rPr>
          <w:rFonts w:hint="eastAsia" w:cs="宋体"/>
          <w:sz w:val="21"/>
          <w:szCs w:val="21"/>
        </w:rPr>
        <w:tab/>
      </w:r>
      <w:r>
        <w:rPr>
          <w:rFonts w:hint="eastAsia" w:cs="宋体"/>
          <w:sz w:val="21"/>
          <w:szCs w:val="21"/>
          <w:lang w:val="en-US" w:eastAsia="zh-CN"/>
        </w:rPr>
        <w:t>2</w:t>
      </w:r>
      <w:r>
        <w:rPr>
          <w:rFonts w:hint="eastAsia" w:cs="宋体"/>
          <w:sz w:val="21"/>
          <w:szCs w:val="21"/>
        </w:rPr>
        <w:fldChar w:fldCharType="end"/>
      </w:r>
      <w:r>
        <w:rPr>
          <w:rFonts w:hint="eastAsia" w:cs="宋体"/>
          <w:sz w:val="21"/>
          <w:szCs w:val="21"/>
          <w:lang w:val="en-US" w:eastAsia="zh-CN"/>
        </w:rPr>
        <w:t>5</w:t>
      </w:r>
    </w:p>
    <w:p w14:paraId="4676D694">
      <w:pPr>
        <w:pStyle w:val="23"/>
        <w:tabs>
          <w:tab w:val="right" w:leader="dot" w:pos="8306"/>
          <w:tab w:val="clear" w:pos="8296"/>
        </w:tabs>
        <w:ind w:left="0" w:leftChars="0"/>
        <w:rPr>
          <w:rFonts w:cs="宋体"/>
          <w:sz w:val="21"/>
          <w:szCs w:val="21"/>
        </w:rPr>
      </w:pPr>
      <w:r>
        <w:fldChar w:fldCharType="begin"/>
      </w:r>
      <w:r>
        <w:instrText xml:space="preserve"> HYPERLINK \l "_Toc10603" </w:instrText>
      </w:r>
      <w:r>
        <w:fldChar w:fldCharType="separate"/>
      </w:r>
      <w:r>
        <w:rPr>
          <w:rFonts w:cs="宋体"/>
          <w:sz w:val="21"/>
          <w:szCs w:val="21"/>
        </w:rPr>
        <w:t xml:space="preserve">7. </w:t>
      </w:r>
      <w:r>
        <w:rPr>
          <w:rFonts w:hint="eastAsia" w:cs="宋体"/>
          <w:sz w:val="21"/>
          <w:szCs w:val="21"/>
        </w:rPr>
        <w:t>关于分支机构投标</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_Toc10603 \h </w:instrText>
      </w:r>
      <w:r>
        <w:rPr>
          <w:rFonts w:hint="eastAsia" w:cs="宋体"/>
          <w:sz w:val="21"/>
          <w:szCs w:val="21"/>
        </w:rPr>
        <w:fldChar w:fldCharType="separate"/>
      </w:r>
      <w:r>
        <w:rPr>
          <w:rFonts w:hint="eastAsia" w:cs="宋体"/>
          <w:sz w:val="21"/>
          <w:szCs w:val="21"/>
        </w:rPr>
        <w:t>26</w:t>
      </w:r>
      <w:r>
        <w:rPr>
          <w:rFonts w:hint="eastAsia" w:cs="宋体"/>
          <w:sz w:val="21"/>
          <w:szCs w:val="21"/>
        </w:rPr>
        <w:fldChar w:fldCharType="end"/>
      </w:r>
      <w:r>
        <w:rPr>
          <w:rFonts w:hint="eastAsia" w:cs="宋体"/>
          <w:sz w:val="21"/>
          <w:szCs w:val="21"/>
        </w:rPr>
        <w:fldChar w:fldCharType="end"/>
      </w:r>
    </w:p>
    <w:p w14:paraId="464CB57B">
      <w:pPr>
        <w:pStyle w:val="23"/>
        <w:tabs>
          <w:tab w:val="right" w:leader="dot" w:pos="8306"/>
          <w:tab w:val="clear" w:pos="8296"/>
        </w:tabs>
        <w:ind w:left="0" w:leftChars="0"/>
        <w:rPr>
          <w:rFonts w:cs="宋体"/>
          <w:sz w:val="21"/>
          <w:szCs w:val="21"/>
        </w:rPr>
      </w:pPr>
      <w:r>
        <w:fldChar w:fldCharType="begin"/>
      </w:r>
      <w:r>
        <w:instrText xml:space="preserve"> HYPERLINK \l "_Toc16068" </w:instrText>
      </w:r>
      <w:r>
        <w:fldChar w:fldCharType="separate"/>
      </w:r>
      <w:r>
        <w:rPr>
          <w:rFonts w:cs="宋体"/>
          <w:sz w:val="21"/>
          <w:szCs w:val="21"/>
        </w:rPr>
        <w:t xml:space="preserve">8. </w:t>
      </w:r>
      <w:r>
        <w:rPr>
          <w:rFonts w:hint="eastAsia" w:cs="宋体"/>
          <w:sz w:val="21"/>
          <w:szCs w:val="21"/>
        </w:rPr>
        <w:t>踏勘现场</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_Toc16068 \h </w:instrText>
      </w:r>
      <w:r>
        <w:rPr>
          <w:rFonts w:hint="eastAsia" w:cs="宋体"/>
          <w:sz w:val="21"/>
          <w:szCs w:val="21"/>
        </w:rPr>
        <w:fldChar w:fldCharType="separate"/>
      </w:r>
      <w:r>
        <w:rPr>
          <w:rFonts w:hint="eastAsia" w:cs="宋体"/>
          <w:sz w:val="21"/>
          <w:szCs w:val="21"/>
        </w:rPr>
        <w:t>26</w:t>
      </w:r>
      <w:r>
        <w:rPr>
          <w:rFonts w:hint="eastAsia" w:cs="宋体"/>
          <w:sz w:val="21"/>
          <w:szCs w:val="21"/>
        </w:rPr>
        <w:fldChar w:fldCharType="end"/>
      </w:r>
      <w:r>
        <w:rPr>
          <w:rFonts w:hint="eastAsia" w:cs="宋体"/>
          <w:sz w:val="21"/>
          <w:szCs w:val="21"/>
        </w:rPr>
        <w:fldChar w:fldCharType="end"/>
      </w:r>
    </w:p>
    <w:p w14:paraId="4F9D74E7">
      <w:pPr>
        <w:pStyle w:val="23"/>
        <w:tabs>
          <w:tab w:val="right" w:leader="dot" w:pos="8306"/>
          <w:tab w:val="clear" w:pos="8296"/>
        </w:tabs>
        <w:ind w:left="0" w:leftChars="0"/>
        <w:rPr>
          <w:rFonts w:cs="宋体"/>
          <w:sz w:val="21"/>
          <w:szCs w:val="21"/>
        </w:rPr>
      </w:pPr>
      <w:r>
        <w:fldChar w:fldCharType="begin"/>
      </w:r>
      <w:r>
        <w:instrText xml:space="preserve"> HYPERLINK \l "_Toc14732" </w:instrText>
      </w:r>
      <w:r>
        <w:fldChar w:fldCharType="separate"/>
      </w:r>
      <w:r>
        <w:rPr>
          <w:rFonts w:cs="宋体"/>
          <w:sz w:val="21"/>
          <w:szCs w:val="21"/>
        </w:rPr>
        <w:t xml:space="preserve">二、 </w:t>
      </w:r>
      <w:r>
        <w:rPr>
          <w:rFonts w:hint="eastAsia" w:cs="宋体"/>
          <w:sz w:val="21"/>
          <w:szCs w:val="21"/>
        </w:rPr>
        <w:t>采购文件</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_Toc14732 \h </w:instrText>
      </w:r>
      <w:r>
        <w:rPr>
          <w:rFonts w:hint="eastAsia" w:cs="宋体"/>
          <w:sz w:val="21"/>
          <w:szCs w:val="21"/>
        </w:rPr>
        <w:fldChar w:fldCharType="separate"/>
      </w:r>
      <w:r>
        <w:rPr>
          <w:rFonts w:hint="eastAsia" w:cs="宋体"/>
          <w:sz w:val="21"/>
          <w:szCs w:val="21"/>
        </w:rPr>
        <w:t>26</w:t>
      </w:r>
      <w:r>
        <w:rPr>
          <w:rFonts w:hint="eastAsia" w:cs="宋体"/>
          <w:sz w:val="21"/>
          <w:szCs w:val="21"/>
        </w:rPr>
        <w:fldChar w:fldCharType="end"/>
      </w:r>
      <w:r>
        <w:rPr>
          <w:rFonts w:hint="eastAsia" w:cs="宋体"/>
          <w:sz w:val="21"/>
          <w:szCs w:val="21"/>
        </w:rPr>
        <w:fldChar w:fldCharType="end"/>
      </w:r>
    </w:p>
    <w:p w14:paraId="4E1F6FEF">
      <w:pPr>
        <w:pStyle w:val="23"/>
        <w:tabs>
          <w:tab w:val="right" w:leader="dot" w:pos="8306"/>
          <w:tab w:val="clear" w:pos="8296"/>
        </w:tabs>
        <w:ind w:left="0" w:leftChars="0"/>
        <w:rPr>
          <w:rFonts w:cs="宋体"/>
          <w:sz w:val="21"/>
          <w:szCs w:val="21"/>
        </w:rPr>
      </w:pPr>
      <w:r>
        <w:fldChar w:fldCharType="begin"/>
      </w:r>
      <w:r>
        <w:instrText xml:space="preserve"> HYPERLINK \l "_Toc25451" </w:instrText>
      </w:r>
      <w:r>
        <w:fldChar w:fldCharType="separate"/>
      </w:r>
      <w:r>
        <w:rPr>
          <w:rFonts w:cs="宋体"/>
          <w:sz w:val="21"/>
          <w:szCs w:val="21"/>
        </w:rPr>
        <w:t xml:space="preserve">9. </w:t>
      </w:r>
      <w:r>
        <w:rPr>
          <w:rFonts w:hint="eastAsia" w:cs="宋体"/>
          <w:sz w:val="21"/>
          <w:szCs w:val="21"/>
        </w:rPr>
        <w:t>采购文件的组成</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_Toc25451 \h </w:instrText>
      </w:r>
      <w:r>
        <w:rPr>
          <w:rFonts w:hint="eastAsia" w:cs="宋体"/>
          <w:sz w:val="21"/>
          <w:szCs w:val="21"/>
        </w:rPr>
        <w:fldChar w:fldCharType="separate"/>
      </w:r>
      <w:r>
        <w:rPr>
          <w:rFonts w:hint="eastAsia" w:cs="宋体"/>
          <w:sz w:val="21"/>
          <w:szCs w:val="21"/>
        </w:rPr>
        <w:t>26</w:t>
      </w:r>
      <w:r>
        <w:rPr>
          <w:rFonts w:hint="eastAsia" w:cs="宋体"/>
          <w:sz w:val="21"/>
          <w:szCs w:val="21"/>
        </w:rPr>
        <w:fldChar w:fldCharType="end"/>
      </w:r>
      <w:r>
        <w:rPr>
          <w:rFonts w:hint="eastAsia" w:cs="宋体"/>
          <w:sz w:val="21"/>
          <w:szCs w:val="21"/>
        </w:rPr>
        <w:fldChar w:fldCharType="end"/>
      </w:r>
    </w:p>
    <w:p w14:paraId="2F6B3274">
      <w:pPr>
        <w:pStyle w:val="23"/>
        <w:tabs>
          <w:tab w:val="right" w:leader="dot" w:pos="8306"/>
          <w:tab w:val="clear" w:pos="8296"/>
        </w:tabs>
        <w:ind w:left="0" w:leftChars="0"/>
        <w:rPr>
          <w:rFonts w:cs="宋体"/>
          <w:sz w:val="21"/>
          <w:szCs w:val="21"/>
        </w:rPr>
      </w:pPr>
      <w:r>
        <w:fldChar w:fldCharType="begin"/>
      </w:r>
      <w:r>
        <w:instrText xml:space="preserve"> HYPERLINK \l "_Toc30490" </w:instrText>
      </w:r>
      <w:r>
        <w:fldChar w:fldCharType="separate"/>
      </w:r>
      <w:r>
        <w:rPr>
          <w:rFonts w:cs="宋体"/>
          <w:sz w:val="21"/>
          <w:szCs w:val="21"/>
        </w:rPr>
        <w:t xml:space="preserve">10. </w:t>
      </w:r>
      <w:r>
        <w:rPr>
          <w:rFonts w:hint="eastAsia" w:cs="宋体"/>
          <w:sz w:val="21"/>
          <w:szCs w:val="21"/>
        </w:rPr>
        <w:t>采购文件的澄清或修改</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_Toc30490 \h </w:instrText>
      </w:r>
      <w:r>
        <w:rPr>
          <w:rFonts w:hint="eastAsia" w:cs="宋体"/>
          <w:sz w:val="21"/>
          <w:szCs w:val="21"/>
        </w:rPr>
        <w:fldChar w:fldCharType="separate"/>
      </w:r>
      <w:r>
        <w:rPr>
          <w:rFonts w:hint="eastAsia" w:cs="宋体"/>
          <w:sz w:val="21"/>
          <w:szCs w:val="21"/>
        </w:rPr>
        <w:t>27</w:t>
      </w:r>
      <w:r>
        <w:rPr>
          <w:rFonts w:hint="eastAsia" w:cs="宋体"/>
          <w:sz w:val="21"/>
          <w:szCs w:val="21"/>
        </w:rPr>
        <w:fldChar w:fldCharType="end"/>
      </w:r>
      <w:r>
        <w:rPr>
          <w:rFonts w:hint="eastAsia" w:cs="宋体"/>
          <w:sz w:val="21"/>
          <w:szCs w:val="21"/>
        </w:rPr>
        <w:fldChar w:fldCharType="end"/>
      </w:r>
    </w:p>
    <w:p w14:paraId="487513B2">
      <w:pPr>
        <w:pStyle w:val="23"/>
        <w:tabs>
          <w:tab w:val="right" w:leader="dot" w:pos="8306"/>
          <w:tab w:val="clear" w:pos="8296"/>
        </w:tabs>
        <w:ind w:left="0" w:leftChars="0"/>
        <w:rPr>
          <w:rFonts w:cs="宋体"/>
          <w:sz w:val="21"/>
          <w:szCs w:val="21"/>
        </w:rPr>
      </w:pPr>
      <w:r>
        <w:fldChar w:fldCharType="begin"/>
      </w:r>
      <w:r>
        <w:instrText xml:space="preserve"> HYPERLINK \l "_Toc10333" </w:instrText>
      </w:r>
      <w:r>
        <w:fldChar w:fldCharType="separate"/>
      </w:r>
      <w:r>
        <w:rPr>
          <w:rFonts w:cs="宋体"/>
          <w:sz w:val="21"/>
          <w:szCs w:val="21"/>
        </w:rPr>
        <w:t xml:space="preserve">三、 </w:t>
      </w:r>
      <w:r>
        <w:rPr>
          <w:rFonts w:hint="eastAsia" w:cs="宋体"/>
          <w:sz w:val="21"/>
          <w:szCs w:val="21"/>
        </w:rPr>
        <w:t>投标文件的编制</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_Toc10333 \h </w:instrText>
      </w:r>
      <w:r>
        <w:rPr>
          <w:rFonts w:hint="eastAsia" w:cs="宋体"/>
          <w:sz w:val="21"/>
          <w:szCs w:val="21"/>
        </w:rPr>
        <w:fldChar w:fldCharType="separate"/>
      </w:r>
      <w:r>
        <w:rPr>
          <w:rFonts w:hint="eastAsia" w:cs="宋体"/>
          <w:sz w:val="21"/>
          <w:szCs w:val="21"/>
        </w:rPr>
        <w:t>27</w:t>
      </w:r>
      <w:r>
        <w:rPr>
          <w:rFonts w:hint="eastAsia" w:cs="宋体"/>
          <w:sz w:val="21"/>
          <w:szCs w:val="21"/>
        </w:rPr>
        <w:fldChar w:fldCharType="end"/>
      </w:r>
      <w:r>
        <w:rPr>
          <w:rFonts w:hint="eastAsia" w:cs="宋体"/>
          <w:sz w:val="21"/>
          <w:szCs w:val="21"/>
        </w:rPr>
        <w:fldChar w:fldCharType="end"/>
      </w:r>
    </w:p>
    <w:p w14:paraId="51CFB476">
      <w:pPr>
        <w:pStyle w:val="23"/>
        <w:tabs>
          <w:tab w:val="right" w:leader="dot" w:pos="8306"/>
          <w:tab w:val="clear" w:pos="8296"/>
        </w:tabs>
        <w:ind w:left="0" w:leftChars="0"/>
        <w:rPr>
          <w:rFonts w:cs="宋体"/>
          <w:sz w:val="21"/>
          <w:szCs w:val="21"/>
        </w:rPr>
      </w:pPr>
      <w:r>
        <w:fldChar w:fldCharType="begin"/>
      </w:r>
      <w:r>
        <w:instrText xml:space="preserve"> HYPERLINK \l "_Toc12048" </w:instrText>
      </w:r>
      <w:r>
        <w:fldChar w:fldCharType="separate"/>
      </w:r>
      <w:r>
        <w:rPr>
          <w:rFonts w:cs="宋体"/>
          <w:sz w:val="21"/>
          <w:szCs w:val="21"/>
        </w:rPr>
        <w:t xml:space="preserve">11. </w:t>
      </w:r>
      <w:r>
        <w:rPr>
          <w:rFonts w:hint="eastAsia" w:cs="宋体"/>
          <w:sz w:val="21"/>
          <w:szCs w:val="21"/>
        </w:rPr>
        <w:t>投标文件的语言及度量衡单位</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_Toc12048 \h </w:instrText>
      </w:r>
      <w:r>
        <w:rPr>
          <w:rFonts w:hint="eastAsia" w:cs="宋体"/>
          <w:sz w:val="21"/>
          <w:szCs w:val="21"/>
        </w:rPr>
        <w:fldChar w:fldCharType="separate"/>
      </w:r>
      <w:r>
        <w:rPr>
          <w:rFonts w:hint="eastAsia" w:cs="宋体"/>
          <w:sz w:val="21"/>
          <w:szCs w:val="21"/>
        </w:rPr>
        <w:t>27</w:t>
      </w:r>
      <w:r>
        <w:rPr>
          <w:rFonts w:hint="eastAsia" w:cs="宋体"/>
          <w:sz w:val="21"/>
          <w:szCs w:val="21"/>
        </w:rPr>
        <w:fldChar w:fldCharType="end"/>
      </w:r>
      <w:r>
        <w:rPr>
          <w:rFonts w:hint="eastAsia" w:cs="宋体"/>
          <w:sz w:val="21"/>
          <w:szCs w:val="21"/>
        </w:rPr>
        <w:fldChar w:fldCharType="end"/>
      </w:r>
    </w:p>
    <w:p w14:paraId="4E45CEEB">
      <w:pPr>
        <w:pStyle w:val="23"/>
        <w:tabs>
          <w:tab w:val="right" w:leader="dot" w:pos="8306"/>
          <w:tab w:val="clear" w:pos="8296"/>
        </w:tabs>
        <w:ind w:left="0" w:leftChars="0"/>
        <w:rPr>
          <w:rFonts w:cs="宋体"/>
          <w:sz w:val="21"/>
          <w:szCs w:val="21"/>
        </w:rPr>
      </w:pPr>
      <w:r>
        <w:fldChar w:fldCharType="begin"/>
      </w:r>
      <w:r>
        <w:instrText xml:space="preserve"> HYPERLINK \l "_Toc27953" </w:instrText>
      </w:r>
      <w:r>
        <w:fldChar w:fldCharType="separate"/>
      </w:r>
      <w:r>
        <w:rPr>
          <w:rFonts w:cs="宋体"/>
          <w:sz w:val="21"/>
          <w:szCs w:val="21"/>
        </w:rPr>
        <w:t xml:space="preserve">12. </w:t>
      </w:r>
      <w:r>
        <w:rPr>
          <w:rFonts w:hint="eastAsia" w:cs="宋体"/>
          <w:sz w:val="21"/>
          <w:szCs w:val="21"/>
        </w:rPr>
        <w:t>投标文件的组成</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_Toc27953 \h </w:instrText>
      </w:r>
      <w:r>
        <w:rPr>
          <w:rFonts w:hint="eastAsia" w:cs="宋体"/>
          <w:sz w:val="21"/>
          <w:szCs w:val="21"/>
        </w:rPr>
        <w:fldChar w:fldCharType="separate"/>
      </w:r>
      <w:r>
        <w:rPr>
          <w:rFonts w:hint="eastAsia" w:cs="宋体"/>
          <w:sz w:val="21"/>
          <w:szCs w:val="21"/>
        </w:rPr>
        <w:t>27</w:t>
      </w:r>
      <w:r>
        <w:rPr>
          <w:rFonts w:hint="eastAsia" w:cs="宋体"/>
          <w:sz w:val="21"/>
          <w:szCs w:val="21"/>
        </w:rPr>
        <w:fldChar w:fldCharType="end"/>
      </w:r>
      <w:r>
        <w:rPr>
          <w:rFonts w:hint="eastAsia" w:cs="宋体"/>
          <w:sz w:val="21"/>
          <w:szCs w:val="21"/>
        </w:rPr>
        <w:fldChar w:fldCharType="end"/>
      </w:r>
    </w:p>
    <w:p w14:paraId="5F332CB7">
      <w:pPr>
        <w:pStyle w:val="23"/>
        <w:tabs>
          <w:tab w:val="right" w:leader="dot" w:pos="8306"/>
          <w:tab w:val="clear" w:pos="8296"/>
        </w:tabs>
        <w:ind w:left="0" w:leftChars="0"/>
        <w:rPr>
          <w:rFonts w:cs="宋体"/>
          <w:sz w:val="21"/>
          <w:szCs w:val="21"/>
        </w:rPr>
      </w:pPr>
      <w:r>
        <w:fldChar w:fldCharType="begin"/>
      </w:r>
      <w:r>
        <w:instrText xml:space="preserve"> HYPERLINK \l "_Toc5904" </w:instrText>
      </w:r>
      <w:r>
        <w:fldChar w:fldCharType="separate"/>
      </w:r>
      <w:r>
        <w:rPr>
          <w:rFonts w:cs="宋体"/>
          <w:sz w:val="21"/>
          <w:szCs w:val="21"/>
        </w:rPr>
        <w:t xml:space="preserve">13. </w:t>
      </w:r>
      <w:r>
        <w:rPr>
          <w:rFonts w:hint="eastAsia" w:cs="宋体"/>
          <w:sz w:val="21"/>
          <w:szCs w:val="21"/>
        </w:rPr>
        <w:t>投标文件编制</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_Toc5904 \h </w:instrText>
      </w:r>
      <w:r>
        <w:rPr>
          <w:rFonts w:hint="eastAsia" w:cs="宋体"/>
          <w:sz w:val="21"/>
          <w:szCs w:val="21"/>
        </w:rPr>
        <w:fldChar w:fldCharType="separate"/>
      </w:r>
      <w:r>
        <w:rPr>
          <w:rFonts w:hint="eastAsia" w:cs="宋体"/>
          <w:sz w:val="21"/>
          <w:szCs w:val="21"/>
        </w:rPr>
        <w:t>28</w:t>
      </w:r>
      <w:r>
        <w:rPr>
          <w:rFonts w:hint="eastAsia" w:cs="宋体"/>
          <w:sz w:val="21"/>
          <w:szCs w:val="21"/>
        </w:rPr>
        <w:fldChar w:fldCharType="end"/>
      </w:r>
      <w:r>
        <w:rPr>
          <w:rFonts w:hint="eastAsia" w:cs="宋体"/>
          <w:sz w:val="21"/>
          <w:szCs w:val="21"/>
        </w:rPr>
        <w:fldChar w:fldCharType="end"/>
      </w:r>
    </w:p>
    <w:p w14:paraId="1DD430D7">
      <w:pPr>
        <w:pStyle w:val="23"/>
        <w:tabs>
          <w:tab w:val="right" w:leader="dot" w:pos="8306"/>
          <w:tab w:val="clear" w:pos="8296"/>
        </w:tabs>
        <w:ind w:left="0" w:leftChars="0"/>
        <w:rPr>
          <w:rFonts w:cs="宋体"/>
          <w:sz w:val="21"/>
          <w:szCs w:val="21"/>
        </w:rPr>
      </w:pPr>
      <w:r>
        <w:fldChar w:fldCharType="begin"/>
      </w:r>
      <w:r>
        <w:instrText xml:space="preserve"> HYPERLINK \l "_Toc7134" </w:instrText>
      </w:r>
      <w:r>
        <w:fldChar w:fldCharType="separate"/>
      </w:r>
      <w:r>
        <w:rPr>
          <w:rFonts w:cs="宋体"/>
          <w:sz w:val="21"/>
          <w:szCs w:val="21"/>
        </w:rPr>
        <w:t xml:space="preserve">14. </w:t>
      </w:r>
      <w:r>
        <w:rPr>
          <w:rFonts w:hint="eastAsia" w:cs="宋体"/>
          <w:sz w:val="21"/>
          <w:szCs w:val="21"/>
        </w:rPr>
        <w:t>投标报价说明</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_Toc7134 \h </w:instrText>
      </w:r>
      <w:r>
        <w:rPr>
          <w:rFonts w:hint="eastAsia" w:cs="宋体"/>
          <w:sz w:val="21"/>
          <w:szCs w:val="21"/>
        </w:rPr>
        <w:fldChar w:fldCharType="separate"/>
      </w:r>
      <w:r>
        <w:rPr>
          <w:rFonts w:hint="eastAsia" w:cs="宋体"/>
          <w:sz w:val="21"/>
          <w:szCs w:val="21"/>
        </w:rPr>
        <w:t>29</w:t>
      </w:r>
      <w:r>
        <w:rPr>
          <w:rFonts w:hint="eastAsia" w:cs="宋体"/>
          <w:sz w:val="21"/>
          <w:szCs w:val="21"/>
        </w:rPr>
        <w:fldChar w:fldCharType="end"/>
      </w:r>
      <w:r>
        <w:rPr>
          <w:rFonts w:hint="eastAsia" w:cs="宋体"/>
          <w:sz w:val="21"/>
          <w:szCs w:val="21"/>
        </w:rPr>
        <w:fldChar w:fldCharType="end"/>
      </w:r>
    </w:p>
    <w:p w14:paraId="1DE2DF01">
      <w:pPr>
        <w:pStyle w:val="23"/>
        <w:tabs>
          <w:tab w:val="right" w:leader="dot" w:pos="8306"/>
          <w:tab w:val="clear" w:pos="8296"/>
        </w:tabs>
        <w:ind w:left="0" w:leftChars="0"/>
        <w:rPr>
          <w:rFonts w:cs="宋体"/>
          <w:sz w:val="21"/>
          <w:szCs w:val="21"/>
        </w:rPr>
      </w:pPr>
      <w:r>
        <w:fldChar w:fldCharType="begin"/>
      </w:r>
      <w:r>
        <w:instrText xml:space="preserve"> HYPERLINK \l "_Toc14501" </w:instrText>
      </w:r>
      <w:r>
        <w:fldChar w:fldCharType="separate"/>
      </w:r>
      <w:r>
        <w:rPr>
          <w:rFonts w:cs="宋体"/>
          <w:sz w:val="21"/>
          <w:szCs w:val="21"/>
        </w:rPr>
        <w:t xml:space="preserve">15. </w:t>
      </w:r>
      <w:r>
        <w:rPr>
          <w:rFonts w:hint="eastAsia" w:cs="宋体"/>
          <w:sz w:val="21"/>
          <w:szCs w:val="21"/>
        </w:rPr>
        <w:t>投标人所提供的服务或货物的证明文件</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_Toc14501 \h </w:instrText>
      </w:r>
      <w:r>
        <w:rPr>
          <w:rFonts w:hint="eastAsia" w:cs="宋体"/>
          <w:sz w:val="21"/>
          <w:szCs w:val="21"/>
        </w:rPr>
        <w:fldChar w:fldCharType="separate"/>
      </w:r>
      <w:r>
        <w:rPr>
          <w:rFonts w:hint="eastAsia" w:cs="宋体"/>
          <w:sz w:val="21"/>
          <w:szCs w:val="21"/>
        </w:rPr>
        <w:t>29</w:t>
      </w:r>
      <w:r>
        <w:rPr>
          <w:rFonts w:hint="eastAsia" w:cs="宋体"/>
          <w:sz w:val="21"/>
          <w:szCs w:val="21"/>
        </w:rPr>
        <w:fldChar w:fldCharType="end"/>
      </w:r>
      <w:r>
        <w:rPr>
          <w:rFonts w:hint="eastAsia" w:cs="宋体"/>
          <w:sz w:val="21"/>
          <w:szCs w:val="21"/>
        </w:rPr>
        <w:fldChar w:fldCharType="end"/>
      </w:r>
    </w:p>
    <w:p w14:paraId="4FD4A362">
      <w:pPr>
        <w:pStyle w:val="23"/>
        <w:tabs>
          <w:tab w:val="right" w:leader="dot" w:pos="8306"/>
          <w:tab w:val="clear" w:pos="8296"/>
        </w:tabs>
        <w:ind w:left="0" w:leftChars="0"/>
        <w:rPr>
          <w:rFonts w:cs="宋体"/>
          <w:sz w:val="21"/>
          <w:szCs w:val="21"/>
        </w:rPr>
      </w:pPr>
      <w:r>
        <w:fldChar w:fldCharType="begin"/>
      </w:r>
      <w:r>
        <w:instrText xml:space="preserve"> HYPERLINK \l "_Toc2409" </w:instrText>
      </w:r>
      <w:r>
        <w:fldChar w:fldCharType="separate"/>
      </w:r>
      <w:r>
        <w:rPr>
          <w:rFonts w:cs="宋体"/>
          <w:sz w:val="21"/>
          <w:szCs w:val="21"/>
        </w:rPr>
        <w:t xml:space="preserve">16. </w:t>
      </w:r>
      <w:r>
        <w:rPr>
          <w:rFonts w:hint="eastAsia" w:cs="宋体"/>
          <w:sz w:val="21"/>
          <w:szCs w:val="21"/>
        </w:rPr>
        <w:t>投标有效期</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_Toc2409 \h </w:instrText>
      </w:r>
      <w:r>
        <w:rPr>
          <w:rFonts w:hint="eastAsia" w:cs="宋体"/>
          <w:sz w:val="21"/>
          <w:szCs w:val="21"/>
        </w:rPr>
        <w:fldChar w:fldCharType="separate"/>
      </w:r>
      <w:r>
        <w:rPr>
          <w:rFonts w:hint="eastAsia" w:cs="宋体"/>
          <w:sz w:val="21"/>
          <w:szCs w:val="21"/>
        </w:rPr>
        <w:t>29</w:t>
      </w:r>
      <w:r>
        <w:rPr>
          <w:rFonts w:hint="eastAsia" w:cs="宋体"/>
          <w:sz w:val="21"/>
          <w:szCs w:val="21"/>
        </w:rPr>
        <w:fldChar w:fldCharType="end"/>
      </w:r>
      <w:r>
        <w:rPr>
          <w:rFonts w:hint="eastAsia" w:cs="宋体"/>
          <w:sz w:val="21"/>
          <w:szCs w:val="21"/>
        </w:rPr>
        <w:fldChar w:fldCharType="end"/>
      </w:r>
    </w:p>
    <w:p w14:paraId="65CDB802">
      <w:pPr>
        <w:pStyle w:val="23"/>
        <w:tabs>
          <w:tab w:val="right" w:leader="dot" w:pos="8306"/>
          <w:tab w:val="clear" w:pos="8296"/>
        </w:tabs>
        <w:ind w:left="0" w:leftChars="0"/>
        <w:rPr>
          <w:rFonts w:cs="宋体"/>
          <w:sz w:val="21"/>
          <w:szCs w:val="21"/>
        </w:rPr>
      </w:pPr>
      <w:r>
        <w:fldChar w:fldCharType="begin"/>
      </w:r>
      <w:r>
        <w:instrText xml:space="preserve"> HYPERLINK \l "_Toc26564" </w:instrText>
      </w:r>
      <w:r>
        <w:fldChar w:fldCharType="separate"/>
      </w:r>
      <w:r>
        <w:rPr>
          <w:rFonts w:cs="宋体"/>
          <w:sz w:val="21"/>
          <w:szCs w:val="21"/>
        </w:rPr>
        <w:t xml:space="preserve">17. </w:t>
      </w:r>
      <w:r>
        <w:rPr>
          <w:rFonts w:hint="eastAsia" w:cs="宋体"/>
          <w:sz w:val="21"/>
          <w:szCs w:val="21"/>
        </w:rPr>
        <w:t>投标保证金</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_Toc26564 \h </w:instrText>
      </w:r>
      <w:r>
        <w:rPr>
          <w:rFonts w:hint="eastAsia" w:cs="宋体"/>
          <w:sz w:val="21"/>
          <w:szCs w:val="21"/>
        </w:rPr>
        <w:fldChar w:fldCharType="separate"/>
      </w:r>
      <w:r>
        <w:rPr>
          <w:rFonts w:hint="eastAsia" w:cs="宋体"/>
          <w:sz w:val="21"/>
          <w:szCs w:val="21"/>
        </w:rPr>
        <w:t>29</w:t>
      </w:r>
      <w:r>
        <w:rPr>
          <w:rFonts w:hint="eastAsia" w:cs="宋体"/>
          <w:sz w:val="21"/>
          <w:szCs w:val="21"/>
        </w:rPr>
        <w:fldChar w:fldCharType="end"/>
      </w:r>
      <w:r>
        <w:rPr>
          <w:rFonts w:hint="eastAsia" w:cs="宋体"/>
          <w:sz w:val="21"/>
          <w:szCs w:val="21"/>
        </w:rPr>
        <w:fldChar w:fldCharType="end"/>
      </w:r>
    </w:p>
    <w:p w14:paraId="1967CB53">
      <w:pPr>
        <w:pStyle w:val="23"/>
        <w:tabs>
          <w:tab w:val="right" w:leader="dot" w:pos="8306"/>
          <w:tab w:val="clear" w:pos="8296"/>
        </w:tabs>
        <w:ind w:left="0" w:leftChars="0"/>
        <w:rPr>
          <w:rFonts w:cs="宋体"/>
          <w:sz w:val="21"/>
          <w:szCs w:val="21"/>
        </w:rPr>
      </w:pPr>
      <w:r>
        <w:fldChar w:fldCharType="begin"/>
      </w:r>
      <w:r>
        <w:instrText xml:space="preserve"> HYPERLINK \l "_Toc18672" </w:instrText>
      </w:r>
      <w:r>
        <w:fldChar w:fldCharType="separate"/>
      </w:r>
      <w:r>
        <w:rPr>
          <w:rFonts w:cs="宋体"/>
          <w:sz w:val="21"/>
          <w:szCs w:val="21"/>
        </w:rPr>
        <w:t xml:space="preserve">四、 </w:t>
      </w:r>
      <w:r>
        <w:rPr>
          <w:rFonts w:hint="eastAsia" w:cs="宋体"/>
          <w:sz w:val="21"/>
          <w:szCs w:val="21"/>
        </w:rPr>
        <w:t>投标文件的递交</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_Toc18672 \h </w:instrText>
      </w:r>
      <w:r>
        <w:rPr>
          <w:rFonts w:hint="eastAsia" w:cs="宋体"/>
          <w:sz w:val="21"/>
          <w:szCs w:val="21"/>
        </w:rPr>
        <w:fldChar w:fldCharType="separate"/>
      </w:r>
      <w:r>
        <w:rPr>
          <w:rFonts w:hint="eastAsia" w:cs="宋体"/>
          <w:sz w:val="21"/>
          <w:szCs w:val="21"/>
        </w:rPr>
        <w:t>30</w:t>
      </w:r>
      <w:r>
        <w:rPr>
          <w:rFonts w:hint="eastAsia" w:cs="宋体"/>
          <w:sz w:val="21"/>
          <w:szCs w:val="21"/>
        </w:rPr>
        <w:fldChar w:fldCharType="end"/>
      </w:r>
      <w:r>
        <w:rPr>
          <w:rFonts w:hint="eastAsia" w:cs="宋体"/>
          <w:sz w:val="21"/>
          <w:szCs w:val="21"/>
        </w:rPr>
        <w:fldChar w:fldCharType="end"/>
      </w:r>
    </w:p>
    <w:p w14:paraId="600A5C3A">
      <w:pPr>
        <w:pStyle w:val="23"/>
        <w:tabs>
          <w:tab w:val="right" w:leader="dot" w:pos="8306"/>
          <w:tab w:val="clear" w:pos="8296"/>
        </w:tabs>
        <w:ind w:left="0" w:leftChars="0"/>
        <w:rPr>
          <w:rFonts w:cs="宋体"/>
          <w:sz w:val="21"/>
          <w:szCs w:val="21"/>
        </w:rPr>
      </w:pPr>
      <w:r>
        <w:fldChar w:fldCharType="begin"/>
      </w:r>
      <w:r>
        <w:instrText xml:space="preserve"> HYPERLINK \l "_Toc9759" </w:instrText>
      </w:r>
      <w:r>
        <w:fldChar w:fldCharType="separate"/>
      </w:r>
      <w:r>
        <w:rPr>
          <w:rFonts w:cs="宋体"/>
          <w:sz w:val="21"/>
          <w:szCs w:val="21"/>
        </w:rPr>
        <w:t xml:space="preserve">18. </w:t>
      </w:r>
      <w:r>
        <w:rPr>
          <w:rFonts w:hint="eastAsia" w:cs="宋体"/>
          <w:sz w:val="21"/>
          <w:szCs w:val="21"/>
        </w:rPr>
        <w:t>投标文件的装订，签署，密封和标记</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_Toc9759 \h </w:instrText>
      </w:r>
      <w:r>
        <w:rPr>
          <w:rFonts w:hint="eastAsia" w:cs="宋体"/>
          <w:sz w:val="21"/>
          <w:szCs w:val="21"/>
        </w:rPr>
        <w:fldChar w:fldCharType="separate"/>
      </w:r>
      <w:r>
        <w:rPr>
          <w:rFonts w:hint="eastAsia" w:cs="宋体"/>
          <w:sz w:val="21"/>
          <w:szCs w:val="21"/>
        </w:rPr>
        <w:t>30</w:t>
      </w:r>
      <w:r>
        <w:rPr>
          <w:rFonts w:hint="eastAsia" w:cs="宋体"/>
          <w:sz w:val="21"/>
          <w:szCs w:val="21"/>
        </w:rPr>
        <w:fldChar w:fldCharType="end"/>
      </w:r>
      <w:r>
        <w:rPr>
          <w:rFonts w:hint="eastAsia" w:cs="宋体"/>
          <w:sz w:val="21"/>
          <w:szCs w:val="21"/>
        </w:rPr>
        <w:fldChar w:fldCharType="end"/>
      </w:r>
    </w:p>
    <w:p w14:paraId="6FFE8813">
      <w:pPr>
        <w:pStyle w:val="23"/>
        <w:tabs>
          <w:tab w:val="right" w:leader="dot" w:pos="8306"/>
          <w:tab w:val="clear" w:pos="8296"/>
        </w:tabs>
        <w:ind w:left="0" w:leftChars="0"/>
        <w:rPr>
          <w:rFonts w:cs="宋体"/>
          <w:sz w:val="21"/>
          <w:szCs w:val="21"/>
        </w:rPr>
      </w:pPr>
      <w:r>
        <w:fldChar w:fldCharType="begin"/>
      </w:r>
      <w:r>
        <w:instrText xml:space="preserve"> HYPERLINK \l "_Toc27686" </w:instrText>
      </w:r>
      <w:r>
        <w:fldChar w:fldCharType="separate"/>
      </w:r>
      <w:r>
        <w:rPr>
          <w:rFonts w:cs="宋体"/>
          <w:sz w:val="21"/>
          <w:szCs w:val="21"/>
        </w:rPr>
        <w:t xml:space="preserve">19. </w:t>
      </w:r>
      <w:r>
        <w:rPr>
          <w:rFonts w:hint="eastAsia" w:cs="宋体"/>
          <w:sz w:val="21"/>
          <w:szCs w:val="21"/>
        </w:rPr>
        <w:t>迟交的投标文件</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_Toc27686 \h </w:instrText>
      </w:r>
      <w:r>
        <w:rPr>
          <w:rFonts w:hint="eastAsia" w:cs="宋体"/>
          <w:sz w:val="21"/>
          <w:szCs w:val="21"/>
        </w:rPr>
        <w:fldChar w:fldCharType="separate"/>
      </w:r>
      <w:r>
        <w:rPr>
          <w:rFonts w:hint="eastAsia" w:cs="宋体"/>
          <w:sz w:val="21"/>
          <w:szCs w:val="21"/>
        </w:rPr>
        <w:t>31</w:t>
      </w:r>
      <w:r>
        <w:rPr>
          <w:rFonts w:hint="eastAsia" w:cs="宋体"/>
          <w:sz w:val="21"/>
          <w:szCs w:val="21"/>
        </w:rPr>
        <w:fldChar w:fldCharType="end"/>
      </w:r>
      <w:r>
        <w:rPr>
          <w:rFonts w:hint="eastAsia" w:cs="宋体"/>
          <w:sz w:val="21"/>
          <w:szCs w:val="21"/>
        </w:rPr>
        <w:fldChar w:fldCharType="end"/>
      </w:r>
    </w:p>
    <w:p w14:paraId="42C28EB8">
      <w:pPr>
        <w:pStyle w:val="23"/>
        <w:tabs>
          <w:tab w:val="right" w:leader="dot" w:pos="8306"/>
          <w:tab w:val="clear" w:pos="8296"/>
        </w:tabs>
        <w:ind w:left="0" w:leftChars="0"/>
        <w:rPr>
          <w:rFonts w:cs="宋体"/>
          <w:sz w:val="21"/>
          <w:szCs w:val="21"/>
        </w:rPr>
      </w:pPr>
      <w:r>
        <w:fldChar w:fldCharType="begin"/>
      </w:r>
      <w:r>
        <w:instrText xml:space="preserve"> HYPERLINK \l "_Toc8776" </w:instrText>
      </w:r>
      <w:r>
        <w:fldChar w:fldCharType="separate"/>
      </w:r>
      <w:r>
        <w:rPr>
          <w:rFonts w:cs="宋体"/>
          <w:sz w:val="21"/>
          <w:szCs w:val="21"/>
        </w:rPr>
        <w:t xml:space="preserve">20. </w:t>
      </w:r>
      <w:r>
        <w:rPr>
          <w:rFonts w:hint="eastAsia" w:cs="宋体"/>
          <w:sz w:val="21"/>
          <w:szCs w:val="21"/>
        </w:rPr>
        <w:t>投标样品（如需提交）</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_Toc8776 \h </w:instrText>
      </w:r>
      <w:r>
        <w:rPr>
          <w:rFonts w:hint="eastAsia" w:cs="宋体"/>
          <w:sz w:val="21"/>
          <w:szCs w:val="21"/>
        </w:rPr>
        <w:fldChar w:fldCharType="separate"/>
      </w:r>
      <w:r>
        <w:rPr>
          <w:rFonts w:hint="eastAsia" w:cs="宋体"/>
          <w:sz w:val="21"/>
          <w:szCs w:val="21"/>
        </w:rPr>
        <w:t>31</w:t>
      </w:r>
      <w:r>
        <w:rPr>
          <w:rFonts w:hint="eastAsia" w:cs="宋体"/>
          <w:sz w:val="21"/>
          <w:szCs w:val="21"/>
        </w:rPr>
        <w:fldChar w:fldCharType="end"/>
      </w:r>
      <w:r>
        <w:rPr>
          <w:rFonts w:hint="eastAsia" w:cs="宋体"/>
          <w:sz w:val="21"/>
          <w:szCs w:val="21"/>
        </w:rPr>
        <w:fldChar w:fldCharType="end"/>
      </w:r>
    </w:p>
    <w:p w14:paraId="66F1FA12">
      <w:pPr>
        <w:pStyle w:val="23"/>
        <w:tabs>
          <w:tab w:val="right" w:leader="dot" w:pos="8306"/>
          <w:tab w:val="clear" w:pos="8296"/>
        </w:tabs>
        <w:ind w:left="0" w:leftChars="0"/>
        <w:rPr>
          <w:rFonts w:cs="宋体"/>
          <w:sz w:val="21"/>
          <w:szCs w:val="21"/>
        </w:rPr>
      </w:pPr>
      <w:r>
        <w:fldChar w:fldCharType="begin"/>
      </w:r>
      <w:r>
        <w:instrText xml:space="preserve"> HYPERLINK \l "_Toc17522" </w:instrText>
      </w:r>
      <w:r>
        <w:fldChar w:fldCharType="separate"/>
      </w:r>
      <w:r>
        <w:rPr>
          <w:rFonts w:cs="宋体"/>
          <w:sz w:val="21"/>
          <w:szCs w:val="21"/>
        </w:rPr>
        <w:t xml:space="preserve">21. </w:t>
      </w:r>
      <w:r>
        <w:rPr>
          <w:rFonts w:hint="eastAsia" w:cs="宋体"/>
          <w:sz w:val="21"/>
          <w:szCs w:val="21"/>
        </w:rPr>
        <w:t>投标截止期</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_Toc17522 \h </w:instrText>
      </w:r>
      <w:r>
        <w:rPr>
          <w:rFonts w:hint="eastAsia" w:cs="宋体"/>
          <w:sz w:val="21"/>
          <w:szCs w:val="21"/>
        </w:rPr>
        <w:fldChar w:fldCharType="separate"/>
      </w:r>
      <w:r>
        <w:rPr>
          <w:rFonts w:hint="eastAsia" w:cs="宋体"/>
          <w:sz w:val="21"/>
          <w:szCs w:val="21"/>
        </w:rPr>
        <w:t>32</w:t>
      </w:r>
      <w:r>
        <w:rPr>
          <w:rFonts w:hint="eastAsia" w:cs="宋体"/>
          <w:sz w:val="21"/>
          <w:szCs w:val="21"/>
        </w:rPr>
        <w:fldChar w:fldCharType="end"/>
      </w:r>
      <w:r>
        <w:rPr>
          <w:rFonts w:hint="eastAsia" w:cs="宋体"/>
          <w:sz w:val="21"/>
          <w:szCs w:val="21"/>
        </w:rPr>
        <w:fldChar w:fldCharType="end"/>
      </w:r>
    </w:p>
    <w:p w14:paraId="3AB63532">
      <w:pPr>
        <w:pStyle w:val="23"/>
        <w:tabs>
          <w:tab w:val="right" w:leader="dot" w:pos="8306"/>
          <w:tab w:val="clear" w:pos="8296"/>
        </w:tabs>
        <w:ind w:left="0" w:leftChars="0"/>
        <w:rPr>
          <w:rFonts w:cs="宋体"/>
          <w:sz w:val="21"/>
          <w:szCs w:val="21"/>
        </w:rPr>
      </w:pPr>
      <w:r>
        <w:fldChar w:fldCharType="begin"/>
      </w:r>
      <w:r>
        <w:instrText xml:space="preserve"> HYPERLINK \l "_Toc14518" </w:instrText>
      </w:r>
      <w:r>
        <w:fldChar w:fldCharType="separate"/>
      </w:r>
      <w:r>
        <w:rPr>
          <w:rFonts w:cs="宋体"/>
          <w:sz w:val="21"/>
          <w:szCs w:val="21"/>
        </w:rPr>
        <w:t xml:space="preserve">22. </w:t>
      </w:r>
      <w:r>
        <w:rPr>
          <w:rFonts w:hint="eastAsia" w:cs="宋体"/>
          <w:sz w:val="21"/>
          <w:szCs w:val="21"/>
        </w:rPr>
        <w:t>投标文件的补充、修改与撤回</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_Toc14518 \h </w:instrText>
      </w:r>
      <w:r>
        <w:rPr>
          <w:rFonts w:hint="eastAsia" w:cs="宋体"/>
          <w:sz w:val="21"/>
          <w:szCs w:val="21"/>
        </w:rPr>
        <w:fldChar w:fldCharType="separate"/>
      </w:r>
      <w:r>
        <w:rPr>
          <w:rFonts w:hint="eastAsia" w:cs="宋体"/>
          <w:sz w:val="21"/>
          <w:szCs w:val="21"/>
        </w:rPr>
        <w:t>32</w:t>
      </w:r>
      <w:r>
        <w:rPr>
          <w:rFonts w:hint="eastAsia" w:cs="宋体"/>
          <w:sz w:val="21"/>
          <w:szCs w:val="21"/>
        </w:rPr>
        <w:fldChar w:fldCharType="end"/>
      </w:r>
      <w:r>
        <w:rPr>
          <w:rFonts w:hint="eastAsia" w:cs="宋体"/>
          <w:sz w:val="21"/>
          <w:szCs w:val="21"/>
        </w:rPr>
        <w:fldChar w:fldCharType="end"/>
      </w:r>
    </w:p>
    <w:p w14:paraId="2AA78479">
      <w:pPr>
        <w:pStyle w:val="23"/>
        <w:tabs>
          <w:tab w:val="right" w:leader="dot" w:pos="8306"/>
          <w:tab w:val="clear" w:pos="8296"/>
        </w:tabs>
        <w:ind w:left="0" w:leftChars="0"/>
        <w:rPr>
          <w:rFonts w:cs="宋体"/>
          <w:sz w:val="21"/>
          <w:szCs w:val="21"/>
        </w:rPr>
      </w:pPr>
      <w:r>
        <w:fldChar w:fldCharType="begin"/>
      </w:r>
      <w:r>
        <w:instrText xml:space="preserve"> HYPERLINK \l "_Toc4693" </w:instrText>
      </w:r>
      <w:r>
        <w:fldChar w:fldCharType="separate"/>
      </w:r>
      <w:r>
        <w:rPr>
          <w:rFonts w:cs="宋体"/>
          <w:sz w:val="21"/>
          <w:szCs w:val="21"/>
        </w:rPr>
        <w:t xml:space="preserve">五、 </w:t>
      </w:r>
      <w:r>
        <w:rPr>
          <w:rFonts w:hint="eastAsia" w:cs="宋体"/>
          <w:sz w:val="21"/>
          <w:szCs w:val="21"/>
        </w:rPr>
        <w:t>开标与评标</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_Toc4693 \h </w:instrText>
      </w:r>
      <w:r>
        <w:rPr>
          <w:rFonts w:hint="eastAsia" w:cs="宋体"/>
          <w:sz w:val="21"/>
          <w:szCs w:val="21"/>
        </w:rPr>
        <w:fldChar w:fldCharType="separate"/>
      </w:r>
      <w:r>
        <w:rPr>
          <w:rFonts w:hint="eastAsia" w:cs="宋体"/>
          <w:sz w:val="21"/>
          <w:szCs w:val="21"/>
        </w:rPr>
        <w:t>32</w:t>
      </w:r>
      <w:r>
        <w:rPr>
          <w:rFonts w:hint="eastAsia" w:cs="宋体"/>
          <w:sz w:val="21"/>
          <w:szCs w:val="21"/>
        </w:rPr>
        <w:fldChar w:fldCharType="end"/>
      </w:r>
      <w:r>
        <w:rPr>
          <w:rFonts w:hint="eastAsia" w:cs="宋体"/>
          <w:sz w:val="21"/>
          <w:szCs w:val="21"/>
        </w:rPr>
        <w:fldChar w:fldCharType="end"/>
      </w:r>
    </w:p>
    <w:p w14:paraId="565F9CF6">
      <w:pPr>
        <w:pStyle w:val="23"/>
        <w:tabs>
          <w:tab w:val="right" w:leader="dot" w:pos="8306"/>
          <w:tab w:val="clear" w:pos="8296"/>
        </w:tabs>
        <w:ind w:left="0" w:leftChars="0"/>
        <w:rPr>
          <w:rFonts w:cs="宋体"/>
          <w:sz w:val="21"/>
          <w:szCs w:val="21"/>
        </w:rPr>
      </w:pPr>
      <w:r>
        <w:fldChar w:fldCharType="begin"/>
      </w:r>
      <w:r>
        <w:instrText xml:space="preserve"> HYPERLINK \l "_Toc20009" </w:instrText>
      </w:r>
      <w:r>
        <w:fldChar w:fldCharType="separate"/>
      </w:r>
      <w:r>
        <w:rPr>
          <w:rFonts w:cs="宋体"/>
          <w:sz w:val="21"/>
          <w:szCs w:val="21"/>
        </w:rPr>
        <w:t xml:space="preserve">23. </w:t>
      </w:r>
      <w:r>
        <w:rPr>
          <w:rFonts w:hint="eastAsia" w:cs="宋体"/>
          <w:sz w:val="21"/>
          <w:szCs w:val="21"/>
        </w:rPr>
        <w:t>开标</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_Toc20009 \h </w:instrText>
      </w:r>
      <w:r>
        <w:rPr>
          <w:rFonts w:hint="eastAsia" w:cs="宋体"/>
          <w:sz w:val="21"/>
          <w:szCs w:val="21"/>
        </w:rPr>
        <w:fldChar w:fldCharType="separate"/>
      </w:r>
      <w:r>
        <w:rPr>
          <w:rFonts w:hint="eastAsia" w:cs="宋体"/>
          <w:sz w:val="21"/>
          <w:szCs w:val="21"/>
        </w:rPr>
        <w:t>32</w:t>
      </w:r>
      <w:r>
        <w:rPr>
          <w:rFonts w:hint="eastAsia" w:cs="宋体"/>
          <w:sz w:val="21"/>
          <w:szCs w:val="21"/>
        </w:rPr>
        <w:fldChar w:fldCharType="end"/>
      </w:r>
      <w:r>
        <w:rPr>
          <w:rFonts w:hint="eastAsia" w:cs="宋体"/>
          <w:sz w:val="21"/>
          <w:szCs w:val="21"/>
        </w:rPr>
        <w:fldChar w:fldCharType="end"/>
      </w:r>
    </w:p>
    <w:p w14:paraId="7EAD58C0">
      <w:pPr>
        <w:pStyle w:val="23"/>
        <w:tabs>
          <w:tab w:val="right" w:leader="dot" w:pos="8306"/>
          <w:tab w:val="clear" w:pos="8296"/>
        </w:tabs>
        <w:ind w:left="0" w:leftChars="0"/>
        <w:rPr>
          <w:rFonts w:cs="宋体"/>
          <w:sz w:val="21"/>
          <w:szCs w:val="21"/>
        </w:rPr>
      </w:pPr>
      <w:r>
        <w:fldChar w:fldCharType="begin"/>
      </w:r>
      <w:r>
        <w:instrText xml:space="preserve"> HYPERLINK \l "_Toc15560" </w:instrText>
      </w:r>
      <w:r>
        <w:fldChar w:fldCharType="separate"/>
      </w:r>
      <w:r>
        <w:rPr>
          <w:rFonts w:cs="宋体"/>
          <w:sz w:val="21"/>
          <w:szCs w:val="21"/>
        </w:rPr>
        <w:t xml:space="preserve">24. </w:t>
      </w:r>
      <w:r>
        <w:rPr>
          <w:rFonts w:hint="eastAsia" w:cs="宋体"/>
          <w:sz w:val="21"/>
          <w:szCs w:val="21"/>
        </w:rPr>
        <w:t>评标委员会及评标方法</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_Toc15560 \h </w:instrText>
      </w:r>
      <w:r>
        <w:rPr>
          <w:rFonts w:hint="eastAsia" w:cs="宋体"/>
          <w:sz w:val="21"/>
          <w:szCs w:val="21"/>
        </w:rPr>
        <w:fldChar w:fldCharType="separate"/>
      </w:r>
      <w:r>
        <w:rPr>
          <w:rFonts w:hint="eastAsia" w:cs="宋体"/>
          <w:sz w:val="21"/>
          <w:szCs w:val="21"/>
        </w:rPr>
        <w:t>33</w:t>
      </w:r>
      <w:r>
        <w:rPr>
          <w:rFonts w:hint="eastAsia" w:cs="宋体"/>
          <w:sz w:val="21"/>
          <w:szCs w:val="21"/>
        </w:rPr>
        <w:fldChar w:fldCharType="end"/>
      </w:r>
      <w:r>
        <w:rPr>
          <w:rFonts w:hint="eastAsia" w:cs="宋体"/>
          <w:sz w:val="21"/>
          <w:szCs w:val="21"/>
        </w:rPr>
        <w:fldChar w:fldCharType="end"/>
      </w:r>
    </w:p>
    <w:p w14:paraId="0EFA8664">
      <w:pPr>
        <w:pStyle w:val="23"/>
        <w:tabs>
          <w:tab w:val="right" w:leader="dot" w:pos="8306"/>
          <w:tab w:val="clear" w:pos="8296"/>
        </w:tabs>
        <w:ind w:left="0" w:leftChars="0"/>
        <w:rPr>
          <w:rFonts w:cs="宋体"/>
          <w:sz w:val="21"/>
          <w:szCs w:val="21"/>
        </w:rPr>
      </w:pPr>
      <w:r>
        <w:fldChar w:fldCharType="begin"/>
      </w:r>
      <w:r>
        <w:instrText xml:space="preserve"> HYPERLINK \l "_Toc22022" </w:instrText>
      </w:r>
      <w:r>
        <w:fldChar w:fldCharType="separate"/>
      </w:r>
      <w:r>
        <w:rPr>
          <w:rFonts w:cs="宋体"/>
          <w:sz w:val="21"/>
          <w:szCs w:val="21"/>
        </w:rPr>
        <w:t xml:space="preserve">25. </w:t>
      </w:r>
      <w:r>
        <w:rPr>
          <w:rFonts w:hint="eastAsia" w:cs="宋体"/>
          <w:sz w:val="21"/>
          <w:szCs w:val="21"/>
        </w:rPr>
        <w:t>评审原则及评标过程的保密</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_Toc22022 \h </w:instrText>
      </w:r>
      <w:r>
        <w:rPr>
          <w:rFonts w:hint="eastAsia" w:cs="宋体"/>
          <w:sz w:val="21"/>
          <w:szCs w:val="21"/>
        </w:rPr>
        <w:fldChar w:fldCharType="separate"/>
      </w:r>
      <w:r>
        <w:rPr>
          <w:rFonts w:hint="eastAsia" w:cs="宋体"/>
          <w:sz w:val="21"/>
          <w:szCs w:val="21"/>
        </w:rPr>
        <w:t>33</w:t>
      </w:r>
      <w:r>
        <w:rPr>
          <w:rFonts w:hint="eastAsia" w:cs="宋体"/>
          <w:sz w:val="21"/>
          <w:szCs w:val="21"/>
        </w:rPr>
        <w:fldChar w:fldCharType="end"/>
      </w:r>
      <w:r>
        <w:rPr>
          <w:rFonts w:hint="eastAsia" w:cs="宋体"/>
          <w:sz w:val="21"/>
          <w:szCs w:val="21"/>
        </w:rPr>
        <w:fldChar w:fldCharType="end"/>
      </w:r>
    </w:p>
    <w:p w14:paraId="44B1AD7B">
      <w:pPr>
        <w:pStyle w:val="23"/>
        <w:tabs>
          <w:tab w:val="right" w:leader="dot" w:pos="8306"/>
          <w:tab w:val="clear" w:pos="8296"/>
        </w:tabs>
        <w:ind w:left="0" w:leftChars="0"/>
        <w:rPr>
          <w:rFonts w:cs="宋体"/>
          <w:sz w:val="21"/>
          <w:szCs w:val="21"/>
        </w:rPr>
      </w:pPr>
      <w:r>
        <w:fldChar w:fldCharType="begin"/>
      </w:r>
      <w:r>
        <w:instrText xml:space="preserve"> HYPERLINK \l "_Toc14506" </w:instrText>
      </w:r>
      <w:r>
        <w:fldChar w:fldCharType="separate"/>
      </w:r>
      <w:r>
        <w:rPr>
          <w:rFonts w:cs="宋体"/>
          <w:sz w:val="21"/>
          <w:szCs w:val="21"/>
        </w:rPr>
        <w:t xml:space="preserve">26. </w:t>
      </w:r>
      <w:r>
        <w:rPr>
          <w:rFonts w:hint="eastAsia" w:cs="宋体"/>
          <w:sz w:val="21"/>
          <w:szCs w:val="21"/>
        </w:rPr>
        <w:t>评标程序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_Toc14506 \h </w:instrText>
      </w:r>
      <w:r>
        <w:rPr>
          <w:rFonts w:hint="eastAsia" w:cs="宋体"/>
          <w:sz w:val="21"/>
          <w:szCs w:val="21"/>
        </w:rPr>
        <w:fldChar w:fldCharType="separate"/>
      </w:r>
      <w:r>
        <w:rPr>
          <w:rFonts w:hint="eastAsia" w:cs="宋体"/>
          <w:sz w:val="21"/>
          <w:szCs w:val="21"/>
        </w:rPr>
        <w:t>33</w:t>
      </w:r>
      <w:r>
        <w:rPr>
          <w:rFonts w:hint="eastAsia" w:cs="宋体"/>
          <w:sz w:val="21"/>
          <w:szCs w:val="21"/>
        </w:rPr>
        <w:fldChar w:fldCharType="end"/>
      </w:r>
      <w:r>
        <w:rPr>
          <w:rFonts w:hint="eastAsia" w:cs="宋体"/>
          <w:sz w:val="21"/>
          <w:szCs w:val="21"/>
        </w:rPr>
        <w:fldChar w:fldCharType="end"/>
      </w:r>
    </w:p>
    <w:p w14:paraId="62315D59">
      <w:pPr>
        <w:pStyle w:val="23"/>
        <w:tabs>
          <w:tab w:val="right" w:leader="dot" w:pos="8306"/>
          <w:tab w:val="clear" w:pos="8296"/>
        </w:tabs>
        <w:ind w:left="0" w:leftChars="0"/>
        <w:rPr>
          <w:rFonts w:cs="宋体"/>
          <w:sz w:val="21"/>
          <w:szCs w:val="21"/>
        </w:rPr>
      </w:pPr>
      <w:r>
        <w:fldChar w:fldCharType="begin"/>
      </w:r>
      <w:r>
        <w:instrText xml:space="preserve"> HYPERLINK \l "_Toc11415" </w:instrText>
      </w:r>
      <w:r>
        <w:fldChar w:fldCharType="separate"/>
      </w:r>
      <w:r>
        <w:rPr>
          <w:rFonts w:cs="宋体"/>
          <w:sz w:val="21"/>
          <w:szCs w:val="21"/>
        </w:rPr>
        <w:t xml:space="preserve">27. </w:t>
      </w:r>
      <w:r>
        <w:rPr>
          <w:rFonts w:hint="eastAsia" w:cs="宋体"/>
          <w:sz w:val="21"/>
          <w:szCs w:val="21"/>
        </w:rPr>
        <w:t>商务、技术、价格评审（具体评审项目详见投标资料表）</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_Toc11415 \h </w:instrText>
      </w:r>
      <w:r>
        <w:rPr>
          <w:rFonts w:hint="eastAsia" w:cs="宋体"/>
          <w:sz w:val="21"/>
          <w:szCs w:val="21"/>
        </w:rPr>
        <w:fldChar w:fldCharType="separate"/>
      </w:r>
      <w:r>
        <w:rPr>
          <w:rFonts w:hint="eastAsia" w:cs="宋体"/>
          <w:sz w:val="21"/>
          <w:szCs w:val="21"/>
        </w:rPr>
        <w:t>35</w:t>
      </w:r>
      <w:r>
        <w:rPr>
          <w:rFonts w:hint="eastAsia" w:cs="宋体"/>
          <w:sz w:val="21"/>
          <w:szCs w:val="21"/>
        </w:rPr>
        <w:fldChar w:fldCharType="end"/>
      </w:r>
      <w:r>
        <w:rPr>
          <w:rFonts w:hint="eastAsia" w:cs="宋体"/>
          <w:sz w:val="21"/>
          <w:szCs w:val="21"/>
        </w:rPr>
        <w:fldChar w:fldCharType="end"/>
      </w:r>
    </w:p>
    <w:p w14:paraId="43793705">
      <w:pPr>
        <w:pStyle w:val="23"/>
        <w:tabs>
          <w:tab w:val="right" w:leader="dot" w:pos="8306"/>
          <w:tab w:val="clear" w:pos="8296"/>
        </w:tabs>
        <w:ind w:left="0" w:leftChars="0"/>
        <w:rPr>
          <w:rFonts w:cs="宋体"/>
          <w:sz w:val="21"/>
          <w:szCs w:val="21"/>
        </w:rPr>
      </w:pPr>
      <w:r>
        <w:fldChar w:fldCharType="begin"/>
      </w:r>
      <w:r>
        <w:instrText xml:space="preserve"> HYPERLINK \l "_Toc18550" </w:instrText>
      </w:r>
      <w:r>
        <w:fldChar w:fldCharType="separate"/>
      </w:r>
      <w:r>
        <w:rPr>
          <w:rFonts w:cs="宋体"/>
          <w:sz w:val="21"/>
          <w:szCs w:val="21"/>
        </w:rPr>
        <w:t xml:space="preserve">28. </w:t>
      </w:r>
      <w:r>
        <w:rPr>
          <w:rFonts w:hint="eastAsia" w:cs="宋体"/>
          <w:sz w:val="21"/>
          <w:szCs w:val="21"/>
        </w:rPr>
        <w:t>纪律和保密事项</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_Toc18550 \h </w:instrText>
      </w:r>
      <w:r>
        <w:rPr>
          <w:rFonts w:hint="eastAsia" w:cs="宋体"/>
          <w:sz w:val="21"/>
          <w:szCs w:val="21"/>
        </w:rPr>
        <w:fldChar w:fldCharType="separate"/>
      </w:r>
      <w:r>
        <w:rPr>
          <w:rFonts w:hint="eastAsia" w:cs="宋体"/>
          <w:sz w:val="21"/>
          <w:szCs w:val="21"/>
        </w:rPr>
        <w:t>35</w:t>
      </w:r>
      <w:r>
        <w:rPr>
          <w:rFonts w:hint="eastAsia" w:cs="宋体"/>
          <w:sz w:val="21"/>
          <w:szCs w:val="21"/>
        </w:rPr>
        <w:fldChar w:fldCharType="end"/>
      </w:r>
      <w:r>
        <w:rPr>
          <w:rFonts w:hint="eastAsia" w:cs="宋体"/>
          <w:sz w:val="21"/>
          <w:szCs w:val="21"/>
        </w:rPr>
        <w:fldChar w:fldCharType="end"/>
      </w:r>
    </w:p>
    <w:p w14:paraId="1718F77A">
      <w:pPr>
        <w:pStyle w:val="23"/>
        <w:tabs>
          <w:tab w:val="right" w:leader="dot" w:pos="8306"/>
          <w:tab w:val="clear" w:pos="8296"/>
        </w:tabs>
        <w:ind w:left="0" w:leftChars="0"/>
        <w:rPr>
          <w:rFonts w:cs="宋体"/>
          <w:sz w:val="21"/>
          <w:szCs w:val="21"/>
        </w:rPr>
      </w:pPr>
      <w:r>
        <w:fldChar w:fldCharType="begin"/>
      </w:r>
      <w:r>
        <w:instrText xml:space="preserve"> HYPERLINK \l "_Toc27738" </w:instrText>
      </w:r>
      <w:r>
        <w:fldChar w:fldCharType="separate"/>
      </w:r>
      <w:r>
        <w:rPr>
          <w:rFonts w:cs="宋体"/>
          <w:sz w:val="21"/>
          <w:szCs w:val="21"/>
        </w:rPr>
        <w:t xml:space="preserve">六、 </w:t>
      </w:r>
      <w:r>
        <w:rPr>
          <w:rFonts w:hint="eastAsia" w:cs="宋体"/>
          <w:sz w:val="21"/>
          <w:szCs w:val="21"/>
        </w:rPr>
        <w:t>授予合同</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_Toc27738 \h </w:instrText>
      </w:r>
      <w:r>
        <w:rPr>
          <w:rFonts w:hint="eastAsia" w:cs="宋体"/>
          <w:sz w:val="21"/>
          <w:szCs w:val="21"/>
        </w:rPr>
        <w:fldChar w:fldCharType="separate"/>
      </w:r>
      <w:r>
        <w:rPr>
          <w:rFonts w:hint="eastAsia" w:cs="宋体"/>
          <w:sz w:val="21"/>
          <w:szCs w:val="21"/>
        </w:rPr>
        <w:t>35</w:t>
      </w:r>
      <w:r>
        <w:rPr>
          <w:rFonts w:hint="eastAsia" w:cs="宋体"/>
          <w:sz w:val="21"/>
          <w:szCs w:val="21"/>
        </w:rPr>
        <w:fldChar w:fldCharType="end"/>
      </w:r>
      <w:r>
        <w:rPr>
          <w:rFonts w:hint="eastAsia" w:cs="宋体"/>
          <w:sz w:val="21"/>
          <w:szCs w:val="21"/>
        </w:rPr>
        <w:fldChar w:fldCharType="end"/>
      </w:r>
    </w:p>
    <w:p w14:paraId="02BCA740">
      <w:pPr>
        <w:pStyle w:val="23"/>
        <w:tabs>
          <w:tab w:val="right" w:leader="dot" w:pos="8306"/>
          <w:tab w:val="clear" w:pos="8296"/>
        </w:tabs>
        <w:ind w:left="0" w:leftChars="0"/>
        <w:rPr>
          <w:rFonts w:cs="宋体"/>
          <w:sz w:val="21"/>
          <w:szCs w:val="21"/>
        </w:rPr>
      </w:pPr>
      <w:r>
        <w:fldChar w:fldCharType="begin"/>
      </w:r>
      <w:r>
        <w:instrText xml:space="preserve"> HYPERLINK \l "_Toc16090" </w:instrText>
      </w:r>
      <w:r>
        <w:fldChar w:fldCharType="separate"/>
      </w:r>
      <w:r>
        <w:rPr>
          <w:rFonts w:cs="宋体"/>
          <w:sz w:val="21"/>
          <w:szCs w:val="21"/>
        </w:rPr>
        <w:t xml:space="preserve">29. </w:t>
      </w:r>
      <w:r>
        <w:rPr>
          <w:rFonts w:hint="eastAsia" w:cs="宋体"/>
          <w:sz w:val="21"/>
          <w:szCs w:val="21"/>
        </w:rPr>
        <w:t>合同授予标准</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_Toc16090 \h </w:instrText>
      </w:r>
      <w:r>
        <w:rPr>
          <w:rFonts w:hint="eastAsia" w:cs="宋体"/>
          <w:sz w:val="21"/>
          <w:szCs w:val="21"/>
        </w:rPr>
        <w:fldChar w:fldCharType="separate"/>
      </w:r>
      <w:r>
        <w:rPr>
          <w:rFonts w:hint="eastAsia" w:cs="宋体"/>
          <w:sz w:val="21"/>
          <w:szCs w:val="21"/>
        </w:rPr>
        <w:t>35</w:t>
      </w:r>
      <w:r>
        <w:rPr>
          <w:rFonts w:hint="eastAsia" w:cs="宋体"/>
          <w:sz w:val="21"/>
          <w:szCs w:val="21"/>
        </w:rPr>
        <w:fldChar w:fldCharType="end"/>
      </w:r>
      <w:r>
        <w:rPr>
          <w:rFonts w:hint="eastAsia" w:cs="宋体"/>
          <w:sz w:val="21"/>
          <w:szCs w:val="21"/>
        </w:rPr>
        <w:fldChar w:fldCharType="end"/>
      </w:r>
    </w:p>
    <w:p w14:paraId="111E3D0C">
      <w:pPr>
        <w:pStyle w:val="23"/>
        <w:tabs>
          <w:tab w:val="right" w:leader="dot" w:pos="8306"/>
          <w:tab w:val="clear" w:pos="8296"/>
        </w:tabs>
        <w:ind w:left="0" w:leftChars="0"/>
        <w:rPr>
          <w:rFonts w:cs="宋体"/>
          <w:sz w:val="21"/>
          <w:szCs w:val="21"/>
        </w:rPr>
      </w:pPr>
      <w:r>
        <w:fldChar w:fldCharType="begin"/>
      </w:r>
      <w:r>
        <w:instrText xml:space="preserve"> HYPERLINK \l "_Toc24261" </w:instrText>
      </w:r>
      <w:r>
        <w:fldChar w:fldCharType="separate"/>
      </w:r>
      <w:r>
        <w:rPr>
          <w:rFonts w:cs="宋体"/>
          <w:sz w:val="21"/>
          <w:szCs w:val="21"/>
        </w:rPr>
        <w:t xml:space="preserve">30. </w:t>
      </w:r>
      <w:r>
        <w:rPr>
          <w:rFonts w:hint="eastAsia" w:cs="宋体"/>
          <w:sz w:val="21"/>
          <w:szCs w:val="21"/>
        </w:rPr>
        <w:t>发布中标结果</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_Toc24261 \h </w:instrText>
      </w:r>
      <w:r>
        <w:rPr>
          <w:rFonts w:hint="eastAsia" w:cs="宋体"/>
          <w:sz w:val="21"/>
          <w:szCs w:val="21"/>
        </w:rPr>
        <w:fldChar w:fldCharType="separate"/>
      </w:r>
      <w:r>
        <w:rPr>
          <w:rFonts w:hint="eastAsia" w:cs="宋体"/>
          <w:sz w:val="21"/>
          <w:szCs w:val="21"/>
        </w:rPr>
        <w:t>35</w:t>
      </w:r>
      <w:r>
        <w:rPr>
          <w:rFonts w:hint="eastAsia" w:cs="宋体"/>
          <w:sz w:val="21"/>
          <w:szCs w:val="21"/>
        </w:rPr>
        <w:fldChar w:fldCharType="end"/>
      </w:r>
      <w:r>
        <w:rPr>
          <w:rFonts w:hint="eastAsia" w:cs="宋体"/>
          <w:sz w:val="21"/>
          <w:szCs w:val="21"/>
        </w:rPr>
        <w:fldChar w:fldCharType="end"/>
      </w:r>
    </w:p>
    <w:p w14:paraId="188F6014">
      <w:pPr>
        <w:pStyle w:val="23"/>
        <w:tabs>
          <w:tab w:val="right" w:leader="dot" w:pos="8306"/>
          <w:tab w:val="clear" w:pos="8296"/>
        </w:tabs>
        <w:ind w:left="0" w:leftChars="0"/>
        <w:rPr>
          <w:rFonts w:cs="宋体"/>
          <w:sz w:val="21"/>
          <w:szCs w:val="21"/>
        </w:rPr>
      </w:pPr>
      <w:r>
        <w:fldChar w:fldCharType="begin"/>
      </w:r>
      <w:r>
        <w:instrText xml:space="preserve"> HYPERLINK \l "_Toc749" </w:instrText>
      </w:r>
      <w:r>
        <w:fldChar w:fldCharType="separate"/>
      </w:r>
      <w:r>
        <w:rPr>
          <w:rFonts w:cs="宋体"/>
          <w:sz w:val="21"/>
          <w:szCs w:val="21"/>
        </w:rPr>
        <w:t xml:space="preserve">31. </w:t>
      </w:r>
      <w:r>
        <w:rPr>
          <w:rFonts w:hint="eastAsia" w:cs="宋体"/>
          <w:sz w:val="21"/>
          <w:szCs w:val="21"/>
        </w:rPr>
        <w:t>资格后审</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_Toc749 \h </w:instrText>
      </w:r>
      <w:r>
        <w:rPr>
          <w:rFonts w:hint="eastAsia" w:cs="宋体"/>
          <w:sz w:val="21"/>
          <w:szCs w:val="21"/>
        </w:rPr>
        <w:fldChar w:fldCharType="separate"/>
      </w:r>
      <w:r>
        <w:rPr>
          <w:rFonts w:hint="eastAsia" w:cs="宋体"/>
          <w:sz w:val="21"/>
          <w:szCs w:val="21"/>
        </w:rPr>
        <w:t>36</w:t>
      </w:r>
      <w:r>
        <w:rPr>
          <w:rFonts w:hint="eastAsia" w:cs="宋体"/>
          <w:sz w:val="21"/>
          <w:szCs w:val="21"/>
        </w:rPr>
        <w:fldChar w:fldCharType="end"/>
      </w:r>
      <w:r>
        <w:rPr>
          <w:rFonts w:hint="eastAsia" w:cs="宋体"/>
          <w:sz w:val="21"/>
          <w:szCs w:val="21"/>
        </w:rPr>
        <w:fldChar w:fldCharType="end"/>
      </w:r>
    </w:p>
    <w:p w14:paraId="29B6B96D">
      <w:pPr>
        <w:pStyle w:val="23"/>
        <w:tabs>
          <w:tab w:val="right" w:leader="dot" w:pos="8306"/>
          <w:tab w:val="clear" w:pos="8296"/>
        </w:tabs>
        <w:ind w:left="0" w:leftChars="0"/>
        <w:rPr>
          <w:rFonts w:cs="宋体"/>
          <w:sz w:val="21"/>
          <w:szCs w:val="21"/>
        </w:rPr>
      </w:pPr>
      <w:r>
        <w:fldChar w:fldCharType="begin"/>
      </w:r>
      <w:r>
        <w:instrText xml:space="preserve"> HYPERLINK \l "_Toc27689" </w:instrText>
      </w:r>
      <w:r>
        <w:fldChar w:fldCharType="separate"/>
      </w:r>
      <w:r>
        <w:rPr>
          <w:rFonts w:cs="宋体"/>
          <w:sz w:val="21"/>
          <w:szCs w:val="21"/>
        </w:rPr>
        <w:t xml:space="preserve">32. </w:t>
      </w:r>
      <w:r>
        <w:rPr>
          <w:rFonts w:hint="eastAsia" w:cs="宋体"/>
          <w:sz w:val="21"/>
          <w:szCs w:val="21"/>
        </w:rPr>
        <w:t>合同的签订与履行</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_Toc27689 \h </w:instrText>
      </w:r>
      <w:r>
        <w:rPr>
          <w:rFonts w:hint="eastAsia" w:cs="宋体"/>
          <w:sz w:val="21"/>
          <w:szCs w:val="21"/>
        </w:rPr>
        <w:fldChar w:fldCharType="separate"/>
      </w:r>
      <w:r>
        <w:rPr>
          <w:rFonts w:hint="eastAsia" w:cs="宋体"/>
          <w:sz w:val="21"/>
          <w:szCs w:val="21"/>
        </w:rPr>
        <w:t>36</w:t>
      </w:r>
      <w:r>
        <w:rPr>
          <w:rFonts w:hint="eastAsia" w:cs="宋体"/>
          <w:sz w:val="21"/>
          <w:szCs w:val="21"/>
        </w:rPr>
        <w:fldChar w:fldCharType="end"/>
      </w:r>
      <w:r>
        <w:rPr>
          <w:rFonts w:hint="eastAsia" w:cs="宋体"/>
          <w:sz w:val="21"/>
          <w:szCs w:val="21"/>
        </w:rPr>
        <w:fldChar w:fldCharType="end"/>
      </w:r>
    </w:p>
    <w:p w14:paraId="35A7266A">
      <w:pPr>
        <w:pStyle w:val="23"/>
        <w:tabs>
          <w:tab w:val="right" w:leader="dot" w:pos="8306"/>
          <w:tab w:val="clear" w:pos="8296"/>
        </w:tabs>
        <w:ind w:left="0" w:leftChars="0"/>
        <w:rPr>
          <w:rFonts w:cs="宋体"/>
          <w:sz w:val="21"/>
          <w:szCs w:val="21"/>
        </w:rPr>
      </w:pPr>
      <w:r>
        <w:fldChar w:fldCharType="begin"/>
      </w:r>
      <w:r>
        <w:instrText xml:space="preserve"> HYPERLINK \l "_Toc19211" </w:instrText>
      </w:r>
      <w:r>
        <w:fldChar w:fldCharType="separate"/>
      </w:r>
      <w:r>
        <w:rPr>
          <w:rFonts w:cs="宋体"/>
          <w:sz w:val="21"/>
          <w:szCs w:val="21"/>
        </w:rPr>
        <w:t xml:space="preserve">33. </w:t>
      </w:r>
      <w:r>
        <w:rPr>
          <w:rFonts w:hint="eastAsia" w:cs="宋体"/>
          <w:sz w:val="21"/>
          <w:szCs w:val="21"/>
        </w:rPr>
        <w:t>履约担保</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_Toc19211 \h </w:instrText>
      </w:r>
      <w:r>
        <w:rPr>
          <w:rFonts w:hint="eastAsia" w:cs="宋体"/>
          <w:sz w:val="21"/>
          <w:szCs w:val="21"/>
        </w:rPr>
        <w:fldChar w:fldCharType="separate"/>
      </w:r>
      <w:r>
        <w:rPr>
          <w:rFonts w:hint="eastAsia" w:cs="宋体"/>
          <w:sz w:val="21"/>
          <w:szCs w:val="21"/>
        </w:rPr>
        <w:t>36</w:t>
      </w:r>
      <w:r>
        <w:rPr>
          <w:rFonts w:hint="eastAsia" w:cs="宋体"/>
          <w:sz w:val="21"/>
          <w:szCs w:val="21"/>
        </w:rPr>
        <w:fldChar w:fldCharType="end"/>
      </w:r>
      <w:r>
        <w:rPr>
          <w:rFonts w:hint="eastAsia" w:cs="宋体"/>
          <w:sz w:val="21"/>
          <w:szCs w:val="21"/>
        </w:rPr>
        <w:fldChar w:fldCharType="end"/>
      </w:r>
    </w:p>
    <w:p w14:paraId="0BEECA07">
      <w:pPr>
        <w:pStyle w:val="23"/>
        <w:tabs>
          <w:tab w:val="right" w:leader="dot" w:pos="8306"/>
          <w:tab w:val="clear" w:pos="8296"/>
        </w:tabs>
        <w:ind w:left="0" w:leftChars="0"/>
        <w:rPr>
          <w:rFonts w:cs="宋体"/>
          <w:sz w:val="21"/>
          <w:szCs w:val="21"/>
        </w:rPr>
      </w:pPr>
      <w:r>
        <w:fldChar w:fldCharType="begin"/>
      </w:r>
      <w:r>
        <w:instrText xml:space="preserve"> HYPERLINK \l "_Toc27556" </w:instrText>
      </w:r>
      <w:r>
        <w:fldChar w:fldCharType="separate"/>
      </w:r>
      <w:r>
        <w:rPr>
          <w:rFonts w:cs="宋体"/>
          <w:sz w:val="21"/>
          <w:szCs w:val="21"/>
        </w:rPr>
        <w:t xml:space="preserve">七、 </w:t>
      </w:r>
      <w:r>
        <w:rPr>
          <w:rFonts w:hint="eastAsia" w:cs="宋体"/>
          <w:sz w:val="21"/>
          <w:szCs w:val="21"/>
        </w:rPr>
        <w:t>异议</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_Toc27556 \h </w:instrText>
      </w:r>
      <w:r>
        <w:rPr>
          <w:rFonts w:hint="eastAsia" w:cs="宋体"/>
          <w:sz w:val="21"/>
          <w:szCs w:val="21"/>
        </w:rPr>
        <w:fldChar w:fldCharType="separate"/>
      </w:r>
      <w:r>
        <w:rPr>
          <w:rFonts w:hint="eastAsia" w:cs="宋体"/>
          <w:sz w:val="21"/>
          <w:szCs w:val="21"/>
        </w:rPr>
        <w:t>37</w:t>
      </w:r>
      <w:r>
        <w:rPr>
          <w:rFonts w:hint="eastAsia" w:cs="宋体"/>
          <w:sz w:val="21"/>
          <w:szCs w:val="21"/>
        </w:rPr>
        <w:fldChar w:fldCharType="end"/>
      </w:r>
      <w:r>
        <w:rPr>
          <w:rFonts w:hint="eastAsia" w:cs="宋体"/>
          <w:sz w:val="21"/>
          <w:szCs w:val="21"/>
        </w:rPr>
        <w:fldChar w:fldCharType="end"/>
      </w:r>
    </w:p>
    <w:p w14:paraId="56C1A15A">
      <w:pPr>
        <w:pStyle w:val="23"/>
        <w:tabs>
          <w:tab w:val="right" w:leader="dot" w:pos="8306"/>
          <w:tab w:val="clear" w:pos="8296"/>
        </w:tabs>
        <w:ind w:left="0" w:leftChars="0"/>
        <w:rPr>
          <w:rFonts w:cs="宋体"/>
          <w:sz w:val="21"/>
          <w:szCs w:val="21"/>
        </w:rPr>
      </w:pPr>
      <w:r>
        <w:fldChar w:fldCharType="begin"/>
      </w:r>
      <w:r>
        <w:instrText xml:space="preserve"> HYPERLINK \l "_Toc31457" </w:instrText>
      </w:r>
      <w:r>
        <w:fldChar w:fldCharType="separate"/>
      </w:r>
      <w:r>
        <w:rPr>
          <w:rFonts w:cs="宋体"/>
          <w:sz w:val="21"/>
          <w:szCs w:val="21"/>
        </w:rPr>
        <w:t xml:space="preserve">35. </w:t>
      </w:r>
      <w:r>
        <w:rPr>
          <w:rFonts w:hint="eastAsia" w:cs="宋体"/>
          <w:sz w:val="21"/>
          <w:szCs w:val="21"/>
        </w:rPr>
        <w:t>异议</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_Toc31457 \h </w:instrText>
      </w:r>
      <w:r>
        <w:rPr>
          <w:rFonts w:hint="eastAsia" w:cs="宋体"/>
          <w:sz w:val="21"/>
          <w:szCs w:val="21"/>
        </w:rPr>
        <w:fldChar w:fldCharType="separate"/>
      </w:r>
      <w:r>
        <w:rPr>
          <w:rFonts w:hint="eastAsia" w:cs="宋体"/>
          <w:sz w:val="21"/>
          <w:szCs w:val="21"/>
        </w:rPr>
        <w:t>37</w:t>
      </w:r>
      <w:r>
        <w:rPr>
          <w:rFonts w:hint="eastAsia" w:cs="宋体"/>
          <w:sz w:val="21"/>
          <w:szCs w:val="21"/>
        </w:rPr>
        <w:fldChar w:fldCharType="end"/>
      </w:r>
      <w:r>
        <w:rPr>
          <w:rFonts w:hint="eastAsia" w:cs="宋体"/>
          <w:sz w:val="21"/>
          <w:szCs w:val="21"/>
        </w:rPr>
        <w:fldChar w:fldCharType="end"/>
      </w:r>
    </w:p>
    <w:p w14:paraId="47E7BD62">
      <w:pPr>
        <w:pStyle w:val="23"/>
        <w:tabs>
          <w:tab w:val="right" w:leader="dot" w:pos="8306"/>
          <w:tab w:val="clear" w:pos="8296"/>
        </w:tabs>
        <w:ind w:left="0" w:leftChars="0"/>
        <w:rPr>
          <w:rFonts w:cs="宋体"/>
          <w:sz w:val="21"/>
          <w:szCs w:val="21"/>
        </w:rPr>
      </w:pPr>
      <w:r>
        <w:fldChar w:fldCharType="begin"/>
      </w:r>
      <w:r>
        <w:instrText xml:space="preserve"> HYPERLINK \l "_Toc16776" </w:instrText>
      </w:r>
      <w:r>
        <w:fldChar w:fldCharType="separate"/>
      </w:r>
      <w:r>
        <w:rPr>
          <w:rFonts w:cs="宋体"/>
          <w:sz w:val="21"/>
          <w:szCs w:val="21"/>
        </w:rPr>
        <w:t xml:space="preserve">八、 </w:t>
      </w:r>
      <w:r>
        <w:rPr>
          <w:rFonts w:hint="eastAsia" w:cs="宋体"/>
          <w:sz w:val="21"/>
          <w:szCs w:val="21"/>
        </w:rPr>
        <w:t>其他</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_Toc16776 \h </w:instrText>
      </w:r>
      <w:r>
        <w:rPr>
          <w:rFonts w:hint="eastAsia" w:cs="宋体"/>
          <w:sz w:val="21"/>
          <w:szCs w:val="21"/>
        </w:rPr>
        <w:fldChar w:fldCharType="separate"/>
      </w:r>
      <w:r>
        <w:rPr>
          <w:rFonts w:hint="eastAsia" w:cs="宋体"/>
          <w:sz w:val="21"/>
          <w:szCs w:val="21"/>
        </w:rPr>
        <w:t>38</w:t>
      </w:r>
      <w:r>
        <w:rPr>
          <w:rFonts w:hint="eastAsia" w:cs="宋体"/>
          <w:sz w:val="21"/>
          <w:szCs w:val="21"/>
        </w:rPr>
        <w:fldChar w:fldCharType="end"/>
      </w:r>
      <w:r>
        <w:rPr>
          <w:rFonts w:hint="eastAsia" w:cs="宋体"/>
          <w:sz w:val="21"/>
          <w:szCs w:val="21"/>
        </w:rPr>
        <w:fldChar w:fldCharType="end"/>
      </w:r>
    </w:p>
    <w:p w14:paraId="0223A861">
      <w:pPr>
        <w:pStyle w:val="23"/>
        <w:tabs>
          <w:tab w:val="right" w:leader="dot" w:pos="8306"/>
          <w:tab w:val="clear" w:pos="8296"/>
        </w:tabs>
        <w:ind w:left="0" w:leftChars="0"/>
        <w:rPr>
          <w:rFonts w:cs="宋体"/>
          <w:sz w:val="21"/>
          <w:szCs w:val="21"/>
        </w:rPr>
      </w:pPr>
      <w:r>
        <w:fldChar w:fldCharType="begin"/>
      </w:r>
      <w:r>
        <w:instrText xml:space="preserve"> HYPERLINK \l "_Toc2155" </w:instrText>
      </w:r>
      <w:r>
        <w:fldChar w:fldCharType="separate"/>
      </w:r>
      <w:r>
        <w:rPr>
          <w:rFonts w:cs="宋体"/>
          <w:sz w:val="21"/>
          <w:szCs w:val="21"/>
        </w:rPr>
        <w:t xml:space="preserve">36. </w:t>
      </w:r>
      <w:r>
        <w:rPr>
          <w:rFonts w:hint="eastAsia" w:cs="宋体"/>
          <w:sz w:val="21"/>
          <w:szCs w:val="21"/>
        </w:rPr>
        <w:t>采购文件的解释权</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_Toc2155 \h </w:instrText>
      </w:r>
      <w:r>
        <w:rPr>
          <w:rFonts w:hint="eastAsia" w:cs="宋体"/>
          <w:sz w:val="21"/>
          <w:szCs w:val="21"/>
        </w:rPr>
        <w:fldChar w:fldCharType="separate"/>
      </w:r>
      <w:r>
        <w:rPr>
          <w:rFonts w:hint="eastAsia" w:cs="宋体"/>
          <w:sz w:val="21"/>
          <w:szCs w:val="21"/>
        </w:rPr>
        <w:t>38</w:t>
      </w:r>
      <w:r>
        <w:rPr>
          <w:rFonts w:hint="eastAsia" w:cs="宋体"/>
          <w:sz w:val="21"/>
          <w:szCs w:val="21"/>
        </w:rPr>
        <w:fldChar w:fldCharType="end"/>
      </w:r>
      <w:r>
        <w:rPr>
          <w:rFonts w:hint="eastAsia" w:cs="宋体"/>
          <w:sz w:val="21"/>
          <w:szCs w:val="21"/>
        </w:rPr>
        <w:fldChar w:fldCharType="end"/>
      </w:r>
    </w:p>
    <w:p w14:paraId="6237256E">
      <w:pPr>
        <w:pStyle w:val="23"/>
        <w:tabs>
          <w:tab w:val="right" w:leader="dot" w:pos="8306"/>
          <w:tab w:val="clear" w:pos="8296"/>
        </w:tabs>
        <w:ind w:left="0" w:leftChars="0"/>
        <w:rPr>
          <w:rFonts w:cs="宋体"/>
          <w:sz w:val="21"/>
          <w:szCs w:val="21"/>
        </w:rPr>
      </w:pPr>
      <w:r>
        <w:fldChar w:fldCharType="begin"/>
      </w:r>
      <w:r>
        <w:instrText xml:space="preserve"> HYPERLINK \l "_Toc15211" </w:instrText>
      </w:r>
      <w:r>
        <w:fldChar w:fldCharType="separate"/>
      </w:r>
      <w:r>
        <w:rPr>
          <w:rFonts w:hint="eastAsia" w:cs="宋体"/>
          <w:sz w:val="21"/>
          <w:szCs w:val="21"/>
        </w:rPr>
        <w:t>第五部分  合同条款格式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_Toc15211 \h </w:instrText>
      </w:r>
      <w:r>
        <w:rPr>
          <w:rFonts w:hint="eastAsia" w:cs="宋体"/>
          <w:sz w:val="21"/>
          <w:szCs w:val="21"/>
        </w:rPr>
        <w:fldChar w:fldCharType="separate"/>
      </w:r>
      <w:r>
        <w:rPr>
          <w:rFonts w:hint="eastAsia" w:cs="宋体"/>
          <w:sz w:val="21"/>
          <w:szCs w:val="21"/>
        </w:rPr>
        <w:t>39</w:t>
      </w:r>
      <w:r>
        <w:rPr>
          <w:rFonts w:hint="eastAsia" w:cs="宋体"/>
          <w:sz w:val="21"/>
          <w:szCs w:val="21"/>
        </w:rPr>
        <w:fldChar w:fldCharType="end"/>
      </w:r>
      <w:r>
        <w:rPr>
          <w:rFonts w:hint="eastAsia" w:cs="宋体"/>
          <w:sz w:val="21"/>
          <w:szCs w:val="21"/>
        </w:rPr>
        <w:fldChar w:fldCharType="end"/>
      </w:r>
    </w:p>
    <w:p w14:paraId="5ACF836E">
      <w:pPr>
        <w:pStyle w:val="23"/>
        <w:tabs>
          <w:tab w:val="right" w:leader="dot" w:pos="8306"/>
          <w:tab w:val="clear" w:pos="8296"/>
        </w:tabs>
        <w:ind w:left="0" w:leftChars="0"/>
        <w:rPr>
          <w:rFonts w:cs="宋体"/>
          <w:sz w:val="21"/>
          <w:szCs w:val="21"/>
        </w:rPr>
      </w:pPr>
      <w:r>
        <w:fldChar w:fldCharType="begin"/>
      </w:r>
      <w:r>
        <w:instrText xml:space="preserve"> HYPERLINK \l "_Toc17124" </w:instrText>
      </w:r>
      <w:r>
        <w:fldChar w:fldCharType="separate"/>
      </w:r>
      <w:r>
        <w:rPr>
          <w:rFonts w:hint="eastAsia" w:cs="宋体"/>
          <w:sz w:val="21"/>
          <w:szCs w:val="21"/>
        </w:rPr>
        <w:t>第六部分附件－投标文件格式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_Toc17124 \h </w:instrText>
      </w:r>
      <w:r>
        <w:rPr>
          <w:rFonts w:hint="eastAsia" w:cs="宋体"/>
          <w:sz w:val="21"/>
          <w:szCs w:val="21"/>
        </w:rPr>
        <w:fldChar w:fldCharType="separate"/>
      </w:r>
      <w:r>
        <w:rPr>
          <w:rFonts w:hint="eastAsia" w:cs="宋体"/>
          <w:sz w:val="21"/>
          <w:szCs w:val="21"/>
        </w:rPr>
        <w:t>66</w:t>
      </w:r>
      <w:r>
        <w:rPr>
          <w:rFonts w:hint="eastAsia" w:cs="宋体"/>
          <w:sz w:val="21"/>
          <w:szCs w:val="21"/>
        </w:rPr>
        <w:fldChar w:fldCharType="end"/>
      </w:r>
      <w:r>
        <w:rPr>
          <w:rFonts w:hint="eastAsia" w:cs="宋体"/>
          <w:sz w:val="21"/>
          <w:szCs w:val="21"/>
        </w:rPr>
        <w:fldChar w:fldCharType="end"/>
      </w:r>
    </w:p>
    <w:p w14:paraId="72C6DB22">
      <w:pPr>
        <w:pStyle w:val="23"/>
        <w:tabs>
          <w:tab w:val="right" w:leader="dot" w:pos="8306"/>
          <w:tab w:val="clear" w:pos="8296"/>
        </w:tabs>
        <w:ind w:left="0" w:leftChars="0"/>
        <w:rPr>
          <w:rFonts w:cs="宋体"/>
          <w:sz w:val="21"/>
          <w:szCs w:val="21"/>
        </w:rPr>
      </w:pPr>
      <w:r>
        <w:fldChar w:fldCharType="begin"/>
      </w:r>
      <w:r>
        <w:instrText xml:space="preserve"> HYPERLINK \l "_Toc25786" </w:instrText>
      </w:r>
      <w:r>
        <w:fldChar w:fldCharType="separate"/>
      </w:r>
      <w:r>
        <w:rPr>
          <w:rFonts w:hint="eastAsia" w:cs="宋体"/>
          <w:sz w:val="21"/>
          <w:szCs w:val="21"/>
        </w:rPr>
        <w:t>投标文件目录</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_Toc25786 \h </w:instrText>
      </w:r>
      <w:r>
        <w:rPr>
          <w:rFonts w:hint="eastAsia" w:cs="宋体"/>
          <w:sz w:val="21"/>
          <w:szCs w:val="21"/>
        </w:rPr>
        <w:fldChar w:fldCharType="separate"/>
      </w:r>
      <w:r>
        <w:rPr>
          <w:rFonts w:hint="eastAsia" w:cs="宋体"/>
          <w:sz w:val="21"/>
          <w:szCs w:val="21"/>
        </w:rPr>
        <w:t>66</w:t>
      </w:r>
      <w:r>
        <w:rPr>
          <w:rFonts w:hint="eastAsia" w:cs="宋体"/>
          <w:sz w:val="21"/>
          <w:szCs w:val="21"/>
        </w:rPr>
        <w:fldChar w:fldCharType="end"/>
      </w:r>
      <w:r>
        <w:rPr>
          <w:rFonts w:hint="eastAsia" w:cs="宋体"/>
          <w:sz w:val="21"/>
          <w:szCs w:val="21"/>
        </w:rPr>
        <w:fldChar w:fldCharType="end"/>
      </w:r>
    </w:p>
    <w:p w14:paraId="0C818869">
      <w:pPr>
        <w:pStyle w:val="23"/>
        <w:tabs>
          <w:tab w:val="right" w:leader="dot" w:pos="8306"/>
          <w:tab w:val="clear" w:pos="8296"/>
        </w:tabs>
        <w:ind w:left="0" w:leftChars="0"/>
        <w:rPr>
          <w:rFonts w:cs="宋体"/>
          <w:sz w:val="21"/>
          <w:szCs w:val="21"/>
        </w:rPr>
      </w:pPr>
      <w:r>
        <w:fldChar w:fldCharType="begin"/>
      </w:r>
      <w:r>
        <w:instrText xml:space="preserve"> HYPERLINK \l "_Toc9213" </w:instrText>
      </w:r>
      <w:r>
        <w:fldChar w:fldCharType="separate"/>
      </w:r>
      <w:r>
        <w:rPr>
          <w:rFonts w:hint="eastAsia" w:cs="宋体"/>
          <w:sz w:val="21"/>
          <w:szCs w:val="21"/>
        </w:rPr>
        <w:t>价格文件</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_Toc9213 \h </w:instrText>
      </w:r>
      <w:r>
        <w:rPr>
          <w:rFonts w:hint="eastAsia" w:cs="宋体"/>
          <w:sz w:val="21"/>
          <w:szCs w:val="21"/>
        </w:rPr>
        <w:fldChar w:fldCharType="separate"/>
      </w:r>
      <w:r>
        <w:rPr>
          <w:rFonts w:hint="eastAsia" w:cs="宋体"/>
          <w:sz w:val="21"/>
          <w:szCs w:val="21"/>
        </w:rPr>
        <w:t>67</w:t>
      </w:r>
      <w:r>
        <w:rPr>
          <w:rFonts w:hint="eastAsia" w:cs="宋体"/>
          <w:sz w:val="21"/>
          <w:szCs w:val="21"/>
        </w:rPr>
        <w:fldChar w:fldCharType="end"/>
      </w:r>
      <w:r>
        <w:rPr>
          <w:rFonts w:hint="eastAsia" w:cs="宋体"/>
          <w:sz w:val="21"/>
          <w:szCs w:val="21"/>
        </w:rPr>
        <w:fldChar w:fldCharType="end"/>
      </w:r>
    </w:p>
    <w:p w14:paraId="3ABE1929">
      <w:pPr>
        <w:pStyle w:val="23"/>
        <w:tabs>
          <w:tab w:val="right" w:leader="dot" w:pos="8306"/>
          <w:tab w:val="clear" w:pos="8296"/>
        </w:tabs>
        <w:ind w:left="0" w:leftChars="0"/>
        <w:rPr>
          <w:rFonts w:cs="宋体"/>
          <w:sz w:val="21"/>
          <w:szCs w:val="21"/>
        </w:rPr>
      </w:pPr>
      <w:r>
        <w:fldChar w:fldCharType="begin"/>
      </w:r>
      <w:r>
        <w:instrText xml:space="preserve"> HYPERLINK \l "_Toc1232" </w:instrText>
      </w:r>
      <w:r>
        <w:fldChar w:fldCharType="separate"/>
      </w:r>
      <w:r>
        <w:rPr>
          <w:rFonts w:hint="eastAsia" w:cs="宋体"/>
          <w:sz w:val="21"/>
          <w:szCs w:val="21"/>
        </w:rPr>
        <w:t>附件</w:t>
      </w:r>
      <w:r>
        <w:rPr>
          <w:rFonts w:hint="eastAsia" w:cs="宋体"/>
          <w:sz w:val="21"/>
          <w:szCs w:val="21"/>
          <w:lang w:val="en-US" w:eastAsia="zh-CN"/>
        </w:rPr>
        <w:t>1</w:t>
      </w:r>
      <w:r>
        <w:rPr>
          <w:rFonts w:hint="eastAsia" w:cs="宋体"/>
          <w:sz w:val="21"/>
          <w:szCs w:val="21"/>
        </w:rPr>
        <w:t>.开标一览表格式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_Toc1232 \h </w:instrText>
      </w:r>
      <w:r>
        <w:rPr>
          <w:rFonts w:hint="eastAsia" w:cs="宋体"/>
          <w:sz w:val="21"/>
          <w:szCs w:val="21"/>
        </w:rPr>
        <w:fldChar w:fldCharType="separate"/>
      </w:r>
      <w:r>
        <w:rPr>
          <w:rFonts w:hint="eastAsia" w:cs="宋体"/>
          <w:sz w:val="21"/>
          <w:szCs w:val="21"/>
        </w:rPr>
        <w:t>68</w:t>
      </w:r>
      <w:r>
        <w:rPr>
          <w:rFonts w:hint="eastAsia" w:cs="宋体"/>
          <w:sz w:val="21"/>
          <w:szCs w:val="21"/>
        </w:rPr>
        <w:fldChar w:fldCharType="end"/>
      </w:r>
      <w:r>
        <w:rPr>
          <w:rFonts w:hint="eastAsia" w:cs="宋体"/>
          <w:sz w:val="21"/>
          <w:szCs w:val="21"/>
        </w:rPr>
        <w:fldChar w:fldCharType="end"/>
      </w:r>
    </w:p>
    <w:p w14:paraId="4CFB0550">
      <w:pPr>
        <w:pStyle w:val="23"/>
        <w:tabs>
          <w:tab w:val="right" w:leader="dot" w:pos="8306"/>
          <w:tab w:val="clear" w:pos="8296"/>
        </w:tabs>
        <w:ind w:left="0" w:leftChars="0"/>
        <w:rPr>
          <w:rFonts w:cs="宋体"/>
          <w:sz w:val="21"/>
          <w:szCs w:val="21"/>
        </w:rPr>
      </w:pPr>
      <w:r>
        <w:fldChar w:fldCharType="begin"/>
      </w:r>
      <w:r>
        <w:instrText xml:space="preserve"> HYPERLINK \l "_Toc12628" </w:instrText>
      </w:r>
      <w:r>
        <w:fldChar w:fldCharType="separate"/>
      </w:r>
      <w:r>
        <w:rPr>
          <w:rFonts w:hint="eastAsia" w:cs="宋体"/>
          <w:sz w:val="21"/>
          <w:szCs w:val="21"/>
        </w:rPr>
        <w:t>附件</w:t>
      </w:r>
      <w:r>
        <w:rPr>
          <w:rFonts w:hint="eastAsia" w:cs="宋体"/>
          <w:sz w:val="21"/>
          <w:szCs w:val="21"/>
          <w:lang w:val="en-US" w:eastAsia="zh-CN"/>
        </w:rPr>
        <w:t>2</w:t>
      </w:r>
      <w:r>
        <w:rPr>
          <w:rFonts w:hint="eastAsia" w:cs="宋体"/>
          <w:sz w:val="21"/>
          <w:szCs w:val="21"/>
        </w:rPr>
        <w:t>.报价明细表格式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_Toc12628 \h </w:instrText>
      </w:r>
      <w:r>
        <w:rPr>
          <w:rFonts w:hint="eastAsia" w:cs="宋体"/>
          <w:sz w:val="21"/>
          <w:szCs w:val="21"/>
        </w:rPr>
        <w:fldChar w:fldCharType="separate"/>
      </w:r>
      <w:r>
        <w:rPr>
          <w:rFonts w:hint="eastAsia" w:cs="宋体"/>
          <w:sz w:val="21"/>
          <w:szCs w:val="21"/>
        </w:rPr>
        <w:t>69</w:t>
      </w:r>
      <w:r>
        <w:rPr>
          <w:rFonts w:hint="eastAsia" w:cs="宋体"/>
          <w:sz w:val="21"/>
          <w:szCs w:val="21"/>
        </w:rPr>
        <w:fldChar w:fldCharType="end"/>
      </w:r>
      <w:r>
        <w:rPr>
          <w:rFonts w:hint="eastAsia" w:cs="宋体"/>
          <w:sz w:val="21"/>
          <w:szCs w:val="21"/>
        </w:rPr>
        <w:fldChar w:fldCharType="end"/>
      </w:r>
    </w:p>
    <w:p w14:paraId="26B26E52">
      <w:pPr>
        <w:pStyle w:val="23"/>
        <w:tabs>
          <w:tab w:val="right" w:leader="dot" w:pos="8306"/>
          <w:tab w:val="clear" w:pos="8296"/>
        </w:tabs>
        <w:ind w:left="0" w:leftChars="0"/>
        <w:rPr>
          <w:rFonts w:hint="eastAsia" w:eastAsia="宋体" w:cs="宋体"/>
          <w:sz w:val="21"/>
          <w:szCs w:val="21"/>
          <w:lang w:val="en-US" w:eastAsia="zh-CN"/>
        </w:rPr>
      </w:pPr>
      <w:r>
        <w:fldChar w:fldCharType="begin"/>
      </w:r>
      <w:r>
        <w:instrText xml:space="preserve"> HYPERLINK \l "_Toc7358" </w:instrText>
      </w:r>
      <w:r>
        <w:fldChar w:fldCharType="separate"/>
      </w:r>
      <w:r>
        <w:rPr>
          <w:rFonts w:hint="eastAsia" w:cs="宋体"/>
          <w:sz w:val="21"/>
          <w:szCs w:val="21"/>
        </w:rPr>
        <w:t>商务文件</w:t>
      </w:r>
      <w:r>
        <w:rPr>
          <w:rFonts w:hint="eastAsia" w:cs="宋体"/>
          <w:sz w:val="21"/>
          <w:szCs w:val="21"/>
        </w:rPr>
        <w:tab/>
      </w:r>
      <w:r>
        <w:rPr>
          <w:rFonts w:hint="eastAsia" w:cs="宋体"/>
          <w:sz w:val="21"/>
          <w:szCs w:val="21"/>
          <w:lang w:val="en-US" w:eastAsia="zh-CN"/>
        </w:rPr>
        <w:t>6</w:t>
      </w:r>
      <w:r>
        <w:rPr>
          <w:rFonts w:hint="eastAsia" w:cs="宋体"/>
          <w:sz w:val="21"/>
          <w:szCs w:val="21"/>
        </w:rPr>
        <w:fldChar w:fldCharType="end"/>
      </w:r>
      <w:r>
        <w:rPr>
          <w:rFonts w:hint="eastAsia" w:cs="宋体"/>
          <w:sz w:val="21"/>
          <w:szCs w:val="21"/>
          <w:lang w:val="en-US" w:eastAsia="zh-CN"/>
        </w:rPr>
        <w:t>9</w:t>
      </w:r>
    </w:p>
    <w:p w14:paraId="5F7E0E7D">
      <w:pPr>
        <w:pStyle w:val="23"/>
        <w:tabs>
          <w:tab w:val="right" w:leader="dot" w:pos="8306"/>
          <w:tab w:val="clear" w:pos="8296"/>
        </w:tabs>
        <w:ind w:left="0" w:leftChars="0"/>
        <w:rPr>
          <w:rFonts w:cs="宋体"/>
          <w:sz w:val="21"/>
          <w:szCs w:val="21"/>
        </w:rPr>
      </w:pPr>
      <w:r>
        <w:fldChar w:fldCharType="begin"/>
      </w:r>
      <w:r>
        <w:instrText xml:space="preserve"> HYPERLINK \l "_Toc11732" </w:instrText>
      </w:r>
      <w:r>
        <w:fldChar w:fldCharType="separate"/>
      </w:r>
      <w:r>
        <w:rPr>
          <w:rFonts w:hint="eastAsia" w:cs="宋体"/>
          <w:sz w:val="21"/>
          <w:szCs w:val="21"/>
        </w:rPr>
        <w:t>附件</w:t>
      </w:r>
      <w:r>
        <w:rPr>
          <w:rFonts w:hint="eastAsia" w:cs="宋体"/>
          <w:sz w:val="21"/>
          <w:szCs w:val="21"/>
          <w:lang w:val="en-US" w:eastAsia="zh-CN"/>
        </w:rPr>
        <w:t>3</w:t>
      </w:r>
      <w:r>
        <w:rPr>
          <w:rFonts w:hint="eastAsia" w:cs="宋体"/>
          <w:sz w:val="21"/>
          <w:szCs w:val="21"/>
        </w:rPr>
        <w:t>.投标书格式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_Toc11732 \h </w:instrText>
      </w:r>
      <w:r>
        <w:rPr>
          <w:rFonts w:hint="eastAsia" w:cs="宋体"/>
          <w:sz w:val="21"/>
          <w:szCs w:val="21"/>
        </w:rPr>
        <w:fldChar w:fldCharType="separate"/>
      </w:r>
      <w:r>
        <w:rPr>
          <w:rFonts w:hint="eastAsia" w:cs="宋体"/>
          <w:sz w:val="21"/>
          <w:szCs w:val="21"/>
        </w:rPr>
        <w:t>70</w:t>
      </w:r>
      <w:r>
        <w:rPr>
          <w:rFonts w:hint="eastAsia" w:cs="宋体"/>
          <w:sz w:val="21"/>
          <w:szCs w:val="21"/>
        </w:rPr>
        <w:fldChar w:fldCharType="end"/>
      </w:r>
      <w:r>
        <w:rPr>
          <w:rFonts w:hint="eastAsia" w:cs="宋体"/>
          <w:sz w:val="21"/>
          <w:szCs w:val="21"/>
        </w:rPr>
        <w:fldChar w:fldCharType="end"/>
      </w:r>
    </w:p>
    <w:p w14:paraId="18E32B33">
      <w:pPr>
        <w:pStyle w:val="23"/>
        <w:tabs>
          <w:tab w:val="right" w:leader="dot" w:pos="8306"/>
          <w:tab w:val="clear" w:pos="8296"/>
        </w:tabs>
        <w:ind w:left="0" w:leftChars="0"/>
        <w:rPr>
          <w:rFonts w:cs="宋体"/>
          <w:sz w:val="21"/>
          <w:szCs w:val="21"/>
        </w:rPr>
      </w:pPr>
      <w:r>
        <w:fldChar w:fldCharType="begin"/>
      </w:r>
      <w:r>
        <w:instrText xml:space="preserve"> HYPERLINK \l "_Toc19972" </w:instrText>
      </w:r>
      <w:r>
        <w:fldChar w:fldCharType="separate"/>
      </w:r>
      <w:r>
        <w:rPr>
          <w:rFonts w:hint="eastAsia" w:cs="宋体"/>
          <w:sz w:val="21"/>
          <w:szCs w:val="21"/>
        </w:rPr>
        <w:t>附件</w:t>
      </w:r>
      <w:r>
        <w:rPr>
          <w:rFonts w:hint="eastAsia" w:cs="宋体"/>
          <w:sz w:val="21"/>
          <w:szCs w:val="21"/>
          <w:lang w:val="en-US" w:eastAsia="zh-CN"/>
        </w:rPr>
        <w:t>4</w:t>
      </w:r>
      <w:r>
        <w:rPr>
          <w:rFonts w:hint="eastAsia" w:cs="宋体"/>
          <w:sz w:val="21"/>
          <w:szCs w:val="21"/>
        </w:rPr>
        <w:t>. 法定代表人证明书格式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_Toc19972 \h </w:instrText>
      </w:r>
      <w:r>
        <w:rPr>
          <w:rFonts w:hint="eastAsia" w:cs="宋体"/>
          <w:sz w:val="21"/>
          <w:szCs w:val="21"/>
        </w:rPr>
        <w:fldChar w:fldCharType="separate"/>
      </w:r>
      <w:r>
        <w:rPr>
          <w:rFonts w:hint="eastAsia" w:cs="宋体"/>
          <w:sz w:val="21"/>
          <w:szCs w:val="21"/>
        </w:rPr>
        <w:t>71</w:t>
      </w:r>
      <w:r>
        <w:rPr>
          <w:rFonts w:hint="eastAsia" w:cs="宋体"/>
          <w:sz w:val="21"/>
          <w:szCs w:val="21"/>
        </w:rPr>
        <w:fldChar w:fldCharType="end"/>
      </w:r>
      <w:r>
        <w:rPr>
          <w:rFonts w:hint="eastAsia" w:cs="宋体"/>
          <w:sz w:val="21"/>
          <w:szCs w:val="21"/>
        </w:rPr>
        <w:fldChar w:fldCharType="end"/>
      </w:r>
    </w:p>
    <w:p w14:paraId="5772ABB4">
      <w:pPr>
        <w:pStyle w:val="23"/>
        <w:tabs>
          <w:tab w:val="right" w:leader="dot" w:pos="8306"/>
          <w:tab w:val="clear" w:pos="8296"/>
        </w:tabs>
        <w:ind w:left="0" w:leftChars="0"/>
        <w:rPr>
          <w:rFonts w:cs="宋体"/>
          <w:sz w:val="21"/>
          <w:szCs w:val="21"/>
        </w:rPr>
      </w:pPr>
      <w:r>
        <w:fldChar w:fldCharType="begin"/>
      </w:r>
      <w:r>
        <w:instrText xml:space="preserve"> HYPERLINK \l "_Toc19149" </w:instrText>
      </w:r>
      <w:r>
        <w:fldChar w:fldCharType="separate"/>
      </w:r>
      <w:r>
        <w:rPr>
          <w:rFonts w:hint="eastAsia" w:cs="宋体"/>
          <w:sz w:val="21"/>
          <w:szCs w:val="21"/>
        </w:rPr>
        <w:t>附件</w:t>
      </w:r>
      <w:r>
        <w:rPr>
          <w:rFonts w:hint="eastAsia" w:cs="宋体"/>
          <w:sz w:val="21"/>
          <w:szCs w:val="21"/>
          <w:lang w:val="en-US" w:eastAsia="zh-CN"/>
        </w:rPr>
        <w:t>5</w:t>
      </w:r>
      <w:r>
        <w:rPr>
          <w:rFonts w:hint="eastAsia" w:cs="宋体"/>
          <w:sz w:val="21"/>
          <w:szCs w:val="21"/>
        </w:rPr>
        <w:t>.法定代表人授权书格式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_Toc19149 \h </w:instrText>
      </w:r>
      <w:r>
        <w:rPr>
          <w:rFonts w:hint="eastAsia" w:cs="宋体"/>
          <w:sz w:val="21"/>
          <w:szCs w:val="21"/>
        </w:rPr>
        <w:fldChar w:fldCharType="separate"/>
      </w:r>
      <w:r>
        <w:rPr>
          <w:rFonts w:hint="eastAsia" w:cs="宋体"/>
          <w:sz w:val="21"/>
          <w:szCs w:val="21"/>
        </w:rPr>
        <w:t>72</w:t>
      </w:r>
      <w:r>
        <w:rPr>
          <w:rFonts w:hint="eastAsia" w:cs="宋体"/>
          <w:sz w:val="21"/>
          <w:szCs w:val="21"/>
        </w:rPr>
        <w:fldChar w:fldCharType="end"/>
      </w:r>
      <w:r>
        <w:rPr>
          <w:rFonts w:hint="eastAsia" w:cs="宋体"/>
          <w:sz w:val="21"/>
          <w:szCs w:val="21"/>
        </w:rPr>
        <w:fldChar w:fldCharType="end"/>
      </w:r>
    </w:p>
    <w:p w14:paraId="1F740B5E">
      <w:pPr>
        <w:pStyle w:val="23"/>
        <w:tabs>
          <w:tab w:val="right" w:leader="dot" w:pos="8306"/>
          <w:tab w:val="clear" w:pos="8296"/>
        </w:tabs>
        <w:ind w:left="0" w:leftChars="0"/>
        <w:rPr>
          <w:rFonts w:cs="宋体"/>
          <w:sz w:val="21"/>
          <w:szCs w:val="21"/>
        </w:rPr>
      </w:pPr>
      <w:r>
        <w:fldChar w:fldCharType="begin"/>
      </w:r>
      <w:r>
        <w:instrText xml:space="preserve"> HYPERLINK \l "_Toc30038" </w:instrText>
      </w:r>
      <w:r>
        <w:fldChar w:fldCharType="separate"/>
      </w:r>
      <w:r>
        <w:rPr>
          <w:rFonts w:hint="eastAsia" w:cs="宋体"/>
          <w:sz w:val="21"/>
          <w:szCs w:val="21"/>
        </w:rPr>
        <w:t>附件</w:t>
      </w:r>
      <w:r>
        <w:rPr>
          <w:rFonts w:hint="eastAsia" w:cs="宋体"/>
          <w:sz w:val="21"/>
          <w:szCs w:val="21"/>
          <w:lang w:val="en-US" w:eastAsia="zh-CN"/>
        </w:rPr>
        <w:t>6</w:t>
      </w:r>
      <w:r>
        <w:rPr>
          <w:rFonts w:hint="eastAsia" w:cs="宋体"/>
          <w:sz w:val="21"/>
          <w:szCs w:val="21"/>
        </w:rPr>
        <w:t>.资格申明</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_Toc30038 \h </w:instrText>
      </w:r>
      <w:r>
        <w:rPr>
          <w:rFonts w:hint="eastAsia" w:cs="宋体"/>
          <w:sz w:val="21"/>
          <w:szCs w:val="21"/>
        </w:rPr>
        <w:fldChar w:fldCharType="separate"/>
      </w:r>
      <w:r>
        <w:rPr>
          <w:rFonts w:hint="eastAsia" w:cs="宋体"/>
          <w:sz w:val="21"/>
          <w:szCs w:val="21"/>
        </w:rPr>
        <w:t>73</w:t>
      </w:r>
      <w:r>
        <w:rPr>
          <w:rFonts w:hint="eastAsia" w:cs="宋体"/>
          <w:sz w:val="21"/>
          <w:szCs w:val="21"/>
        </w:rPr>
        <w:fldChar w:fldCharType="end"/>
      </w:r>
      <w:r>
        <w:rPr>
          <w:rFonts w:hint="eastAsia" w:cs="宋体"/>
          <w:sz w:val="21"/>
          <w:szCs w:val="21"/>
        </w:rPr>
        <w:fldChar w:fldCharType="end"/>
      </w:r>
    </w:p>
    <w:p w14:paraId="4343DE76">
      <w:pPr>
        <w:pStyle w:val="23"/>
        <w:tabs>
          <w:tab w:val="right" w:leader="dot" w:pos="8306"/>
          <w:tab w:val="clear" w:pos="8296"/>
        </w:tabs>
        <w:ind w:left="0" w:leftChars="0"/>
        <w:rPr>
          <w:rFonts w:cs="宋体"/>
          <w:sz w:val="21"/>
          <w:szCs w:val="21"/>
        </w:rPr>
      </w:pPr>
      <w:r>
        <w:fldChar w:fldCharType="begin"/>
      </w:r>
      <w:r>
        <w:instrText xml:space="preserve"> HYPERLINK \l "_Toc10305" </w:instrText>
      </w:r>
      <w:r>
        <w:fldChar w:fldCharType="separate"/>
      </w:r>
      <w:r>
        <w:rPr>
          <w:rFonts w:hint="eastAsia" w:cs="宋体"/>
          <w:sz w:val="21"/>
          <w:szCs w:val="21"/>
        </w:rPr>
        <w:t>附件</w:t>
      </w:r>
      <w:r>
        <w:rPr>
          <w:rFonts w:hint="eastAsia" w:cs="宋体"/>
          <w:sz w:val="21"/>
          <w:szCs w:val="21"/>
          <w:lang w:val="en-US" w:eastAsia="zh-CN"/>
        </w:rPr>
        <w:t>7</w:t>
      </w:r>
      <w:r>
        <w:rPr>
          <w:rFonts w:hint="eastAsia" w:cs="宋体"/>
          <w:sz w:val="21"/>
          <w:szCs w:val="21"/>
        </w:rPr>
        <w:t>.营业执照</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_Toc10305 \h </w:instrText>
      </w:r>
      <w:r>
        <w:rPr>
          <w:rFonts w:hint="eastAsia" w:cs="宋体"/>
          <w:sz w:val="21"/>
          <w:szCs w:val="21"/>
        </w:rPr>
        <w:fldChar w:fldCharType="separate"/>
      </w:r>
      <w:r>
        <w:rPr>
          <w:rFonts w:hint="eastAsia" w:cs="宋体"/>
          <w:sz w:val="21"/>
          <w:szCs w:val="21"/>
        </w:rPr>
        <w:t>74</w:t>
      </w:r>
      <w:r>
        <w:rPr>
          <w:rFonts w:hint="eastAsia" w:cs="宋体"/>
          <w:sz w:val="21"/>
          <w:szCs w:val="21"/>
        </w:rPr>
        <w:fldChar w:fldCharType="end"/>
      </w:r>
      <w:r>
        <w:rPr>
          <w:rFonts w:hint="eastAsia" w:cs="宋体"/>
          <w:sz w:val="21"/>
          <w:szCs w:val="21"/>
        </w:rPr>
        <w:fldChar w:fldCharType="end"/>
      </w:r>
    </w:p>
    <w:p w14:paraId="27A59321">
      <w:pPr>
        <w:pStyle w:val="23"/>
        <w:tabs>
          <w:tab w:val="right" w:leader="dot" w:pos="8306"/>
          <w:tab w:val="clear" w:pos="8296"/>
        </w:tabs>
        <w:ind w:left="0" w:leftChars="0"/>
        <w:rPr>
          <w:rFonts w:cs="宋体"/>
          <w:sz w:val="21"/>
          <w:szCs w:val="21"/>
        </w:rPr>
      </w:pPr>
      <w:r>
        <w:fldChar w:fldCharType="begin"/>
      </w:r>
      <w:r>
        <w:instrText xml:space="preserve"> HYPERLINK \l "_Toc30816" </w:instrText>
      </w:r>
      <w:r>
        <w:fldChar w:fldCharType="separate"/>
      </w:r>
      <w:r>
        <w:rPr>
          <w:rFonts w:hint="eastAsia" w:cs="宋体"/>
          <w:sz w:val="21"/>
          <w:szCs w:val="21"/>
        </w:rPr>
        <w:t>附件</w:t>
      </w:r>
      <w:r>
        <w:rPr>
          <w:rFonts w:hint="eastAsia" w:cs="宋体"/>
          <w:sz w:val="21"/>
          <w:szCs w:val="21"/>
          <w:lang w:val="en-US" w:eastAsia="zh-CN"/>
        </w:rPr>
        <w:t>8</w:t>
      </w:r>
      <w:r>
        <w:rPr>
          <w:rFonts w:hint="eastAsia" w:cs="宋体"/>
          <w:sz w:val="21"/>
          <w:szCs w:val="21"/>
        </w:rPr>
        <w:t>.相关资质证明文件</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_Toc30816 \h </w:instrText>
      </w:r>
      <w:r>
        <w:rPr>
          <w:rFonts w:hint="eastAsia" w:cs="宋体"/>
          <w:sz w:val="21"/>
          <w:szCs w:val="21"/>
        </w:rPr>
        <w:fldChar w:fldCharType="separate"/>
      </w:r>
      <w:r>
        <w:rPr>
          <w:rFonts w:hint="eastAsia" w:cs="宋体"/>
          <w:sz w:val="21"/>
          <w:szCs w:val="21"/>
        </w:rPr>
        <w:t>75</w:t>
      </w:r>
      <w:r>
        <w:rPr>
          <w:rFonts w:hint="eastAsia" w:cs="宋体"/>
          <w:sz w:val="21"/>
          <w:szCs w:val="21"/>
        </w:rPr>
        <w:fldChar w:fldCharType="end"/>
      </w:r>
      <w:r>
        <w:rPr>
          <w:rFonts w:hint="eastAsia" w:cs="宋体"/>
          <w:sz w:val="21"/>
          <w:szCs w:val="21"/>
        </w:rPr>
        <w:fldChar w:fldCharType="end"/>
      </w:r>
    </w:p>
    <w:p w14:paraId="3BB503C8">
      <w:pPr>
        <w:pStyle w:val="23"/>
        <w:tabs>
          <w:tab w:val="right" w:leader="dot" w:pos="8306"/>
          <w:tab w:val="clear" w:pos="8296"/>
        </w:tabs>
        <w:ind w:left="0" w:leftChars="0"/>
        <w:rPr>
          <w:rFonts w:cs="宋体"/>
          <w:sz w:val="21"/>
          <w:szCs w:val="21"/>
        </w:rPr>
      </w:pPr>
      <w:r>
        <w:fldChar w:fldCharType="begin"/>
      </w:r>
      <w:r>
        <w:instrText xml:space="preserve"> HYPERLINK \l "_Toc3091" </w:instrText>
      </w:r>
      <w:r>
        <w:fldChar w:fldCharType="separate"/>
      </w:r>
      <w:r>
        <w:rPr>
          <w:rFonts w:hint="eastAsia" w:cs="宋体"/>
          <w:sz w:val="21"/>
          <w:szCs w:val="21"/>
        </w:rPr>
        <w:t>附件</w:t>
      </w:r>
      <w:r>
        <w:rPr>
          <w:rFonts w:hint="eastAsia" w:cs="宋体"/>
          <w:sz w:val="21"/>
          <w:szCs w:val="21"/>
          <w:lang w:val="en-US" w:eastAsia="zh-CN"/>
        </w:rPr>
        <w:t>9</w:t>
      </w:r>
      <w:r>
        <w:rPr>
          <w:rFonts w:hint="eastAsia" w:cs="宋体"/>
          <w:sz w:val="21"/>
          <w:szCs w:val="21"/>
        </w:rPr>
        <w:t>.</w:t>
      </w:r>
      <w:r>
        <w:rPr>
          <w:rFonts w:hint="eastAsia" w:cs="宋体"/>
          <w:sz w:val="21"/>
          <w:szCs w:val="21"/>
          <w:lang w:val="en-US" w:eastAsia="zh-CN"/>
        </w:rPr>
        <w:t>相关</w:t>
      </w:r>
      <w:r>
        <w:rPr>
          <w:rFonts w:hint="eastAsia" w:cs="宋体"/>
          <w:sz w:val="21"/>
          <w:szCs w:val="21"/>
        </w:rPr>
        <w:t>声明格式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_Toc3091 \h </w:instrText>
      </w:r>
      <w:r>
        <w:rPr>
          <w:rFonts w:hint="eastAsia" w:cs="宋体"/>
          <w:sz w:val="21"/>
          <w:szCs w:val="21"/>
        </w:rPr>
        <w:fldChar w:fldCharType="separate"/>
      </w:r>
      <w:r>
        <w:rPr>
          <w:rFonts w:hint="eastAsia" w:cs="宋体"/>
          <w:sz w:val="21"/>
          <w:szCs w:val="21"/>
        </w:rPr>
        <w:t>76</w:t>
      </w:r>
      <w:r>
        <w:rPr>
          <w:rFonts w:hint="eastAsia" w:cs="宋体"/>
          <w:sz w:val="21"/>
          <w:szCs w:val="21"/>
        </w:rPr>
        <w:fldChar w:fldCharType="end"/>
      </w:r>
      <w:r>
        <w:rPr>
          <w:rFonts w:hint="eastAsia" w:cs="宋体"/>
          <w:sz w:val="21"/>
          <w:szCs w:val="21"/>
        </w:rPr>
        <w:fldChar w:fldCharType="end"/>
      </w:r>
    </w:p>
    <w:p w14:paraId="700ABEE2">
      <w:pPr>
        <w:pStyle w:val="23"/>
        <w:tabs>
          <w:tab w:val="right" w:leader="dot" w:pos="8306"/>
          <w:tab w:val="clear" w:pos="8296"/>
        </w:tabs>
        <w:ind w:left="0" w:leftChars="0"/>
        <w:rPr>
          <w:rFonts w:cs="宋体"/>
          <w:sz w:val="21"/>
          <w:szCs w:val="21"/>
        </w:rPr>
      </w:pPr>
      <w:r>
        <w:fldChar w:fldCharType="begin"/>
      </w:r>
      <w:r>
        <w:instrText xml:space="preserve"> HYPERLINK \l "_Toc18616" </w:instrText>
      </w:r>
      <w:r>
        <w:fldChar w:fldCharType="separate"/>
      </w:r>
      <w:r>
        <w:rPr>
          <w:rFonts w:hint="eastAsia" w:cs="宋体"/>
          <w:sz w:val="21"/>
          <w:szCs w:val="21"/>
        </w:rPr>
        <w:t>附件1</w:t>
      </w:r>
      <w:r>
        <w:rPr>
          <w:rFonts w:hint="eastAsia" w:cs="宋体"/>
          <w:sz w:val="21"/>
          <w:szCs w:val="21"/>
          <w:lang w:val="en-US" w:eastAsia="zh-CN"/>
        </w:rPr>
        <w:t>0</w:t>
      </w:r>
      <w:r>
        <w:rPr>
          <w:rFonts w:hint="eastAsia" w:cs="宋体"/>
          <w:sz w:val="21"/>
          <w:szCs w:val="21"/>
        </w:rPr>
        <w:t>.承诺书格式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_Toc18616 \h </w:instrText>
      </w:r>
      <w:r>
        <w:rPr>
          <w:rFonts w:hint="eastAsia" w:cs="宋体"/>
          <w:sz w:val="21"/>
          <w:szCs w:val="21"/>
        </w:rPr>
        <w:fldChar w:fldCharType="separate"/>
      </w:r>
      <w:r>
        <w:rPr>
          <w:rFonts w:hint="eastAsia" w:cs="宋体"/>
          <w:sz w:val="21"/>
          <w:szCs w:val="21"/>
        </w:rPr>
        <w:t>79</w:t>
      </w:r>
      <w:r>
        <w:rPr>
          <w:rFonts w:hint="eastAsia" w:cs="宋体"/>
          <w:sz w:val="21"/>
          <w:szCs w:val="21"/>
        </w:rPr>
        <w:fldChar w:fldCharType="end"/>
      </w:r>
      <w:r>
        <w:rPr>
          <w:rFonts w:hint="eastAsia" w:cs="宋体"/>
          <w:sz w:val="21"/>
          <w:szCs w:val="21"/>
        </w:rPr>
        <w:fldChar w:fldCharType="end"/>
      </w:r>
    </w:p>
    <w:p w14:paraId="70913D94">
      <w:pPr>
        <w:pStyle w:val="23"/>
        <w:tabs>
          <w:tab w:val="right" w:leader="dot" w:pos="8306"/>
          <w:tab w:val="clear" w:pos="8296"/>
        </w:tabs>
        <w:ind w:left="0" w:leftChars="0"/>
        <w:rPr>
          <w:rFonts w:cs="宋体"/>
          <w:sz w:val="21"/>
          <w:szCs w:val="21"/>
        </w:rPr>
      </w:pPr>
      <w:r>
        <w:fldChar w:fldCharType="begin"/>
      </w:r>
      <w:r>
        <w:instrText xml:space="preserve"> HYPERLINK \l "_Toc24507" </w:instrText>
      </w:r>
      <w:r>
        <w:fldChar w:fldCharType="separate"/>
      </w:r>
      <w:r>
        <w:rPr>
          <w:rFonts w:hint="eastAsia" w:cs="宋体"/>
          <w:sz w:val="21"/>
          <w:szCs w:val="21"/>
        </w:rPr>
        <w:t>附件1</w:t>
      </w:r>
      <w:r>
        <w:rPr>
          <w:rFonts w:hint="eastAsia" w:cs="宋体"/>
          <w:sz w:val="21"/>
          <w:szCs w:val="21"/>
          <w:lang w:val="en-US" w:eastAsia="zh-CN"/>
        </w:rPr>
        <w:t>1</w:t>
      </w:r>
      <w:r>
        <w:rPr>
          <w:rFonts w:hint="eastAsia" w:cs="宋体"/>
          <w:sz w:val="21"/>
          <w:szCs w:val="21"/>
        </w:rPr>
        <w:t>.</w:t>
      </w:r>
      <w:r>
        <w:rPr>
          <w:rFonts w:hint="eastAsia" w:cs="宋体"/>
          <w:sz w:val="21"/>
          <w:szCs w:val="21"/>
          <w:lang w:val="en-US" w:eastAsia="zh-CN"/>
        </w:rPr>
        <w:t>用户需求</w:t>
      </w:r>
      <w:r>
        <w:rPr>
          <w:rFonts w:hint="eastAsia" w:cs="宋体"/>
          <w:sz w:val="21"/>
          <w:szCs w:val="21"/>
        </w:rPr>
        <w:t>偏离表格式</w:t>
      </w:r>
      <w:r>
        <w:rPr>
          <w:rFonts w:hint="eastAsia" w:cs="宋体"/>
          <w:sz w:val="21"/>
          <w:szCs w:val="21"/>
        </w:rPr>
        <w:tab/>
      </w:r>
      <w:r>
        <w:rPr>
          <w:rFonts w:hint="eastAsia" w:cs="宋体"/>
          <w:sz w:val="21"/>
          <w:szCs w:val="21"/>
          <w:lang w:val="en-US" w:eastAsia="zh-CN"/>
        </w:rPr>
        <w:t>...</w:t>
      </w:r>
      <w:r>
        <w:rPr>
          <w:rFonts w:hint="eastAsia" w:cs="宋体"/>
          <w:sz w:val="21"/>
          <w:szCs w:val="21"/>
        </w:rPr>
        <w:fldChar w:fldCharType="begin"/>
      </w:r>
      <w:r>
        <w:rPr>
          <w:rFonts w:hint="eastAsia" w:cs="宋体"/>
          <w:sz w:val="21"/>
          <w:szCs w:val="21"/>
        </w:rPr>
        <w:instrText xml:space="preserve"> PAGEREF _Toc24507 \h </w:instrText>
      </w:r>
      <w:r>
        <w:rPr>
          <w:rFonts w:hint="eastAsia" w:cs="宋体"/>
          <w:sz w:val="21"/>
          <w:szCs w:val="21"/>
        </w:rPr>
        <w:fldChar w:fldCharType="separate"/>
      </w:r>
      <w:r>
        <w:rPr>
          <w:rFonts w:hint="eastAsia" w:cs="宋体"/>
          <w:sz w:val="21"/>
          <w:szCs w:val="21"/>
        </w:rPr>
        <w:t>80</w:t>
      </w:r>
      <w:r>
        <w:rPr>
          <w:rFonts w:hint="eastAsia" w:cs="宋体"/>
          <w:sz w:val="21"/>
          <w:szCs w:val="21"/>
        </w:rPr>
        <w:fldChar w:fldCharType="end"/>
      </w:r>
      <w:r>
        <w:rPr>
          <w:rFonts w:hint="eastAsia" w:cs="宋体"/>
          <w:sz w:val="21"/>
          <w:szCs w:val="21"/>
        </w:rPr>
        <w:fldChar w:fldCharType="end"/>
      </w:r>
    </w:p>
    <w:p w14:paraId="43A7B3EF">
      <w:pPr>
        <w:pStyle w:val="23"/>
        <w:tabs>
          <w:tab w:val="right" w:leader="dot" w:pos="8306"/>
          <w:tab w:val="clear" w:pos="8296"/>
        </w:tabs>
        <w:ind w:left="0" w:leftChars="0"/>
        <w:rPr>
          <w:rFonts w:cs="宋体"/>
          <w:sz w:val="21"/>
          <w:szCs w:val="21"/>
        </w:rPr>
      </w:pPr>
      <w:r>
        <w:fldChar w:fldCharType="begin"/>
      </w:r>
      <w:r>
        <w:instrText xml:space="preserve"> HYPERLINK \l "_Toc22347" </w:instrText>
      </w:r>
      <w:r>
        <w:fldChar w:fldCharType="separate"/>
      </w:r>
      <w:r>
        <w:rPr>
          <w:rFonts w:hint="eastAsia" w:cs="宋体"/>
          <w:sz w:val="21"/>
          <w:szCs w:val="21"/>
        </w:rPr>
        <w:t>附件1</w:t>
      </w:r>
      <w:r>
        <w:rPr>
          <w:rFonts w:hint="eastAsia" w:cs="宋体"/>
          <w:sz w:val="21"/>
          <w:szCs w:val="21"/>
          <w:lang w:val="en-US" w:eastAsia="zh-CN"/>
        </w:rPr>
        <w:t>2</w:t>
      </w:r>
      <w:r>
        <w:rPr>
          <w:rFonts w:hint="eastAsia" w:cs="宋体"/>
          <w:sz w:val="21"/>
          <w:szCs w:val="21"/>
        </w:rPr>
        <w:t>.业绩表</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_Toc22347 \h </w:instrText>
      </w:r>
      <w:r>
        <w:rPr>
          <w:rFonts w:hint="eastAsia" w:cs="宋体"/>
          <w:sz w:val="21"/>
          <w:szCs w:val="21"/>
        </w:rPr>
        <w:fldChar w:fldCharType="separate"/>
      </w:r>
      <w:r>
        <w:rPr>
          <w:rFonts w:hint="eastAsia" w:cs="宋体"/>
          <w:sz w:val="21"/>
          <w:szCs w:val="21"/>
        </w:rPr>
        <w:t>81</w:t>
      </w:r>
      <w:r>
        <w:rPr>
          <w:rFonts w:hint="eastAsia" w:cs="宋体"/>
          <w:sz w:val="21"/>
          <w:szCs w:val="21"/>
        </w:rPr>
        <w:fldChar w:fldCharType="end"/>
      </w:r>
      <w:r>
        <w:rPr>
          <w:rFonts w:hint="eastAsia" w:cs="宋体"/>
          <w:sz w:val="21"/>
          <w:szCs w:val="21"/>
        </w:rPr>
        <w:fldChar w:fldCharType="end"/>
      </w:r>
    </w:p>
    <w:p w14:paraId="2A2371E6">
      <w:pPr>
        <w:pStyle w:val="23"/>
        <w:tabs>
          <w:tab w:val="right" w:leader="dot" w:pos="8306"/>
          <w:tab w:val="clear" w:pos="8296"/>
        </w:tabs>
        <w:ind w:left="0" w:leftChars="0"/>
        <w:rPr>
          <w:rFonts w:cs="宋体"/>
          <w:sz w:val="21"/>
          <w:szCs w:val="21"/>
        </w:rPr>
      </w:pPr>
      <w:r>
        <w:fldChar w:fldCharType="begin"/>
      </w:r>
      <w:r>
        <w:instrText xml:space="preserve"> HYPERLINK \l "_Toc13819" </w:instrText>
      </w:r>
      <w:r>
        <w:fldChar w:fldCharType="separate"/>
      </w:r>
      <w:r>
        <w:rPr>
          <w:rFonts w:hint="eastAsia" w:cs="宋体"/>
          <w:sz w:val="21"/>
          <w:szCs w:val="21"/>
        </w:rPr>
        <w:t>附件1</w:t>
      </w:r>
      <w:r>
        <w:rPr>
          <w:rFonts w:hint="eastAsia" w:cs="宋体"/>
          <w:sz w:val="21"/>
          <w:szCs w:val="21"/>
          <w:lang w:val="en-US" w:eastAsia="zh-CN"/>
        </w:rPr>
        <w:t>3</w:t>
      </w:r>
      <w:r>
        <w:rPr>
          <w:rFonts w:hint="eastAsia" w:cs="宋体"/>
          <w:sz w:val="21"/>
          <w:szCs w:val="21"/>
        </w:rPr>
        <w:t>.项目实施方案格式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_Toc13819 \h </w:instrText>
      </w:r>
      <w:r>
        <w:rPr>
          <w:rFonts w:hint="eastAsia" w:cs="宋体"/>
          <w:sz w:val="21"/>
          <w:szCs w:val="21"/>
        </w:rPr>
        <w:fldChar w:fldCharType="separate"/>
      </w:r>
      <w:r>
        <w:rPr>
          <w:rFonts w:hint="eastAsia" w:cs="宋体"/>
          <w:sz w:val="21"/>
          <w:szCs w:val="21"/>
        </w:rPr>
        <w:t>82</w:t>
      </w:r>
      <w:r>
        <w:rPr>
          <w:rFonts w:hint="eastAsia" w:cs="宋体"/>
          <w:sz w:val="21"/>
          <w:szCs w:val="21"/>
        </w:rPr>
        <w:fldChar w:fldCharType="end"/>
      </w:r>
      <w:r>
        <w:rPr>
          <w:rFonts w:hint="eastAsia" w:cs="宋体"/>
          <w:sz w:val="21"/>
          <w:szCs w:val="21"/>
        </w:rPr>
        <w:fldChar w:fldCharType="end"/>
      </w:r>
    </w:p>
    <w:p w14:paraId="0AAE1336">
      <w:pPr>
        <w:pStyle w:val="23"/>
        <w:tabs>
          <w:tab w:val="right" w:leader="dot" w:pos="8306"/>
          <w:tab w:val="clear" w:pos="8296"/>
        </w:tabs>
        <w:ind w:left="0" w:leftChars="0"/>
        <w:rPr>
          <w:rFonts w:cs="宋体"/>
          <w:sz w:val="21"/>
          <w:szCs w:val="21"/>
        </w:rPr>
      </w:pPr>
      <w:r>
        <w:fldChar w:fldCharType="begin"/>
      </w:r>
      <w:r>
        <w:instrText xml:space="preserve"> HYPERLINK \l "_Toc15162" </w:instrText>
      </w:r>
      <w:r>
        <w:fldChar w:fldCharType="separate"/>
      </w:r>
      <w:r>
        <w:rPr>
          <w:rFonts w:hint="eastAsia" w:cs="宋体"/>
          <w:sz w:val="21"/>
          <w:szCs w:val="21"/>
        </w:rPr>
        <w:t>附件1</w:t>
      </w:r>
      <w:r>
        <w:rPr>
          <w:rFonts w:hint="eastAsia" w:cs="宋体"/>
          <w:sz w:val="21"/>
          <w:szCs w:val="21"/>
          <w:lang w:val="en-US" w:eastAsia="zh-CN"/>
        </w:rPr>
        <w:t>4</w:t>
      </w:r>
      <w:r>
        <w:rPr>
          <w:rFonts w:hint="eastAsia" w:cs="宋体"/>
          <w:sz w:val="21"/>
          <w:szCs w:val="21"/>
        </w:rPr>
        <w:t>.投标保证金汇入情况说明格式</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_Toc15162 \h </w:instrText>
      </w:r>
      <w:r>
        <w:rPr>
          <w:rFonts w:hint="eastAsia" w:cs="宋体"/>
          <w:sz w:val="21"/>
          <w:szCs w:val="21"/>
        </w:rPr>
        <w:fldChar w:fldCharType="separate"/>
      </w:r>
      <w:r>
        <w:rPr>
          <w:rFonts w:hint="eastAsia" w:cs="宋体"/>
          <w:sz w:val="21"/>
          <w:szCs w:val="21"/>
        </w:rPr>
        <w:t>83</w:t>
      </w:r>
      <w:r>
        <w:rPr>
          <w:rFonts w:hint="eastAsia" w:cs="宋体"/>
          <w:sz w:val="21"/>
          <w:szCs w:val="21"/>
        </w:rPr>
        <w:fldChar w:fldCharType="end"/>
      </w:r>
      <w:r>
        <w:rPr>
          <w:rFonts w:hint="eastAsia" w:cs="宋体"/>
          <w:sz w:val="21"/>
          <w:szCs w:val="21"/>
        </w:rPr>
        <w:fldChar w:fldCharType="end"/>
      </w:r>
    </w:p>
    <w:p w14:paraId="54A0118D">
      <w:pPr>
        <w:pStyle w:val="23"/>
        <w:tabs>
          <w:tab w:val="right" w:leader="dot" w:pos="8306"/>
          <w:tab w:val="clear" w:pos="8296"/>
        </w:tabs>
        <w:ind w:left="0" w:leftChars="0"/>
        <w:rPr>
          <w:rFonts w:cs="宋体"/>
          <w:sz w:val="21"/>
          <w:szCs w:val="21"/>
        </w:rPr>
      </w:pPr>
      <w:r>
        <w:fldChar w:fldCharType="begin"/>
      </w:r>
      <w:r>
        <w:instrText xml:space="preserve"> HYPERLINK \l "_Toc2801" </w:instrText>
      </w:r>
      <w:r>
        <w:fldChar w:fldCharType="separate"/>
      </w:r>
      <w:r>
        <w:rPr>
          <w:rFonts w:hint="eastAsia" w:cs="宋体"/>
          <w:sz w:val="21"/>
          <w:szCs w:val="21"/>
        </w:rPr>
        <w:t>附件1</w:t>
      </w:r>
      <w:r>
        <w:rPr>
          <w:rFonts w:hint="eastAsia" w:cs="宋体"/>
          <w:sz w:val="21"/>
          <w:szCs w:val="21"/>
          <w:lang w:val="en-US" w:eastAsia="zh-CN"/>
        </w:rPr>
        <w:t>5</w:t>
      </w:r>
      <w:r>
        <w:rPr>
          <w:rFonts w:hint="eastAsia" w:cs="宋体"/>
          <w:sz w:val="21"/>
          <w:szCs w:val="21"/>
        </w:rPr>
        <w:t>.不可撤销履约保函</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_Toc2801 \h </w:instrText>
      </w:r>
      <w:r>
        <w:rPr>
          <w:rFonts w:hint="eastAsia" w:cs="宋体"/>
          <w:sz w:val="21"/>
          <w:szCs w:val="21"/>
        </w:rPr>
        <w:fldChar w:fldCharType="separate"/>
      </w:r>
      <w:r>
        <w:rPr>
          <w:rFonts w:hint="eastAsia" w:cs="宋体"/>
          <w:sz w:val="21"/>
          <w:szCs w:val="21"/>
        </w:rPr>
        <w:t>85</w:t>
      </w:r>
      <w:r>
        <w:rPr>
          <w:rFonts w:hint="eastAsia" w:cs="宋体"/>
          <w:sz w:val="21"/>
          <w:szCs w:val="21"/>
        </w:rPr>
        <w:fldChar w:fldCharType="end"/>
      </w:r>
      <w:r>
        <w:rPr>
          <w:rFonts w:hint="eastAsia" w:cs="宋体"/>
          <w:sz w:val="21"/>
          <w:szCs w:val="21"/>
        </w:rPr>
        <w:fldChar w:fldCharType="end"/>
      </w:r>
    </w:p>
    <w:p w14:paraId="156AC452">
      <w:pPr>
        <w:pStyle w:val="23"/>
        <w:tabs>
          <w:tab w:val="right" w:leader="dot" w:pos="8306"/>
          <w:tab w:val="clear" w:pos="8296"/>
        </w:tabs>
        <w:ind w:left="0" w:leftChars="0"/>
        <w:rPr>
          <w:rFonts w:cs="宋体"/>
          <w:sz w:val="21"/>
          <w:szCs w:val="21"/>
        </w:rPr>
      </w:pPr>
      <w:r>
        <w:fldChar w:fldCharType="begin"/>
      </w:r>
      <w:r>
        <w:instrText xml:space="preserve"> HYPERLINK \l "_Toc16601" </w:instrText>
      </w:r>
      <w:r>
        <w:fldChar w:fldCharType="separate"/>
      </w:r>
      <w:r>
        <w:rPr>
          <w:rFonts w:hint="eastAsia" w:cs="宋体"/>
          <w:sz w:val="21"/>
          <w:szCs w:val="21"/>
        </w:rPr>
        <w:t>唱标信封</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_Toc16601 \h </w:instrText>
      </w:r>
      <w:r>
        <w:rPr>
          <w:rFonts w:hint="eastAsia" w:cs="宋体"/>
          <w:sz w:val="21"/>
          <w:szCs w:val="21"/>
        </w:rPr>
        <w:fldChar w:fldCharType="separate"/>
      </w:r>
      <w:r>
        <w:rPr>
          <w:rFonts w:hint="eastAsia" w:cs="宋体"/>
          <w:sz w:val="21"/>
          <w:szCs w:val="21"/>
        </w:rPr>
        <w:t>86</w:t>
      </w:r>
      <w:r>
        <w:rPr>
          <w:rFonts w:hint="eastAsia" w:cs="宋体"/>
          <w:sz w:val="21"/>
          <w:szCs w:val="21"/>
        </w:rPr>
        <w:fldChar w:fldCharType="end"/>
      </w:r>
      <w:r>
        <w:rPr>
          <w:rFonts w:hint="eastAsia" w:cs="宋体"/>
          <w:sz w:val="21"/>
          <w:szCs w:val="21"/>
        </w:rPr>
        <w:fldChar w:fldCharType="end"/>
      </w:r>
    </w:p>
    <w:p w14:paraId="04E62C47">
      <w:pPr>
        <w:pStyle w:val="23"/>
        <w:tabs>
          <w:tab w:val="right" w:leader="dot" w:pos="8306"/>
          <w:tab w:val="clear" w:pos="8296"/>
        </w:tabs>
        <w:ind w:left="0" w:leftChars="0"/>
        <w:rPr>
          <w:rFonts w:cs="宋体"/>
          <w:sz w:val="21"/>
          <w:szCs w:val="21"/>
        </w:rPr>
      </w:pPr>
      <w:r>
        <w:fldChar w:fldCharType="begin"/>
      </w:r>
      <w:r>
        <w:instrText xml:space="preserve"> HYPERLINK \l "_Toc31340" </w:instrText>
      </w:r>
      <w:r>
        <w:fldChar w:fldCharType="separate"/>
      </w:r>
      <w:r>
        <w:rPr>
          <w:rFonts w:hint="eastAsia" w:cs="宋体"/>
          <w:sz w:val="21"/>
          <w:szCs w:val="21"/>
        </w:rPr>
        <w:t>附件</w:t>
      </w:r>
      <w:r>
        <w:rPr>
          <w:rFonts w:hint="eastAsia" w:cs="宋体"/>
          <w:sz w:val="21"/>
          <w:szCs w:val="21"/>
          <w:lang w:val="en-US" w:eastAsia="zh-CN"/>
        </w:rPr>
        <w:t>16</w:t>
      </w:r>
      <w:r>
        <w:rPr>
          <w:rFonts w:hint="eastAsia" w:cs="宋体"/>
          <w:sz w:val="21"/>
          <w:szCs w:val="21"/>
        </w:rPr>
        <w:t>.唱标信封内装（内容务必与投标文件正本一致）</w:t>
      </w:r>
      <w:r>
        <w:rPr>
          <w:rFonts w:hint="eastAsia" w:cs="宋体"/>
          <w:sz w:val="21"/>
          <w:szCs w:val="21"/>
        </w:rPr>
        <w:tab/>
      </w:r>
      <w:r>
        <w:rPr>
          <w:rFonts w:hint="eastAsia" w:cs="宋体"/>
          <w:sz w:val="21"/>
          <w:szCs w:val="21"/>
        </w:rPr>
        <w:fldChar w:fldCharType="begin"/>
      </w:r>
      <w:r>
        <w:rPr>
          <w:rFonts w:hint="eastAsia" w:cs="宋体"/>
          <w:sz w:val="21"/>
          <w:szCs w:val="21"/>
        </w:rPr>
        <w:instrText xml:space="preserve"> PAGEREF _Toc31340 \h </w:instrText>
      </w:r>
      <w:r>
        <w:rPr>
          <w:rFonts w:hint="eastAsia" w:cs="宋体"/>
          <w:sz w:val="21"/>
          <w:szCs w:val="21"/>
        </w:rPr>
        <w:fldChar w:fldCharType="separate"/>
      </w:r>
      <w:r>
        <w:rPr>
          <w:rFonts w:hint="eastAsia" w:cs="宋体"/>
          <w:sz w:val="21"/>
          <w:szCs w:val="21"/>
        </w:rPr>
        <w:t>87</w:t>
      </w:r>
      <w:r>
        <w:rPr>
          <w:rFonts w:hint="eastAsia" w:cs="宋体"/>
          <w:sz w:val="21"/>
          <w:szCs w:val="21"/>
        </w:rPr>
        <w:fldChar w:fldCharType="end"/>
      </w:r>
      <w:r>
        <w:rPr>
          <w:rFonts w:hint="eastAsia" w:cs="宋体"/>
          <w:sz w:val="21"/>
          <w:szCs w:val="21"/>
        </w:rPr>
        <w:fldChar w:fldCharType="end"/>
      </w:r>
    </w:p>
    <w:p w14:paraId="0916DB7C">
      <w:pPr>
        <w:pStyle w:val="23"/>
        <w:tabs>
          <w:tab w:val="right" w:leader="dot" w:pos="8306"/>
          <w:tab w:val="clear" w:pos="8296"/>
        </w:tabs>
        <w:ind w:left="0" w:leftChars="0"/>
        <w:rPr>
          <w:rFonts w:cs="宋体"/>
          <w:sz w:val="21"/>
          <w:szCs w:val="21"/>
        </w:rPr>
      </w:pPr>
      <w:r>
        <w:rPr>
          <w:rFonts w:hint="eastAsia" w:cs="宋体"/>
          <w:sz w:val="21"/>
          <w:szCs w:val="21"/>
        </w:rPr>
        <w:fldChar w:fldCharType="end"/>
      </w:r>
    </w:p>
    <w:p w14:paraId="1E1CAB5D">
      <w:pPr>
        <w:rPr>
          <w:rFonts w:ascii="宋体" w:hAnsi="宋体" w:cs="宋体"/>
          <w:szCs w:val="21"/>
        </w:rPr>
      </w:pPr>
      <w:r>
        <w:rPr>
          <w:rFonts w:hint="eastAsia" w:ascii="宋体" w:hAnsi="宋体" w:cs="宋体"/>
          <w:szCs w:val="21"/>
        </w:rPr>
        <w:br w:type="page"/>
      </w:r>
    </w:p>
    <w:p w14:paraId="2B1791B1">
      <w:pPr>
        <w:pStyle w:val="4"/>
        <w:spacing w:before="0" w:after="0" w:line="240" w:lineRule="auto"/>
        <w:rPr>
          <w:sz w:val="28"/>
          <w:szCs w:val="28"/>
          <w:highlight w:val="none"/>
        </w:rPr>
      </w:pPr>
      <w:bookmarkStart w:id="0" w:name="_Toc21044"/>
      <w:r>
        <w:rPr>
          <w:rFonts w:hint="eastAsia"/>
          <w:sz w:val="28"/>
          <w:szCs w:val="28"/>
        </w:rPr>
        <w:t>第一部分投</w:t>
      </w:r>
      <w:r>
        <w:rPr>
          <w:rFonts w:hint="eastAsia"/>
          <w:sz w:val="28"/>
          <w:szCs w:val="28"/>
          <w:highlight w:val="none"/>
        </w:rPr>
        <w:t>标邀请</w:t>
      </w:r>
      <w:bookmarkEnd w:id="0"/>
    </w:p>
    <w:p w14:paraId="590B2E7A">
      <w:pPr>
        <w:pStyle w:val="5"/>
        <w:spacing w:before="0" w:after="0" w:line="360" w:lineRule="auto"/>
        <w:jc w:val="center"/>
        <w:rPr>
          <w:rFonts w:ascii="宋体" w:hAnsi="宋体" w:cs="宋体"/>
          <w:highlight w:val="none"/>
        </w:rPr>
      </w:pPr>
      <w:bookmarkStart w:id="1" w:name="_Toc8950"/>
      <w:r>
        <w:rPr>
          <w:rFonts w:hint="eastAsia" w:ascii="宋体" w:hAnsi="宋体" w:cs="宋体"/>
          <w:highlight w:val="none"/>
        </w:rPr>
        <w:t>投标邀请书</w:t>
      </w:r>
      <w:bookmarkEnd w:id="1"/>
    </w:p>
    <w:p w14:paraId="7606B547">
      <w:pPr>
        <w:ind w:firstLine="420" w:firstLineChars="200"/>
        <w:rPr>
          <w:rFonts w:ascii="宋体" w:hAnsi="宋体"/>
          <w:szCs w:val="21"/>
        </w:rPr>
      </w:pPr>
      <w:r>
        <w:rPr>
          <w:rFonts w:hint="eastAsia" w:ascii="宋体" w:hAnsi="宋体"/>
          <w:szCs w:val="21"/>
          <w:lang w:val="en-US" w:eastAsia="zh-CN"/>
        </w:rPr>
        <w:t>东莞市新东元环保投资有限公司</w:t>
      </w:r>
      <w:r>
        <w:rPr>
          <w:rFonts w:hint="eastAsia" w:ascii="宋体" w:hAnsi="宋体"/>
          <w:szCs w:val="21"/>
        </w:rPr>
        <w:t>现</w:t>
      </w:r>
      <w:r>
        <w:rPr>
          <w:rFonts w:ascii="宋体" w:hAnsi="宋体"/>
          <w:szCs w:val="21"/>
        </w:rPr>
        <w:t>就</w:t>
      </w:r>
      <w:r>
        <w:rPr>
          <w:rFonts w:hint="eastAsia" w:ascii="宋体" w:hAnsi="宋体"/>
          <w:b/>
          <w:szCs w:val="21"/>
          <w:u w:val="single"/>
          <w:lang w:eastAsia="zh-CN"/>
        </w:rPr>
        <w:t>东莞市海心沙资源综合利用中心环保热电厂3号线低温SCR脱硝催化技术服务采购项目</w:t>
      </w:r>
      <w:r>
        <w:rPr>
          <w:rFonts w:hint="eastAsia" w:ascii="宋体" w:hAnsi="宋体"/>
          <w:szCs w:val="21"/>
        </w:rPr>
        <w:t>（项目编号：XDY-GK-2025-002）</w:t>
      </w:r>
      <w:r>
        <w:rPr>
          <w:rFonts w:hint="eastAsia" w:ascii="宋体" w:hAnsi="宋体" w:cs="Times New Roman"/>
          <w:szCs w:val="21"/>
        </w:rPr>
        <w:t>进行国内公开采购</w:t>
      </w:r>
      <w:r>
        <w:rPr>
          <w:rFonts w:hint="eastAsia" w:ascii="宋体" w:hAnsi="宋体"/>
          <w:szCs w:val="21"/>
        </w:rPr>
        <w:t>，欢迎符合采购文件要求的国内投标人参加投标</w:t>
      </w:r>
      <w:r>
        <w:rPr>
          <w:rFonts w:ascii="宋体" w:hAnsi="宋体"/>
          <w:szCs w:val="21"/>
        </w:rPr>
        <w:t>。有关事项如下：</w:t>
      </w:r>
    </w:p>
    <w:p w14:paraId="487BA1F8">
      <w:pPr>
        <w:ind w:firstLine="413" w:firstLineChars="196"/>
        <w:rPr>
          <w:rFonts w:ascii="宋体" w:hAnsi="宋体"/>
          <w:b/>
          <w:szCs w:val="21"/>
        </w:rPr>
      </w:pPr>
    </w:p>
    <w:p w14:paraId="0BDAC616">
      <w:pPr>
        <w:ind w:firstLine="413"/>
        <w:rPr>
          <w:rFonts w:ascii="宋体" w:hAnsi="宋体"/>
          <w:b/>
          <w:szCs w:val="21"/>
        </w:rPr>
      </w:pPr>
      <w:r>
        <w:rPr>
          <w:rFonts w:hint="eastAsia" w:ascii="宋体" w:hAnsi="宋体"/>
          <w:b/>
          <w:szCs w:val="21"/>
        </w:rPr>
        <w:t>一、采购项目概况</w:t>
      </w:r>
    </w:p>
    <w:p w14:paraId="1E70C46F">
      <w:pPr>
        <w:ind w:firstLine="420" w:firstLineChars="200"/>
        <w:rPr>
          <w:rFonts w:hint="eastAsia" w:ascii="宋体" w:hAnsi="宋体" w:eastAsia="宋体"/>
          <w:szCs w:val="21"/>
          <w:lang w:eastAsia="zh-CN"/>
        </w:rPr>
      </w:pPr>
      <w:r>
        <w:rPr>
          <w:rFonts w:ascii="宋体" w:hAnsi="宋体"/>
          <w:szCs w:val="21"/>
        </w:rPr>
        <w:t>1</w:t>
      </w:r>
      <w:r>
        <w:rPr>
          <w:rFonts w:hint="eastAsia" w:ascii="宋体" w:hAnsi="宋体"/>
          <w:szCs w:val="21"/>
        </w:rPr>
        <w:t>、采购</w:t>
      </w:r>
      <w:r>
        <w:rPr>
          <w:rFonts w:ascii="宋体" w:hAnsi="宋体"/>
          <w:szCs w:val="21"/>
        </w:rPr>
        <w:t>项目名称</w:t>
      </w:r>
      <w:r>
        <w:rPr>
          <w:rFonts w:hint="eastAsia" w:ascii="宋体" w:hAnsi="宋体"/>
          <w:szCs w:val="21"/>
        </w:rPr>
        <w:t>：</w:t>
      </w:r>
      <w:r>
        <w:rPr>
          <w:rFonts w:hint="eastAsia" w:ascii="宋体" w:hAnsi="宋体"/>
          <w:szCs w:val="21"/>
          <w:u w:val="single"/>
        </w:rPr>
        <w:t xml:space="preserve">  </w:t>
      </w:r>
      <w:r>
        <w:rPr>
          <w:rFonts w:hint="eastAsia" w:ascii="宋体" w:hAnsi="宋体"/>
          <w:b/>
          <w:szCs w:val="21"/>
          <w:u w:val="single"/>
          <w:lang w:eastAsia="zh-CN"/>
        </w:rPr>
        <w:t>东莞市海心沙资源综合利用中心环保热电厂3号线低温SCR脱硝催化技术服务采购项目</w:t>
      </w:r>
    </w:p>
    <w:p w14:paraId="1611BF7D">
      <w:pPr>
        <w:ind w:firstLine="420" w:firstLineChars="200"/>
        <w:rPr>
          <w:rFonts w:ascii="宋体" w:hAnsi="宋体"/>
          <w:szCs w:val="21"/>
        </w:rPr>
      </w:pPr>
      <w:r>
        <w:rPr>
          <w:rFonts w:hint="eastAsia" w:ascii="宋体" w:hAnsi="宋体"/>
          <w:szCs w:val="21"/>
        </w:rPr>
        <w:t>2、</w:t>
      </w:r>
      <w:r>
        <w:rPr>
          <w:rFonts w:ascii="宋体" w:hAnsi="宋体"/>
          <w:szCs w:val="21"/>
        </w:rPr>
        <w:t>预算金额（</w:t>
      </w:r>
      <w:r>
        <w:rPr>
          <w:rFonts w:hint="eastAsia" w:ascii="宋体" w:hAnsi="宋体"/>
          <w:szCs w:val="21"/>
        </w:rPr>
        <w:t>元</w:t>
      </w:r>
      <w:r>
        <w:rPr>
          <w:rFonts w:ascii="宋体" w:hAnsi="宋体"/>
          <w:szCs w:val="21"/>
        </w:rPr>
        <w:t>）</w:t>
      </w:r>
      <w:r>
        <w:rPr>
          <w:rFonts w:hint="eastAsia" w:ascii="宋体" w:hAnsi="宋体"/>
          <w:szCs w:val="21"/>
        </w:rPr>
        <w:t>：</w:t>
      </w:r>
      <w:r>
        <w:rPr>
          <w:rFonts w:hint="eastAsia" w:ascii="宋体" w:hAnsi="宋体"/>
          <w:szCs w:val="21"/>
          <w:u w:val="single"/>
        </w:rPr>
        <w:t>¥</w:t>
      </w:r>
      <w:r>
        <w:rPr>
          <w:rFonts w:hint="eastAsia" w:ascii="宋体" w:hAnsi="宋体"/>
          <w:szCs w:val="21"/>
          <w:u w:val="single"/>
          <w:lang w:val="en-US" w:eastAsia="zh-CN"/>
        </w:rPr>
        <w:t>2,326,300.00</w:t>
      </w:r>
      <w:r>
        <w:rPr>
          <w:rFonts w:hint="eastAsia" w:ascii="宋体" w:hAnsi="宋体"/>
          <w:szCs w:val="21"/>
          <w:u w:val="single"/>
        </w:rPr>
        <w:t>元</w:t>
      </w:r>
    </w:p>
    <w:p w14:paraId="315DE45D">
      <w:pPr>
        <w:ind w:firstLine="420" w:firstLineChars="200"/>
        <w:rPr>
          <w:rFonts w:ascii="宋体" w:hAnsi="宋体"/>
          <w:szCs w:val="21"/>
        </w:rPr>
      </w:pPr>
      <w:r>
        <w:rPr>
          <w:rFonts w:hint="eastAsia" w:ascii="宋体" w:hAnsi="宋体"/>
          <w:szCs w:val="21"/>
        </w:rPr>
        <w:t>3、最高</w:t>
      </w:r>
      <w:r>
        <w:rPr>
          <w:rFonts w:ascii="宋体" w:hAnsi="宋体"/>
          <w:szCs w:val="21"/>
        </w:rPr>
        <w:t>限价</w:t>
      </w:r>
      <w:r>
        <w:rPr>
          <w:rFonts w:hint="eastAsia" w:ascii="宋体" w:hAnsi="宋体"/>
          <w:szCs w:val="21"/>
        </w:rPr>
        <w:t>（元）</w:t>
      </w:r>
      <w:r>
        <w:rPr>
          <w:rFonts w:ascii="宋体" w:hAnsi="宋体"/>
          <w:szCs w:val="21"/>
        </w:rPr>
        <w:t>：</w:t>
      </w:r>
      <w:r>
        <w:rPr>
          <w:rFonts w:hint="eastAsia" w:ascii="宋体" w:hAnsi="宋体"/>
          <w:szCs w:val="21"/>
          <w:u w:val="single"/>
        </w:rPr>
        <w:t>¥</w:t>
      </w:r>
      <w:r>
        <w:rPr>
          <w:rFonts w:hint="eastAsia" w:ascii="宋体" w:hAnsi="宋体"/>
          <w:szCs w:val="21"/>
          <w:u w:val="single"/>
          <w:lang w:val="en-US" w:eastAsia="zh-CN"/>
        </w:rPr>
        <w:t>2,326,300.00</w:t>
      </w:r>
      <w:r>
        <w:rPr>
          <w:rFonts w:hint="eastAsia" w:ascii="宋体" w:hAnsi="宋体"/>
          <w:szCs w:val="21"/>
          <w:u w:val="single"/>
        </w:rPr>
        <w:t>元</w:t>
      </w:r>
    </w:p>
    <w:p w14:paraId="47E0DBF7">
      <w:pPr>
        <w:ind w:firstLine="420" w:firstLineChars="200"/>
        <w:rPr>
          <w:rFonts w:ascii="宋体" w:hAnsi="宋体"/>
          <w:szCs w:val="21"/>
        </w:rPr>
      </w:pPr>
      <w:r>
        <w:rPr>
          <w:rFonts w:hint="eastAsia" w:ascii="宋体" w:hAnsi="宋体"/>
          <w:szCs w:val="21"/>
        </w:rPr>
        <w:t>4、项目内容</w:t>
      </w:r>
    </w:p>
    <w:p w14:paraId="2D12180F">
      <w:pPr>
        <w:ind w:firstLine="420" w:firstLineChars="200"/>
        <w:rPr>
          <w:rFonts w:hint="default" w:ascii="宋体" w:hAnsi="宋体" w:eastAsia="宋体"/>
          <w:szCs w:val="21"/>
          <w:lang w:val="en-US" w:eastAsia="zh-CN"/>
        </w:rPr>
      </w:pPr>
      <w:r>
        <w:rPr>
          <w:rFonts w:hint="eastAsia" w:ascii="宋体" w:hAnsi="宋体"/>
          <w:szCs w:val="21"/>
        </w:rPr>
        <w:t>东莞市新东元环保投资有限公司3号线低温SCR脱硝催化技术服务</w:t>
      </w:r>
      <w:r>
        <w:rPr>
          <w:rFonts w:hint="eastAsia" w:ascii="宋体" w:hAnsi="宋体"/>
          <w:szCs w:val="21"/>
          <w:lang w:eastAsia="zh-CN"/>
        </w:rPr>
        <w:t>。</w:t>
      </w:r>
    </w:p>
    <w:p w14:paraId="11E36B27">
      <w:pPr>
        <w:ind w:firstLine="420" w:firstLineChars="200"/>
        <w:rPr>
          <w:rFonts w:ascii="宋体" w:hAnsi="宋体"/>
          <w:szCs w:val="21"/>
        </w:rPr>
      </w:pPr>
      <w:r>
        <w:rPr>
          <w:rFonts w:hint="eastAsia" w:ascii="宋体" w:hAnsi="宋体"/>
          <w:szCs w:val="21"/>
        </w:rPr>
        <w:t>5、项目需求</w:t>
      </w:r>
    </w:p>
    <w:p w14:paraId="70CDF76C">
      <w:pPr>
        <w:ind w:firstLine="420" w:firstLineChars="200"/>
        <w:rPr>
          <w:rFonts w:ascii="宋体" w:hAnsi="宋体"/>
          <w:szCs w:val="21"/>
        </w:rPr>
      </w:pPr>
      <w:r>
        <w:rPr>
          <w:rFonts w:hint="eastAsia" w:ascii="宋体" w:hAnsi="宋体"/>
          <w:szCs w:val="21"/>
        </w:rPr>
        <w:t>详细内容请参阅采购文件第三部分《用户需求书》。</w:t>
      </w:r>
    </w:p>
    <w:p w14:paraId="70DEBEA9">
      <w:pPr>
        <w:ind w:firstLine="413" w:firstLineChars="196"/>
        <w:rPr>
          <w:rFonts w:ascii="宋体" w:hAnsi="宋体"/>
          <w:b/>
          <w:szCs w:val="21"/>
        </w:rPr>
      </w:pPr>
    </w:p>
    <w:p w14:paraId="6FC92A08">
      <w:pPr>
        <w:ind w:firstLine="413" w:firstLineChars="196"/>
        <w:rPr>
          <w:rFonts w:ascii="宋体" w:hAnsi="宋体"/>
          <w:b/>
          <w:szCs w:val="21"/>
        </w:rPr>
      </w:pPr>
      <w:r>
        <w:rPr>
          <w:rFonts w:hint="eastAsia" w:ascii="宋体" w:hAnsi="宋体"/>
          <w:b/>
          <w:szCs w:val="21"/>
        </w:rPr>
        <w:t>二、投标人资格要求</w:t>
      </w:r>
    </w:p>
    <w:p w14:paraId="6BC56906">
      <w:pPr>
        <w:ind w:firstLine="411" w:firstLineChars="196"/>
        <w:rPr>
          <w:rFonts w:ascii="宋体" w:hAnsi="宋体"/>
          <w:szCs w:val="21"/>
        </w:rPr>
      </w:pPr>
      <w:r>
        <w:rPr>
          <w:rFonts w:hint="eastAsia" w:ascii="宋体" w:hAnsi="宋体"/>
          <w:szCs w:val="21"/>
        </w:rPr>
        <w:t>1、一般要求：</w:t>
      </w:r>
    </w:p>
    <w:p w14:paraId="73370BA4">
      <w:pPr>
        <w:ind w:firstLine="420" w:firstLineChars="200"/>
        <w:rPr>
          <w:rFonts w:ascii="宋体" w:hAnsi="宋体"/>
          <w:szCs w:val="21"/>
        </w:rPr>
      </w:pPr>
      <w:r>
        <w:rPr>
          <w:rFonts w:hint="eastAsia" w:ascii="宋体" w:hAnsi="宋体"/>
          <w:szCs w:val="21"/>
        </w:rPr>
        <w:t>（1）投标人须为在中华人民共和国境内登记注册的具有独立承担民事责任能力的法人或其他组织【提供《营业执照》复印件（加盖公章）或《事业单位法人证书》复印件（加盖公章）或其他主体证书复印件（加盖公章）】。</w:t>
      </w:r>
    </w:p>
    <w:p w14:paraId="4C388247">
      <w:pPr>
        <w:ind w:firstLine="420" w:firstLineChars="200"/>
        <w:rPr>
          <w:rFonts w:ascii="宋体" w:hAnsi="宋体"/>
          <w:szCs w:val="21"/>
          <w:highlight w:val="none"/>
        </w:rPr>
      </w:pPr>
      <w:r>
        <w:rPr>
          <w:rFonts w:hint="eastAsia" w:ascii="宋体" w:hAnsi="宋体"/>
          <w:szCs w:val="21"/>
        </w:rPr>
        <w:t>（2）参加采购活动前三年内，</w:t>
      </w:r>
      <w:r>
        <w:rPr>
          <w:rFonts w:hint="eastAsia" w:ascii="宋体" w:hAnsi="宋体"/>
          <w:szCs w:val="21"/>
          <w:highlight w:val="none"/>
        </w:rPr>
        <w:t>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295C152E">
      <w:pPr>
        <w:ind w:firstLine="420" w:firstLineChars="200"/>
        <w:rPr>
          <w:rFonts w:ascii="宋体" w:hAnsi="宋体"/>
          <w:szCs w:val="21"/>
          <w:highlight w:val="none"/>
        </w:rPr>
      </w:pPr>
      <w:r>
        <w:rPr>
          <w:rFonts w:hint="eastAsia" w:ascii="宋体" w:hAnsi="宋体"/>
          <w:szCs w:val="21"/>
          <w:highlight w:val="none"/>
        </w:rPr>
        <w:t>（3）投标人的单位负责人为同一人或者存在直接控股、管理关系的不同投标人，不得参加同一合同项下的采购活动。</w:t>
      </w:r>
    </w:p>
    <w:p w14:paraId="32E1459C">
      <w:pPr>
        <w:ind w:firstLine="420" w:firstLineChars="200"/>
        <w:rPr>
          <w:rFonts w:hint="eastAsia" w:ascii="宋体" w:hAnsi="宋体"/>
          <w:szCs w:val="21"/>
          <w:highlight w:val="none"/>
        </w:rPr>
      </w:pPr>
      <w:r>
        <w:rPr>
          <w:rFonts w:hint="eastAsia" w:ascii="宋体" w:hAnsi="宋体"/>
          <w:szCs w:val="21"/>
          <w:highlight w:val="none"/>
        </w:rPr>
        <w:t>（4）未被列入“信用中国”网站(www.creditchina.gov.cn )“记录失信被执行人或</w:t>
      </w:r>
      <w:r>
        <w:rPr>
          <w:rFonts w:hint="eastAsia"/>
          <w:highlight w:val="none"/>
        </w:rPr>
        <w:t>重大税收违法失信主体</w:t>
      </w:r>
      <w:r>
        <w:rPr>
          <w:rFonts w:hint="eastAsia" w:ascii="宋体" w:hAnsi="宋体"/>
          <w:szCs w:val="21"/>
          <w:highlight w:val="none"/>
        </w:rPr>
        <w:t>或政府采购严重违法失信行为”记录名单。以</w:t>
      </w:r>
      <w:r>
        <w:rPr>
          <w:rFonts w:hint="eastAsia" w:ascii="宋体" w:hAnsi="宋体"/>
          <w:szCs w:val="21"/>
          <w:highlight w:val="none"/>
          <w:lang w:val="en-US" w:eastAsia="zh-CN"/>
        </w:rPr>
        <w:t>采购人</w:t>
      </w:r>
      <w:r>
        <w:rPr>
          <w:rFonts w:hint="eastAsia" w:ascii="宋体" w:hAnsi="宋体"/>
          <w:szCs w:val="21"/>
          <w:highlight w:val="none"/>
        </w:rPr>
        <w:t>于投标截止日当天在“信用中国”网站查询结果为准，如相关失信记录已失效，投标人需提供相关证明资料。</w:t>
      </w:r>
    </w:p>
    <w:p w14:paraId="1385B9FF">
      <w:pPr>
        <w:ind w:firstLine="420" w:firstLineChars="200"/>
        <w:rPr>
          <w:rFonts w:hint="eastAsia" w:ascii="宋体" w:hAnsi="宋体" w:eastAsia="宋体"/>
          <w:szCs w:val="21"/>
          <w:highlight w:val="none"/>
          <w:lang w:val="en-US" w:eastAsia="zh-CN"/>
        </w:rPr>
      </w:pPr>
      <w:r>
        <w:rPr>
          <w:rFonts w:hint="eastAsia" w:ascii="宋体" w:hAnsi="宋体"/>
          <w:szCs w:val="21"/>
          <w:highlight w:val="none"/>
          <w:lang w:val="en-US" w:eastAsia="zh-CN"/>
        </w:rPr>
        <w:t>（5）投标</w:t>
      </w:r>
      <w:r>
        <w:rPr>
          <w:rFonts w:hint="eastAsia" w:ascii="宋体" w:hAnsi="宋体" w:eastAsia="宋体"/>
          <w:szCs w:val="21"/>
          <w:highlight w:val="none"/>
          <w:lang w:val="en-US" w:eastAsia="zh-CN"/>
        </w:rPr>
        <w:t>人须提供投标截止日前6个月内任意1个月的：①依法缴纳税收证明材料、②无欠税的证明材料。如依法免税的，须提供相应证明材料。【提供证明材料须加盖公章】</w:t>
      </w:r>
    </w:p>
    <w:p w14:paraId="6A4D01E0">
      <w:pPr>
        <w:ind w:firstLine="420" w:firstLineChars="200"/>
        <w:rPr>
          <w:rFonts w:hint="eastAsia" w:ascii="宋体" w:hAnsi="宋体"/>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）投标人未被列入东实环境及下属企业相关领域黑名单</w:t>
      </w:r>
      <w:r>
        <w:rPr>
          <w:rFonts w:hint="eastAsia" w:ascii="宋体" w:hAnsi="宋体"/>
          <w:szCs w:val="21"/>
          <w:highlight w:val="none"/>
          <w:lang w:eastAsia="zh-CN"/>
        </w:rPr>
        <w:t>。</w:t>
      </w:r>
    </w:p>
    <w:p w14:paraId="29EA21F8">
      <w:pPr>
        <w:ind w:firstLine="420" w:firstLineChars="20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7）本项目不接受联合体投标</w:t>
      </w:r>
      <w:r>
        <w:rPr>
          <w:rFonts w:hint="eastAsia" w:ascii="宋体" w:hAnsi="宋体"/>
          <w:szCs w:val="21"/>
          <w:highlight w:val="none"/>
        </w:rPr>
        <w:t>。</w:t>
      </w:r>
    </w:p>
    <w:p w14:paraId="590986C5">
      <w:pPr>
        <w:ind w:firstLine="420" w:firstLineChars="200"/>
        <w:rPr>
          <w:rFonts w:ascii="宋体" w:hAnsi="宋体"/>
          <w:szCs w:val="21"/>
          <w:highlight w:val="none"/>
        </w:rPr>
      </w:pPr>
      <w:r>
        <w:rPr>
          <w:rFonts w:hint="eastAsia" w:ascii="宋体" w:hAnsi="宋体"/>
          <w:szCs w:val="21"/>
          <w:highlight w:val="none"/>
        </w:rPr>
        <w:t>2、其他要求</w:t>
      </w:r>
    </w:p>
    <w:p w14:paraId="19E586A2">
      <w:pPr>
        <w:ind w:firstLine="420" w:firstLineChars="200"/>
        <w:rPr>
          <w:highlight w:val="none"/>
        </w:rPr>
      </w:pPr>
      <w:r>
        <w:rPr>
          <w:rFonts w:hint="eastAsia"/>
          <w:highlight w:val="none"/>
          <w:u w:val="single"/>
        </w:rPr>
        <w:t xml:space="preserve">  </w:t>
      </w:r>
      <w:r>
        <w:rPr>
          <w:rFonts w:hint="eastAsia"/>
          <w:highlight w:val="none"/>
          <w:u w:val="single"/>
          <w:lang w:val="en-US" w:eastAsia="zh-CN"/>
        </w:rPr>
        <w:t>投标人</w:t>
      </w:r>
      <w:r>
        <w:rPr>
          <w:rFonts w:hint="eastAsia"/>
          <w:highlight w:val="none"/>
          <w:u w:val="single"/>
        </w:rPr>
        <w:t>自2022年1月1日起至今具有低温SCR脱硝催化（155℃或以下）项目的业绩（服务、安装、运维或供货），业绩不少于1个。【按合同签订时间为准，须提供：①合同关键页复印件（包含但不限于合同首页、合同金额页、合同签字页等，须体现业绩服务内容）、②对应每个业绩项目合同期内任意一期已开具的发票证明材料加盖公章】。</w:t>
      </w:r>
      <w:r>
        <w:rPr>
          <w:rFonts w:hint="eastAsia"/>
          <w:highlight w:val="none"/>
        </w:rPr>
        <w:t xml:space="preserve"> </w:t>
      </w:r>
    </w:p>
    <w:p w14:paraId="1D95CBF0">
      <w:pPr>
        <w:ind w:firstLine="413" w:firstLineChars="196"/>
        <w:rPr>
          <w:rFonts w:ascii="宋体" w:hAnsi="宋体"/>
          <w:b/>
          <w:szCs w:val="21"/>
          <w:highlight w:val="none"/>
        </w:rPr>
      </w:pPr>
      <w:r>
        <w:rPr>
          <w:rFonts w:hint="eastAsia" w:ascii="宋体" w:hAnsi="宋体"/>
          <w:b/>
          <w:szCs w:val="21"/>
          <w:highlight w:val="none"/>
        </w:rPr>
        <w:t>三、获取采购文件方式及要求：</w:t>
      </w:r>
    </w:p>
    <w:p w14:paraId="3B5E220B">
      <w:pPr>
        <w:wordWrap w:val="0"/>
        <w:ind w:firstLine="420" w:firstLineChars="200"/>
      </w:pPr>
      <w:r>
        <w:rPr>
          <w:rFonts w:hint="eastAsia" w:ascii="宋体" w:hAnsi="宋体" w:cs="宋体"/>
          <w:szCs w:val="21"/>
          <w:highlight w:val="none"/>
        </w:rPr>
        <w:t>本项目不进行实名登记报名，拟参加投标的投标人可于投标截止时间前自行网上下载采购文件。</w:t>
      </w:r>
      <w:r>
        <w:rPr>
          <w:rFonts w:ascii="宋体" w:hAnsi="宋体" w:cs="宋体"/>
          <w:szCs w:val="21"/>
          <w:highlight w:val="none"/>
        </w:rPr>
        <w:t>采购文件下载地址：</w:t>
      </w:r>
      <w:r>
        <w:rPr>
          <w:rFonts w:hint="eastAsia" w:ascii="宋体" w:hAnsi="宋体" w:cs="宋体"/>
          <w:szCs w:val="21"/>
          <w:highlight w:val="none"/>
          <w:u w:val="single"/>
        </w:rPr>
        <w:t>中国招标投标公共服务平台（http</w:t>
      </w:r>
      <w:r>
        <w:rPr>
          <w:rFonts w:hint="eastAsia" w:ascii="宋体" w:hAnsi="宋体" w:cs="宋体"/>
          <w:szCs w:val="21"/>
          <w:u w:val="single"/>
        </w:rPr>
        <w:t>://www.cebpubservice.com/）、东莞实业投资控股集团有限公司-招标采购栏目（http://www.dgsy.com.cn/）、广东东实环境股份有限公司网站（http://www.dshuanbao.com.cn/）</w:t>
      </w:r>
      <w:r>
        <w:rPr>
          <w:rFonts w:hint="eastAsia" w:ascii="宋体" w:hAnsi="宋体" w:cs="宋体"/>
          <w:szCs w:val="21"/>
        </w:rPr>
        <w:t>。</w:t>
      </w:r>
    </w:p>
    <w:p w14:paraId="079D073F">
      <w:pPr>
        <w:ind w:firstLine="413" w:firstLineChars="196"/>
        <w:rPr>
          <w:rFonts w:ascii="宋体" w:hAnsi="宋体"/>
          <w:b/>
          <w:szCs w:val="21"/>
        </w:rPr>
      </w:pPr>
      <w:r>
        <w:rPr>
          <w:rFonts w:hint="eastAsia" w:ascii="宋体" w:hAnsi="宋体"/>
          <w:b/>
          <w:szCs w:val="21"/>
        </w:rPr>
        <w:t>四、投标文件的递交</w:t>
      </w:r>
    </w:p>
    <w:p w14:paraId="0AF96438">
      <w:pPr>
        <w:ind w:firstLine="420" w:firstLineChars="200"/>
        <w:rPr>
          <w:rFonts w:ascii="宋体" w:hAnsi="宋体"/>
          <w:szCs w:val="21"/>
        </w:rPr>
      </w:pPr>
      <w:r>
        <w:rPr>
          <w:rFonts w:hint="eastAsia" w:ascii="宋体" w:hAnsi="宋体"/>
          <w:szCs w:val="21"/>
        </w:rPr>
        <w:t>1、递交投标文件时间：</w:t>
      </w:r>
      <w:r>
        <w:rPr>
          <w:rFonts w:hint="eastAsia" w:ascii="宋体" w:hAnsi="宋体" w:cs="宋体"/>
          <w:szCs w:val="21"/>
        </w:rPr>
        <w:t>20</w:t>
      </w:r>
      <w:r>
        <w:rPr>
          <w:rFonts w:hint="eastAsia" w:ascii="宋体" w:hAnsi="宋体" w:cs="宋体"/>
          <w:szCs w:val="21"/>
          <w:lang w:val="en-US" w:eastAsia="zh-CN"/>
        </w:rPr>
        <w:t>25</w:t>
      </w:r>
      <w:r>
        <w:rPr>
          <w:rFonts w:hint="eastAsia" w:ascii="宋体" w:hAnsi="宋体" w:cs="宋体"/>
          <w:szCs w:val="21"/>
        </w:rPr>
        <w:t>年</w:t>
      </w:r>
      <w:r>
        <w:rPr>
          <w:rFonts w:hint="eastAsia" w:ascii="宋体" w:hAnsi="宋体" w:cs="宋体"/>
          <w:szCs w:val="21"/>
          <w:u w:val="single"/>
          <w:lang w:val="en-US" w:eastAsia="zh-CN"/>
        </w:rPr>
        <w:t>11</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lang w:val="en-US" w:eastAsia="zh-CN"/>
        </w:rPr>
        <w:t>13</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szCs w:val="21"/>
        </w:rPr>
        <w:t>北京时间）</w:t>
      </w:r>
      <w:r>
        <w:rPr>
          <w:rFonts w:hint="eastAsia" w:ascii="宋体" w:hAnsi="宋体"/>
          <w:szCs w:val="21"/>
          <w:u w:val="single"/>
          <w:lang w:val="en-US" w:eastAsia="zh-CN"/>
        </w:rPr>
        <w:t>09</w:t>
      </w:r>
      <w:r>
        <w:rPr>
          <w:rFonts w:hint="eastAsia" w:ascii="宋体" w:hAnsi="宋体"/>
          <w:szCs w:val="21"/>
        </w:rPr>
        <w:t>:</w:t>
      </w:r>
      <w:r>
        <w:rPr>
          <w:rFonts w:hint="eastAsia" w:ascii="宋体" w:hAnsi="宋体"/>
          <w:szCs w:val="21"/>
          <w:u w:val="single"/>
          <w:lang w:val="en-US" w:eastAsia="zh-CN"/>
        </w:rPr>
        <w:t>30</w:t>
      </w:r>
      <w:r>
        <w:rPr>
          <w:rFonts w:ascii="宋体" w:hAnsi="宋体"/>
          <w:szCs w:val="21"/>
        </w:rPr>
        <w:t>-</w:t>
      </w:r>
      <w:r>
        <w:rPr>
          <w:rFonts w:hint="eastAsia" w:ascii="宋体" w:hAnsi="宋体"/>
          <w:szCs w:val="21"/>
          <w:u w:val="single"/>
          <w:lang w:val="en-US" w:eastAsia="zh-CN"/>
        </w:rPr>
        <w:t>10</w:t>
      </w:r>
      <w:r>
        <w:rPr>
          <w:rFonts w:hint="eastAsia" w:ascii="宋体" w:hAnsi="宋体"/>
          <w:szCs w:val="21"/>
        </w:rPr>
        <w:t>:</w:t>
      </w:r>
      <w:r>
        <w:rPr>
          <w:rFonts w:hint="eastAsia" w:ascii="宋体" w:hAnsi="宋体"/>
          <w:szCs w:val="21"/>
          <w:u w:val="single"/>
          <w:lang w:val="en-US" w:eastAsia="zh-CN"/>
        </w:rPr>
        <w:t>00</w:t>
      </w:r>
      <w:r>
        <w:rPr>
          <w:rFonts w:hint="eastAsia" w:ascii="宋体" w:hAnsi="宋体"/>
          <w:szCs w:val="21"/>
        </w:rPr>
        <w:t>。</w:t>
      </w:r>
    </w:p>
    <w:p w14:paraId="04902A82">
      <w:pPr>
        <w:ind w:firstLine="420" w:firstLineChars="200"/>
        <w:rPr>
          <w:rFonts w:ascii="宋体" w:hAnsi="宋体"/>
          <w:b/>
          <w:szCs w:val="21"/>
        </w:rPr>
      </w:pPr>
      <w:r>
        <w:rPr>
          <w:rFonts w:hint="eastAsia" w:ascii="宋体" w:hAnsi="宋体"/>
          <w:szCs w:val="21"/>
        </w:rPr>
        <w:t>2、递交投标文件</w:t>
      </w:r>
      <w:r>
        <w:rPr>
          <w:rFonts w:ascii="宋体" w:hAnsi="宋体"/>
          <w:szCs w:val="21"/>
        </w:rPr>
        <w:t>截止</w:t>
      </w:r>
      <w:r>
        <w:rPr>
          <w:rFonts w:hint="eastAsia" w:ascii="宋体" w:hAnsi="宋体"/>
          <w:szCs w:val="21"/>
        </w:rPr>
        <w:t>及开标时间：</w:t>
      </w:r>
      <w:r>
        <w:rPr>
          <w:rFonts w:hint="eastAsia" w:ascii="宋体" w:hAnsi="宋体" w:cs="宋体"/>
          <w:szCs w:val="21"/>
        </w:rPr>
        <w:t>20</w:t>
      </w:r>
      <w:r>
        <w:rPr>
          <w:rFonts w:hint="eastAsia" w:ascii="宋体" w:hAnsi="宋体" w:cs="宋体"/>
          <w:szCs w:val="21"/>
          <w:lang w:val="en-US" w:eastAsia="zh-CN"/>
        </w:rPr>
        <w:t>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11</w:t>
      </w:r>
      <w:r>
        <w:rPr>
          <w:rFonts w:hint="eastAsia" w:ascii="宋体" w:hAnsi="宋体" w:cs="宋体"/>
          <w:szCs w:val="21"/>
        </w:rPr>
        <w:t>月</w:t>
      </w:r>
      <w:r>
        <w:rPr>
          <w:rFonts w:hint="eastAsia" w:ascii="宋体" w:hAnsi="宋体" w:cs="宋体"/>
          <w:szCs w:val="21"/>
          <w:u w:val="single"/>
          <w:lang w:val="en-US" w:eastAsia="zh-CN"/>
        </w:rPr>
        <w:t>13</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szCs w:val="21"/>
          <w:u w:val="single"/>
          <w:lang w:val="en-US" w:eastAsia="zh-CN"/>
        </w:rPr>
        <w:t>10</w:t>
      </w:r>
      <w:r>
        <w:rPr>
          <w:rFonts w:hint="eastAsia" w:ascii="宋体" w:hAnsi="宋体"/>
          <w:szCs w:val="21"/>
        </w:rPr>
        <w:t>:</w:t>
      </w:r>
      <w:r>
        <w:rPr>
          <w:rFonts w:hint="eastAsia" w:ascii="宋体" w:hAnsi="宋体"/>
          <w:szCs w:val="21"/>
          <w:u w:val="single"/>
          <w:lang w:val="en-US" w:eastAsia="zh-CN"/>
        </w:rPr>
        <w:t>00</w:t>
      </w:r>
      <w:r>
        <w:rPr>
          <w:rFonts w:hint="eastAsia" w:ascii="宋体" w:hAnsi="宋体"/>
          <w:szCs w:val="21"/>
        </w:rPr>
        <w:t>（北京时间），所有投标文件应于截止时间之前递交，迟交或以电报、传真形式的投标文件将拒绝接收。</w:t>
      </w:r>
    </w:p>
    <w:p w14:paraId="1F5D37F1">
      <w:pPr>
        <w:ind w:firstLine="420" w:firstLineChars="200"/>
        <w:rPr>
          <w:rFonts w:ascii="宋体" w:hAnsi="宋体"/>
          <w:szCs w:val="21"/>
        </w:rPr>
      </w:pPr>
      <w:r>
        <w:rPr>
          <w:rFonts w:hint="eastAsia" w:ascii="宋体" w:hAnsi="宋体"/>
          <w:szCs w:val="21"/>
        </w:rPr>
        <w:t>3、</w:t>
      </w:r>
      <w:r>
        <w:rPr>
          <w:rFonts w:ascii="宋体" w:hAnsi="宋体"/>
          <w:szCs w:val="21"/>
        </w:rPr>
        <w:t>开标地点</w:t>
      </w:r>
      <w:r>
        <w:rPr>
          <w:rFonts w:hint="eastAsia" w:ascii="宋体" w:hAnsi="宋体"/>
          <w:szCs w:val="21"/>
        </w:rPr>
        <w:t>：</w:t>
      </w:r>
      <w:r>
        <w:rPr>
          <w:rFonts w:hint="eastAsia" w:ascii="宋体" w:hAnsi="宋体"/>
          <w:szCs w:val="21"/>
          <w:u w:val="single"/>
        </w:rPr>
        <w:t xml:space="preserve"> 东莞市麻涌镇大步村海心沙岛广东东实环境股份有限公司管理中心6楼6C会议室。</w:t>
      </w:r>
    </w:p>
    <w:p w14:paraId="4A94A7BC">
      <w:pPr>
        <w:ind w:firstLine="411" w:firstLineChars="196"/>
        <w:rPr>
          <w:rFonts w:ascii="宋体" w:hAnsi="宋体"/>
          <w:bCs/>
          <w:szCs w:val="21"/>
        </w:rPr>
      </w:pPr>
      <w:r>
        <w:rPr>
          <w:rFonts w:hint="eastAsia" w:ascii="宋体" w:hAnsi="宋体"/>
          <w:bCs/>
          <w:szCs w:val="21"/>
        </w:rPr>
        <w:t>4、开标事宜：</w:t>
      </w:r>
      <w:r>
        <w:rPr>
          <w:rFonts w:hint="eastAsia" w:ascii="宋体" w:hAnsi="宋体"/>
          <w:b/>
          <w:bCs/>
          <w:szCs w:val="21"/>
        </w:rPr>
        <w:t>届时请投标人的法定代表人或其授权代表务必携带有效身份证明出席开标会</w:t>
      </w:r>
      <w:r>
        <w:rPr>
          <w:rFonts w:hint="eastAsia" w:ascii="宋体" w:hAnsi="宋体"/>
          <w:bCs/>
          <w:szCs w:val="21"/>
        </w:rPr>
        <w:t>。</w:t>
      </w:r>
    </w:p>
    <w:p w14:paraId="13A5B770">
      <w:pPr>
        <w:pStyle w:val="39"/>
        <w:spacing w:line="360" w:lineRule="auto"/>
        <w:rPr>
          <w:sz w:val="21"/>
          <w:szCs w:val="21"/>
        </w:rPr>
      </w:pPr>
      <w:r>
        <w:rPr>
          <w:rFonts w:hint="eastAsia"/>
          <w:sz w:val="21"/>
          <w:szCs w:val="21"/>
        </w:rPr>
        <w:t>5、出现以下情形时，</w:t>
      </w:r>
      <w:r>
        <w:rPr>
          <w:rFonts w:hint="eastAsia"/>
          <w:sz w:val="21"/>
          <w:szCs w:val="21"/>
          <w:lang w:eastAsia="zh-CN"/>
        </w:rPr>
        <w:t>采购人</w:t>
      </w:r>
      <w:r>
        <w:rPr>
          <w:rFonts w:hint="eastAsia"/>
          <w:sz w:val="21"/>
          <w:szCs w:val="21"/>
        </w:rPr>
        <w:t>不予接收投标（响应）文件：</w:t>
      </w:r>
    </w:p>
    <w:p w14:paraId="42BD9A46">
      <w:pPr>
        <w:pStyle w:val="39"/>
        <w:spacing w:line="360" w:lineRule="auto"/>
        <w:rPr>
          <w:sz w:val="21"/>
          <w:szCs w:val="21"/>
        </w:rPr>
      </w:pPr>
      <w:r>
        <w:rPr>
          <w:sz w:val="21"/>
          <w:szCs w:val="21"/>
        </w:rPr>
        <w:tab/>
      </w:r>
      <w:r>
        <w:rPr>
          <w:rFonts w:hint="eastAsia"/>
          <w:sz w:val="21"/>
          <w:szCs w:val="21"/>
        </w:rPr>
        <w:t>（1）逾期送达或者未送达指定地点的；</w:t>
      </w:r>
    </w:p>
    <w:p w14:paraId="458E9DA2">
      <w:pPr>
        <w:pStyle w:val="39"/>
        <w:spacing w:line="360" w:lineRule="auto"/>
      </w:pPr>
      <w:r>
        <w:rPr>
          <w:sz w:val="21"/>
          <w:szCs w:val="21"/>
        </w:rPr>
        <w:tab/>
      </w:r>
      <w:r>
        <w:rPr>
          <w:rFonts w:hint="eastAsia"/>
          <w:sz w:val="21"/>
          <w:szCs w:val="21"/>
        </w:rPr>
        <w:t>（2）未按采购文件要求密封的。</w:t>
      </w:r>
    </w:p>
    <w:p w14:paraId="1AC64C02">
      <w:pPr>
        <w:pStyle w:val="39"/>
        <w:ind w:firstLine="422"/>
        <w:rPr>
          <w:rFonts w:ascii="宋体" w:hAnsi="宋体" w:eastAsia="宋体" w:cstheme="minorBidi"/>
          <w:b/>
          <w:sz w:val="21"/>
          <w:szCs w:val="21"/>
        </w:rPr>
      </w:pPr>
      <w:r>
        <w:rPr>
          <w:rFonts w:hint="eastAsia" w:ascii="宋体" w:hAnsi="宋体" w:eastAsia="宋体" w:cstheme="minorBidi"/>
          <w:b/>
          <w:sz w:val="21"/>
          <w:szCs w:val="21"/>
        </w:rPr>
        <w:t>五</w:t>
      </w:r>
      <w:r>
        <w:rPr>
          <w:rFonts w:ascii="宋体" w:hAnsi="宋体" w:eastAsia="宋体" w:cstheme="minorBidi"/>
          <w:b/>
          <w:sz w:val="21"/>
          <w:szCs w:val="21"/>
        </w:rPr>
        <w:t>、发布公告的媒介</w:t>
      </w:r>
    </w:p>
    <w:p w14:paraId="32BC5E05">
      <w:pPr>
        <w:pStyle w:val="39"/>
        <w:spacing w:line="360" w:lineRule="auto"/>
        <w:rPr>
          <w:rFonts w:ascii="宋体" w:hAnsi="宋体" w:eastAsia="宋体" w:cs="宋体"/>
          <w:sz w:val="21"/>
          <w:szCs w:val="21"/>
        </w:rPr>
      </w:pPr>
      <w:r>
        <w:rPr>
          <w:rFonts w:hint="eastAsia" w:ascii="宋体" w:hAnsi="宋体" w:eastAsia="宋体" w:cs="宋体"/>
          <w:sz w:val="21"/>
          <w:szCs w:val="21"/>
        </w:rPr>
        <w:t>1、采购公告发布媒介：</w:t>
      </w:r>
    </w:p>
    <w:p w14:paraId="16C54F42">
      <w:pPr>
        <w:pStyle w:val="39"/>
        <w:spacing w:line="360" w:lineRule="auto"/>
        <w:rPr>
          <w:rFonts w:ascii="宋体" w:hAnsi="宋体" w:eastAsia="宋体" w:cs="宋体"/>
          <w:sz w:val="21"/>
          <w:szCs w:val="21"/>
        </w:rPr>
      </w:pPr>
      <w:r>
        <w:rPr>
          <w:rFonts w:hint="eastAsia" w:ascii="宋体" w:hAnsi="宋体" w:eastAsia="宋体" w:cs="宋体"/>
          <w:sz w:val="21"/>
          <w:szCs w:val="21"/>
        </w:rPr>
        <w:t>中国招标投标公共服务平台（http://www.cebpubservice.com/）、东莞实业投资控股集团有限公司-招标采购栏目（http://www.dgsy.com.cn/）、广东东实环境股份有限公司网站（http://www.dshuanbao.com.cn/）。</w:t>
      </w:r>
    </w:p>
    <w:p w14:paraId="0E2741AA">
      <w:pPr>
        <w:pStyle w:val="39"/>
        <w:spacing w:line="360" w:lineRule="auto"/>
        <w:rPr>
          <w:rFonts w:ascii="宋体" w:hAnsi="宋体" w:eastAsia="宋体" w:cs="宋体"/>
          <w:bCs/>
          <w:sz w:val="21"/>
          <w:szCs w:val="21"/>
        </w:rPr>
      </w:pPr>
      <w:r>
        <w:rPr>
          <w:rFonts w:hint="eastAsia" w:ascii="宋体" w:hAnsi="宋体" w:eastAsia="宋体" w:cs="宋体"/>
          <w:bCs/>
          <w:sz w:val="21"/>
          <w:szCs w:val="21"/>
        </w:rPr>
        <w:t>2、结果公告发布媒介：</w:t>
      </w:r>
    </w:p>
    <w:p w14:paraId="5BA45672">
      <w:pPr>
        <w:pStyle w:val="39"/>
        <w:spacing w:line="360" w:lineRule="auto"/>
        <w:rPr>
          <w:rFonts w:ascii="宋体" w:hAnsi="宋体" w:eastAsia="宋体" w:cs="宋体"/>
          <w:bCs/>
          <w:sz w:val="21"/>
          <w:szCs w:val="21"/>
        </w:rPr>
      </w:pPr>
      <w:r>
        <w:rPr>
          <w:rFonts w:hint="eastAsia" w:ascii="宋体" w:hAnsi="宋体" w:eastAsia="宋体" w:cs="宋体"/>
          <w:sz w:val="21"/>
          <w:szCs w:val="21"/>
        </w:rPr>
        <w:t>东莞实业投资控股集团有限公司-招标采购栏目（http://www.dgsy.com.cn/）。</w:t>
      </w:r>
    </w:p>
    <w:p w14:paraId="6A8D6E60">
      <w:pPr>
        <w:ind w:firstLine="413" w:firstLineChars="196"/>
        <w:rPr>
          <w:rFonts w:ascii="宋体" w:hAnsi="宋体"/>
          <w:bCs/>
          <w:szCs w:val="21"/>
        </w:rPr>
      </w:pPr>
      <w:r>
        <w:rPr>
          <w:rFonts w:hint="eastAsia" w:ascii="宋体" w:hAnsi="宋体"/>
          <w:b/>
          <w:szCs w:val="21"/>
        </w:rPr>
        <w:t>六、采购人</w:t>
      </w:r>
      <w:r>
        <w:rPr>
          <w:rFonts w:hint="eastAsia" w:ascii="宋体" w:hAnsi="宋体"/>
          <w:b/>
          <w:szCs w:val="21"/>
          <w:lang w:val="en-US" w:eastAsia="zh-CN"/>
        </w:rPr>
        <w:t>的</w:t>
      </w:r>
      <w:r>
        <w:rPr>
          <w:rFonts w:hint="eastAsia" w:ascii="宋体" w:hAnsi="宋体"/>
          <w:b/>
          <w:szCs w:val="21"/>
        </w:rPr>
        <w:t>地址和联系方法：</w:t>
      </w:r>
    </w:p>
    <w:p w14:paraId="5E75C31E">
      <w:pPr>
        <w:ind w:firstLine="420" w:firstLineChars="200"/>
        <w:rPr>
          <w:rFonts w:ascii="宋体" w:hAnsi="宋体"/>
          <w:bCs/>
          <w:szCs w:val="21"/>
        </w:rPr>
      </w:pPr>
      <w:r>
        <w:rPr>
          <w:rFonts w:hint="eastAsia" w:ascii="宋体" w:hAnsi="宋体"/>
          <w:bCs/>
          <w:szCs w:val="21"/>
        </w:rPr>
        <w:t>采购人联系人： 徐小姐/罗小姐</w:t>
      </w:r>
    </w:p>
    <w:p w14:paraId="1C93FBA0">
      <w:pPr>
        <w:ind w:firstLine="420" w:firstLineChars="200"/>
        <w:rPr>
          <w:rFonts w:hint="eastAsia" w:ascii="宋体" w:hAnsi="宋体" w:eastAsia="宋体"/>
          <w:bCs/>
          <w:szCs w:val="21"/>
          <w:lang w:val="en-US" w:eastAsia="zh-CN"/>
        </w:rPr>
      </w:pPr>
      <w:r>
        <w:rPr>
          <w:rFonts w:hint="eastAsia" w:ascii="宋体" w:hAnsi="宋体"/>
          <w:bCs/>
          <w:szCs w:val="21"/>
        </w:rPr>
        <w:t>采购人地址：</w:t>
      </w:r>
      <w:r>
        <w:rPr>
          <w:rFonts w:hint="eastAsia" w:ascii="宋体" w:hAnsi="宋体"/>
          <w:szCs w:val="21"/>
          <w:u w:val="single"/>
        </w:rPr>
        <w:t>东莞市麻涌镇大步村海心沙岛</w:t>
      </w:r>
    </w:p>
    <w:p w14:paraId="3E9C6B89">
      <w:pPr>
        <w:ind w:firstLine="420" w:firstLineChars="200"/>
        <w:rPr>
          <w:rFonts w:ascii="宋体" w:hAnsi="宋体"/>
          <w:bCs/>
          <w:szCs w:val="21"/>
        </w:rPr>
      </w:pPr>
      <w:r>
        <w:rPr>
          <w:rFonts w:hint="eastAsia" w:ascii="宋体" w:hAnsi="宋体"/>
          <w:bCs/>
          <w:szCs w:val="21"/>
        </w:rPr>
        <w:t>采购人联系电话：0769-81219261</w:t>
      </w:r>
      <w:r>
        <w:rPr>
          <w:rFonts w:hint="eastAsia" w:ascii="宋体" w:hAnsi="宋体"/>
          <w:bCs/>
          <w:szCs w:val="21"/>
          <w:lang w:eastAsia="zh-CN"/>
        </w:rPr>
        <w:t>、0769-39028727</w:t>
      </w:r>
      <w:r>
        <w:rPr>
          <w:rFonts w:hint="eastAsia" w:ascii="宋体" w:hAnsi="宋体" w:cs="宋体"/>
          <w:sz w:val="22"/>
        </w:rPr>
        <w:t xml:space="preserve"> </w:t>
      </w:r>
    </w:p>
    <w:p w14:paraId="6F4CFE8B">
      <w:pPr>
        <w:ind w:right="752" w:rightChars="358"/>
        <w:jc w:val="both"/>
      </w:pPr>
    </w:p>
    <w:p w14:paraId="1DFFBE29">
      <w:pPr>
        <w:ind w:right="752" w:rightChars="358"/>
        <w:jc w:val="right"/>
        <w:rPr>
          <w:rFonts w:hint="default" w:ascii="宋体" w:hAnsi="宋体" w:eastAsia="宋体" w:cs="宋体"/>
          <w:szCs w:val="21"/>
          <w:lang w:val="en-US" w:eastAsia="zh-CN"/>
        </w:rPr>
      </w:pPr>
      <w:r>
        <w:rPr>
          <w:rFonts w:hint="eastAsia" w:ascii="宋体" w:hAnsi="宋体" w:cs="宋体"/>
          <w:szCs w:val="21"/>
          <w:lang w:val="en-US" w:eastAsia="zh-CN"/>
        </w:rPr>
        <w:t>东莞市新东元环保投资有限公司</w:t>
      </w:r>
    </w:p>
    <w:p w14:paraId="5BF525B7">
      <w:pPr>
        <w:ind w:right="752" w:rightChars="358"/>
        <w:jc w:val="righ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25</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23日</w:t>
      </w:r>
      <w:r>
        <w:rPr>
          <w:rFonts w:hint="eastAsia" w:ascii="宋体" w:hAnsi="宋体" w:cs="宋体"/>
          <w:szCs w:val="21"/>
        </w:rPr>
        <w:t xml:space="preserve"> </w:t>
      </w:r>
    </w:p>
    <w:p w14:paraId="29264B1D">
      <w:pPr>
        <w:pStyle w:val="4"/>
        <w:spacing w:before="0" w:after="0" w:line="240" w:lineRule="auto"/>
        <w:rPr>
          <w:sz w:val="28"/>
          <w:szCs w:val="28"/>
        </w:rPr>
      </w:pPr>
      <w:bookmarkStart w:id="2" w:name="_Toc20564"/>
      <w:r>
        <w:rPr>
          <w:rFonts w:hint="eastAsia"/>
          <w:sz w:val="28"/>
          <w:szCs w:val="28"/>
        </w:rPr>
        <w:t>第二部分相关资料表格</w:t>
      </w:r>
      <w:bookmarkEnd w:id="2"/>
    </w:p>
    <w:p w14:paraId="5D968906">
      <w:pPr>
        <w:pStyle w:val="5"/>
        <w:spacing w:before="0" w:after="0" w:line="240" w:lineRule="auto"/>
        <w:jc w:val="center"/>
        <w:rPr>
          <w:rFonts w:ascii="宋体" w:hAnsi="宋体" w:cs="宋体"/>
          <w:sz w:val="24"/>
          <w:szCs w:val="24"/>
        </w:rPr>
      </w:pPr>
      <w:bookmarkStart w:id="3" w:name="_Toc14333"/>
      <w:r>
        <w:rPr>
          <w:rFonts w:hint="eastAsia" w:ascii="宋体" w:hAnsi="宋体" w:cs="宋体"/>
          <w:sz w:val="24"/>
          <w:szCs w:val="24"/>
        </w:rPr>
        <w:t>附表一：投标资料表</w:t>
      </w:r>
      <w:bookmarkEnd w:id="3"/>
    </w:p>
    <w:tbl>
      <w:tblPr>
        <w:tblStyle w:val="30"/>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7296C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46E15085">
            <w:pPr>
              <w:jc w:val="center"/>
              <w:rPr>
                <w:rFonts w:ascii="宋体" w:hAnsi="宋体"/>
                <w:szCs w:val="21"/>
              </w:rPr>
            </w:pPr>
            <w:r>
              <w:rPr>
                <w:rFonts w:hint="eastAsia" w:ascii="宋体" w:hAnsi="宋体"/>
                <w:szCs w:val="21"/>
              </w:rPr>
              <w:t>序号</w:t>
            </w:r>
          </w:p>
        </w:tc>
        <w:tc>
          <w:tcPr>
            <w:tcW w:w="7532" w:type="dxa"/>
            <w:gridSpan w:val="2"/>
            <w:tcBorders>
              <w:tl2br w:val="nil"/>
              <w:tr2bl w:val="nil"/>
            </w:tcBorders>
            <w:vAlign w:val="center"/>
          </w:tcPr>
          <w:p w14:paraId="4AF1BBF7">
            <w:pPr>
              <w:jc w:val="center"/>
              <w:rPr>
                <w:rFonts w:ascii="宋体" w:hAnsi="宋体"/>
                <w:b/>
                <w:szCs w:val="21"/>
              </w:rPr>
            </w:pPr>
            <w:r>
              <w:rPr>
                <w:rFonts w:hint="eastAsia" w:ascii="宋体" w:hAnsi="宋体"/>
                <w:b/>
                <w:szCs w:val="21"/>
              </w:rPr>
              <w:t>内容</w:t>
            </w:r>
          </w:p>
        </w:tc>
      </w:tr>
      <w:tr w14:paraId="2E61F0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0FF959F0">
            <w:pPr>
              <w:jc w:val="center"/>
              <w:rPr>
                <w:rFonts w:ascii="宋体" w:hAnsi="宋体"/>
                <w:b/>
                <w:szCs w:val="21"/>
              </w:rPr>
            </w:pPr>
            <w:r>
              <w:rPr>
                <w:rFonts w:hint="eastAsia" w:ascii="宋体" w:hAnsi="宋体"/>
                <w:b/>
                <w:szCs w:val="21"/>
              </w:rPr>
              <w:t>一、说明</w:t>
            </w:r>
          </w:p>
        </w:tc>
      </w:tr>
      <w:tr w14:paraId="5DBFA9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2E0FD94F">
            <w:pPr>
              <w:jc w:val="center"/>
              <w:rPr>
                <w:rFonts w:ascii="宋体" w:hAnsi="宋体"/>
                <w:szCs w:val="21"/>
                <w:highlight w:val="none"/>
              </w:rPr>
            </w:pPr>
            <w:r>
              <w:rPr>
                <w:rFonts w:hint="eastAsia" w:ascii="宋体" w:hAnsi="宋体"/>
                <w:szCs w:val="21"/>
                <w:highlight w:val="none"/>
              </w:rPr>
              <w:t>1</w:t>
            </w:r>
          </w:p>
        </w:tc>
        <w:tc>
          <w:tcPr>
            <w:tcW w:w="7532" w:type="dxa"/>
            <w:gridSpan w:val="2"/>
            <w:tcBorders>
              <w:tl2br w:val="nil"/>
              <w:tr2bl w:val="nil"/>
            </w:tcBorders>
            <w:vAlign w:val="center"/>
          </w:tcPr>
          <w:p w14:paraId="3FFEED55">
            <w:pPr>
              <w:rPr>
                <w:rFonts w:hint="default" w:eastAsia="宋体"/>
                <w:lang w:val="en-US" w:eastAsia="zh-CN"/>
              </w:rPr>
            </w:pPr>
            <w:r>
              <w:rPr>
                <w:rFonts w:hint="eastAsia" w:ascii="宋体" w:hAnsi="宋体"/>
                <w:b/>
                <w:bCs/>
                <w:szCs w:val="21"/>
                <w:highlight w:val="none"/>
              </w:rPr>
              <w:t>项目最高限价（</w:t>
            </w:r>
            <w:r>
              <w:rPr>
                <w:rFonts w:hint="eastAsia" w:ascii="宋体" w:hAnsi="宋体"/>
                <w:b/>
                <w:bCs/>
                <w:szCs w:val="21"/>
                <w:highlight w:val="none"/>
                <w:u w:val="single"/>
              </w:rPr>
              <w:t>单位：元</w:t>
            </w:r>
            <w:r>
              <w:rPr>
                <w:rFonts w:hint="eastAsia" w:ascii="宋体" w:hAnsi="宋体"/>
                <w:b/>
                <w:bCs/>
                <w:szCs w:val="21"/>
                <w:highlight w:val="none"/>
              </w:rPr>
              <w:t>）</w:t>
            </w:r>
            <w:r>
              <w:rPr>
                <w:rFonts w:hint="eastAsia" w:ascii="宋体" w:hAnsi="宋体"/>
                <w:b/>
                <w:bCs/>
                <w:szCs w:val="21"/>
                <w:highlight w:val="none"/>
                <w:lang w:val="en-US" w:eastAsia="zh-CN"/>
              </w:rPr>
              <w:t>￥2,326,300.00（大写：人民币贰佰叁拾贰万陆仟叁佰元整）</w:t>
            </w:r>
          </w:p>
        </w:tc>
      </w:tr>
      <w:tr w14:paraId="656FD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3655FDE">
            <w:pPr>
              <w:jc w:val="center"/>
              <w:rPr>
                <w:rFonts w:ascii="宋体" w:hAnsi="宋体"/>
                <w:szCs w:val="21"/>
              </w:rPr>
            </w:pPr>
          </w:p>
        </w:tc>
        <w:tc>
          <w:tcPr>
            <w:tcW w:w="7532" w:type="dxa"/>
            <w:gridSpan w:val="2"/>
            <w:tcBorders>
              <w:tl2br w:val="nil"/>
              <w:tr2bl w:val="nil"/>
            </w:tcBorders>
            <w:vAlign w:val="center"/>
          </w:tcPr>
          <w:p w14:paraId="3311A18C">
            <w:pPr>
              <w:rPr>
                <w:rFonts w:ascii="宋体" w:hAnsi="宋体"/>
                <w:b/>
                <w:bCs/>
                <w:szCs w:val="21"/>
              </w:rPr>
            </w:pPr>
          </w:p>
        </w:tc>
      </w:tr>
      <w:tr w14:paraId="719628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7CA49BEA">
            <w:pPr>
              <w:jc w:val="center"/>
              <w:rPr>
                <w:rFonts w:ascii="宋体" w:hAnsi="宋体"/>
                <w:szCs w:val="21"/>
              </w:rPr>
            </w:pPr>
            <w:r>
              <w:rPr>
                <w:rFonts w:hint="eastAsia" w:ascii="宋体" w:hAnsi="宋体"/>
                <w:szCs w:val="21"/>
              </w:rPr>
              <w:t>2</w:t>
            </w:r>
          </w:p>
        </w:tc>
        <w:tc>
          <w:tcPr>
            <w:tcW w:w="7532" w:type="dxa"/>
            <w:gridSpan w:val="2"/>
            <w:tcBorders>
              <w:tl2br w:val="nil"/>
              <w:tr2bl w:val="nil"/>
            </w:tcBorders>
            <w:vAlign w:val="center"/>
          </w:tcPr>
          <w:p w14:paraId="325C5731">
            <w:pPr>
              <w:rPr>
                <w:rFonts w:ascii="宋体" w:hAnsi="宋体"/>
                <w:b/>
                <w:bCs/>
                <w:szCs w:val="21"/>
              </w:rPr>
            </w:pPr>
            <w:r>
              <w:rPr>
                <w:rFonts w:hint="eastAsia" w:ascii="宋体" w:hAnsi="宋体"/>
                <w:b/>
                <w:bCs/>
                <w:szCs w:val="21"/>
              </w:rPr>
              <w:t>发包方式</w:t>
            </w:r>
          </w:p>
        </w:tc>
      </w:tr>
      <w:tr w14:paraId="319F1E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4CAF70B">
            <w:pPr>
              <w:jc w:val="center"/>
              <w:rPr>
                <w:rFonts w:ascii="宋体" w:hAnsi="宋体"/>
                <w:szCs w:val="21"/>
              </w:rPr>
            </w:pPr>
          </w:p>
        </w:tc>
        <w:tc>
          <w:tcPr>
            <w:tcW w:w="7532" w:type="dxa"/>
            <w:gridSpan w:val="2"/>
            <w:tcBorders>
              <w:tl2br w:val="nil"/>
              <w:tr2bl w:val="nil"/>
            </w:tcBorders>
            <w:vAlign w:val="center"/>
          </w:tcPr>
          <w:p w14:paraId="60AD0E80">
            <w:pPr>
              <w:rPr>
                <w:rFonts w:ascii="宋体" w:hAnsi="宋体"/>
                <w:b/>
                <w:bCs/>
                <w:szCs w:val="21"/>
              </w:rPr>
            </w:pPr>
            <w:r>
              <w:rPr>
                <w:rFonts w:hint="eastAsia" w:ascii="宋体" w:hAnsi="宋体"/>
                <w:szCs w:val="21"/>
              </w:rPr>
              <w:sym w:font="Wingdings 2" w:char="0052"/>
            </w:r>
            <w:r>
              <w:rPr>
                <w:rFonts w:hint="eastAsia" w:ascii="宋体" w:hAnsi="宋体"/>
                <w:b/>
                <w:bCs/>
                <w:szCs w:val="21"/>
              </w:rPr>
              <w:t>固定总价包干；</w:t>
            </w:r>
          </w:p>
          <w:p w14:paraId="688D4518">
            <w:pPr>
              <w:rPr>
                <w:rFonts w:ascii="宋体" w:hAnsi="宋体"/>
                <w:b/>
                <w:bCs/>
                <w:szCs w:val="21"/>
              </w:rPr>
            </w:pPr>
            <w:r>
              <w:rPr>
                <w:rFonts w:hint="eastAsia" w:ascii="宋体" w:hAnsi="宋体"/>
                <w:szCs w:val="21"/>
              </w:rPr>
              <w:sym w:font="Wingdings 2" w:char="00A3"/>
            </w:r>
            <w:r>
              <w:rPr>
                <w:rFonts w:hint="eastAsia" w:ascii="宋体" w:hAnsi="宋体"/>
                <w:b/>
                <w:bCs/>
                <w:szCs w:val="21"/>
              </w:rPr>
              <w:t>固定单价暂定总价包干；</w:t>
            </w:r>
          </w:p>
          <w:p w14:paraId="0BCDACA7">
            <w:pPr>
              <w:rPr>
                <w:rFonts w:ascii="宋体" w:hAnsi="宋体"/>
                <w:b/>
                <w:bCs/>
                <w:szCs w:val="21"/>
                <w:u w:val="single"/>
              </w:rPr>
            </w:pPr>
            <w:r>
              <w:rPr>
                <w:rFonts w:hint="eastAsia" w:ascii="宋体" w:hAnsi="宋体"/>
                <w:szCs w:val="21"/>
              </w:rPr>
              <w:sym w:font="Wingdings 2" w:char="00A3"/>
            </w:r>
            <w:r>
              <w:rPr>
                <w:rFonts w:hint="eastAsia" w:ascii="宋体" w:hAnsi="宋体"/>
                <w:b/>
                <w:bCs/>
                <w:szCs w:val="21"/>
              </w:rPr>
              <w:t>费率</w:t>
            </w:r>
            <w:r>
              <w:rPr>
                <w:rFonts w:hint="eastAsia" w:ascii="宋体" w:hAnsi="宋体"/>
                <w:b/>
                <w:bCs/>
                <w:szCs w:val="21"/>
                <w:u w:val="single"/>
              </w:rPr>
              <w:t xml:space="preserve">         ；</w:t>
            </w:r>
          </w:p>
          <w:p w14:paraId="208EEEF6">
            <w:pPr>
              <w:rPr>
                <w:rFonts w:ascii="宋体" w:hAnsi="宋体"/>
                <w:b/>
                <w:bCs/>
                <w:szCs w:val="21"/>
              </w:rPr>
            </w:pPr>
            <w:r>
              <w:rPr>
                <w:rFonts w:hint="eastAsia" w:ascii="宋体" w:hAnsi="宋体"/>
                <w:szCs w:val="21"/>
              </w:rPr>
              <w:sym w:font="Wingdings 2" w:char="00A3"/>
            </w:r>
            <w:r>
              <w:rPr>
                <w:rFonts w:hint="eastAsia" w:ascii="宋体" w:hAnsi="宋体"/>
                <w:b/>
                <w:bCs/>
                <w:szCs w:val="21"/>
              </w:rPr>
              <w:t>其他</w:t>
            </w:r>
            <w:r>
              <w:rPr>
                <w:rFonts w:hint="eastAsia" w:ascii="宋体" w:hAnsi="宋体"/>
                <w:b/>
                <w:bCs/>
                <w:szCs w:val="21"/>
                <w:u w:val="single"/>
              </w:rPr>
              <w:t xml:space="preserve">           </w:t>
            </w:r>
            <w:r>
              <w:rPr>
                <w:rFonts w:hint="eastAsia" w:ascii="宋体" w:hAnsi="宋体"/>
                <w:b/>
                <w:bCs/>
                <w:szCs w:val="21"/>
              </w:rPr>
              <w:t>；</w:t>
            </w:r>
          </w:p>
        </w:tc>
      </w:tr>
      <w:tr w14:paraId="024564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6BB9098F">
            <w:pPr>
              <w:jc w:val="center"/>
              <w:rPr>
                <w:rFonts w:ascii="宋体" w:hAnsi="宋体"/>
                <w:szCs w:val="21"/>
              </w:rPr>
            </w:pPr>
            <w:r>
              <w:rPr>
                <w:rFonts w:hint="eastAsia" w:ascii="宋体" w:hAnsi="宋体"/>
                <w:szCs w:val="21"/>
              </w:rPr>
              <w:t>3</w:t>
            </w:r>
          </w:p>
        </w:tc>
        <w:tc>
          <w:tcPr>
            <w:tcW w:w="7532" w:type="dxa"/>
            <w:gridSpan w:val="2"/>
            <w:tcBorders>
              <w:tl2br w:val="nil"/>
              <w:tr2bl w:val="nil"/>
            </w:tcBorders>
            <w:vAlign w:val="center"/>
          </w:tcPr>
          <w:p w14:paraId="278A542B">
            <w:pPr>
              <w:rPr>
                <w:rFonts w:ascii="宋体" w:hAnsi="宋体"/>
                <w:b/>
                <w:bCs/>
                <w:szCs w:val="21"/>
              </w:rPr>
            </w:pPr>
            <w:r>
              <w:rPr>
                <w:rFonts w:hint="eastAsia" w:ascii="宋体" w:hAnsi="宋体"/>
                <w:b/>
                <w:bCs/>
                <w:szCs w:val="21"/>
              </w:rPr>
              <w:t>是否接受联合体投标</w:t>
            </w:r>
          </w:p>
        </w:tc>
      </w:tr>
      <w:tr w14:paraId="3D68B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8080EE1">
            <w:pPr>
              <w:jc w:val="center"/>
              <w:rPr>
                <w:rFonts w:ascii="宋体" w:hAnsi="宋体"/>
                <w:szCs w:val="21"/>
              </w:rPr>
            </w:pPr>
          </w:p>
        </w:tc>
        <w:tc>
          <w:tcPr>
            <w:tcW w:w="7532" w:type="dxa"/>
            <w:gridSpan w:val="2"/>
            <w:tcBorders>
              <w:tl2br w:val="nil"/>
              <w:tr2bl w:val="nil"/>
            </w:tcBorders>
            <w:vAlign w:val="center"/>
          </w:tcPr>
          <w:p w14:paraId="329B6A90">
            <w:pPr>
              <w:pStyle w:val="42"/>
              <w:ind w:firstLine="0" w:firstLineChars="0"/>
              <w:rPr>
                <w:rFonts w:ascii="宋体" w:hAnsi="宋体" w:cs="宋体"/>
                <w:szCs w:val="21"/>
              </w:rPr>
            </w:pPr>
            <w:r>
              <w:rPr>
                <w:rFonts w:hint="eastAsia" w:ascii="宋体" w:hAnsi="宋体"/>
                <w:szCs w:val="21"/>
              </w:rPr>
              <w:sym w:font="Wingdings 2" w:char="00A3"/>
            </w:r>
            <w:r>
              <w:rPr>
                <w:rFonts w:hint="eastAsia" w:ascii="宋体" w:hAnsi="宋体" w:cs="宋体"/>
                <w:szCs w:val="21"/>
              </w:rPr>
              <w:t>是，</w:t>
            </w:r>
            <w:r>
              <w:rPr>
                <w:rFonts w:hint="eastAsia" w:ascii="宋体" w:hAnsi="宋体"/>
                <w:szCs w:val="21"/>
              </w:rPr>
              <w:t>联合体投标的，应满足下列要求：</w:t>
            </w:r>
            <w:r>
              <w:rPr>
                <w:rFonts w:ascii="宋体" w:hAnsi="宋体"/>
                <w:szCs w:val="21"/>
                <w:u w:val="single"/>
              </w:rPr>
              <w:t xml:space="preserve">         </w:t>
            </w:r>
            <w:r>
              <w:rPr>
                <w:rFonts w:hint="eastAsia" w:ascii="宋体" w:hAnsi="宋体" w:cs="宋体"/>
                <w:szCs w:val="21"/>
              </w:rPr>
              <w:t>；</w:t>
            </w:r>
          </w:p>
          <w:p w14:paraId="3E5E5724">
            <w:pPr>
              <w:rPr>
                <w:rFonts w:ascii="宋体" w:hAnsi="宋体"/>
                <w:b/>
                <w:bCs/>
                <w:szCs w:val="21"/>
              </w:rPr>
            </w:pPr>
            <w:r>
              <w:rPr>
                <w:rFonts w:hint="eastAsia" w:ascii="宋体" w:hAnsi="宋体"/>
                <w:szCs w:val="21"/>
              </w:rPr>
              <w:sym w:font="Wingdings 2" w:char="0052"/>
            </w:r>
            <w:r>
              <w:rPr>
                <w:rFonts w:hint="eastAsia" w:ascii="宋体" w:hAnsi="宋体" w:cs="宋体"/>
                <w:szCs w:val="21"/>
              </w:rPr>
              <w:t>否；</w:t>
            </w:r>
          </w:p>
        </w:tc>
      </w:tr>
      <w:tr w14:paraId="644552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3497DF7">
            <w:pPr>
              <w:jc w:val="center"/>
              <w:rPr>
                <w:rFonts w:ascii="宋体" w:hAnsi="宋体"/>
                <w:szCs w:val="21"/>
              </w:rPr>
            </w:pPr>
            <w:r>
              <w:rPr>
                <w:rFonts w:hint="eastAsia" w:ascii="宋体" w:hAnsi="宋体"/>
                <w:szCs w:val="21"/>
              </w:rPr>
              <w:t>4</w:t>
            </w:r>
          </w:p>
        </w:tc>
        <w:tc>
          <w:tcPr>
            <w:tcW w:w="7532" w:type="dxa"/>
            <w:gridSpan w:val="2"/>
            <w:tcBorders>
              <w:tl2br w:val="nil"/>
              <w:tr2bl w:val="nil"/>
            </w:tcBorders>
            <w:vAlign w:val="center"/>
          </w:tcPr>
          <w:p w14:paraId="1DF2719C">
            <w:pPr>
              <w:rPr>
                <w:rFonts w:ascii="宋体" w:hAnsi="宋体"/>
                <w:b/>
                <w:bCs/>
                <w:szCs w:val="21"/>
              </w:rPr>
            </w:pPr>
            <w:r>
              <w:rPr>
                <w:rFonts w:hint="eastAsia" w:ascii="宋体" w:hAnsi="宋体"/>
                <w:b/>
                <w:bCs/>
                <w:szCs w:val="21"/>
              </w:rPr>
              <w:t>资金来源</w:t>
            </w:r>
          </w:p>
        </w:tc>
      </w:tr>
      <w:tr w14:paraId="22ACC5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153B17C">
            <w:pPr>
              <w:jc w:val="center"/>
              <w:rPr>
                <w:rFonts w:ascii="宋体" w:hAnsi="宋体"/>
                <w:szCs w:val="21"/>
              </w:rPr>
            </w:pPr>
          </w:p>
        </w:tc>
        <w:tc>
          <w:tcPr>
            <w:tcW w:w="7532" w:type="dxa"/>
            <w:gridSpan w:val="2"/>
            <w:tcBorders>
              <w:tl2br w:val="nil"/>
              <w:tr2bl w:val="nil"/>
            </w:tcBorders>
            <w:vAlign w:val="center"/>
          </w:tcPr>
          <w:p w14:paraId="3D726597">
            <w:pPr>
              <w:rPr>
                <w:rFonts w:ascii="宋体" w:hAnsi="宋体"/>
                <w:b/>
                <w:bCs/>
                <w:szCs w:val="21"/>
              </w:rPr>
            </w:pPr>
            <w:r>
              <w:rPr>
                <w:rFonts w:hint="eastAsia" w:ascii="宋体" w:hAnsi="宋体"/>
                <w:szCs w:val="21"/>
                <w:u w:val="single"/>
              </w:rPr>
              <w:t>自筹资金。</w:t>
            </w:r>
          </w:p>
        </w:tc>
      </w:tr>
      <w:tr w14:paraId="077A7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A9A321F">
            <w:pPr>
              <w:jc w:val="center"/>
              <w:rPr>
                <w:rFonts w:ascii="宋体" w:hAnsi="宋体"/>
                <w:szCs w:val="21"/>
              </w:rPr>
            </w:pPr>
            <w:r>
              <w:rPr>
                <w:rFonts w:hint="eastAsia" w:ascii="宋体" w:hAnsi="宋体"/>
                <w:szCs w:val="21"/>
              </w:rPr>
              <w:t>5</w:t>
            </w:r>
          </w:p>
        </w:tc>
        <w:tc>
          <w:tcPr>
            <w:tcW w:w="7532" w:type="dxa"/>
            <w:gridSpan w:val="2"/>
            <w:tcBorders>
              <w:tl2br w:val="nil"/>
              <w:tr2bl w:val="nil"/>
            </w:tcBorders>
            <w:vAlign w:val="center"/>
          </w:tcPr>
          <w:p w14:paraId="472197D3">
            <w:pPr>
              <w:rPr>
                <w:rFonts w:ascii="宋体" w:hAnsi="宋体"/>
                <w:b/>
                <w:szCs w:val="21"/>
              </w:rPr>
            </w:pPr>
            <w:r>
              <w:rPr>
                <w:rFonts w:hint="eastAsia" w:ascii="宋体" w:hAnsi="宋体"/>
                <w:b/>
                <w:szCs w:val="21"/>
              </w:rPr>
              <w:t>踏勘现场</w:t>
            </w:r>
          </w:p>
        </w:tc>
      </w:tr>
      <w:tr w14:paraId="7C0250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CBF60BE">
            <w:pPr>
              <w:jc w:val="center"/>
              <w:rPr>
                <w:rFonts w:ascii="宋体" w:hAnsi="宋体"/>
                <w:szCs w:val="21"/>
              </w:rPr>
            </w:pPr>
          </w:p>
        </w:tc>
        <w:tc>
          <w:tcPr>
            <w:tcW w:w="7532" w:type="dxa"/>
            <w:gridSpan w:val="2"/>
            <w:tcBorders>
              <w:tl2br w:val="nil"/>
              <w:tr2bl w:val="nil"/>
            </w:tcBorders>
            <w:vAlign w:val="center"/>
          </w:tcPr>
          <w:p w14:paraId="13486FCB">
            <w:pPr>
              <w:rPr>
                <w:rFonts w:ascii="宋体" w:hAnsi="宋体"/>
                <w:bCs/>
                <w:szCs w:val="21"/>
              </w:rPr>
            </w:pPr>
            <w:r>
              <w:rPr>
                <w:rFonts w:hint="eastAsia" w:ascii="宋体" w:hAnsi="宋体"/>
                <w:bCs/>
                <w:szCs w:val="21"/>
                <w:lang w:eastAsia="zh-CN"/>
              </w:rPr>
              <w:t>☑</w:t>
            </w:r>
            <w:r>
              <w:rPr>
                <w:rFonts w:hint="eastAsia" w:ascii="宋体" w:hAnsi="宋体"/>
                <w:bCs/>
                <w:szCs w:val="21"/>
              </w:rPr>
              <w:t>不组织 。</w:t>
            </w:r>
          </w:p>
          <w:p w14:paraId="635D16A0">
            <w:pPr>
              <w:rPr>
                <w:rFonts w:ascii="宋体" w:hAnsi="宋体"/>
                <w:bCs/>
                <w:szCs w:val="21"/>
              </w:rPr>
            </w:pPr>
            <w:r>
              <w:rPr>
                <w:rFonts w:hint="eastAsia" w:ascii="宋体" w:hAnsi="宋体"/>
                <w:bCs/>
                <w:szCs w:val="21"/>
              </w:rPr>
              <w:t>□组织，踏勘现场时间、地点：</w:t>
            </w:r>
            <w:r>
              <w:rPr>
                <w:rFonts w:hint="eastAsia" w:ascii="宋体" w:hAnsi="宋体"/>
                <w:bCs/>
                <w:szCs w:val="21"/>
                <w:u w:val="single"/>
              </w:rPr>
              <w:t xml:space="preserve">         </w:t>
            </w:r>
            <w:r>
              <w:rPr>
                <w:rFonts w:hint="eastAsia" w:ascii="宋体" w:hAnsi="宋体"/>
                <w:bCs/>
                <w:szCs w:val="21"/>
              </w:rPr>
              <w:t xml:space="preserve">。 </w:t>
            </w:r>
          </w:p>
        </w:tc>
      </w:tr>
      <w:tr w14:paraId="35D5A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4C4E9649">
            <w:pPr>
              <w:jc w:val="center"/>
              <w:rPr>
                <w:rFonts w:ascii="宋体" w:hAnsi="宋体"/>
                <w:b/>
                <w:szCs w:val="21"/>
              </w:rPr>
            </w:pPr>
            <w:r>
              <w:rPr>
                <w:rFonts w:hint="eastAsia" w:ascii="宋体" w:hAnsi="宋体"/>
                <w:b/>
                <w:szCs w:val="21"/>
              </w:rPr>
              <w:t>二、投标文件的编制</w:t>
            </w:r>
          </w:p>
        </w:tc>
      </w:tr>
      <w:tr w14:paraId="73C4E2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0606F92D">
            <w:pPr>
              <w:jc w:val="center"/>
              <w:rPr>
                <w:rFonts w:ascii="宋体" w:hAnsi="宋体"/>
                <w:szCs w:val="21"/>
              </w:rPr>
            </w:pPr>
            <w:r>
              <w:rPr>
                <w:rFonts w:hint="eastAsia" w:ascii="宋体" w:hAnsi="宋体"/>
                <w:szCs w:val="21"/>
              </w:rPr>
              <w:t>6</w:t>
            </w:r>
          </w:p>
        </w:tc>
        <w:tc>
          <w:tcPr>
            <w:tcW w:w="7532" w:type="dxa"/>
            <w:gridSpan w:val="2"/>
            <w:tcBorders>
              <w:tl2br w:val="nil"/>
              <w:tr2bl w:val="nil"/>
            </w:tcBorders>
            <w:vAlign w:val="center"/>
          </w:tcPr>
          <w:p w14:paraId="2BC8CDCD">
            <w:pPr>
              <w:rPr>
                <w:rFonts w:ascii="宋体" w:hAnsi="宋体"/>
                <w:b/>
                <w:szCs w:val="21"/>
              </w:rPr>
            </w:pPr>
            <w:r>
              <w:rPr>
                <w:rFonts w:hint="eastAsia" w:ascii="宋体" w:hAnsi="宋体"/>
                <w:b/>
                <w:szCs w:val="21"/>
              </w:rPr>
              <w:t>投标语言</w:t>
            </w:r>
          </w:p>
        </w:tc>
      </w:tr>
      <w:tr w14:paraId="5EC126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1C48538">
            <w:pPr>
              <w:jc w:val="center"/>
              <w:rPr>
                <w:rFonts w:ascii="宋体" w:hAnsi="宋体"/>
                <w:szCs w:val="21"/>
              </w:rPr>
            </w:pPr>
          </w:p>
        </w:tc>
        <w:tc>
          <w:tcPr>
            <w:tcW w:w="7532" w:type="dxa"/>
            <w:gridSpan w:val="2"/>
            <w:tcBorders>
              <w:tl2br w:val="nil"/>
              <w:tr2bl w:val="nil"/>
            </w:tcBorders>
            <w:vAlign w:val="center"/>
          </w:tcPr>
          <w:p w14:paraId="0FD2F5F1">
            <w:pPr>
              <w:rPr>
                <w:rFonts w:ascii="宋体" w:hAnsi="宋体"/>
                <w:b/>
                <w:szCs w:val="21"/>
              </w:rPr>
            </w:pPr>
            <w:r>
              <w:rPr>
                <w:rFonts w:hint="eastAsia" w:ascii="宋体" w:hAnsi="宋体"/>
                <w:szCs w:val="21"/>
              </w:rPr>
              <w:t>中文。</w:t>
            </w:r>
          </w:p>
        </w:tc>
      </w:tr>
      <w:tr w14:paraId="5C7153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A21833B">
            <w:pPr>
              <w:jc w:val="center"/>
              <w:rPr>
                <w:rFonts w:ascii="宋体" w:hAnsi="宋体"/>
                <w:szCs w:val="21"/>
              </w:rPr>
            </w:pPr>
            <w:r>
              <w:rPr>
                <w:rFonts w:hint="eastAsia" w:ascii="宋体" w:hAnsi="宋体"/>
                <w:szCs w:val="21"/>
              </w:rPr>
              <w:t>7</w:t>
            </w:r>
          </w:p>
        </w:tc>
        <w:tc>
          <w:tcPr>
            <w:tcW w:w="7532" w:type="dxa"/>
            <w:gridSpan w:val="2"/>
            <w:tcBorders>
              <w:tl2br w:val="nil"/>
              <w:tr2bl w:val="nil"/>
            </w:tcBorders>
            <w:vAlign w:val="center"/>
          </w:tcPr>
          <w:p w14:paraId="0DB2E966">
            <w:pPr>
              <w:jc w:val="both"/>
              <w:rPr>
                <w:rFonts w:ascii="宋体" w:hAnsi="宋体"/>
                <w:b/>
                <w:szCs w:val="21"/>
              </w:rPr>
            </w:pPr>
            <w:r>
              <w:rPr>
                <w:rFonts w:hint="eastAsia" w:ascii="宋体" w:hAnsi="宋体"/>
                <w:b/>
                <w:szCs w:val="21"/>
              </w:rPr>
              <w:t>投标报价</w:t>
            </w:r>
          </w:p>
        </w:tc>
      </w:tr>
      <w:tr w14:paraId="6DBF80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032C00E">
            <w:pPr>
              <w:jc w:val="center"/>
              <w:rPr>
                <w:rFonts w:ascii="宋体" w:hAnsi="宋体"/>
                <w:szCs w:val="21"/>
              </w:rPr>
            </w:pPr>
          </w:p>
        </w:tc>
        <w:tc>
          <w:tcPr>
            <w:tcW w:w="7532" w:type="dxa"/>
            <w:gridSpan w:val="2"/>
            <w:tcBorders>
              <w:tl2br w:val="nil"/>
              <w:tr2bl w:val="nil"/>
            </w:tcBorders>
            <w:vAlign w:val="center"/>
          </w:tcPr>
          <w:p w14:paraId="514C5E94">
            <w:pPr>
              <w:jc w:val="both"/>
              <w:rPr>
                <w:rFonts w:ascii="宋体" w:hAnsi="宋体"/>
                <w:szCs w:val="21"/>
              </w:rPr>
            </w:pPr>
            <w:r>
              <w:rPr>
                <w:rFonts w:hint="eastAsia" w:ascii="宋体" w:hAnsi="宋体"/>
                <w:szCs w:val="21"/>
              </w:rPr>
              <w:t>详见投标人须知。</w:t>
            </w:r>
          </w:p>
        </w:tc>
      </w:tr>
      <w:tr w14:paraId="71125A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2184ECFD">
            <w:pPr>
              <w:jc w:val="center"/>
              <w:rPr>
                <w:rFonts w:ascii="宋体" w:hAnsi="宋体"/>
                <w:szCs w:val="21"/>
              </w:rPr>
            </w:pPr>
            <w:r>
              <w:rPr>
                <w:rFonts w:hint="eastAsia" w:ascii="宋体" w:hAnsi="宋体"/>
                <w:szCs w:val="21"/>
              </w:rPr>
              <w:t>8</w:t>
            </w:r>
          </w:p>
        </w:tc>
        <w:tc>
          <w:tcPr>
            <w:tcW w:w="7532" w:type="dxa"/>
            <w:gridSpan w:val="2"/>
            <w:tcBorders>
              <w:tl2br w:val="nil"/>
              <w:tr2bl w:val="nil"/>
            </w:tcBorders>
            <w:vAlign w:val="center"/>
          </w:tcPr>
          <w:p w14:paraId="6CF9DAC6">
            <w:pPr>
              <w:jc w:val="both"/>
              <w:rPr>
                <w:rFonts w:ascii="宋体" w:hAnsi="宋体"/>
                <w:b/>
                <w:szCs w:val="21"/>
              </w:rPr>
            </w:pPr>
            <w:r>
              <w:rPr>
                <w:rFonts w:hint="eastAsia" w:ascii="宋体" w:hAnsi="宋体"/>
                <w:b/>
                <w:szCs w:val="21"/>
              </w:rPr>
              <w:t>投标保证金</w:t>
            </w:r>
          </w:p>
        </w:tc>
      </w:tr>
      <w:tr w14:paraId="60BAD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5F3C35F4">
            <w:pPr>
              <w:jc w:val="center"/>
              <w:rPr>
                <w:rFonts w:ascii="宋体" w:hAnsi="宋体"/>
                <w:szCs w:val="21"/>
              </w:rPr>
            </w:pPr>
          </w:p>
        </w:tc>
        <w:tc>
          <w:tcPr>
            <w:tcW w:w="7532" w:type="dxa"/>
            <w:gridSpan w:val="2"/>
            <w:tcBorders>
              <w:tl2br w:val="nil"/>
              <w:tr2bl w:val="nil"/>
            </w:tcBorders>
            <w:vAlign w:val="center"/>
          </w:tcPr>
          <w:p w14:paraId="206B144E">
            <w:pPr>
              <w:jc w:val="both"/>
              <w:rPr>
                <w:rFonts w:ascii="宋体" w:hAnsi="宋体"/>
                <w:szCs w:val="21"/>
              </w:rPr>
            </w:pPr>
            <w:r>
              <w:rPr>
                <w:rFonts w:hint="eastAsia" w:ascii="宋体" w:hAnsi="宋体"/>
                <w:szCs w:val="21"/>
              </w:rPr>
              <w:t>（1）投标保证金金额：人民币</w:t>
            </w:r>
            <w:r>
              <w:rPr>
                <w:rFonts w:hint="eastAsia" w:ascii="宋体" w:hAnsi="宋体"/>
                <w:b/>
                <w:szCs w:val="21"/>
              </w:rPr>
              <w:t>（大写）</w:t>
            </w:r>
            <w:r>
              <w:rPr>
                <w:rFonts w:hint="eastAsia" w:ascii="宋体" w:hAnsi="宋体"/>
                <w:b/>
                <w:szCs w:val="21"/>
                <w:u w:val="single"/>
                <w:lang w:val="en-US" w:eastAsia="zh-CN"/>
              </w:rPr>
              <w:t>肆万陆仟</w:t>
            </w:r>
            <w:r>
              <w:rPr>
                <w:rFonts w:hint="eastAsia" w:ascii="宋体" w:hAnsi="宋体"/>
                <w:szCs w:val="21"/>
              </w:rPr>
              <w:t>元（</w:t>
            </w:r>
            <w:r>
              <w:rPr>
                <w:rFonts w:hint="eastAsia" w:ascii="宋体" w:hAnsi="宋体"/>
                <w:b/>
                <w:bCs/>
                <w:szCs w:val="21"/>
              </w:rPr>
              <w:t>￥</w:t>
            </w:r>
            <w:r>
              <w:rPr>
                <w:rFonts w:hint="eastAsia" w:ascii="宋体" w:hAnsi="宋体"/>
                <w:b/>
                <w:szCs w:val="21"/>
                <w:u w:val="single"/>
                <w:lang w:val="en-US" w:eastAsia="zh-CN"/>
              </w:rPr>
              <w:t>46,000.00</w:t>
            </w:r>
            <w:r>
              <w:rPr>
                <w:rFonts w:hint="eastAsia" w:ascii="宋体" w:hAnsi="宋体"/>
                <w:b/>
                <w:szCs w:val="21"/>
                <w:u w:val="single"/>
              </w:rPr>
              <w:t>元</w:t>
            </w:r>
            <w:r>
              <w:rPr>
                <w:rFonts w:hint="eastAsia" w:ascii="宋体" w:hAnsi="宋体"/>
                <w:szCs w:val="21"/>
              </w:rPr>
              <w:t>）。</w:t>
            </w:r>
          </w:p>
        </w:tc>
      </w:tr>
      <w:tr w14:paraId="4435D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66B82324">
            <w:pPr>
              <w:jc w:val="center"/>
              <w:rPr>
                <w:rFonts w:ascii="宋体" w:hAnsi="宋体"/>
                <w:szCs w:val="21"/>
              </w:rPr>
            </w:pPr>
          </w:p>
        </w:tc>
        <w:tc>
          <w:tcPr>
            <w:tcW w:w="7532" w:type="dxa"/>
            <w:gridSpan w:val="2"/>
            <w:tcBorders>
              <w:tl2br w:val="nil"/>
              <w:tr2bl w:val="nil"/>
            </w:tcBorders>
            <w:vAlign w:val="center"/>
          </w:tcPr>
          <w:p w14:paraId="2BB76BF0">
            <w:pPr>
              <w:tabs>
                <w:tab w:val="left" w:pos="567"/>
              </w:tabs>
              <w:jc w:val="both"/>
              <w:rPr>
                <w:rFonts w:hAnsi="宋体"/>
                <w:kern w:val="2"/>
                <w:szCs w:val="21"/>
                <w:lang w:val="zh-CN"/>
              </w:rPr>
            </w:pPr>
            <w:r>
              <w:rPr>
                <w:rFonts w:hint="eastAsia" w:ascii="宋体" w:hAnsi="宋体"/>
                <w:szCs w:val="21"/>
              </w:rPr>
              <w:t>（2）</w:t>
            </w:r>
            <w:r>
              <w:rPr>
                <w:rFonts w:hint="eastAsia" w:hAnsi="宋体"/>
                <w:kern w:val="2"/>
                <w:szCs w:val="21"/>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6206D69E">
            <w:pPr>
              <w:tabs>
                <w:tab w:val="left" w:pos="567"/>
              </w:tabs>
              <w:ind w:left="567" w:hanging="567"/>
              <w:jc w:val="both"/>
              <w:rPr>
                <w:rFonts w:hAnsi="宋体"/>
                <w:kern w:val="2"/>
                <w:szCs w:val="21"/>
                <w:lang w:val="zh-CN"/>
              </w:rPr>
            </w:pPr>
            <w:r>
              <w:rPr>
                <w:rFonts w:hint="eastAsia" w:hAnsi="宋体"/>
                <w:kern w:val="2"/>
                <w:szCs w:val="21"/>
                <w:lang w:val="zh-CN"/>
              </w:rPr>
              <w:t>投标保证金专用账户如下：</w:t>
            </w:r>
          </w:p>
          <w:p w14:paraId="146446AE">
            <w:pPr>
              <w:tabs>
                <w:tab w:val="left" w:pos="567"/>
              </w:tabs>
              <w:ind w:firstLine="420" w:firstLineChars="200"/>
              <w:jc w:val="both"/>
              <w:rPr>
                <w:rFonts w:hint="eastAsia" w:hAnsi="宋体" w:cs="宋体"/>
                <w:kern w:val="2"/>
                <w:szCs w:val="21"/>
                <w:lang w:val="zh-CN"/>
              </w:rPr>
            </w:pPr>
            <w:r>
              <w:rPr>
                <w:rFonts w:hint="eastAsia" w:hAnsi="宋体" w:cs="宋体"/>
                <w:kern w:val="2"/>
                <w:szCs w:val="21"/>
                <w:lang w:val="zh-CN"/>
              </w:rPr>
              <w:t xml:space="preserve">账户名称：广东东实环境股份有限公司 </w:t>
            </w:r>
          </w:p>
          <w:p w14:paraId="6B7B9F99">
            <w:pPr>
              <w:tabs>
                <w:tab w:val="left" w:pos="567"/>
              </w:tabs>
              <w:ind w:firstLine="420" w:firstLineChars="200"/>
              <w:jc w:val="both"/>
              <w:rPr>
                <w:rFonts w:hint="eastAsia" w:hAnsi="宋体" w:cs="宋体"/>
                <w:kern w:val="2"/>
                <w:szCs w:val="21"/>
                <w:lang w:val="zh-CN"/>
              </w:rPr>
            </w:pPr>
            <w:r>
              <w:rPr>
                <w:rFonts w:hint="eastAsia" w:hAnsi="宋体" w:cs="宋体"/>
                <w:kern w:val="2"/>
                <w:szCs w:val="21"/>
                <w:lang w:val="zh-CN"/>
              </w:rPr>
              <w:t>开户银行：东莞农村商业银行中心支行；</w:t>
            </w:r>
          </w:p>
          <w:p w14:paraId="7E4218C8">
            <w:pPr>
              <w:tabs>
                <w:tab w:val="left" w:pos="567"/>
              </w:tabs>
              <w:ind w:firstLine="420" w:firstLineChars="200"/>
              <w:jc w:val="both"/>
              <w:rPr>
                <w:rFonts w:hint="eastAsia" w:hAnsi="宋体" w:cs="宋体"/>
                <w:kern w:val="2"/>
                <w:szCs w:val="21"/>
                <w:lang w:val="zh-CN"/>
              </w:rPr>
            </w:pPr>
            <w:r>
              <w:rPr>
                <w:rFonts w:hint="eastAsia" w:hAnsi="宋体" w:cs="宋体"/>
                <w:kern w:val="2"/>
                <w:szCs w:val="21"/>
                <w:lang w:val="zh-CN"/>
              </w:rPr>
              <w:t xml:space="preserve">银行账号：380010190010009298； </w:t>
            </w:r>
          </w:p>
          <w:p w14:paraId="40E5DDDC">
            <w:pPr>
              <w:tabs>
                <w:tab w:val="left" w:pos="567"/>
              </w:tabs>
              <w:ind w:firstLine="420" w:firstLineChars="200"/>
              <w:jc w:val="both"/>
              <w:rPr>
                <w:rFonts w:hAnsi="宋体" w:cs="宋体"/>
                <w:kern w:val="2"/>
                <w:szCs w:val="21"/>
                <w:lang w:val="zh-CN"/>
              </w:rPr>
            </w:pPr>
            <w:r>
              <w:rPr>
                <w:rFonts w:hint="eastAsia" w:hAnsi="宋体" w:cs="宋体"/>
                <w:kern w:val="2"/>
                <w:szCs w:val="21"/>
                <w:lang w:val="zh-CN"/>
              </w:rPr>
              <w:t>行号：402602000018；</w:t>
            </w:r>
          </w:p>
          <w:p w14:paraId="2959A645">
            <w:pPr>
              <w:tabs>
                <w:tab w:val="left" w:pos="567"/>
              </w:tabs>
              <w:ind w:firstLine="422" w:firstLineChars="200"/>
              <w:jc w:val="both"/>
              <w:rPr>
                <w:rFonts w:ascii="宋体" w:hAnsi="宋体"/>
                <w:b/>
                <w:szCs w:val="21"/>
              </w:rPr>
            </w:pPr>
            <w:r>
              <w:rPr>
                <w:rFonts w:hint="eastAsia" w:hAnsi="宋体" w:cs="宋体"/>
                <w:b/>
                <w:szCs w:val="21"/>
              </w:rPr>
              <w:t>（注：各投标人在转帐或电汇时须在用途栏上备注项目编号，及项目名称，如有字数限制项目名称可简写。）</w:t>
            </w:r>
          </w:p>
        </w:tc>
      </w:tr>
      <w:tr w14:paraId="3363D9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0BD8FADC">
            <w:pPr>
              <w:jc w:val="center"/>
              <w:rPr>
                <w:rFonts w:ascii="宋体" w:hAnsi="宋体"/>
                <w:szCs w:val="21"/>
              </w:rPr>
            </w:pPr>
            <w:r>
              <w:rPr>
                <w:rFonts w:hint="eastAsia" w:ascii="宋体" w:hAnsi="宋体"/>
                <w:szCs w:val="21"/>
              </w:rPr>
              <w:t>9</w:t>
            </w:r>
          </w:p>
        </w:tc>
        <w:tc>
          <w:tcPr>
            <w:tcW w:w="7532" w:type="dxa"/>
            <w:gridSpan w:val="2"/>
            <w:tcBorders>
              <w:tl2br w:val="nil"/>
              <w:tr2bl w:val="nil"/>
            </w:tcBorders>
            <w:vAlign w:val="center"/>
          </w:tcPr>
          <w:p w14:paraId="151D20EA">
            <w:pPr>
              <w:jc w:val="both"/>
              <w:rPr>
                <w:rFonts w:ascii="宋体" w:hAnsi="宋体"/>
                <w:b/>
                <w:bCs/>
                <w:szCs w:val="21"/>
                <w:lang w:val="zh-CN"/>
              </w:rPr>
            </w:pPr>
            <w:r>
              <w:rPr>
                <w:rFonts w:hint="eastAsia" w:ascii="宋体" w:hAnsi="宋体"/>
                <w:b/>
                <w:bCs/>
                <w:szCs w:val="21"/>
                <w:lang w:val="zh-CN"/>
              </w:rPr>
              <w:t>投标保证金退还</w:t>
            </w:r>
          </w:p>
        </w:tc>
      </w:tr>
      <w:tr w14:paraId="37DC4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102AA027">
            <w:pPr>
              <w:jc w:val="center"/>
              <w:rPr>
                <w:rFonts w:ascii="宋体" w:hAnsi="宋体"/>
                <w:szCs w:val="21"/>
              </w:rPr>
            </w:pPr>
          </w:p>
        </w:tc>
        <w:tc>
          <w:tcPr>
            <w:tcW w:w="7532" w:type="dxa"/>
            <w:gridSpan w:val="2"/>
            <w:tcBorders>
              <w:tl2br w:val="nil"/>
              <w:tr2bl w:val="nil"/>
            </w:tcBorders>
            <w:vAlign w:val="center"/>
          </w:tcPr>
          <w:p w14:paraId="2BBB2A5A">
            <w:pPr>
              <w:jc w:val="both"/>
              <w:rPr>
                <w:rFonts w:ascii="宋体" w:hAnsi="宋体"/>
                <w:szCs w:val="21"/>
                <w:lang w:val="zh-CN"/>
              </w:rPr>
            </w:pPr>
            <w:r>
              <w:rPr>
                <w:rFonts w:hint="eastAsia" w:ascii="宋体" w:hAnsi="宋体"/>
                <w:szCs w:val="21"/>
                <w:lang w:val="zh-CN"/>
              </w:rPr>
              <w:t>（</w:t>
            </w:r>
            <w:r>
              <w:rPr>
                <w:rFonts w:hint="eastAsia" w:ascii="宋体" w:hAnsi="宋体"/>
                <w:szCs w:val="21"/>
              </w:rPr>
              <w:t>1</w:t>
            </w:r>
            <w:r>
              <w:rPr>
                <w:rFonts w:hint="eastAsia" w:ascii="宋体" w:hAnsi="宋体"/>
                <w:szCs w:val="21"/>
                <w:lang w:val="zh-CN"/>
              </w:rPr>
              <w:t>）未中标的投标人的保证金应当在中标通知书发出后退还，中标</w:t>
            </w:r>
            <w:r>
              <w:rPr>
                <w:rFonts w:hint="eastAsia" w:ascii="宋体" w:hAnsi="宋体"/>
                <w:szCs w:val="21"/>
              </w:rPr>
              <w:t>的</w:t>
            </w:r>
            <w:r>
              <w:rPr>
                <w:rFonts w:hint="eastAsia" w:ascii="宋体" w:hAnsi="宋体"/>
                <w:szCs w:val="21"/>
                <w:lang w:val="zh-CN"/>
              </w:rPr>
              <w:t>投标人的保证金应当在采购合同签订</w:t>
            </w:r>
            <w:r>
              <w:rPr>
                <w:rFonts w:hint="eastAsia" w:ascii="宋体" w:hAnsi="宋体"/>
                <w:szCs w:val="21"/>
              </w:rPr>
              <w:t>并缴纳履约保证金</w:t>
            </w:r>
            <w:r>
              <w:rPr>
                <w:rFonts w:hint="eastAsia" w:ascii="宋体" w:hAnsi="宋体"/>
                <w:szCs w:val="21"/>
                <w:lang w:val="zh-CN"/>
              </w:rPr>
              <w:t>后退还。</w:t>
            </w:r>
          </w:p>
          <w:p w14:paraId="66E792CE">
            <w:pPr>
              <w:jc w:val="both"/>
            </w:pPr>
            <w:r>
              <w:rPr>
                <w:rFonts w:hint="eastAsia" w:ascii="宋体" w:hAnsi="宋体"/>
                <w:szCs w:val="21"/>
                <w:lang w:val="zh-CN"/>
              </w:rPr>
              <w:t>（</w:t>
            </w:r>
            <w:r>
              <w:rPr>
                <w:rFonts w:hint="eastAsia" w:ascii="宋体" w:hAnsi="宋体"/>
                <w:szCs w:val="21"/>
              </w:rPr>
              <w:t>2</w:t>
            </w:r>
            <w:r>
              <w:rPr>
                <w:rFonts w:hint="eastAsia" w:ascii="宋体" w:hAnsi="宋体"/>
                <w:szCs w:val="21"/>
                <w:lang w:val="zh-CN"/>
              </w:rPr>
              <w:t>）为方便退还未中标的投标人的保证金，投标人应制作《投标保证金汇入情况说明》随唱标信封一并递交。</w:t>
            </w:r>
          </w:p>
        </w:tc>
      </w:tr>
      <w:tr w14:paraId="66FDC6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41139DFB">
            <w:pPr>
              <w:jc w:val="center"/>
              <w:rPr>
                <w:rFonts w:ascii="宋体" w:hAnsi="宋体"/>
                <w:szCs w:val="21"/>
              </w:rPr>
            </w:pPr>
            <w:r>
              <w:rPr>
                <w:rFonts w:hint="eastAsia" w:asciiTheme="minorEastAsia" w:hAnsiTheme="minorEastAsia" w:eastAsiaTheme="minorEastAsia"/>
                <w:color w:val="auto"/>
                <w:szCs w:val="21"/>
                <w:highlight w:val="none"/>
              </w:rPr>
              <w:t>10</w:t>
            </w:r>
          </w:p>
        </w:tc>
        <w:tc>
          <w:tcPr>
            <w:tcW w:w="7532" w:type="dxa"/>
            <w:gridSpan w:val="2"/>
            <w:tcBorders>
              <w:tl2br w:val="nil"/>
              <w:tr2bl w:val="nil"/>
            </w:tcBorders>
            <w:vAlign w:val="center"/>
          </w:tcPr>
          <w:p w14:paraId="3AF94A13">
            <w:pPr>
              <w:rPr>
                <w:rFonts w:ascii="宋体" w:hAnsi="宋体"/>
                <w:b/>
                <w:bCs/>
                <w:szCs w:val="21"/>
                <w:lang w:val="zh-CN"/>
              </w:rPr>
            </w:pPr>
            <w:r>
              <w:rPr>
                <w:rFonts w:hint="eastAsia" w:ascii="宋体" w:hAnsi="宋体"/>
                <w:color w:val="auto"/>
                <w:szCs w:val="21"/>
                <w:highlight w:val="none"/>
              </w:rPr>
              <w:t>★</w:t>
            </w:r>
            <w:r>
              <w:rPr>
                <w:rFonts w:hint="eastAsia" w:ascii="宋体" w:hAnsi="宋体"/>
                <w:b/>
                <w:bCs/>
                <w:color w:val="auto"/>
                <w:szCs w:val="21"/>
                <w:highlight w:val="none"/>
              </w:rPr>
              <w:t>报价方式</w:t>
            </w:r>
          </w:p>
        </w:tc>
      </w:tr>
      <w:tr w14:paraId="01C641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6D8440E3">
            <w:pPr>
              <w:jc w:val="center"/>
              <w:rPr>
                <w:rFonts w:ascii="宋体" w:hAnsi="宋体"/>
                <w:szCs w:val="21"/>
              </w:rPr>
            </w:pPr>
          </w:p>
        </w:tc>
        <w:tc>
          <w:tcPr>
            <w:tcW w:w="7532" w:type="dxa"/>
            <w:gridSpan w:val="2"/>
            <w:tcBorders>
              <w:tl2br w:val="nil"/>
              <w:tr2bl w:val="nil"/>
            </w:tcBorders>
            <w:vAlign w:val="center"/>
          </w:tcPr>
          <w:p w14:paraId="7D475C93">
            <w:pPr>
              <w:numPr>
                <w:ilvl w:val="255"/>
                <w:numId w:val="0"/>
              </w:numPr>
              <w:ind w:left="0" w:leftChars="0" w:firstLine="0" w:firstLineChars="0"/>
            </w:pPr>
            <w:r>
              <w:rPr>
                <w:rFonts w:hint="eastAsia" w:asciiTheme="minorEastAsia" w:hAnsiTheme="minorEastAsia" w:eastAsiaTheme="minorEastAsia"/>
                <w:color w:val="auto"/>
                <w:szCs w:val="21"/>
                <w:highlight w:val="none"/>
              </w:rPr>
              <w:t>采用固定含税</w:t>
            </w:r>
            <w:r>
              <w:rPr>
                <w:rFonts w:hint="eastAsia" w:asciiTheme="minorEastAsia" w:hAnsiTheme="minorEastAsia" w:eastAsiaTheme="minorEastAsia"/>
                <w:color w:val="auto"/>
                <w:szCs w:val="21"/>
                <w:highlight w:val="none"/>
                <w:lang w:val="en-US" w:eastAsia="zh-CN"/>
              </w:rPr>
              <w:t>总价</w:t>
            </w:r>
            <w:r>
              <w:rPr>
                <w:rFonts w:hint="eastAsia" w:asciiTheme="minorEastAsia" w:hAnsiTheme="minorEastAsia" w:eastAsiaTheme="minorEastAsia"/>
                <w:color w:val="auto"/>
                <w:szCs w:val="21"/>
                <w:highlight w:val="none"/>
              </w:rPr>
              <w:t>形式进行报价。各供应商含税</w:t>
            </w:r>
            <w:r>
              <w:rPr>
                <w:rFonts w:hint="eastAsia" w:asciiTheme="minorEastAsia" w:hAnsiTheme="minorEastAsia" w:eastAsiaTheme="minorEastAsia"/>
                <w:color w:val="auto"/>
                <w:szCs w:val="21"/>
                <w:highlight w:val="none"/>
                <w:lang w:val="en-US" w:eastAsia="zh-CN"/>
              </w:rPr>
              <w:t>总价</w:t>
            </w:r>
            <w:r>
              <w:rPr>
                <w:rFonts w:hint="eastAsia" w:asciiTheme="minorEastAsia" w:hAnsiTheme="minorEastAsia" w:eastAsiaTheme="minorEastAsia"/>
                <w:color w:val="auto"/>
                <w:szCs w:val="21"/>
                <w:highlight w:val="none"/>
              </w:rPr>
              <w:t>报价不得超过项目最高限价；含税</w:t>
            </w:r>
            <w:r>
              <w:rPr>
                <w:rFonts w:hint="eastAsia" w:asciiTheme="minorEastAsia" w:hAnsiTheme="minorEastAsia" w:eastAsiaTheme="minorEastAsia"/>
                <w:color w:val="auto"/>
                <w:szCs w:val="21"/>
                <w:highlight w:val="none"/>
                <w:lang w:val="en-US" w:eastAsia="zh-CN"/>
              </w:rPr>
              <w:t>总价</w:t>
            </w:r>
            <w:r>
              <w:rPr>
                <w:rFonts w:hint="eastAsia" w:asciiTheme="minorEastAsia" w:hAnsiTheme="minorEastAsia" w:eastAsiaTheme="minorEastAsia"/>
                <w:color w:val="auto"/>
                <w:szCs w:val="21"/>
                <w:highlight w:val="none"/>
              </w:rPr>
              <w:t>报价超过项目最高限价或未按要求进行报价</w:t>
            </w:r>
            <w:r>
              <w:rPr>
                <w:rFonts w:hint="eastAsia" w:asciiTheme="minorEastAsia" w:hAnsiTheme="minorEastAsia" w:eastAsiaTheme="minorEastAsia"/>
                <w:color w:val="auto"/>
                <w:szCs w:val="21"/>
                <w:highlight w:val="none"/>
                <w:lang w:val="en-US" w:eastAsia="zh-CN"/>
              </w:rPr>
              <w:t>的</w:t>
            </w:r>
            <w:r>
              <w:rPr>
                <w:rFonts w:hint="eastAsia" w:asciiTheme="minorEastAsia" w:hAnsiTheme="minorEastAsia" w:eastAsiaTheme="minorEastAsia"/>
                <w:color w:val="auto"/>
                <w:szCs w:val="21"/>
                <w:highlight w:val="none"/>
              </w:rPr>
              <w:t>，作无效报价处理。</w:t>
            </w:r>
          </w:p>
        </w:tc>
      </w:tr>
      <w:tr w14:paraId="7B79D8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4B5E58D6">
            <w:pPr>
              <w:jc w:val="center"/>
              <w:rPr>
                <w:rFonts w:ascii="宋体" w:hAnsi="宋体"/>
                <w:szCs w:val="21"/>
              </w:rPr>
            </w:pPr>
            <w:r>
              <w:rPr>
                <w:rFonts w:hint="eastAsia" w:asciiTheme="minorEastAsia" w:hAnsiTheme="minorEastAsia" w:eastAsiaTheme="minorEastAsia"/>
                <w:color w:val="auto"/>
                <w:szCs w:val="21"/>
                <w:highlight w:val="none"/>
              </w:rPr>
              <w:t>11</w:t>
            </w:r>
          </w:p>
        </w:tc>
        <w:tc>
          <w:tcPr>
            <w:tcW w:w="7532" w:type="dxa"/>
            <w:gridSpan w:val="2"/>
            <w:tcBorders>
              <w:tl2br w:val="nil"/>
              <w:tr2bl w:val="nil"/>
            </w:tcBorders>
            <w:vAlign w:val="center"/>
          </w:tcPr>
          <w:p w14:paraId="72913A4C">
            <w:pPr>
              <w:jc w:val="both"/>
              <w:rPr>
                <w:rFonts w:ascii="宋体" w:hAnsi="宋体"/>
                <w:b/>
                <w:bCs/>
                <w:szCs w:val="21"/>
                <w:lang w:val="zh-CN"/>
              </w:rPr>
            </w:pPr>
            <w:r>
              <w:rPr>
                <w:rFonts w:hint="eastAsia" w:ascii="宋体" w:hAnsi="宋体"/>
                <w:b/>
                <w:bCs/>
                <w:color w:val="auto"/>
                <w:szCs w:val="21"/>
                <w:highlight w:val="none"/>
              </w:rPr>
              <w:t>中标方式及推荐原则</w:t>
            </w:r>
          </w:p>
        </w:tc>
      </w:tr>
      <w:tr w14:paraId="6467D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48D0D396">
            <w:pPr>
              <w:jc w:val="center"/>
              <w:rPr>
                <w:rFonts w:ascii="宋体" w:hAnsi="宋体"/>
                <w:szCs w:val="21"/>
              </w:rPr>
            </w:pPr>
          </w:p>
        </w:tc>
        <w:tc>
          <w:tcPr>
            <w:tcW w:w="7532" w:type="dxa"/>
            <w:gridSpan w:val="2"/>
            <w:tcBorders>
              <w:tl2br w:val="nil"/>
              <w:tr2bl w:val="nil"/>
            </w:tcBorders>
            <w:vAlign w:val="center"/>
          </w:tcPr>
          <w:p w14:paraId="36799033">
            <w:pPr>
              <w:jc w:val="both"/>
              <w:rPr>
                <w:rFonts w:ascii="宋体" w:hAnsi="宋体"/>
                <w:color w:val="auto"/>
                <w:szCs w:val="21"/>
                <w:highlight w:val="none"/>
              </w:rPr>
            </w:pPr>
            <w:r>
              <w:rPr>
                <w:rFonts w:hint="eastAsia" w:ascii="宋体" w:hAnsi="宋体"/>
                <w:color w:val="auto"/>
                <w:szCs w:val="21"/>
                <w:highlight w:val="none"/>
              </w:rPr>
              <w:t>本项目按</w:t>
            </w:r>
            <w:r>
              <w:rPr>
                <w:rFonts w:hint="eastAsia" w:ascii="宋体" w:hAnsi="宋体"/>
                <w:color w:val="auto"/>
                <w:szCs w:val="21"/>
                <w:highlight w:val="none"/>
                <w:lang w:val="en-US" w:eastAsia="zh-CN"/>
              </w:rPr>
              <w:t>投标报价由</w:t>
            </w:r>
            <w:r>
              <w:rPr>
                <w:rFonts w:hint="eastAsia" w:ascii="宋体" w:hAnsi="宋体"/>
                <w:color w:val="auto"/>
                <w:szCs w:val="21"/>
                <w:highlight w:val="none"/>
              </w:rPr>
              <w:t>低</w:t>
            </w:r>
            <w:r>
              <w:rPr>
                <w:rFonts w:hint="eastAsia" w:ascii="宋体" w:hAnsi="宋体"/>
                <w:color w:val="auto"/>
                <w:szCs w:val="21"/>
                <w:highlight w:val="none"/>
                <w:lang w:val="en-US" w:eastAsia="zh-CN"/>
              </w:rPr>
              <w:t>到高排序，</w:t>
            </w:r>
            <w:r>
              <w:rPr>
                <w:rFonts w:hint="eastAsia" w:ascii="宋体" w:hAnsi="宋体"/>
                <w:color w:val="auto"/>
                <w:szCs w:val="21"/>
                <w:highlight w:val="none"/>
              </w:rPr>
              <w:t>推荐3名中标候选人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排名第一的中标候选人</w:t>
            </w:r>
            <w:r>
              <w:rPr>
                <w:rFonts w:hint="eastAsia" w:ascii="宋体" w:hAnsi="宋体"/>
                <w:color w:val="auto"/>
                <w:szCs w:val="21"/>
                <w:highlight w:val="none"/>
              </w:rPr>
              <w:t>为中标人。</w:t>
            </w:r>
          </w:p>
          <w:p w14:paraId="5F8D2807">
            <w:pPr>
              <w:jc w:val="both"/>
            </w:pPr>
            <w:r>
              <w:rPr>
                <w:rFonts w:hint="eastAsia" w:ascii="宋体" w:hAnsi="宋体"/>
                <w:color w:val="auto"/>
                <w:szCs w:val="21"/>
                <w:highlight w:val="none"/>
              </w:rPr>
              <w:t>如出现统一</w:t>
            </w:r>
            <w:r>
              <w:rPr>
                <w:rFonts w:hint="eastAsia" w:ascii="宋体" w:hAnsi="宋体"/>
                <w:color w:val="auto"/>
                <w:szCs w:val="21"/>
                <w:highlight w:val="none"/>
                <w:lang w:val="en-US" w:eastAsia="zh-CN"/>
              </w:rPr>
              <w:t>投标报价</w:t>
            </w:r>
            <w:r>
              <w:rPr>
                <w:rFonts w:hint="eastAsia" w:ascii="宋体" w:hAnsi="宋体"/>
                <w:color w:val="auto"/>
                <w:szCs w:val="21"/>
                <w:highlight w:val="none"/>
              </w:rPr>
              <w:t>一致的情况，则采用随机抽取的方法，确定报价排序。抽取方法及具体步骤：①确定球数及球号：按报价一致的投标人家数确定球数，并按1、2、3、4……的顺序编号；②确定编号：按投标人签到的先后顺序对报价一致的投标人进行编号，如1、2、3、4……；③将球放入不透明的抽签箱中；④由评标委员会组长进行抽取，优先抽取出的球号对应的投标人报价排序在前，后续抽取出的球号对应的投标人报价排序在后，以此类推。</w:t>
            </w:r>
          </w:p>
        </w:tc>
      </w:tr>
      <w:tr w14:paraId="59EBC4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2015CB7E">
            <w:pPr>
              <w:jc w:val="center"/>
              <w:rPr>
                <w:rFonts w:hint="eastAsia" w:ascii="宋体" w:hAnsi="宋体" w:eastAsiaTheme="minorEastAsia"/>
                <w:szCs w:val="21"/>
                <w:lang w:val="en-US" w:eastAsia="zh-CN"/>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2</w:t>
            </w:r>
          </w:p>
        </w:tc>
        <w:tc>
          <w:tcPr>
            <w:tcW w:w="7532" w:type="dxa"/>
            <w:gridSpan w:val="2"/>
            <w:tcBorders>
              <w:tl2br w:val="nil"/>
              <w:tr2bl w:val="nil"/>
            </w:tcBorders>
            <w:vAlign w:val="center"/>
          </w:tcPr>
          <w:p w14:paraId="06853F9C">
            <w:pPr>
              <w:jc w:val="both"/>
              <w:rPr>
                <w:rFonts w:ascii="宋体" w:hAnsi="宋体"/>
                <w:b/>
                <w:bCs/>
                <w:szCs w:val="21"/>
                <w:lang w:val="zh-CN"/>
              </w:rPr>
            </w:pPr>
            <w:r>
              <w:rPr>
                <w:rFonts w:hint="eastAsia" w:ascii="宋体" w:hAnsi="宋体"/>
                <w:b/>
                <w:bCs/>
                <w:color w:val="auto"/>
                <w:szCs w:val="21"/>
                <w:highlight w:val="none"/>
              </w:rPr>
              <w:t>实质性响应要求</w:t>
            </w:r>
          </w:p>
        </w:tc>
      </w:tr>
      <w:tr w14:paraId="0C340E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245417BF">
            <w:pPr>
              <w:jc w:val="center"/>
              <w:rPr>
                <w:rFonts w:ascii="宋体" w:hAnsi="宋体"/>
                <w:szCs w:val="21"/>
              </w:rPr>
            </w:pPr>
          </w:p>
        </w:tc>
        <w:tc>
          <w:tcPr>
            <w:tcW w:w="7532" w:type="dxa"/>
            <w:gridSpan w:val="2"/>
            <w:tcBorders>
              <w:tl2br w:val="nil"/>
              <w:tr2bl w:val="nil"/>
            </w:tcBorders>
            <w:vAlign w:val="center"/>
          </w:tcPr>
          <w:p w14:paraId="6EC3D539">
            <w:pPr>
              <w:jc w:val="both"/>
            </w:pPr>
            <w:r>
              <w:rPr>
                <w:rFonts w:hint="eastAsia" w:ascii="宋体" w:hAnsi="宋体"/>
                <w:color w:val="auto"/>
                <w:szCs w:val="21"/>
                <w:highlight w:val="none"/>
              </w:rPr>
              <w:t>本项目用户需求书标注有“★”为实质性响应条款，投标人应当按用户需求书要求进行响应或提供具体证明材料。</w:t>
            </w:r>
          </w:p>
        </w:tc>
      </w:tr>
      <w:tr w14:paraId="1D1EC5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F1D44D1">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3</w:t>
            </w:r>
          </w:p>
        </w:tc>
        <w:tc>
          <w:tcPr>
            <w:tcW w:w="7532" w:type="dxa"/>
            <w:gridSpan w:val="2"/>
            <w:tcBorders>
              <w:tl2br w:val="nil"/>
              <w:tr2bl w:val="nil"/>
            </w:tcBorders>
            <w:vAlign w:val="center"/>
          </w:tcPr>
          <w:p w14:paraId="21F294A3">
            <w:pPr>
              <w:jc w:val="both"/>
              <w:rPr>
                <w:rFonts w:ascii="宋体" w:hAnsi="宋体"/>
                <w:b/>
                <w:szCs w:val="21"/>
              </w:rPr>
            </w:pPr>
            <w:r>
              <w:rPr>
                <w:rFonts w:hint="eastAsia" w:ascii="宋体" w:hAnsi="宋体"/>
                <w:b/>
                <w:szCs w:val="21"/>
              </w:rPr>
              <w:t>投标有效期</w:t>
            </w:r>
          </w:p>
        </w:tc>
      </w:tr>
      <w:tr w14:paraId="2C7850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20B9226">
            <w:pPr>
              <w:jc w:val="center"/>
              <w:rPr>
                <w:rFonts w:ascii="宋体" w:hAnsi="宋体"/>
                <w:szCs w:val="21"/>
              </w:rPr>
            </w:pPr>
          </w:p>
        </w:tc>
        <w:tc>
          <w:tcPr>
            <w:tcW w:w="7532" w:type="dxa"/>
            <w:gridSpan w:val="2"/>
            <w:tcBorders>
              <w:tl2br w:val="nil"/>
              <w:tr2bl w:val="nil"/>
            </w:tcBorders>
            <w:vAlign w:val="center"/>
          </w:tcPr>
          <w:p w14:paraId="0B6A5DAA">
            <w:pPr>
              <w:jc w:val="both"/>
              <w:rPr>
                <w:rFonts w:ascii="宋体" w:hAnsi="宋体"/>
                <w:b/>
                <w:szCs w:val="21"/>
              </w:rPr>
            </w:pPr>
            <w:r>
              <w:rPr>
                <w:rFonts w:hint="eastAsia" w:ascii="宋体" w:hAnsi="宋体"/>
                <w:szCs w:val="21"/>
              </w:rPr>
              <w:t>九十天。</w:t>
            </w:r>
          </w:p>
        </w:tc>
      </w:tr>
      <w:tr w14:paraId="2F0C98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0918A13A">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4</w:t>
            </w:r>
          </w:p>
        </w:tc>
        <w:tc>
          <w:tcPr>
            <w:tcW w:w="7532" w:type="dxa"/>
            <w:gridSpan w:val="2"/>
            <w:tcBorders>
              <w:tl2br w:val="nil"/>
              <w:tr2bl w:val="nil"/>
            </w:tcBorders>
            <w:vAlign w:val="center"/>
          </w:tcPr>
          <w:p w14:paraId="3F664EDC">
            <w:pPr>
              <w:jc w:val="center"/>
              <w:rPr>
                <w:rFonts w:ascii="宋体" w:hAnsi="宋体"/>
                <w:b/>
                <w:szCs w:val="21"/>
              </w:rPr>
            </w:pPr>
            <w:r>
              <w:rPr>
                <w:rFonts w:hint="eastAsia" w:ascii="宋体" w:hAnsi="宋体"/>
                <w:b/>
                <w:szCs w:val="21"/>
              </w:rPr>
              <w:t>投标人应提交以下投标文件（投标文件由唱标信封、价格文件、商务文件、技术文件、电子文档五部分组成；价格文件、商务文件、技术文件</w:t>
            </w:r>
            <w:r>
              <w:rPr>
                <w:rFonts w:hint="eastAsia" w:ascii="宋体" w:hAnsi="宋体"/>
                <w:b/>
                <w:szCs w:val="21"/>
                <w:lang w:val="en-US" w:eastAsia="zh-CN"/>
              </w:rPr>
              <w:t>可</w:t>
            </w:r>
            <w:r>
              <w:rPr>
                <w:rFonts w:hint="eastAsia" w:ascii="宋体" w:hAnsi="宋体"/>
                <w:b/>
                <w:szCs w:val="21"/>
              </w:rPr>
              <w:t>分别单独</w:t>
            </w:r>
            <w:r>
              <w:rPr>
                <w:rFonts w:hint="eastAsia" w:ascii="宋体" w:hAnsi="宋体"/>
                <w:b/>
                <w:szCs w:val="21"/>
                <w:lang w:val="en-US" w:eastAsia="zh-CN"/>
              </w:rPr>
              <w:t>或合并</w:t>
            </w:r>
            <w:r>
              <w:rPr>
                <w:rFonts w:hint="eastAsia" w:ascii="宋体" w:hAnsi="宋体"/>
                <w:b/>
                <w:szCs w:val="21"/>
              </w:rPr>
              <w:t>装订成册，电子文档装入唱标信封一同封装；具体编制和封装要求详见第四部分投标人须知）</w:t>
            </w:r>
          </w:p>
        </w:tc>
      </w:tr>
      <w:tr w14:paraId="335B5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4D43DD05">
            <w:pPr>
              <w:jc w:val="center"/>
              <w:rPr>
                <w:rFonts w:ascii="宋体" w:hAnsi="宋体"/>
                <w:szCs w:val="21"/>
              </w:rPr>
            </w:pPr>
          </w:p>
        </w:tc>
        <w:tc>
          <w:tcPr>
            <w:tcW w:w="2608" w:type="dxa"/>
            <w:tcBorders>
              <w:tl2br w:val="nil"/>
              <w:tr2bl w:val="nil"/>
            </w:tcBorders>
            <w:vAlign w:val="center"/>
          </w:tcPr>
          <w:p w14:paraId="72E2955B">
            <w:pPr>
              <w:jc w:val="center"/>
              <w:rPr>
                <w:rFonts w:ascii="宋体" w:hAnsi="宋体"/>
                <w:b/>
                <w:szCs w:val="21"/>
              </w:rPr>
            </w:pPr>
            <w:r>
              <w:rPr>
                <w:rFonts w:hint="eastAsia" w:ascii="宋体" w:hAnsi="宋体"/>
                <w:b/>
                <w:szCs w:val="21"/>
              </w:rPr>
              <w:t>投标文件类型</w:t>
            </w:r>
          </w:p>
        </w:tc>
        <w:tc>
          <w:tcPr>
            <w:tcW w:w="4924" w:type="dxa"/>
            <w:tcBorders>
              <w:tl2br w:val="nil"/>
              <w:tr2bl w:val="nil"/>
            </w:tcBorders>
            <w:vAlign w:val="center"/>
          </w:tcPr>
          <w:p w14:paraId="3232C8F3">
            <w:pPr>
              <w:jc w:val="center"/>
              <w:rPr>
                <w:rFonts w:ascii="宋体" w:hAnsi="宋体"/>
                <w:b/>
                <w:szCs w:val="21"/>
              </w:rPr>
            </w:pPr>
            <w:r>
              <w:rPr>
                <w:rFonts w:hint="eastAsia" w:ascii="宋体" w:hAnsi="宋体"/>
                <w:b/>
                <w:szCs w:val="21"/>
              </w:rPr>
              <w:t>份数</w:t>
            </w:r>
          </w:p>
        </w:tc>
      </w:tr>
      <w:tr w14:paraId="004521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4BF6E74A">
            <w:pPr>
              <w:jc w:val="center"/>
              <w:rPr>
                <w:rFonts w:ascii="宋体" w:hAnsi="宋体"/>
                <w:szCs w:val="21"/>
              </w:rPr>
            </w:pPr>
          </w:p>
        </w:tc>
        <w:tc>
          <w:tcPr>
            <w:tcW w:w="2608" w:type="dxa"/>
            <w:tcBorders>
              <w:tl2br w:val="nil"/>
              <w:tr2bl w:val="nil"/>
            </w:tcBorders>
            <w:vAlign w:val="center"/>
          </w:tcPr>
          <w:p w14:paraId="4394B045">
            <w:pPr>
              <w:jc w:val="center"/>
              <w:rPr>
                <w:rFonts w:ascii="宋体" w:hAnsi="宋体"/>
                <w:b/>
                <w:szCs w:val="21"/>
              </w:rPr>
            </w:pPr>
            <w:r>
              <w:rPr>
                <w:rFonts w:hint="eastAsia" w:ascii="宋体" w:hAnsi="宋体"/>
                <w:b/>
                <w:szCs w:val="21"/>
              </w:rPr>
              <w:t>唱标信封</w:t>
            </w:r>
          </w:p>
        </w:tc>
        <w:tc>
          <w:tcPr>
            <w:tcW w:w="4924" w:type="dxa"/>
            <w:tcBorders>
              <w:tl2br w:val="nil"/>
              <w:tr2bl w:val="nil"/>
            </w:tcBorders>
            <w:vAlign w:val="center"/>
          </w:tcPr>
          <w:p w14:paraId="5053D185">
            <w:pPr>
              <w:jc w:val="center"/>
              <w:rPr>
                <w:rFonts w:ascii="宋体" w:hAnsi="宋体"/>
                <w:b/>
                <w:szCs w:val="21"/>
              </w:rPr>
            </w:pPr>
            <w:r>
              <w:rPr>
                <w:rFonts w:hint="eastAsia" w:ascii="宋体" w:hAnsi="宋体"/>
                <w:b/>
                <w:szCs w:val="21"/>
              </w:rPr>
              <w:t>1</w:t>
            </w:r>
          </w:p>
        </w:tc>
      </w:tr>
      <w:tr w14:paraId="74659B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573DD7CD">
            <w:pPr>
              <w:jc w:val="center"/>
              <w:rPr>
                <w:rFonts w:ascii="宋体" w:hAnsi="宋体"/>
                <w:szCs w:val="21"/>
              </w:rPr>
            </w:pPr>
          </w:p>
        </w:tc>
        <w:tc>
          <w:tcPr>
            <w:tcW w:w="2608" w:type="dxa"/>
            <w:tcBorders>
              <w:tl2br w:val="nil"/>
              <w:tr2bl w:val="nil"/>
            </w:tcBorders>
            <w:vAlign w:val="center"/>
          </w:tcPr>
          <w:p w14:paraId="67944E7A">
            <w:pPr>
              <w:jc w:val="center"/>
              <w:rPr>
                <w:rFonts w:ascii="宋体" w:hAnsi="宋体"/>
                <w:b/>
                <w:szCs w:val="21"/>
              </w:rPr>
            </w:pPr>
            <w:r>
              <w:rPr>
                <w:rFonts w:hint="eastAsia" w:ascii="宋体" w:hAnsi="宋体"/>
                <w:b/>
                <w:szCs w:val="21"/>
              </w:rPr>
              <w:t>投标文件正本</w:t>
            </w:r>
          </w:p>
        </w:tc>
        <w:tc>
          <w:tcPr>
            <w:tcW w:w="4924" w:type="dxa"/>
            <w:tcBorders>
              <w:tl2br w:val="nil"/>
              <w:tr2bl w:val="nil"/>
            </w:tcBorders>
            <w:vAlign w:val="center"/>
          </w:tcPr>
          <w:p w14:paraId="50BC66A0">
            <w:pPr>
              <w:jc w:val="center"/>
              <w:rPr>
                <w:rFonts w:ascii="宋体" w:hAnsi="宋体"/>
                <w:b/>
                <w:szCs w:val="21"/>
              </w:rPr>
            </w:pPr>
            <w:r>
              <w:rPr>
                <w:rFonts w:hint="eastAsia" w:ascii="宋体" w:hAnsi="宋体"/>
                <w:b/>
                <w:szCs w:val="21"/>
              </w:rPr>
              <w:t>1</w:t>
            </w:r>
          </w:p>
        </w:tc>
      </w:tr>
      <w:tr w14:paraId="6AF9AA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58698353">
            <w:pPr>
              <w:jc w:val="center"/>
              <w:rPr>
                <w:rFonts w:ascii="宋体" w:hAnsi="宋体"/>
                <w:szCs w:val="21"/>
              </w:rPr>
            </w:pPr>
          </w:p>
        </w:tc>
        <w:tc>
          <w:tcPr>
            <w:tcW w:w="2608" w:type="dxa"/>
            <w:tcBorders>
              <w:tl2br w:val="nil"/>
              <w:tr2bl w:val="nil"/>
            </w:tcBorders>
            <w:vAlign w:val="center"/>
          </w:tcPr>
          <w:p w14:paraId="5B14FF56">
            <w:pPr>
              <w:jc w:val="center"/>
              <w:rPr>
                <w:rFonts w:ascii="宋体" w:hAnsi="宋体"/>
                <w:b/>
                <w:szCs w:val="21"/>
              </w:rPr>
            </w:pPr>
            <w:r>
              <w:rPr>
                <w:rFonts w:hint="eastAsia" w:ascii="宋体" w:hAnsi="宋体"/>
                <w:b/>
                <w:szCs w:val="21"/>
              </w:rPr>
              <w:t>投标文件副本</w:t>
            </w:r>
          </w:p>
        </w:tc>
        <w:tc>
          <w:tcPr>
            <w:tcW w:w="4924" w:type="dxa"/>
            <w:tcBorders>
              <w:tl2br w:val="nil"/>
              <w:tr2bl w:val="nil"/>
            </w:tcBorders>
            <w:vAlign w:val="center"/>
          </w:tcPr>
          <w:p w14:paraId="6E5E8C9D">
            <w:pPr>
              <w:jc w:val="center"/>
              <w:rPr>
                <w:rFonts w:ascii="宋体" w:hAnsi="宋体"/>
                <w:b/>
                <w:szCs w:val="21"/>
              </w:rPr>
            </w:pPr>
            <w:r>
              <w:rPr>
                <w:rFonts w:hint="eastAsia" w:ascii="宋体" w:hAnsi="宋体"/>
                <w:b/>
                <w:szCs w:val="21"/>
              </w:rPr>
              <w:sym w:font="Wingdings 2" w:char="0052"/>
            </w:r>
            <w:r>
              <w:rPr>
                <w:rFonts w:hint="eastAsia" w:ascii="宋体" w:hAnsi="宋体"/>
                <w:b/>
                <w:szCs w:val="21"/>
              </w:rPr>
              <w:t xml:space="preserve">5  </w:t>
            </w:r>
            <w:r>
              <w:rPr>
                <w:rFonts w:hint="eastAsia" w:ascii="宋体" w:hAnsi="宋体"/>
                <w:b/>
                <w:szCs w:val="21"/>
              </w:rPr>
              <w:sym w:font="Wingdings 2" w:char="00A3"/>
            </w:r>
            <w:r>
              <w:rPr>
                <w:rFonts w:hint="eastAsia" w:ascii="宋体" w:hAnsi="宋体"/>
                <w:b/>
                <w:szCs w:val="21"/>
              </w:rPr>
              <w:t>7</w:t>
            </w:r>
          </w:p>
        </w:tc>
      </w:tr>
      <w:tr w14:paraId="4A6DA6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67FB9FE7">
            <w:pPr>
              <w:jc w:val="center"/>
              <w:rPr>
                <w:rFonts w:ascii="宋体" w:hAnsi="宋体"/>
                <w:szCs w:val="21"/>
              </w:rPr>
            </w:pPr>
          </w:p>
        </w:tc>
        <w:tc>
          <w:tcPr>
            <w:tcW w:w="2608" w:type="dxa"/>
            <w:vMerge w:val="restart"/>
            <w:tcBorders>
              <w:tl2br w:val="nil"/>
              <w:tr2bl w:val="nil"/>
            </w:tcBorders>
            <w:vAlign w:val="center"/>
          </w:tcPr>
          <w:p w14:paraId="21FB5D91">
            <w:pPr>
              <w:jc w:val="center"/>
              <w:rPr>
                <w:rFonts w:ascii="宋体" w:hAnsi="宋体"/>
                <w:b/>
                <w:szCs w:val="21"/>
              </w:rPr>
            </w:pPr>
            <w:r>
              <w:rPr>
                <w:rFonts w:hint="eastAsia" w:ascii="宋体" w:hAnsi="宋体"/>
                <w:b/>
                <w:szCs w:val="21"/>
              </w:rPr>
              <w:t>电子文档</w:t>
            </w:r>
          </w:p>
        </w:tc>
        <w:tc>
          <w:tcPr>
            <w:tcW w:w="4924" w:type="dxa"/>
            <w:tcBorders>
              <w:tl2br w:val="nil"/>
              <w:tr2bl w:val="nil"/>
            </w:tcBorders>
            <w:vAlign w:val="center"/>
          </w:tcPr>
          <w:p w14:paraId="78914A13">
            <w:pPr>
              <w:jc w:val="center"/>
              <w:rPr>
                <w:rFonts w:ascii="宋体" w:hAnsi="宋体"/>
                <w:b/>
                <w:szCs w:val="21"/>
              </w:rPr>
            </w:pPr>
            <w:r>
              <w:rPr>
                <w:rFonts w:hint="eastAsia" w:ascii="宋体" w:hAnsi="宋体"/>
                <w:b/>
                <w:szCs w:val="21"/>
              </w:rPr>
              <w:t>1</w:t>
            </w:r>
          </w:p>
        </w:tc>
      </w:tr>
      <w:tr w14:paraId="3B62F0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0870E9D0">
            <w:pPr>
              <w:jc w:val="center"/>
              <w:rPr>
                <w:rFonts w:ascii="宋体" w:hAnsi="宋体"/>
                <w:szCs w:val="21"/>
              </w:rPr>
            </w:pPr>
          </w:p>
        </w:tc>
        <w:tc>
          <w:tcPr>
            <w:tcW w:w="2608" w:type="dxa"/>
            <w:vMerge w:val="continue"/>
            <w:tcBorders>
              <w:tl2br w:val="nil"/>
              <w:tr2bl w:val="nil"/>
            </w:tcBorders>
            <w:vAlign w:val="center"/>
          </w:tcPr>
          <w:p w14:paraId="0F57CEBE">
            <w:pPr>
              <w:jc w:val="center"/>
              <w:rPr>
                <w:rFonts w:ascii="宋体" w:hAnsi="宋体"/>
                <w:b/>
                <w:szCs w:val="21"/>
              </w:rPr>
            </w:pPr>
          </w:p>
        </w:tc>
        <w:tc>
          <w:tcPr>
            <w:tcW w:w="4924" w:type="dxa"/>
            <w:tcBorders>
              <w:tl2br w:val="nil"/>
              <w:tr2bl w:val="nil"/>
            </w:tcBorders>
            <w:vAlign w:val="center"/>
          </w:tcPr>
          <w:p w14:paraId="77605C9A">
            <w:pPr>
              <w:jc w:val="center"/>
              <w:rPr>
                <w:rFonts w:ascii="宋体" w:hAnsi="宋体"/>
                <w:b/>
                <w:szCs w:val="21"/>
              </w:rPr>
            </w:pPr>
            <w:r>
              <w:rPr>
                <w:rFonts w:hint="eastAsia" w:ascii="宋体" w:hAnsi="宋体" w:cs="Times New Roman"/>
                <w:b/>
                <w:szCs w:val="21"/>
              </w:rPr>
              <w:t>U盘，须含盖章版PDF投标文件和WORD版投标文件各一版，文字采用WORD文档，计算表格采用 EXCEL文档。</w:t>
            </w:r>
          </w:p>
        </w:tc>
      </w:tr>
      <w:tr w14:paraId="3283C7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05310194">
            <w:pPr>
              <w:jc w:val="center"/>
              <w:rPr>
                <w:rFonts w:ascii="宋体" w:hAnsi="宋体"/>
                <w:b/>
                <w:szCs w:val="21"/>
              </w:rPr>
            </w:pPr>
            <w:r>
              <w:rPr>
                <w:rFonts w:hint="eastAsia" w:ascii="宋体" w:hAnsi="宋体"/>
                <w:b/>
                <w:szCs w:val="21"/>
              </w:rPr>
              <w:t>三、开标与评标</w:t>
            </w:r>
          </w:p>
        </w:tc>
      </w:tr>
      <w:tr w14:paraId="2C7F6B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82F2117">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5</w:t>
            </w:r>
          </w:p>
        </w:tc>
        <w:tc>
          <w:tcPr>
            <w:tcW w:w="7532" w:type="dxa"/>
            <w:gridSpan w:val="2"/>
            <w:tcBorders>
              <w:tl2br w:val="nil"/>
              <w:tr2bl w:val="nil"/>
            </w:tcBorders>
            <w:vAlign w:val="center"/>
          </w:tcPr>
          <w:p w14:paraId="2E8232DC">
            <w:pPr>
              <w:jc w:val="both"/>
              <w:rPr>
                <w:rFonts w:ascii="宋体" w:hAnsi="宋体"/>
                <w:szCs w:val="21"/>
              </w:rPr>
            </w:pPr>
            <w:r>
              <w:rPr>
                <w:rFonts w:hint="eastAsia" w:ascii="宋体" w:hAnsi="宋体"/>
                <w:b/>
                <w:szCs w:val="21"/>
              </w:rPr>
              <w:t>本项目评标方法</w:t>
            </w:r>
          </w:p>
        </w:tc>
      </w:tr>
      <w:tr w14:paraId="6DC721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0673566">
            <w:pPr>
              <w:jc w:val="center"/>
              <w:rPr>
                <w:rFonts w:ascii="宋体" w:hAnsi="宋体"/>
                <w:szCs w:val="21"/>
              </w:rPr>
            </w:pPr>
          </w:p>
        </w:tc>
        <w:tc>
          <w:tcPr>
            <w:tcW w:w="7532" w:type="dxa"/>
            <w:gridSpan w:val="2"/>
            <w:tcBorders>
              <w:tl2br w:val="nil"/>
              <w:tr2bl w:val="nil"/>
            </w:tcBorders>
            <w:vAlign w:val="center"/>
          </w:tcPr>
          <w:p w14:paraId="37F81AF0">
            <w:pPr>
              <w:jc w:val="both"/>
              <w:rPr>
                <w:rFonts w:ascii="宋体" w:hAnsi="宋体"/>
                <w:b/>
                <w:szCs w:val="21"/>
              </w:rPr>
            </w:pPr>
            <w:r>
              <w:rPr>
                <w:rFonts w:hint="eastAsia" w:ascii="宋体" w:hAnsi="宋体"/>
                <w:szCs w:val="21"/>
              </w:rPr>
              <w:t>最低评标价法。</w:t>
            </w:r>
          </w:p>
        </w:tc>
      </w:tr>
      <w:tr w14:paraId="0ADE2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019AB777">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6</w:t>
            </w:r>
          </w:p>
        </w:tc>
        <w:tc>
          <w:tcPr>
            <w:tcW w:w="7532" w:type="dxa"/>
            <w:gridSpan w:val="2"/>
            <w:tcBorders>
              <w:tl2br w:val="nil"/>
              <w:tr2bl w:val="nil"/>
            </w:tcBorders>
            <w:vAlign w:val="center"/>
          </w:tcPr>
          <w:p w14:paraId="4EAE3659">
            <w:pPr>
              <w:jc w:val="both"/>
              <w:rPr>
                <w:rFonts w:hint="eastAsia" w:ascii="宋体" w:hAnsi="宋体"/>
                <w:b/>
                <w:szCs w:val="21"/>
              </w:rPr>
            </w:pPr>
            <w:r>
              <w:rPr>
                <w:rFonts w:hint="eastAsia" w:ascii="宋体" w:hAnsi="宋体"/>
                <w:b/>
                <w:szCs w:val="21"/>
              </w:rPr>
              <w:t>最低评标价法，是指投标文件满足采购文件全部实质性要求：</w:t>
            </w:r>
          </w:p>
          <w:p w14:paraId="70628D3F">
            <w:pPr>
              <w:jc w:val="both"/>
              <w:rPr>
                <w:rFonts w:ascii="宋体" w:hAnsi="宋体"/>
                <w:b/>
                <w:szCs w:val="21"/>
              </w:rPr>
            </w:pPr>
            <w:r>
              <w:rPr>
                <w:rFonts w:hint="eastAsia" w:ascii="宋体" w:hAnsi="宋体"/>
                <w:b/>
                <w:szCs w:val="21"/>
              </w:rPr>
              <w:t>投标报价最低的投标人为中标候选人的评标方法。</w:t>
            </w:r>
          </w:p>
        </w:tc>
      </w:tr>
      <w:tr w14:paraId="1C3E04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2396A5B">
            <w:pPr>
              <w:jc w:val="center"/>
              <w:rPr>
                <w:rFonts w:ascii="宋体" w:hAnsi="宋体"/>
                <w:szCs w:val="21"/>
              </w:rPr>
            </w:pPr>
          </w:p>
        </w:tc>
        <w:tc>
          <w:tcPr>
            <w:tcW w:w="7532" w:type="dxa"/>
            <w:gridSpan w:val="2"/>
            <w:tcBorders>
              <w:tl2br w:val="nil"/>
              <w:tr2bl w:val="nil"/>
            </w:tcBorders>
            <w:vAlign w:val="center"/>
          </w:tcPr>
          <w:p w14:paraId="46696774">
            <w:pPr>
              <w:jc w:val="both"/>
              <w:rPr>
                <w:rFonts w:hint="eastAsia" w:ascii="宋体" w:hAnsi="宋体" w:eastAsia="宋体"/>
                <w:b/>
                <w:szCs w:val="21"/>
                <w:lang w:eastAsia="zh-CN"/>
              </w:rPr>
            </w:pPr>
            <w:r>
              <w:rPr>
                <w:rFonts w:hint="eastAsia" w:ascii="宋体" w:hAnsi="宋体"/>
                <w:szCs w:val="21"/>
                <w:lang w:val="en-US" w:eastAsia="zh-CN"/>
              </w:rPr>
              <w:t>/</w:t>
            </w:r>
          </w:p>
        </w:tc>
      </w:tr>
      <w:tr w14:paraId="3DCEB4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4DFE02A7">
            <w:pPr>
              <w:jc w:val="center"/>
              <w:rPr>
                <w:rFonts w:hint="eastAsia" w:ascii="宋体" w:hAnsi="宋体" w:eastAsia="宋体"/>
                <w:szCs w:val="21"/>
                <w:highlight w:val="none"/>
                <w:lang w:eastAsia="zh-CN"/>
              </w:rPr>
            </w:pPr>
            <w:r>
              <w:rPr>
                <w:rFonts w:hint="eastAsia" w:ascii="宋体" w:hAnsi="宋体"/>
                <w:szCs w:val="21"/>
                <w:highlight w:val="none"/>
              </w:rPr>
              <w:t>1</w:t>
            </w:r>
            <w:r>
              <w:rPr>
                <w:rFonts w:hint="eastAsia" w:ascii="宋体" w:hAnsi="宋体"/>
                <w:szCs w:val="21"/>
                <w:highlight w:val="none"/>
                <w:lang w:val="en-US" w:eastAsia="zh-CN"/>
              </w:rPr>
              <w:t>7</w:t>
            </w:r>
          </w:p>
        </w:tc>
        <w:tc>
          <w:tcPr>
            <w:tcW w:w="7532" w:type="dxa"/>
            <w:gridSpan w:val="2"/>
            <w:tcBorders>
              <w:tl2br w:val="nil"/>
              <w:tr2bl w:val="nil"/>
            </w:tcBorders>
            <w:vAlign w:val="center"/>
          </w:tcPr>
          <w:p w14:paraId="1390BBCA">
            <w:pPr>
              <w:jc w:val="both"/>
              <w:rPr>
                <w:rFonts w:ascii="宋体" w:hAnsi="宋体"/>
                <w:szCs w:val="21"/>
                <w:highlight w:val="none"/>
              </w:rPr>
            </w:pPr>
            <w:r>
              <w:rPr>
                <w:rFonts w:hint="eastAsia" w:ascii="宋体" w:hAnsi="宋体"/>
                <w:b/>
                <w:szCs w:val="21"/>
                <w:highlight w:val="none"/>
              </w:rPr>
              <w:t>评标委员会</w:t>
            </w:r>
          </w:p>
        </w:tc>
      </w:tr>
      <w:tr w14:paraId="6644AC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D903385">
            <w:pPr>
              <w:jc w:val="center"/>
              <w:rPr>
                <w:rFonts w:ascii="宋体" w:hAnsi="宋体"/>
                <w:szCs w:val="21"/>
                <w:highlight w:val="none"/>
              </w:rPr>
            </w:pPr>
          </w:p>
        </w:tc>
        <w:tc>
          <w:tcPr>
            <w:tcW w:w="7532" w:type="dxa"/>
            <w:gridSpan w:val="2"/>
            <w:tcBorders>
              <w:tl2br w:val="nil"/>
              <w:tr2bl w:val="nil"/>
            </w:tcBorders>
            <w:vAlign w:val="center"/>
          </w:tcPr>
          <w:p w14:paraId="7DBC3328">
            <w:pPr>
              <w:jc w:val="both"/>
              <w:rPr>
                <w:rFonts w:ascii="宋体" w:hAnsi="宋体"/>
                <w:szCs w:val="21"/>
                <w:highlight w:val="none"/>
              </w:rPr>
            </w:pPr>
            <w:r>
              <w:rPr>
                <w:rFonts w:hint="eastAsia" w:ascii="宋体" w:hAnsi="宋体"/>
                <w:szCs w:val="21"/>
                <w:highlight w:val="none"/>
                <w:lang w:val="zh-CN"/>
              </w:rPr>
              <w:t>评标委员会由采购人</w:t>
            </w:r>
            <w:r>
              <w:rPr>
                <w:rFonts w:hint="eastAsia" w:ascii="宋体" w:hAnsi="宋体"/>
                <w:szCs w:val="21"/>
                <w:highlight w:val="none"/>
                <w:lang w:val="en-US" w:eastAsia="zh-CN"/>
              </w:rPr>
              <w:t>组建</w:t>
            </w:r>
            <w:r>
              <w:rPr>
                <w:rFonts w:hint="eastAsia" w:ascii="宋体" w:hAnsi="宋体"/>
                <w:szCs w:val="21"/>
                <w:highlight w:val="none"/>
                <w:lang w:val="zh-CN"/>
              </w:rPr>
              <w:t>，</w:t>
            </w:r>
            <w:r>
              <w:rPr>
                <w:rFonts w:hint="eastAsia" w:ascii="宋体" w:hAnsi="宋体"/>
                <w:szCs w:val="21"/>
                <w:highlight w:val="none"/>
              </w:rPr>
              <w:t>成员人数为五人或五人以上单数</w:t>
            </w:r>
            <w:r>
              <w:rPr>
                <w:rFonts w:hint="eastAsia" w:ascii="宋体" w:hAnsi="宋体"/>
                <w:szCs w:val="21"/>
                <w:highlight w:val="none"/>
                <w:lang w:val="zh-CN"/>
              </w:rPr>
              <w:t>。</w:t>
            </w:r>
          </w:p>
        </w:tc>
      </w:tr>
      <w:tr w14:paraId="726D0E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641E40BC">
            <w:pPr>
              <w:jc w:val="center"/>
              <w:rPr>
                <w:rFonts w:ascii="宋体" w:hAnsi="宋体"/>
                <w:b/>
                <w:szCs w:val="21"/>
              </w:rPr>
            </w:pPr>
            <w:r>
              <w:rPr>
                <w:rFonts w:hint="eastAsia" w:ascii="宋体" w:hAnsi="宋体"/>
                <w:b/>
                <w:szCs w:val="21"/>
              </w:rPr>
              <w:t>四、授予合同</w:t>
            </w:r>
          </w:p>
        </w:tc>
      </w:tr>
      <w:tr w14:paraId="3CE93D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4260487D">
            <w:pPr>
              <w:jc w:val="center"/>
              <w:rPr>
                <w:rFonts w:ascii="宋体" w:hAnsi="宋体"/>
                <w:szCs w:val="21"/>
              </w:rPr>
            </w:pPr>
            <w:r>
              <w:rPr>
                <w:rFonts w:hint="eastAsia" w:ascii="宋体" w:hAnsi="宋体"/>
                <w:szCs w:val="21"/>
              </w:rPr>
              <w:t>1</w:t>
            </w:r>
            <w:r>
              <w:rPr>
                <w:rFonts w:hint="eastAsia" w:ascii="宋体" w:hAnsi="宋体"/>
                <w:szCs w:val="21"/>
                <w:lang w:val="en-US" w:eastAsia="zh-CN"/>
              </w:rPr>
              <w:t>8</w:t>
            </w:r>
          </w:p>
        </w:tc>
        <w:tc>
          <w:tcPr>
            <w:tcW w:w="7532" w:type="dxa"/>
            <w:gridSpan w:val="2"/>
            <w:tcBorders>
              <w:tl2br w:val="nil"/>
              <w:tr2bl w:val="nil"/>
            </w:tcBorders>
            <w:shd w:val="clear" w:color="auto" w:fill="auto"/>
            <w:vAlign w:val="center"/>
          </w:tcPr>
          <w:p w14:paraId="759D01D7">
            <w:pPr>
              <w:jc w:val="both"/>
              <w:rPr>
                <w:rFonts w:ascii="宋体" w:hAnsi="宋体"/>
                <w:b/>
                <w:szCs w:val="21"/>
              </w:rPr>
            </w:pPr>
            <w:r>
              <w:rPr>
                <w:rFonts w:hint="eastAsia" w:ascii="宋体" w:hAnsi="宋体"/>
                <w:b/>
                <w:szCs w:val="21"/>
              </w:rPr>
              <w:t>履约担保</w:t>
            </w:r>
          </w:p>
        </w:tc>
      </w:tr>
      <w:tr w14:paraId="3CFE4A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18E6CFAD">
            <w:pPr>
              <w:jc w:val="center"/>
              <w:rPr>
                <w:rFonts w:ascii="宋体" w:hAnsi="宋体"/>
                <w:szCs w:val="21"/>
                <w:highlight w:val="none"/>
              </w:rPr>
            </w:pPr>
          </w:p>
        </w:tc>
        <w:tc>
          <w:tcPr>
            <w:tcW w:w="7532" w:type="dxa"/>
            <w:gridSpan w:val="2"/>
            <w:tcBorders>
              <w:tl2br w:val="nil"/>
              <w:tr2bl w:val="nil"/>
            </w:tcBorders>
            <w:shd w:val="clear" w:color="auto" w:fill="auto"/>
            <w:vAlign w:val="center"/>
          </w:tcPr>
          <w:p w14:paraId="6DC4AD41">
            <w:pPr>
              <w:jc w:val="both"/>
              <w:rPr>
                <w:rFonts w:ascii="宋体" w:hAnsi="宋体"/>
                <w:szCs w:val="21"/>
                <w:highlight w:val="none"/>
              </w:rPr>
            </w:pPr>
            <w:r>
              <w:rPr>
                <w:rFonts w:hint="eastAsia" w:ascii="宋体" w:hAnsi="宋体"/>
                <w:szCs w:val="21"/>
                <w:highlight w:val="none"/>
              </w:rPr>
              <w:t>1.履约担保金额为：</w:t>
            </w:r>
            <w:r>
              <w:rPr>
                <w:rFonts w:hint="eastAsia" w:ascii="宋体" w:hAnsi="宋体"/>
                <w:szCs w:val="21"/>
                <w:highlight w:val="none"/>
                <w:u w:val="single"/>
              </w:rPr>
              <w:t xml:space="preserve">     合同金额的10%    。</w:t>
            </w:r>
          </w:p>
          <w:p w14:paraId="1DEF7863">
            <w:pPr>
              <w:jc w:val="both"/>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履约保证金账户信息：</w:t>
            </w:r>
          </w:p>
          <w:p w14:paraId="62DF6625">
            <w:pPr>
              <w:ind w:firstLine="420" w:firstLineChars="200"/>
              <w:jc w:val="both"/>
              <w:rPr>
                <w:rFonts w:hint="eastAsia" w:ascii="宋体" w:hAnsi="宋体"/>
                <w:szCs w:val="21"/>
                <w:highlight w:val="none"/>
              </w:rPr>
            </w:pPr>
            <w:r>
              <w:rPr>
                <w:rFonts w:hint="eastAsia" w:ascii="宋体" w:hAnsi="宋体"/>
                <w:szCs w:val="21"/>
                <w:highlight w:val="none"/>
              </w:rPr>
              <w:t>帐户名称：东莞市新东元环保投资有限公司</w:t>
            </w:r>
          </w:p>
          <w:p w14:paraId="3470CD98">
            <w:pPr>
              <w:ind w:firstLine="420" w:firstLineChars="200"/>
              <w:jc w:val="both"/>
              <w:rPr>
                <w:rFonts w:hint="eastAsia" w:ascii="宋体" w:hAnsi="宋体"/>
                <w:szCs w:val="21"/>
                <w:highlight w:val="none"/>
              </w:rPr>
            </w:pPr>
            <w:r>
              <w:rPr>
                <w:rFonts w:hint="eastAsia" w:ascii="宋体" w:hAnsi="宋体"/>
                <w:szCs w:val="21"/>
                <w:highlight w:val="none"/>
              </w:rPr>
              <w:t>开户银行：中国银行股份有限公司东莞分行</w:t>
            </w:r>
          </w:p>
          <w:p w14:paraId="38FCB4AA">
            <w:pPr>
              <w:ind w:firstLine="420" w:firstLineChars="200"/>
              <w:jc w:val="both"/>
              <w:rPr>
                <w:rFonts w:ascii="宋体" w:hAnsi="宋体"/>
                <w:szCs w:val="21"/>
                <w:highlight w:val="none"/>
              </w:rPr>
            </w:pPr>
            <w:r>
              <w:rPr>
                <w:rFonts w:hint="eastAsia" w:ascii="宋体" w:hAnsi="宋体"/>
                <w:szCs w:val="21"/>
                <w:highlight w:val="none"/>
              </w:rPr>
              <w:t>银行帐号：669170104633</w:t>
            </w:r>
          </w:p>
          <w:p w14:paraId="20E4676C">
            <w:pPr>
              <w:jc w:val="both"/>
              <w:rPr>
                <w:rFonts w:ascii="宋体" w:hAnsi="宋体"/>
                <w:szCs w:val="21"/>
                <w:highlight w:val="none"/>
              </w:rPr>
            </w:pPr>
            <w:r>
              <w:rPr>
                <w:rFonts w:hint="eastAsia" w:ascii="宋体" w:hAnsi="宋体"/>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122098C1">
            <w:pPr>
              <w:jc w:val="both"/>
              <w:rPr>
                <w:rFonts w:ascii="宋体" w:hAnsi="宋体"/>
                <w:szCs w:val="21"/>
                <w:highlight w:val="none"/>
              </w:rPr>
            </w:pPr>
            <w:r>
              <w:rPr>
                <w:rFonts w:hint="eastAsia" w:ascii="宋体" w:hAnsi="宋体"/>
                <w:szCs w:val="21"/>
                <w:highlight w:val="none"/>
              </w:rPr>
              <w:t>4.履约担保期限从合同签订之日起至项目完工验收合格并结算完毕后，经双方签字</w:t>
            </w:r>
            <w:r>
              <w:rPr>
                <w:rFonts w:hint="eastAsia" w:ascii="宋体" w:hAnsi="宋体"/>
                <w:szCs w:val="21"/>
                <w:highlight w:val="none"/>
                <w:u w:val="single"/>
              </w:rPr>
              <w:t xml:space="preserve">  7  </w:t>
            </w:r>
            <w:r>
              <w:rPr>
                <w:rFonts w:hint="eastAsia" w:ascii="宋体" w:hAnsi="宋体"/>
                <w:szCs w:val="21"/>
                <w:highlight w:val="none"/>
              </w:rPr>
              <w:t>天内保持有效。</w:t>
            </w:r>
          </w:p>
          <w:p w14:paraId="308019D5">
            <w:pPr>
              <w:jc w:val="both"/>
              <w:rPr>
                <w:rFonts w:ascii="宋体" w:hAnsi="宋体"/>
                <w:szCs w:val="21"/>
                <w:highlight w:val="none"/>
              </w:rPr>
            </w:pPr>
            <w:r>
              <w:rPr>
                <w:rFonts w:hint="eastAsia" w:ascii="宋体" w:hAnsi="宋体"/>
                <w:szCs w:val="21"/>
                <w:highlight w:val="none"/>
              </w:rPr>
              <w:t>5、履约担保要求：</w:t>
            </w:r>
          </w:p>
          <w:p w14:paraId="59459C91">
            <w:pPr>
              <w:jc w:val="both"/>
              <w:rPr>
                <w:rFonts w:hint="eastAsia" w:ascii="宋体" w:hAnsi="宋体"/>
                <w:szCs w:val="21"/>
                <w:highlight w:val="none"/>
              </w:rPr>
            </w:pPr>
            <w:r>
              <w:rPr>
                <w:rFonts w:hint="eastAsia" w:ascii="宋体" w:hAnsi="宋体"/>
                <w:szCs w:val="21"/>
                <w:highlight w:val="none"/>
              </w:rPr>
              <w:t>（1）履约保函。如果中标人的履约担保是以银行保函形式提供的，则该银行保函应：</w:t>
            </w:r>
          </w:p>
          <w:p w14:paraId="660F633E">
            <w:pPr>
              <w:jc w:val="both"/>
              <w:rPr>
                <w:rFonts w:hint="eastAsia" w:ascii="宋体" w:hAnsi="宋体"/>
                <w:szCs w:val="21"/>
                <w:highlight w:val="none"/>
              </w:rPr>
            </w:pPr>
            <w:r>
              <w:rPr>
                <w:rFonts w:hint="eastAsia" w:ascii="宋体" w:hAnsi="宋体"/>
                <w:szCs w:val="21"/>
                <w:highlight w:val="none"/>
              </w:rPr>
              <w:t>①保函应由银行支行或以上银行机构开具。</w:t>
            </w:r>
          </w:p>
          <w:p w14:paraId="199963BE">
            <w:pPr>
              <w:jc w:val="both"/>
              <w:rPr>
                <w:rFonts w:hint="eastAsia" w:ascii="宋体" w:hAnsi="宋体"/>
                <w:szCs w:val="21"/>
                <w:highlight w:val="none"/>
              </w:rPr>
            </w:pPr>
            <w:r>
              <w:rPr>
                <w:rFonts w:hint="eastAsia" w:ascii="宋体" w:hAnsi="宋体"/>
                <w:szCs w:val="21"/>
                <w:highlight w:val="none"/>
              </w:rPr>
              <w:t>②保函的格式参考本采购文件附件9中提供的无条件不可撤销履约保函格式，保函担保期内若项目需延长合同期，保函必须延期，办理延期手续时在银行方面所产生的费用由中标人负责。</w:t>
            </w:r>
          </w:p>
          <w:p w14:paraId="4A703C41">
            <w:pPr>
              <w:jc w:val="both"/>
              <w:rPr>
                <w:rFonts w:hint="eastAsia" w:ascii="宋体" w:hAnsi="宋体"/>
                <w:szCs w:val="21"/>
                <w:highlight w:val="none"/>
              </w:rPr>
            </w:pPr>
            <w:r>
              <w:rPr>
                <w:rFonts w:hint="eastAsia" w:ascii="宋体" w:hAnsi="宋体"/>
                <w:szCs w:val="21"/>
                <w:highlight w:val="none"/>
              </w:rPr>
              <w:t>③履约保函必须打印，手写、涂改无效。</w:t>
            </w:r>
          </w:p>
          <w:p w14:paraId="52832E28">
            <w:pPr>
              <w:jc w:val="both"/>
              <w:rPr>
                <w:rFonts w:hint="eastAsia" w:ascii="宋体" w:hAnsi="宋体"/>
                <w:szCs w:val="21"/>
                <w:highlight w:val="none"/>
              </w:rPr>
            </w:pPr>
            <w:r>
              <w:rPr>
                <w:rFonts w:hint="eastAsia" w:ascii="宋体" w:hAnsi="宋体"/>
                <w:szCs w:val="21"/>
                <w:highlight w:val="none"/>
              </w:rPr>
              <w:t>（2）履约保证金。可采用电汇、银行汇票等银行转账方式提交，但不可以采用现金方式提交。中标人必须保证履约保证金以中标人名称在签订合同前提交至采购人指定账户。</w:t>
            </w:r>
          </w:p>
          <w:p w14:paraId="3D61533E">
            <w:pPr>
              <w:jc w:val="both"/>
              <w:rPr>
                <w:rFonts w:hint="eastAsia" w:ascii="宋体" w:hAnsi="宋体"/>
                <w:szCs w:val="21"/>
                <w:highlight w:val="none"/>
              </w:rPr>
            </w:pPr>
            <w:r>
              <w:rPr>
                <w:rFonts w:hint="eastAsia" w:ascii="宋体" w:hAnsi="宋体"/>
                <w:szCs w:val="21"/>
                <w:highlight w:val="none"/>
              </w:rPr>
              <w:t>（3）若中标人不能按本采购文件的规定提交履约担保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如已签订合同的，采购人有权没收投标保证金并单方面无责解除合同，如造成采购人损失，采购人有权追责。</w:t>
            </w:r>
          </w:p>
          <w:p w14:paraId="55E884B5">
            <w:pPr>
              <w:jc w:val="both"/>
              <w:rPr>
                <w:rFonts w:hint="eastAsia" w:ascii="宋体" w:hAnsi="宋体"/>
                <w:szCs w:val="21"/>
                <w:highlight w:val="none"/>
              </w:rPr>
            </w:pPr>
            <w:r>
              <w:rPr>
                <w:rFonts w:hint="eastAsia" w:ascii="宋体" w:hAnsi="宋体"/>
                <w:szCs w:val="21"/>
                <w:highlight w:val="none"/>
              </w:rPr>
              <w:t>（4）为取得履约担保所需的费用，由中标人承担；若工期延误，履约担保时间延长，延长费用由中标人承担。</w:t>
            </w:r>
          </w:p>
          <w:p w14:paraId="35E6C7B0">
            <w:pPr>
              <w:jc w:val="both"/>
              <w:rPr>
                <w:rFonts w:hint="eastAsia" w:ascii="宋体" w:hAnsi="宋体"/>
                <w:szCs w:val="21"/>
                <w:highlight w:val="none"/>
              </w:rPr>
            </w:pPr>
            <w:r>
              <w:rPr>
                <w:rFonts w:hint="eastAsia" w:ascii="宋体" w:hAnsi="宋体"/>
                <w:szCs w:val="21"/>
                <w:highlight w:val="none"/>
              </w:rPr>
              <w:t>（5）若中标人在合同履行过程中出现项目质量事故、工期拖延、欠付工人工资、欠付材料款等情况，采购人有权将履约保函金额转为现金存入履约保证金账户；中标人</w:t>
            </w:r>
            <w:r>
              <w:rPr>
                <w:rFonts w:hint="eastAsia" w:ascii="宋体" w:hAnsi="宋体"/>
                <w:szCs w:val="21"/>
                <w:highlight w:val="none"/>
                <w:lang w:val="en-US" w:eastAsia="zh-CN"/>
              </w:rPr>
              <w:t>违约或</w:t>
            </w:r>
            <w:r>
              <w:rPr>
                <w:rFonts w:hint="eastAsia" w:ascii="宋体" w:hAnsi="宋体"/>
                <w:szCs w:val="21"/>
                <w:highlight w:val="none"/>
              </w:rPr>
              <w:t>造成采购人损失的，采购人有权立即没收其履约担保，若造成损失超过履约担保的，还应当对超过部分予以赔偿。</w:t>
            </w:r>
          </w:p>
          <w:p w14:paraId="66AC1993">
            <w:pPr>
              <w:jc w:val="both"/>
              <w:rPr>
                <w:rFonts w:hint="eastAsia" w:ascii="宋体" w:hAnsi="宋体"/>
                <w:szCs w:val="21"/>
                <w:highlight w:val="none"/>
              </w:rPr>
            </w:pPr>
            <w:r>
              <w:rPr>
                <w:rFonts w:hint="eastAsia" w:ascii="宋体" w:hAnsi="宋体"/>
                <w:szCs w:val="21"/>
                <w:highlight w:val="none"/>
              </w:rPr>
              <w:t>（6）下列任何情况发生时，采购人有权行使享有的担保权利：</w:t>
            </w:r>
          </w:p>
          <w:p w14:paraId="2EDAB8B6">
            <w:pPr>
              <w:jc w:val="both"/>
              <w:rPr>
                <w:rFonts w:hint="eastAsia" w:ascii="宋体" w:hAnsi="宋体"/>
                <w:szCs w:val="21"/>
                <w:highlight w:val="none"/>
              </w:rPr>
            </w:pPr>
            <w:r>
              <w:rPr>
                <w:rFonts w:hint="eastAsia" w:ascii="宋体" w:hAnsi="宋体"/>
                <w:szCs w:val="21"/>
                <w:highlight w:val="none"/>
              </w:rPr>
              <w:t>①中标人将本项目转让给他人，或者在投标文件中未说明，且未经采购人同意，将中标项目分包给他人的；</w:t>
            </w:r>
          </w:p>
          <w:p w14:paraId="5FFAF11E">
            <w:pPr>
              <w:jc w:val="both"/>
              <w:rPr>
                <w:rFonts w:hint="eastAsia" w:ascii="宋体" w:hAnsi="宋体"/>
                <w:szCs w:val="21"/>
                <w:highlight w:val="none"/>
              </w:rPr>
            </w:pPr>
            <w:r>
              <w:rPr>
                <w:rFonts w:hint="eastAsia" w:ascii="宋体" w:hAnsi="宋体"/>
                <w:szCs w:val="21"/>
                <w:highlight w:val="none"/>
              </w:rPr>
              <w:t>②中标人在履行采购合同期间，违反有关法律法规的规定及合同约定的条款，损害了采购人的利益。</w:t>
            </w:r>
          </w:p>
          <w:p w14:paraId="5344A924">
            <w:pPr>
              <w:jc w:val="both"/>
              <w:rPr>
                <w:rFonts w:ascii="宋体" w:hAnsi="宋体"/>
                <w:b/>
                <w:szCs w:val="21"/>
                <w:highlight w:val="none"/>
              </w:rPr>
            </w:pPr>
            <w:r>
              <w:rPr>
                <w:rFonts w:hint="eastAsia" w:ascii="宋体" w:hAnsi="宋体"/>
                <w:szCs w:val="21"/>
                <w:highlight w:val="none"/>
              </w:rPr>
              <w:t>（7）在合同有效期满后，中标人向采购人提交退回履约担保的申请，若中标人无违约行为或虽有违约行为但已按采购人要求整改到位的，采购人扣除应当由中标人承担的违约金、赔偿金后对剩余的金额办理退还手续。</w:t>
            </w:r>
          </w:p>
        </w:tc>
      </w:tr>
      <w:tr w14:paraId="50DFDB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074EC627">
            <w:pPr>
              <w:jc w:val="center"/>
              <w:rPr>
                <w:rFonts w:ascii="宋体" w:hAnsi="宋体"/>
                <w:szCs w:val="21"/>
              </w:rPr>
            </w:pPr>
            <w:r>
              <w:rPr>
                <w:rFonts w:hint="eastAsia" w:ascii="宋体" w:hAnsi="宋体"/>
                <w:szCs w:val="21"/>
              </w:rPr>
              <w:t>1</w:t>
            </w:r>
            <w:r>
              <w:rPr>
                <w:rFonts w:hint="eastAsia" w:ascii="宋体" w:hAnsi="宋体"/>
                <w:szCs w:val="21"/>
                <w:lang w:val="en-US" w:eastAsia="zh-CN"/>
              </w:rPr>
              <w:t>9</w:t>
            </w:r>
          </w:p>
        </w:tc>
        <w:tc>
          <w:tcPr>
            <w:tcW w:w="7532" w:type="dxa"/>
            <w:gridSpan w:val="2"/>
            <w:tcBorders>
              <w:tl2br w:val="nil"/>
              <w:tr2bl w:val="nil"/>
            </w:tcBorders>
            <w:vAlign w:val="center"/>
          </w:tcPr>
          <w:p w14:paraId="7A2E2D54">
            <w:pPr>
              <w:jc w:val="both"/>
              <w:rPr>
                <w:rFonts w:ascii="宋体" w:hAnsi="宋体"/>
                <w:b/>
                <w:szCs w:val="21"/>
              </w:rPr>
            </w:pPr>
            <w:r>
              <w:rPr>
                <w:rFonts w:hint="eastAsia" w:ascii="宋体" w:hAnsi="宋体"/>
                <w:b/>
                <w:szCs w:val="21"/>
              </w:rPr>
              <w:t>中标服务费</w:t>
            </w:r>
          </w:p>
        </w:tc>
      </w:tr>
      <w:tr w14:paraId="35042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14:paraId="01DD6C21">
            <w:pPr>
              <w:jc w:val="center"/>
              <w:rPr>
                <w:rFonts w:ascii="宋体" w:hAnsi="宋体"/>
                <w:szCs w:val="21"/>
                <w:highlight w:val="none"/>
              </w:rPr>
            </w:pPr>
          </w:p>
        </w:tc>
        <w:tc>
          <w:tcPr>
            <w:tcW w:w="7532" w:type="dxa"/>
            <w:gridSpan w:val="2"/>
            <w:tcBorders>
              <w:tl2br w:val="nil"/>
              <w:tr2bl w:val="nil"/>
            </w:tcBorders>
            <w:vAlign w:val="center"/>
          </w:tcPr>
          <w:p w14:paraId="2D047849">
            <w:pPr>
              <w:widowControl w:val="0"/>
              <w:tabs>
                <w:tab w:val="left" w:pos="907"/>
              </w:tabs>
              <w:adjustRightInd/>
              <w:snapToGrid/>
              <w:spacing w:line="360" w:lineRule="exact"/>
              <w:jc w:val="both"/>
              <w:rPr>
                <w:rFonts w:hint="eastAsia" w:ascii="宋体" w:hAnsi="宋体" w:eastAsia="宋体"/>
                <w:szCs w:val="21"/>
                <w:highlight w:val="none"/>
                <w:lang w:eastAsia="zh-CN"/>
              </w:rPr>
            </w:pPr>
            <w:r>
              <w:rPr>
                <w:rFonts w:hint="eastAsia" w:ascii="宋体" w:hAnsi="宋体"/>
                <w:szCs w:val="21"/>
                <w:highlight w:val="none"/>
                <w:lang w:val="en-US" w:eastAsia="zh-CN"/>
              </w:rPr>
              <w:t>无</w:t>
            </w:r>
          </w:p>
        </w:tc>
      </w:tr>
      <w:tr w14:paraId="5A6B2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3807360A">
            <w:pPr>
              <w:widowControl w:val="0"/>
              <w:tabs>
                <w:tab w:val="left" w:pos="907"/>
              </w:tabs>
              <w:adjustRightInd/>
              <w:snapToGrid/>
              <w:ind w:firstLine="420" w:firstLineChars="200"/>
              <w:jc w:val="both"/>
              <w:rPr>
                <w:rFonts w:ascii="宋体" w:hAnsi="宋体"/>
                <w:szCs w:val="21"/>
              </w:rPr>
            </w:pPr>
            <w:r>
              <w:rPr>
                <w:rFonts w:hint="eastAsia" w:ascii="宋体" w:hAnsi="宋体"/>
                <w:szCs w:val="21"/>
              </w:rPr>
              <w:t>注：本表关于要采购项目的具体资料，是对投标人须知的具体补充和修改，如有矛盾，应以本资料表为准。不满足采购文件中 “★”条款的投标文件将作无效投标处理。</w:t>
            </w:r>
          </w:p>
        </w:tc>
      </w:tr>
    </w:tbl>
    <w:p w14:paraId="51649E10">
      <w:pPr>
        <w:jc w:val="center"/>
      </w:pPr>
      <w:r>
        <w:rPr>
          <w:rFonts w:hint="eastAsia"/>
        </w:rPr>
        <w:br w:type="page"/>
      </w:r>
    </w:p>
    <w:p w14:paraId="490223E9">
      <w:pPr>
        <w:pStyle w:val="4"/>
        <w:spacing w:before="0" w:after="0" w:line="240" w:lineRule="auto"/>
        <w:rPr>
          <w:sz w:val="36"/>
          <w:szCs w:val="36"/>
        </w:rPr>
      </w:pPr>
      <w:bookmarkStart w:id="4" w:name="_Toc21237"/>
      <w:r>
        <w:rPr>
          <w:rFonts w:hint="eastAsia"/>
          <w:sz w:val="28"/>
          <w:szCs w:val="28"/>
        </w:rPr>
        <w:t>第三部分用户需求书</w:t>
      </w:r>
      <w:bookmarkEnd w:id="4"/>
    </w:p>
    <w:p w14:paraId="4F6A443B">
      <w:pPr>
        <w:pStyle w:val="5"/>
        <w:spacing w:before="0" w:after="0" w:line="360" w:lineRule="auto"/>
        <w:jc w:val="center"/>
        <w:rPr>
          <w:rFonts w:ascii="宋体" w:hAnsi="宋体"/>
        </w:rPr>
      </w:pPr>
      <w:bookmarkStart w:id="5" w:name="_Toc1593"/>
      <w:bookmarkStart w:id="6" w:name="_Toc15266"/>
      <w:bookmarkStart w:id="7" w:name="_Toc308786492"/>
      <w:bookmarkStart w:id="8" w:name="_Toc13112"/>
      <w:bookmarkStart w:id="9" w:name="_Toc24679"/>
      <w:bookmarkStart w:id="10" w:name="_Toc31278"/>
      <w:bookmarkStart w:id="11" w:name="_Toc14462"/>
      <w:r>
        <w:rPr>
          <w:rFonts w:hint="eastAsia" w:ascii="宋体" w:hAnsi="宋体"/>
        </w:rPr>
        <w:t>第一章 商务需求书</w:t>
      </w:r>
      <w:bookmarkEnd w:id="5"/>
      <w:bookmarkEnd w:id="6"/>
    </w:p>
    <w:tbl>
      <w:tblPr>
        <w:tblStyle w:val="30"/>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25C6E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14:paraId="4C576070">
            <w:pPr>
              <w:jc w:val="center"/>
              <w:rPr>
                <w:rFonts w:ascii="宋体" w:hAnsi="宋体" w:cs="宋体"/>
                <w:szCs w:val="21"/>
              </w:rPr>
            </w:pPr>
            <w:r>
              <w:rPr>
                <w:rFonts w:hint="eastAsia" w:ascii="宋体" w:hAnsi="宋体" w:cs="宋体"/>
                <w:szCs w:val="21"/>
              </w:rPr>
              <w:t>序号</w:t>
            </w:r>
          </w:p>
        </w:tc>
        <w:tc>
          <w:tcPr>
            <w:tcW w:w="1501" w:type="dxa"/>
            <w:vAlign w:val="center"/>
          </w:tcPr>
          <w:p w14:paraId="330E24C9">
            <w:pPr>
              <w:jc w:val="center"/>
              <w:rPr>
                <w:rFonts w:ascii="宋体" w:hAnsi="宋体" w:cs="宋体"/>
                <w:szCs w:val="21"/>
              </w:rPr>
            </w:pPr>
            <w:r>
              <w:rPr>
                <w:rFonts w:hint="eastAsia" w:ascii="宋体" w:hAnsi="宋体" w:cs="宋体"/>
                <w:szCs w:val="21"/>
              </w:rPr>
              <w:t>条款名称</w:t>
            </w:r>
          </w:p>
        </w:tc>
        <w:tc>
          <w:tcPr>
            <w:tcW w:w="6466" w:type="dxa"/>
            <w:vAlign w:val="center"/>
          </w:tcPr>
          <w:p w14:paraId="7A18D642">
            <w:pPr>
              <w:jc w:val="center"/>
              <w:rPr>
                <w:rFonts w:ascii="宋体" w:hAnsi="宋体" w:cs="宋体"/>
                <w:szCs w:val="21"/>
              </w:rPr>
            </w:pPr>
            <w:r>
              <w:rPr>
                <w:rFonts w:hint="eastAsia" w:ascii="宋体" w:hAnsi="宋体" w:cs="宋体"/>
                <w:szCs w:val="21"/>
              </w:rPr>
              <w:t>说  明</w:t>
            </w:r>
          </w:p>
        </w:tc>
      </w:tr>
      <w:tr w14:paraId="73630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1617865C">
            <w:pPr>
              <w:jc w:val="center"/>
              <w:rPr>
                <w:rFonts w:ascii="宋体" w:hAnsi="宋体" w:cs="宋体"/>
                <w:szCs w:val="21"/>
              </w:rPr>
            </w:pPr>
            <w:r>
              <w:rPr>
                <w:rFonts w:hint="eastAsia" w:ascii="宋体" w:hAnsi="宋体" w:cs="宋体"/>
                <w:szCs w:val="21"/>
              </w:rPr>
              <w:t>1</w:t>
            </w:r>
          </w:p>
        </w:tc>
        <w:tc>
          <w:tcPr>
            <w:tcW w:w="1501" w:type="dxa"/>
            <w:vAlign w:val="center"/>
          </w:tcPr>
          <w:p w14:paraId="2011ED0A">
            <w:pPr>
              <w:jc w:val="center"/>
              <w:rPr>
                <w:rFonts w:ascii="宋体" w:hAnsi="宋体" w:cs="宋体"/>
                <w:szCs w:val="21"/>
              </w:rPr>
            </w:pPr>
            <w:r>
              <w:rPr>
                <w:rFonts w:hint="eastAsia" w:ascii="宋体" w:hAnsi="宋体" w:cs="宋体"/>
                <w:szCs w:val="21"/>
              </w:rPr>
              <w:t>合格投标人</w:t>
            </w:r>
          </w:p>
        </w:tc>
        <w:tc>
          <w:tcPr>
            <w:tcW w:w="6466" w:type="dxa"/>
            <w:vAlign w:val="center"/>
          </w:tcPr>
          <w:p w14:paraId="0698F7E6">
            <w:pPr>
              <w:pStyle w:val="42"/>
              <w:rPr>
                <w:rFonts w:ascii="宋体" w:hAnsi="宋体" w:cs="宋体"/>
                <w:bCs/>
                <w:kern w:val="44"/>
                <w:szCs w:val="21"/>
              </w:rPr>
            </w:pPr>
            <w:r>
              <w:rPr>
                <w:rFonts w:hint="eastAsia" w:ascii="宋体" w:hAnsi="宋体" w:cs="宋体"/>
                <w:szCs w:val="21"/>
              </w:rPr>
              <w:t>详见“第一部分 投标邀请”中“二、投标人资格要求”</w:t>
            </w:r>
          </w:p>
        </w:tc>
      </w:tr>
      <w:tr w14:paraId="31430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4F479798">
            <w:pPr>
              <w:jc w:val="center"/>
              <w:rPr>
                <w:rFonts w:ascii="宋体" w:hAnsi="宋体" w:cs="宋体"/>
                <w:szCs w:val="21"/>
              </w:rPr>
            </w:pPr>
            <w:r>
              <w:rPr>
                <w:rFonts w:hint="eastAsia" w:ascii="宋体" w:hAnsi="宋体" w:cs="宋体"/>
                <w:szCs w:val="21"/>
              </w:rPr>
              <w:t>2</w:t>
            </w:r>
          </w:p>
        </w:tc>
        <w:tc>
          <w:tcPr>
            <w:tcW w:w="1501" w:type="dxa"/>
            <w:vAlign w:val="center"/>
          </w:tcPr>
          <w:p w14:paraId="673D1C33">
            <w:pPr>
              <w:jc w:val="center"/>
              <w:rPr>
                <w:rFonts w:ascii="宋体" w:hAnsi="宋体" w:cs="宋体"/>
                <w:szCs w:val="21"/>
              </w:rPr>
            </w:pPr>
            <w:r>
              <w:rPr>
                <w:rFonts w:hint="eastAsia" w:ascii="宋体" w:hAnsi="宋体" w:cs="宋体"/>
                <w:szCs w:val="21"/>
              </w:rPr>
              <w:t>服务期</w:t>
            </w:r>
          </w:p>
        </w:tc>
        <w:tc>
          <w:tcPr>
            <w:tcW w:w="6466" w:type="dxa"/>
            <w:vAlign w:val="center"/>
          </w:tcPr>
          <w:p w14:paraId="7AEF2D64">
            <w:pPr>
              <w:pStyle w:val="39"/>
              <w:spacing w:line="360" w:lineRule="auto"/>
              <w:ind w:firstLine="400"/>
              <w:rPr>
                <w:rFonts w:ascii="宋体" w:hAnsi="宋体" w:cs="宋体"/>
                <w:szCs w:val="21"/>
              </w:rPr>
            </w:pPr>
            <w:r>
              <w:rPr>
                <w:rFonts w:hint="eastAsia" w:ascii="宋体" w:hAnsi="宋体" w:eastAsia="宋体" w:cs="宋体"/>
                <w:sz w:val="21"/>
                <w:szCs w:val="21"/>
              </w:rPr>
              <w:t>自项目达到现场运维服务标准条件之日起为期三年（含性能测试服务期）。其中：成交人在收到采购人通知之日起，30个日历日内现场达到一套（</w:t>
            </w:r>
            <w:r>
              <w:rPr>
                <w:rFonts w:hint="eastAsia" w:ascii="宋体" w:hAnsi="宋体" w:eastAsia="宋体" w:cs="宋体"/>
                <w:sz w:val="21"/>
                <w:szCs w:val="21"/>
                <w:lang w:val="en-US" w:eastAsia="zh-CN"/>
              </w:rPr>
              <w:t>3号</w:t>
            </w:r>
            <w:r>
              <w:rPr>
                <w:rFonts w:hint="eastAsia" w:ascii="宋体" w:hAnsi="宋体" w:eastAsia="宋体" w:cs="宋体"/>
                <w:sz w:val="21"/>
                <w:szCs w:val="21"/>
              </w:rPr>
              <w:t>线）低温SCR脱硝催化服务及运维服务的服务标准条件；自项目达到现场运维服务标准条件之日起进行6个月（包含测试不通过给予的修复期限）性能测试服务期；性能测试服务期合格后，进入为期30个月的运维服务期。（催化服务及运维服务的现场标准条件以本项目技术需求书要求为准）</w:t>
            </w:r>
          </w:p>
        </w:tc>
      </w:tr>
      <w:tr w14:paraId="27858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14:paraId="0071F1A1">
            <w:pPr>
              <w:jc w:val="center"/>
              <w:rPr>
                <w:rFonts w:ascii="宋体" w:hAnsi="宋体" w:cs="宋体"/>
                <w:szCs w:val="21"/>
              </w:rPr>
            </w:pPr>
            <w:r>
              <w:rPr>
                <w:rFonts w:hint="eastAsia" w:ascii="宋体" w:hAnsi="宋体" w:cs="宋体"/>
                <w:szCs w:val="21"/>
              </w:rPr>
              <w:t>3</w:t>
            </w:r>
          </w:p>
        </w:tc>
        <w:tc>
          <w:tcPr>
            <w:tcW w:w="1501" w:type="dxa"/>
            <w:vAlign w:val="center"/>
          </w:tcPr>
          <w:p w14:paraId="150B5CF3">
            <w:pPr>
              <w:jc w:val="center"/>
              <w:rPr>
                <w:rFonts w:ascii="宋体" w:hAnsi="宋体" w:cs="宋体"/>
                <w:szCs w:val="21"/>
              </w:rPr>
            </w:pPr>
            <w:r>
              <w:rPr>
                <w:rFonts w:hint="eastAsia" w:ascii="宋体" w:hAnsi="宋体" w:cs="宋体"/>
                <w:szCs w:val="21"/>
              </w:rPr>
              <w:t>付款方式</w:t>
            </w:r>
          </w:p>
        </w:tc>
        <w:tc>
          <w:tcPr>
            <w:tcW w:w="6466" w:type="dxa"/>
            <w:vAlign w:val="center"/>
          </w:tcPr>
          <w:p w14:paraId="5A827344">
            <w:pPr>
              <w:ind w:firstLine="420" w:firstLineChars="200"/>
              <w:rPr>
                <w:rFonts w:hint="eastAsia"/>
              </w:rPr>
            </w:pPr>
            <w:r>
              <w:rPr>
                <w:rFonts w:hint="eastAsia"/>
              </w:rPr>
              <w:t>合同签订后，成交人完成且达到一套（</w:t>
            </w:r>
            <w:r>
              <w:rPr>
                <w:rFonts w:hint="eastAsia"/>
                <w:lang w:val="en-US" w:eastAsia="zh-CN"/>
              </w:rPr>
              <w:t>3号</w:t>
            </w:r>
            <w:r>
              <w:rPr>
                <w:rFonts w:hint="eastAsia"/>
              </w:rPr>
              <w:t>线）低温SCR脱硝催化服务及运维服务的现场标准条件，并在性能测试服务期满经采购人验收合格后，成交人递交合同总服务费40%的增值税专用发票及请款资料，采购人在</w:t>
            </w:r>
            <w:r>
              <w:rPr>
                <w:rFonts w:hint="eastAsia"/>
                <w:lang w:val="en-US" w:eastAsia="zh-CN"/>
              </w:rPr>
              <w:t>成交人满足前述条件且</w:t>
            </w:r>
            <w:r>
              <w:rPr>
                <w:rFonts w:hint="eastAsia"/>
              </w:rPr>
              <w:t>收到上述有效资料之日起20个工作日内向成交人支付至合同总服务费的40%；</w:t>
            </w:r>
          </w:p>
          <w:p w14:paraId="5DBC97AE">
            <w:pPr>
              <w:ind w:firstLine="420" w:firstLineChars="200"/>
              <w:rPr>
                <w:rFonts w:hint="eastAsia"/>
              </w:rPr>
            </w:pPr>
            <w:r>
              <w:rPr>
                <w:rFonts w:hint="eastAsia"/>
              </w:rPr>
              <w:t>自性能测试服务期满并验收合格之日起运维服务期满6个月且期间项目相关性能指标满足技术要求，成交人递交至合同总服务费60%的增值税专用发票及请款资料，采购人在</w:t>
            </w:r>
            <w:r>
              <w:rPr>
                <w:rFonts w:hint="eastAsia"/>
                <w:lang w:val="en-US" w:eastAsia="zh-CN"/>
              </w:rPr>
              <w:t>成交人满足前述条件且</w:t>
            </w:r>
            <w:r>
              <w:rPr>
                <w:rFonts w:hint="eastAsia"/>
              </w:rPr>
              <w:t>收到上述有效资料之日起20个工作日内向成交人支付至合同总服务费的60%；</w:t>
            </w:r>
          </w:p>
          <w:p w14:paraId="4E2D5ADD">
            <w:pPr>
              <w:ind w:firstLine="420" w:firstLineChars="200"/>
              <w:rPr>
                <w:rFonts w:hint="eastAsia"/>
              </w:rPr>
            </w:pPr>
            <w:r>
              <w:rPr>
                <w:rFonts w:hint="eastAsia"/>
              </w:rPr>
              <w:t>项目运维服务期满18个月且期间项目相关性能指标满足技术要求，成交人递交至合同总服务费80%的增值税专用发票及请款资料，采购人在</w:t>
            </w:r>
            <w:r>
              <w:rPr>
                <w:rFonts w:hint="eastAsia"/>
                <w:lang w:val="en-US" w:eastAsia="zh-CN"/>
              </w:rPr>
              <w:t>成交人满足前述条件且</w:t>
            </w:r>
            <w:r>
              <w:rPr>
                <w:rFonts w:hint="eastAsia"/>
              </w:rPr>
              <w:t>收到上述有效资料之日起20个工作日内向成交人支付至合同总服务费的80%；</w:t>
            </w:r>
          </w:p>
          <w:p w14:paraId="7D579721">
            <w:pPr>
              <w:ind w:firstLine="420" w:firstLineChars="200"/>
              <w:rPr>
                <w:rFonts w:hint="eastAsia"/>
              </w:rPr>
            </w:pPr>
            <w:r>
              <w:rPr>
                <w:rFonts w:hint="eastAsia"/>
              </w:rPr>
              <w:t>项目服务期满且期间项目相关性能指标满足技术要求，成交人递交至合同总服务费100%的增值税专用发票及请款资料，采购人在</w:t>
            </w:r>
            <w:r>
              <w:rPr>
                <w:rFonts w:hint="eastAsia"/>
                <w:lang w:val="en-US" w:eastAsia="zh-CN"/>
              </w:rPr>
              <w:t>成交人满足前述条件且</w:t>
            </w:r>
            <w:r>
              <w:rPr>
                <w:rFonts w:hint="eastAsia"/>
              </w:rPr>
              <w:t>收到上述有效资料之日起20个工作日内向成交人支付至合同总服务费的100%。</w:t>
            </w:r>
          </w:p>
          <w:p w14:paraId="65A61B22">
            <w:pPr>
              <w:ind w:firstLine="420" w:firstLineChars="200"/>
              <w:rPr>
                <w:rFonts w:hint="eastAsia" w:eastAsia="宋体"/>
                <w:lang w:eastAsia="zh-CN"/>
              </w:rPr>
            </w:pPr>
            <w:r>
              <w:rPr>
                <w:rFonts w:hint="eastAsia"/>
              </w:rPr>
              <w:t>服务期内（含性能测试服务期）如项目相关性能指标出现不满足技术要求的情况，成交人可以在1个月内进行一次修复并进行保证值测试，如该次修复后仍未达到保证值要求或该次修复后再次出现项目相关性能指标出现不满足技术要求情况的，采购人有权单方解除合同，采购人将终止支付合同款项并没收成交人缴纳的履约保证金，成交人需在采购人指定期限内将所供催化剂拆除、运离并完成现场清理，相关费用由成交人承担。如成交人未及时完成拆除搬迁工作，采购人有权自行</w:t>
            </w:r>
            <w:r>
              <w:rPr>
                <w:rFonts w:hint="eastAsia"/>
                <w:lang w:val="en-US" w:eastAsia="zh-CN"/>
              </w:rPr>
              <w:t>或委托第三方</w:t>
            </w:r>
            <w:r>
              <w:rPr>
                <w:rFonts w:hint="eastAsia"/>
              </w:rPr>
              <w:t>进行拆除搬迁，由此造成的费用及后果由成交人自行承担</w:t>
            </w:r>
            <w:r>
              <w:rPr>
                <w:rFonts w:hint="eastAsia"/>
                <w:lang w:eastAsia="zh-CN"/>
              </w:rPr>
              <w:t>。</w:t>
            </w:r>
          </w:p>
        </w:tc>
      </w:tr>
      <w:tr w14:paraId="4F21F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4D6E6630">
            <w:pPr>
              <w:jc w:val="center"/>
              <w:rPr>
                <w:rFonts w:ascii="宋体" w:hAnsi="宋体" w:cs="宋体"/>
                <w:szCs w:val="21"/>
              </w:rPr>
            </w:pPr>
            <w:r>
              <w:rPr>
                <w:rFonts w:hint="eastAsia" w:ascii="宋体" w:hAnsi="宋体" w:cs="宋体"/>
                <w:szCs w:val="21"/>
              </w:rPr>
              <w:t>4</w:t>
            </w:r>
          </w:p>
        </w:tc>
        <w:tc>
          <w:tcPr>
            <w:tcW w:w="1501" w:type="dxa"/>
            <w:vAlign w:val="center"/>
          </w:tcPr>
          <w:p w14:paraId="1DDCEB04">
            <w:pPr>
              <w:jc w:val="center"/>
              <w:rPr>
                <w:rFonts w:ascii="宋体" w:hAnsi="宋体" w:cs="宋体"/>
                <w:szCs w:val="21"/>
              </w:rPr>
            </w:pPr>
            <w:r>
              <w:rPr>
                <w:rFonts w:hint="eastAsia" w:ascii="宋体" w:hAnsi="宋体" w:cs="宋体"/>
                <w:szCs w:val="21"/>
              </w:rPr>
              <w:t>项目地点</w:t>
            </w:r>
          </w:p>
        </w:tc>
        <w:tc>
          <w:tcPr>
            <w:tcW w:w="6466" w:type="dxa"/>
            <w:vAlign w:val="center"/>
          </w:tcPr>
          <w:p w14:paraId="50C83237">
            <w:pPr>
              <w:ind w:firstLine="420" w:firstLineChars="200"/>
              <w:rPr>
                <w:rFonts w:ascii="宋体" w:hAnsi="宋体" w:cs="宋体"/>
                <w:szCs w:val="21"/>
              </w:rPr>
            </w:pPr>
            <w:r>
              <w:rPr>
                <w:rFonts w:hint="eastAsia" w:ascii="宋体" w:hAnsi="宋体" w:cs="宋体"/>
                <w:szCs w:val="21"/>
              </w:rPr>
              <w:t>采购人指定地点。</w:t>
            </w:r>
          </w:p>
        </w:tc>
      </w:tr>
      <w:tr w14:paraId="4675C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14:paraId="5CCFB81C">
            <w:pPr>
              <w:jc w:val="center"/>
              <w:rPr>
                <w:rFonts w:ascii="宋体" w:hAnsi="宋体" w:cs="宋体"/>
                <w:szCs w:val="21"/>
              </w:rPr>
            </w:pPr>
            <w:r>
              <w:rPr>
                <w:rFonts w:hint="eastAsia" w:ascii="宋体" w:hAnsi="宋体" w:cs="宋体"/>
                <w:szCs w:val="21"/>
              </w:rPr>
              <w:t>5</w:t>
            </w:r>
          </w:p>
        </w:tc>
        <w:tc>
          <w:tcPr>
            <w:tcW w:w="1501" w:type="dxa"/>
            <w:vAlign w:val="center"/>
          </w:tcPr>
          <w:p w14:paraId="5EF0D7FE">
            <w:pPr>
              <w:jc w:val="center"/>
              <w:rPr>
                <w:rFonts w:ascii="宋体" w:hAnsi="宋体" w:cs="宋体"/>
                <w:szCs w:val="21"/>
              </w:rPr>
            </w:pPr>
            <w:r>
              <w:rPr>
                <w:rFonts w:hint="eastAsia" w:ascii="宋体" w:hAnsi="宋体" w:cs="宋体"/>
                <w:szCs w:val="21"/>
              </w:rPr>
              <w:t>报价要求</w:t>
            </w:r>
          </w:p>
        </w:tc>
        <w:tc>
          <w:tcPr>
            <w:tcW w:w="6466" w:type="dxa"/>
            <w:vAlign w:val="center"/>
          </w:tcPr>
          <w:p w14:paraId="01533411">
            <w:pPr>
              <w:pStyle w:val="10"/>
              <w:ind w:firstLine="420" w:firstLineChars="200"/>
              <w:rPr>
                <w:rFonts w:ascii="宋体" w:hAnsi="宋体" w:cs="宋体"/>
                <w:szCs w:val="21"/>
              </w:rPr>
            </w:pPr>
            <w:r>
              <w:rPr>
                <w:rFonts w:hint="eastAsia" w:ascii="宋体" w:hAnsi="宋体" w:cs="宋体"/>
                <w:szCs w:val="21"/>
              </w:rPr>
              <w:t>本项目发包方式为固定总价包干，实行固定价格报价，包括但不限于：完成本项目的成本、利润、税金等在项目过程中可能产生的一切费用。</w:t>
            </w:r>
            <w:r>
              <w:rPr>
                <w:rFonts w:hint="eastAsia" w:ascii="宋体" w:hAnsi="宋体" w:cs="宋体"/>
                <w:szCs w:val="21"/>
                <w:lang w:eastAsia="zh-CN"/>
              </w:rPr>
              <w:t>投标人</w:t>
            </w:r>
            <w:r>
              <w:rPr>
                <w:rFonts w:hint="eastAsia" w:ascii="宋体" w:hAnsi="宋体" w:cs="宋体"/>
                <w:szCs w:val="21"/>
              </w:rPr>
              <w:t>在中标后必须依据国家相关税务法规开具服务类增值税专用发票。</w:t>
            </w:r>
            <w:r>
              <w:rPr>
                <w:rFonts w:hint="eastAsia" w:ascii="宋体" w:hAnsi="宋体" w:cs="宋体"/>
                <w:szCs w:val="21"/>
                <w:lang w:eastAsia="zh-CN"/>
              </w:rPr>
              <w:t>投标人</w:t>
            </w:r>
            <w:r>
              <w:rPr>
                <w:rFonts w:hint="eastAsia" w:ascii="宋体" w:hAnsi="宋体" w:cs="宋体"/>
                <w:szCs w:val="21"/>
              </w:rPr>
              <w:t>已充分考虑了本项目服务内容及要求描述工作量可能与最终实际工作量存在差距的风险。</w:t>
            </w:r>
          </w:p>
        </w:tc>
      </w:tr>
      <w:tr w14:paraId="21672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7613EF4A">
            <w:pPr>
              <w:jc w:val="center"/>
              <w:rPr>
                <w:rFonts w:ascii="宋体" w:hAnsi="宋体" w:cs="宋体"/>
                <w:szCs w:val="21"/>
              </w:rPr>
            </w:pPr>
            <w:r>
              <w:rPr>
                <w:rFonts w:hint="eastAsia" w:ascii="宋体" w:hAnsi="宋体" w:cs="宋体"/>
                <w:szCs w:val="21"/>
              </w:rPr>
              <w:t>6</w:t>
            </w:r>
          </w:p>
        </w:tc>
        <w:tc>
          <w:tcPr>
            <w:tcW w:w="1501" w:type="dxa"/>
            <w:vAlign w:val="center"/>
          </w:tcPr>
          <w:p w14:paraId="77A7C516">
            <w:pPr>
              <w:jc w:val="center"/>
              <w:rPr>
                <w:rFonts w:ascii="宋体" w:hAnsi="宋体" w:cs="宋体"/>
                <w:szCs w:val="21"/>
              </w:rPr>
            </w:pPr>
            <w:r>
              <w:rPr>
                <w:rFonts w:hint="eastAsia" w:ascii="宋体" w:hAnsi="宋体" w:cs="宋体"/>
                <w:szCs w:val="21"/>
              </w:rPr>
              <w:t>投标有效期</w:t>
            </w:r>
          </w:p>
        </w:tc>
        <w:tc>
          <w:tcPr>
            <w:tcW w:w="6466" w:type="dxa"/>
            <w:vAlign w:val="center"/>
          </w:tcPr>
          <w:p w14:paraId="204CE35A">
            <w:pPr>
              <w:tabs>
                <w:tab w:val="center" w:pos="3125"/>
              </w:tabs>
              <w:ind w:firstLine="420" w:firstLineChars="200"/>
              <w:rPr>
                <w:rFonts w:ascii="宋体" w:hAnsi="宋体" w:cs="宋体"/>
                <w:szCs w:val="21"/>
              </w:rPr>
            </w:pPr>
            <w:r>
              <w:rPr>
                <w:rFonts w:hint="eastAsia" w:ascii="宋体" w:hAnsi="宋体" w:cs="宋体"/>
                <w:szCs w:val="21"/>
              </w:rPr>
              <w:t>自开标之日起90天。</w:t>
            </w:r>
          </w:p>
        </w:tc>
      </w:tr>
      <w:tr w14:paraId="10243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7B01E507">
            <w:pPr>
              <w:jc w:val="center"/>
              <w:rPr>
                <w:rFonts w:ascii="宋体" w:hAnsi="宋体" w:cs="宋体"/>
                <w:szCs w:val="21"/>
              </w:rPr>
            </w:pPr>
            <w:r>
              <w:rPr>
                <w:rFonts w:hint="eastAsia" w:ascii="宋体" w:hAnsi="宋体" w:cs="宋体"/>
                <w:szCs w:val="21"/>
              </w:rPr>
              <w:t>7</w:t>
            </w:r>
          </w:p>
        </w:tc>
        <w:tc>
          <w:tcPr>
            <w:tcW w:w="1501" w:type="dxa"/>
            <w:vAlign w:val="center"/>
          </w:tcPr>
          <w:p w14:paraId="07DEFE8E">
            <w:pPr>
              <w:jc w:val="center"/>
              <w:rPr>
                <w:rFonts w:ascii="宋体" w:hAnsi="宋体" w:cs="宋体"/>
                <w:szCs w:val="21"/>
              </w:rPr>
            </w:pPr>
            <w:r>
              <w:rPr>
                <w:rFonts w:hint="eastAsia" w:ascii="宋体" w:hAnsi="宋体" w:cs="宋体"/>
                <w:szCs w:val="21"/>
              </w:rPr>
              <w:t>合同条款</w:t>
            </w:r>
          </w:p>
        </w:tc>
        <w:tc>
          <w:tcPr>
            <w:tcW w:w="6466" w:type="dxa"/>
            <w:vAlign w:val="center"/>
          </w:tcPr>
          <w:p w14:paraId="6DFB9B70">
            <w:pPr>
              <w:ind w:firstLine="420" w:firstLineChars="200"/>
              <w:rPr>
                <w:rFonts w:ascii="宋体" w:hAnsi="宋体" w:cs="宋体"/>
                <w:szCs w:val="21"/>
              </w:rPr>
            </w:pPr>
            <w:r>
              <w:rPr>
                <w:rFonts w:hint="eastAsia" w:ascii="宋体" w:hAnsi="宋体" w:cs="宋体"/>
                <w:szCs w:val="21"/>
              </w:rPr>
              <w:t>投标人实质响应合同各条款。</w:t>
            </w:r>
          </w:p>
        </w:tc>
      </w:tr>
      <w:tr w14:paraId="6AA4F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2DE7C02E">
            <w:pPr>
              <w:jc w:val="center"/>
              <w:rPr>
                <w:rFonts w:ascii="宋体" w:hAnsi="宋体" w:cs="宋体"/>
                <w:szCs w:val="21"/>
                <w:highlight w:val="none"/>
              </w:rPr>
            </w:pPr>
            <w:r>
              <w:rPr>
                <w:rFonts w:hint="eastAsia" w:ascii="宋体" w:hAnsi="宋体" w:cs="宋体"/>
                <w:szCs w:val="21"/>
                <w:highlight w:val="none"/>
              </w:rPr>
              <w:t>8</w:t>
            </w:r>
          </w:p>
        </w:tc>
        <w:tc>
          <w:tcPr>
            <w:tcW w:w="1501" w:type="dxa"/>
            <w:vAlign w:val="center"/>
          </w:tcPr>
          <w:p w14:paraId="55BA5E52">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其他</w:t>
            </w:r>
          </w:p>
        </w:tc>
        <w:tc>
          <w:tcPr>
            <w:tcW w:w="6466" w:type="dxa"/>
            <w:vAlign w:val="center"/>
          </w:tcPr>
          <w:p w14:paraId="4E0F8BC7">
            <w:pPr>
              <w:ind w:firstLine="420" w:firstLineChars="200"/>
              <w:rPr>
                <w:rFonts w:hint="eastAsia" w:ascii="宋体" w:hAnsi="宋体" w:cs="宋体"/>
                <w:szCs w:val="21"/>
              </w:rPr>
            </w:pPr>
            <w:r>
              <w:rPr>
                <w:rFonts w:hint="eastAsia" w:ascii="宋体" w:hAnsi="宋体" w:cs="宋体"/>
                <w:szCs w:val="21"/>
                <w:lang w:eastAsia="zh-CN"/>
              </w:rPr>
              <w:t>投标人</w:t>
            </w:r>
            <w:r>
              <w:rPr>
                <w:rFonts w:hint="eastAsia" w:ascii="宋体" w:hAnsi="宋体" w:cs="宋体"/>
                <w:szCs w:val="21"/>
              </w:rPr>
              <w:t>投入本项目的人员必须根据项目专业要求持证上岗，并在人员上岗前24小时内向采购人提供有效证件原件核验。</w:t>
            </w:r>
          </w:p>
          <w:p w14:paraId="422E7400">
            <w:pPr>
              <w:ind w:firstLine="420" w:firstLineChars="200"/>
              <w:rPr>
                <w:rFonts w:ascii="宋体" w:hAnsi="宋体" w:cs="宋体"/>
                <w:szCs w:val="21"/>
              </w:rPr>
            </w:pPr>
            <w:r>
              <w:rPr>
                <w:rFonts w:hint="eastAsia" w:ascii="宋体" w:hAnsi="宋体" w:cs="宋体"/>
                <w:szCs w:val="21"/>
                <w:lang w:eastAsia="zh-CN"/>
              </w:rPr>
              <w:t>投标人</w:t>
            </w:r>
            <w:r>
              <w:rPr>
                <w:rFonts w:hint="eastAsia" w:ascii="宋体" w:hAnsi="宋体" w:cs="宋体"/>
                <w:szCs w:val="21"/>
              </w:rPr>
              <w:t>应为委派的工作人员购买保额不低于120万/人的人身意外伤害保险，且保险期限不短于合同履行期。</w:t>
            </w:r>
          </w:p>
        </w:tc>
      </w:tr>
    </w:tbl>
    <w:p w14:paraId="79B01D57"/>
    <w:p w14:paraId="72FBCF6E">
      <w:pPr>
        <w:pStyle w:val="2"/>
        <w:rPr>
          <w:lang w:val="en-US"/>
        </w:rPr>
      </w:pPr>
    </w:p>
    <w:p w14:paraId="18B55466">
      <w:pPr>
        <w:rPr>
          <w:rFonts w:ascii="宋体" w:hAnsi="宋体"/>
          <w:highlight w:val="yellow"/>
        </w:rPr>
      </w:pPr>
      <w:bookmarkStart w:id="12" w:name="_Toc19316"/>
      <w:r>
        <w:rPr>
          <w:rFonts w:hint="eastAsia" w:ascii="宋体" w:hAnsi="宋体"/>
          <w:highlight w:val="yellow"/>
        </w:rPr>
        <w:br w:type="page"/>
      </w:r>
    </w:p>
    <w:p w14:paraId="68A73497">
      <w:pPr>
        <w:pStyle w:val="5"/>
        <w:spacing w:before="0" w:after="0" w:line="360" w:lineRule="auto"/>
        <w:jc w:val="center"/>
      </w:pPr>
      <w:bookmarkStart w:id="13" w:name="_Toc30066"/>
      <w:r>
        <w:rPr>
          <w:rFonts w:hint="eastAsia" w:ascii="宋体" w:hAnsi="宋体"/>
        </w:rPr>
        <w:t>第二章 技术需求书</w:t>
      </w:r>
      <w:bookmarkEnd w:id="12"/>
      <w:bookmarkEnd w:id="13"/>
    </w:p>
    <w:bookmarkEnd w:id="7"/>
    <w:p w14:paraId="766CA543">
      <w:pPr>
        <w:rPr>
          <w:rFonts w:hint="eastAsia" w:ascii="宋体" w:hAnsi="宋体" w:cs="宋体"/>
        </w:rPr>
      </w:pPr>
    </w:p>
    <w:p w14:paraId="0F22D2CF">
      <w:pPr>
        <w:ind w:firstLine="420" w:firstLineChars="200"/>
        <w:rPr>
          <w:rFonts w:ascii="宋体" w:hAnsi="宋体" w:cs="Times New Roman"/>
          <w:szCs w:val="21"/>
        </w:rPr>
      </w:pPr>
      <w:r>
        <w:rPr>
          <w:rFonts w:hint="eastAsia" w:ascii="宋体" w:hAnsi="宋体" w:cs="Times New Roman"/>
          <w:szCs w:val="21"/>
        </w:rPr>
        <w:t>本</w:t>
      </w:r>
      <w:r>
        <w:rPr>
          <w:rFonts w:hint="eastAsia" w:ascii="宋体" w:hAnsi="宋体" w:cs="Times New Roman"/>
          <w:szCs w:val="21"/>
          <w:lang w:eastAsia="zh-CN"/>
        </w:rPr>
        <w:t>技术需求书</w:t>
      </w:r>
      <w:r>
        <w:rPr>
          <w:rFonts w:hint="eastAsia" w:ascii="宋体" w:hAnsi="宋体" w:cs="Times New Roman"/>
          <w:szCs w:val="21"/>
        </w:rPr>
        <w:t>适用于东莞市海心沙资源综合利用中心环保热电厂3号线低温SCR脱硝催化技术服务采购项目</w:t>
      </w:r>
      <w:r>
        <w:rPr>
          <w:rFonts w:hint="eastAsia" w:ascii="宋体" w:hAnsi="宋体" w:cs="Times New Roman"/>
          <w:szCs w:val="21"/>
          <w:lang w:eastAsia="zh-CN"/>
        </w:rPr>
        <w:t>，</w:t>
      </w:r>
      <w:r>
        <w:rPr>
          <w:rFonts w:hint="eastAsia" w:ascii="宋体" w:hAnsi="宋体" w:cs="Times New Roman"/>
          <w:szCs w:val="21"/>
        </w:rPr>
        <w:t>提出的是最低限度的要求，并未对一切细节作出规定，也未充分引述有关标准和规范的条文，投标人保证提供符合本项技术规范和有关最新工业标准的产品</w:t>
      </w:r>
      <w:r>
        <w:rPr>
          <w:rFonts w:hint="eastAsia" w:ascii="宋体" w:hAnsi="宋体" w:cs="Times New Roman"/>
          <w:szCs w:val="21"/>
          <w:lang w:eastAsia="zh-CN"/>
        </w:rPr>
        <w:t>，</w:t>
      </w:r>
      <w:r>
        <w:rPr>
          <w:rFonts w:hint="eastAsia" w:ascii="宋体" w:hAnsi="宋体" w:cs="Times New Roman"/>
          <w:szCs w:val="21"/>
          <w:lang w:val="en-US" w:eastAsia="zh-CN"/>
        </w:rPr>
        <w:t>并符合本项目需求</w:t>
      </w:r>
      <w:r>
        <w:rPr>
          <w:rFonts w:hint="eastAsia" w:ascii="宋体" w:hAnsi="宋体" w:cs="Times New Roman"/>
          <w:szCs w:val="21"/>
        </w:rPr>
        <w:t>。</w:t>
      </w:r>
    </w:p>
    <w:p w14:paraId="16ECAC3D">
      <w:pPr>
        <w:ind w:firstLine="420" w:firstLineChars="200"/>
        <w:rPr>
          <w:rFonts w:hint="eastAsia" w:ascii="宋体" w:hAnsi="宋体" w:cs="Times New Roman"/>
          <w:szCs w:val="21"/>
        </w:rPr>
      </w:pPr>
    </w:p>
    <w:p w14:paraId="1179C382">
      <w:pPr>
        <w:ind w:firstLine="420" w:firstLineChars="200"/>
        <w:rPr>
          <w:rFonts w:hint="eastAsia" w:ascii="宋体" w:hAnsi="宋体" w:cs="Times New Roman"/>
          <w:szCs w:val="21"/>
        </w:rPr>
      </w:pPr>
      <w:r>
        <w:rPr>
          <w:rFonts w:hint="eastAsia" w:ascii="宋体" w:hAnsi="宋体" w:cs="Times New Roman"/>
          <w:szCs w:val="21"/>
        </w:rPr>
        <w:t>1、总则</w:t>
      </w:r>
    </w:p>
    <w:p w14:paraId="04219C34">
      <w:pPr>
        <w:ind w:firstLine="420" w:firstLineChars="200"/>
        <w:rPr>
          <w:rFonts w:hint="eastAsia" w:ascii="宋体" w:hAnsi="宋体" w:cs="Times New Roman"/>
          <w:szCs w:val="21"/>
        </w:rPr>
      </w:pPr>
      <w:r>
        <w:rPr>
          <w:rFonts w:hint="eastAsia" w:ascii="宋体" w:hAnsi="宋体" w:cs="Times New Roman"/>
          <w:szCs w:val="21"/>
        </w:rPr>
        <w:t>1.1本</w:t>
      </w:r>
      <w:r>
        <w:rPr>
          <w:rFonts w:hint="eastAsia" w:ascii="宋体" w:hAnsi="宋体" w:cs="Times New Roman"/>
          <w:szCs w:val="21"/>
          <w:lang w:eastAsia="zh-CN"/>
        </w:rPr>
        <w:t>技术需求书</w:t>
      </w:r>
      <w:r>
        <w:rPr>
          <w:rFonts w:hint="eastAsia" w:ascii="宋体" w:hAnsi="宋体" w:cs="Times New Roman"/>
          <w:szCs w:val="21"/>
        </w:rPr>
        <w:t>提出的是最低限度的技术要求，并未对一切细节做出规定，也未充分引述有关标准和规范的条文。</w:t>
      </w:r>
      <w:r>
        <w:rPr>
          <w:rFonts w:hint="eastAsia" w:ascii="宋体" w:hAnsi="宋体" w:cs="Times New Roman"/>
          <w:szCs w:val="21"/>
          <w:lang w:eastAsia="zh-CN"/>
        </w:rPr>
        <w:t>投标人</w:t>
      </w:r>
      <w:r>
        <w:rPr>
          <w:rFonts w:hint="eastAsia" w:ascii="宋体" w:hAnsi="宋体" w:cs="Times New Roman"/>
          <w:szCs w:val="21"/>
        </w:rPr>
        <w:t>应提供一套满足本</w:t>
      </w:r>
      <w:r>
        <w:rPr>
          <w:rFonts w:hint="eastAsia" w:ascii="宋体" w:hAnsi="宋体" w:cs="Times New Roman"/>
          <w:szCs w:val="21"/>
          <w:lang w:eastAsia="zh-CN"/>
        </w:rPr>
        <w:t>技术需求书</w:t>
      </w:r>
      <w:r>
        <w:rPr>
          <w:rFonts w:hint="eastAsia" w:ascii="宋体" w:hAnsi="宋体" w:cs="Times New Roman"/>
          <w:szCs w:val="21"/>
        </w:rPr>
        <w:t>和所列标准要求的成熟的、高质量产品服务。对国家有关安全、环保等强制性标准，必须满足其要求。</w:t>
      </w:r>
    </w:p>
    <w:p w14:paraId="5A902D47">
      <w:pPr>
        <w:ind w:firstLine="420" w:firstLineChars="200"/>
        <w:rPr>
          <w:rFonts w:hint="eastAsia" w:ascii="宋体" w:hAnsi="宋体" w:cs="Times New Roman"/>
          <w:szCs w:val="21"/>
        </w:rPr>
      </w:pPr>
      <w:r>
        <w:rPr>
          <w:rFonts w:hint="eastAsia" w:ascii="宋体" w:hAnsi="宋体" w:cs="Times New Roman"/>
          <w:szCs w:val="21"/>
        </w:rPr>
        <w:t>1.2</w:t>
      </w:r>
      <w:r>
        <w:rPr>
          <w:rFonts w:hint="eastAsia" w:ascii="宋体" w:hAnsi="宋体" w:cs="Times New Roman"/>
          <w:szCs w:val="21"/>
          <w:lang w:eastAsia="zh-CN"/>
        </w:rPr>
        <w:t>投标人</w:t>
      </w:r>
      <w:r>
        <w:rPr>
          <w:rFonts w:hint="eastAsia" w:ascii="宋体" w:hAnsi="宋体" w:cs="Times New Roman"/>
          <w:szCs w:val="21"/>
        </w:rPr>
        <w:t>应执行本</w:t>
      </w:r>
      <w:r>
        <w:rPr>
          <w:rFonts w:hint="eastAsia" w:ascii="宋体" w:hAnsi="宋体" w:cs="Times New Roman"/>
          <w:szCs w:val="21"/>
          <w:lang w:eastAsia="zh-CN"/>
        </w:rPr>
        <w:t>技术需求书</w:t>
      </w:r>
      <w:r>
        <w:rPr>
          <w:rFonts w:hint="eastAsia" w:ascii="宋体" w:hAnsi="宋体" w:cs="Times New Roman"/>
          <w:szCs w:val="21"/>
        </w:rPr>
        <w:t>所列标准（但不限于），在设计、制造中所涉及的各项规程、规格书和标准保证遵循现行最新最高版本的标准，有不一致时，按最新最高标准执行。</w:t>
      </w:r>
    </w:p>
    <w:p w14:paraId="03285E76">
      <w:pPr>
        <w:ind w:firstLine="420" w:firstLineChars="200"/>
        <w:rPr>
          <w:rFonts w:hint="eastAsia" w:ascii="宋体" w:hAnsi="宋体" w:cs="Times New Roman"/>
          <w:szCs w:val="21"/>
        </w:rPr>
      </w:pPr>
      <w:r>
        <w:rPr>
          <w:rFonts w:hint="eastAsia" w:ascii="宋体" w:hAnsi="宋体" w:cs="Times New Roman"/>
          <w:szCs w:val="21"/>
        </w:rPr>
        <w:t>1.3</w:t>
      </w:r>
      <w:r>
        <w:rPr>
          <w:rFonts w:hint="eastAsia" w:ascii="宋体" w:hAnsi="宋体" w:cs="Times New Roman"/>
          <w:szCs w:val="21"/>
          <w:lang w:eastAsia="zh-CN"/>
        </w:rPr>
        <w:t>投标人</w:t>
      </w:r>
      <w:r>
        <w:rPr>
          <w:rFonts w:hint="eastAsia" w:ascii="宋体" w:hAnsi="宋体" w:cs="Times New Roman"/>
          <w:szCs w:val="21"/>
        </w:rPr>
        <w:t>如对本</w:t>
      </w:r>
      <w:r>
        <w:rPr>
          <w:rFonts w:hint="eastAsia" w:ascii="宋体" w:hAnsi="宋体" w:cs="Times New Roman"/>
          <w:szCs w:val="21"/>
          <w:lang w:eastAsia="zh-CN"/>
        </w:rPr>
        <w:t>技术需求书</w:t>
      </w:r>
      <w:r>
        <w:rPr>
          <w:rFonts w:hint="eastAsia" w:ascii="宋体" w:hAnsi="宋体" w:cs="Times New Roman"/>
          <w:szCs w:val="21"/>
        </w:rPr>
        <w:t>有异议，应以书面形式明确提出，在征得</w:t>
      </w:r>
      <w:r>
        <w:rPr>
          <w:rFonts w:hint="eastAsia" w:ascii="宋体" w:hAnsi="宋体" w:cs="Times New Roman"/>
          <w:szCs w:val="21"/>
          <w:lang w:eastAsia="zh-CN"/>
        </w:rPr>
        <w:t>采购人</w:t>
      </w:r>
      <w:r>
        <w:rPr>
          <w:rFonts w:hint="eastAsia" w:ascii="宋体" w:hAnsi="宋体" w:cs="Times New Roman"/>
          <w:szCs w:val="21"/>
        </w:rPr>
        <w:t>同意后，可对有关条文进行修改。如</w:t>
      </w:r>
      <w:r>
        <w:rPr>
          <w:rFonts w:hint="eastAsia" w:ascii="宋体" w:hAnsi="宋体" w:cs="Times New Roman"/>
          <w:szCs w:val="21"/>
          <w:lang w:eastAsia="zh-CN"/>
        </w:rPr>
        <w:t>采购人</w:t>
      </w:r>
      <w:r>
        <w:rPr>
          <w:rFonts w:hint="eastAsia" w:ascii="宋体" w:hAnsi="宋体" w:cs="Times New Roman"/>
          <w:szCs w:val="21"/>
        </w:rPr>
        <w:t>不同意修改，仍以</w:t>
      </w:r>
      <w:r>
        <w:rPr>
          <w:rFonts w:hint="eastAsia" w:ascii="宋体" w:hAnsi="宋体" w:cs="Times New Roman"/>
          <w:szCs w:val="21"/>
          <w:lang w:eastAsia="zh-CN"/>
        </w:rPr>
        <w:t>采购人</w:t>
      </w:r>
      <w:r>
        <w:rPr>
          <w:rFonts w:hint="eastAsia" w:ascii="宋体" w:hAnsi="宋体" w:cs="Times New Roman"/>
          <w:szCs w:val="21"/>
        </w:rPr>
        <w:t>意见为准。如投标文件与本</w:t>
      </w:r>
      <w:r>
        <w:rPr>
          <w:rFonts w:hint="eastAsia" w:ascii="宋体" w:hAnsi="宋体" w:cs="Times New Roman"/>
          <w:szCs w:val="21"/>
          <w:lang w:eastAsia="zh-CN"/>
        </w:rPr>
        <w:t>技术需求书</w:t>
      </w:r>
      <w:r>
        <w:rPr>
          <w:rFonts w:hint="eastAsia" w:ascii="宋体" w:hAnsi="宋体" w:cs="Times New Roman"/>
          <w:szCs w:val="21"/>
        </w:rPr>
        <w:t>之间有偏差（无论多少），</w:t>
      </w:r>
      <w:r>
        <w:rPr>
          <w:rFonts w:hint="eastAsia" w:ascii="宋体" w:hAnsi="宋体" w:cs="Times New Roman"/>
          <w:szCs w:val="21"/>
          <w:lang w:eastAsia="zh-CN"/>
        </w:rPr>
        <w:t>投标人</w:t>
      </w:r>
      <w:r>
        <w:rPr>
          <w:rFonts w:hint="eastAsia" w:ascii="宋体" w:hAnsi="宋体" w:cs="Times New Roman"/>
          <w:szCs w:val="21"/>
        </w:rPr>
        <w:t>都必须清楚地表示在投标文件中。如</w:t>
      </w:r>
      <w:r>
        <w:rPr>
          <w:rFonts w:hint="eastAsia" w:ascii="宋体" w:hAnsi="宋体" w:cs="Times New Roman"/>
          <w:szCs w:val="21"/>
          <w:lang w:eastAsia="zh-CN"/>
        </w:rPr>
        <w:t>投标人</w:t>
      </w:r>
      <w:r>
        <w:rPr>
          <w:rFonts w:hint="eastAsia" w:ascii="宋体" w:hAnsi="宋体" w:cs="Times New Roman"/>
          <w:szCs w:val="21"/>
        </w:rPr>
        <w:t>没有以书面形式对本</w:t>
      </w:r>
      <w:r>
        <w:rPr>
          <w:rFonts w:hint="eastAsia" w:ascii="宋体" w:hAnsi="宋体" w:cs="Times New Roman"/>
          <w:szCs w:val="21"/>
          <w:lang w:eastAsia="zh-CN"/>
        </w:rPr>
        <w:t>技术需求书</w:t>
      </w:r>
      <w:r>
        <w:rPr>
          <w:rFonts w:hint="eastAsia" w:ascii="宋体" w:hAnsi="宋体" w:cs="Times New Roman"/>
          <w:szCs w:val="21"/>
        </w:rPr>
        <w:t>明确提出异议，那么</w:t>
      </w:r>
      <w:r>
        <w:rPr>
          <w:rFonts w:hint="eastAsia" w:ascii="宋体" w:hAnsi="宋体" w:cs="Times New Roman"/>
          <w:szCs w:val="21"/>
          <w:lang w:eastAsia="zh-CN"/>
        </w:rPr>
        <w:t>采购人</w:t>
      </w:r>
      <w:r>
        <w:rPr>
          <w:rFonts w:hint="eastAsia" w:ascii="宋体" w:hAnsi="宋体" w:cs="Times New Roman"/>
          <w:szCs w:val="21"/>
        </w:rPr>
        <w:t>则认为</w:t>
      </w:r>
      <w:r>
        <w:rPr>
          <w:rFonts w:hint="eastAsia" w:ascii="宋体" w:hAnsi="宋体" w:cs="Times New Roman"/>
          <w:szCs w:val="21"/>
          <w:lang w:eastAsia="zh-CN"/>
        </w:rPr>
        <w:t>投标人</w:t>
      </w:r>
      <w:r>
        <w:rPr>
          <w:rFonts w:hint="eastAsia" w:ascii="宋体" w:hAnsi="宋体" w:cs="Times New Roman"/>
          <w:szCs w:val="21"/>
        </w:rPr>
        <w:t>完全接受和同意本</w:t>
      </w:r>
      <w:r>
        <w:rPr>
          <w:rFonts w:hint="eastAsia" w:ascii="宋体" w:hAnsi="宋体" w:cs="Times New Roman"/>
          <w:szCs w:val="21"/>
          <w:lang w:eastAsia="zh-CN"/>
        </w:rPr>
        <w:t>技术需求书</w:t>
      </w:r>
      <w:r>
        <w:rPr>
          <w:rFonts w:hint="eastAsia" w:ascii="宋体" w:hAnsi="宋体" w:cs="Times New Roman"/>
          <w:szCs w:val="21"/>
        </w:rPr>
        <w:t>的要求。</w:t>
      </w:r>
    </w:p>
    <w:p w14:paraId="53235656">
      <w:pPr>
        <w:ind w:firstLine="420" w:firstLineChars="200"/>
        <w:rPr>
          <w:rFonts w:hint="eastAsia" w:ascii="宋体" w:hAnsi="宋体" w:cs="Times New Roman"/>
          <w:szCs w:val="21"/>
        </w:rPr>
      </w:pPr>
      <w:r>
        <w:rPr>
          <w:rFonts w:hint="eastAsia" w:ascii="宋体" w:hAnsi="宋体" w:cs="Times New Roman"/>
          <w:szCs w:val="21"/>
        </w:rPr>
        <w:t>1.4若本</w:t>
      </w:r>
      <w:r>
        <w:rPr>
          <w:rFonts w:hint="eastAsia" w:ascii="宋体" w:hAnsi="宋体" w:cs="Times New Roman"/>
          <w:szCs w:val="21"/>
          <w:lang w:eastAsia="zh-CN"/>
        </w:rPr>
        <w:t>技术需求书</w:t>
      </w:r>
      <w:r>
        <w:rPr>
          <w:rFonts w:hint="eastAsia" w:ascii="宋体" w:hAnsi="宋体" w:cs="Times New Roman"/>
          <w:szCs w:val="21"/>
        </w:rPr>
        <w:t>前后有不一致的地方，应以有利于设备安全运行、产品质量为原则，由</w:t>
      </w:r>
      <w:r>
        <w:rPr>
          <w:rFonts w:hint="eastAsia" w:ascii="宋体" w:hAnsi="宋体" w:cs="Times New Roman"/>
          <w:szCs w:val="21"/>
          <w:lang w:eastAsia="zh-CN"/>
        </w:rPr>
        <w:t>采购人</w:t>
      </w:r>
      <w:r>
        <w:rPr>
          <w:rFonts w:hint="eastAsia" w:ascii="宋体" w:hAnsi="宋体" w:cs="Times New Roman"/>
          <w:szCs w:val="21"/>
        </w:rPr>
        <w:t>确认。</w:t>
      </w:r>
    </w:p>
    <w:p w14:paraId="055FD784">
      <w:pPr>
        <w:ind w:firstLine="420" w:firstLineChars="200"/>
        <w:rPr>
          <w:rFonts w:hint="eastAsia" w:ascii="宋体" w:hAnsi="宋体" w:cs="Times New Roman"/>
          <w:szCs w:val="21"/>
          <w:lang w:eastAsia="zh-CN"/>
        </w:rPr>
      </w:pPr>
      <w:r>
        <w:rPr>
          <w:rFonts w:hint="eastAsia" w:ascii="宋体" w:hAnsi="宋体" w:cs="Times New Roman"/>
          <w:szCs w:val="21"/>
        </w:rPr>
        <w:t>1.5</w:t>
      </w:r>
      <w:r>
        <w:rPr>
          <w:rFonts w:hint="eastAsia" w:ascii="宋体" w:hAnsi="宋体" w:cs="Times New Roman"/>
          <w:szCs w:val="21"/>
          <w:lang w:eastAsia="zh-CN"/>
        </w:rPr>
        <w:t>投标人</w:t>
      </w:r>
      <w:r>
        <w:rPr>
          <w:rFonts w:hint="eastAsia" w:ascii="宋体" w:hAnsi="宋体" w:cs="Times New Roman"/>
          <w:szCs w:val="21"/>
        </w:rPr>
        <w:t>应提供高质量的</w:t>
      </w:r>
      <w:r>
        <w:rPr>
          <w:rFonts w:hint="eastAsia" w:ascii="宋体" w:hAnsi="宋体" w:cs="Times New Roman"/>
          <w:szCs w:val="21"/>
          <w:lang w:val="en-US" w:eastAsia="zh-CN"/>
        </w:rPr>
        <w:t>低温</w:t>
      </w:r>
      <w:r>
        <w:rPr>
          <w:rFonts w:hint="eastAsia" w:ascii="宋体" w:hAnsi="宋体" w:cs="Times New Roman"/>
          <w:szCs w:val="21"/>
        </w:rPr>
        <w:t>脱硝催化</w:t>
      </w:r>
      <w:r>
        <w:rPr>
          <w:rFonts w:hint="eastAsia" w:ascii="宋体" w:hAnsi="宋体" w:cs="Times New Roman"/>
          <w:szCs w:val="21"/>
          <w:lang w:val="en-US" w:eastAsia="zh-CN"/>
        </w:rPr>
        <w:t>相关服务</w:t>
      </w:r>
      <w:r>
        <w:rPr>
          <w:rFonts w:hint="eastAsia" w:ascii="宋体" w:hAnsi="宋体" w:cs="Times New Roman"/>
          <w:szCs w:val="21"/>
        </w:rPr>
        <w:t>，</w:t>
      </w:r>
      <w:r>
        <w:rPr>
          <w:rFonts w:hint="eastAsia" w:ascii="宋体" w:hAnsi="宋体" w:cs="Times New Roman"/>
          <w:szCs w:val="21"/>
          <w:lang w:val="en-US" w:eastAsia="zh-CN"/>
        </w:rPr>
        <w:t>催化（工作）温度应</w:t>
      </w:r>
      <w:r>
        <w:rPr>
          <w:rFonts w:hint="default" w:ascii="宋体" w:hAnsi="宋体" w:cs="Times New Roman"/>
          <w:szCs w:val="21"/>
          <w:lang w:val="en-US" w:eastAsia="zh-CN"/>
        </w:rPr>
        <w:t>≤</w:t>
      </w:r>
      <w:r>
        <w:rPr>
          <w:rFonts w:hint="eastAsia" w:ascii="宋体" w:hAnsi="宋体" w:cs="Times New Roman"/>
          <w:szCs w:val="21"/>
          <w:lang w:val="en-US" w:eastAsia="zh-CN"/>
        </w:rPr>
        <w:t>155</w:t>
      </w:r>
      <w:r>
        <w:rPr>
          <w:rFonts w:hint="eastAsia" w:ascii="宋体" w:hAnsi="宋体" w:cs="Times New Roman"/>
          <w:szCs w:val="21"/>
        </w:rPr>
        <w:t>℃</w:t>
      </w:r>
      <w:r>
        <w:rPr>
          <w:rFonts w:hint="eastAsia" w:ascii="宋体" w:hAnsi="宋体" w:cs="Times New Roman"/>
          <w:szCs w:val="21"/>
          <w:lang w:eastAsia="zh-CN"/>
        </w:rPr>
        <w:t>。</w:t>
      </w:r>
      <w:r>
        <w:rPr>
          <w:rFonts w:hint="eastAsia" w:ascii="宋体" w:hAnsi="宋体" w:cs="Times New Roman"/>
          <w:szCs w:val="21"/>
          <w:lang w:val="en-US" w:eastAsia="zh-CN"/>
        </w:rPr>
        <w:t>所供材料（</w:t>
      </w:r>
      <w:r>
        <w:rPr>
          <w:rFonts w:hint="eastAsia" w:ascii="宋体" w:hAnsi="宋体" w:cs="Times New Roman"/>
          <w:szCs w:val="21"/>
        </w:rPr>
        <w:t>脱硝催化剂</w:t>
      </w:r>
      <w:r>
        <w:rPr>
          <w:rFonts w:hint="eastAsia" w:ascii="宋体" w:hAnsi="宋体" w:cs="Times New Roman"/>
          <w:szCs w:val="21"/>
          <w:lang w:eastAsia="zh-CN"/>
        </w:rPr>
        <w:t>）</w:t>
      </w:r>
      <w:r>
        <w:rPr>
          <w:rFonts w:hint="eastAsia" w:ascii="宋体" w:hAnsi="宋体" w:cs="Times New Roman"/>
          <w:szCs w:val="21"/>
        </w:rPr>
        <w:t>均是成熟可靠、技术先进的产品。若催化剂采用专利涉及到的全部费用均被认为已包括在报价中，</w:t>
      </w:r>
      <w:r>
        <w:rPr>
          <w:rFonts w:hint="eastAsia" w:ascii="宋体" w:hAnsi="宋体" w:cs="Times New Roman"/>
          <w:szCs w:val="21"/>
          <w:lang w:eastAsia="zh-CN"/>
        </w:rPr>
        <w:t>投标人</w:t>
      </w:r>
      <w:r>
        <w:rPr>
          <w:rFonts w:hint="eastAsia" w:ascii="宋体" w:hAnsi="宋体" w:cs="Times New Roman"/>
          <w:szCs w:val="21"/>
        </w:rPr>
        <w:t>保证</w:t>
      </w:r>
      <w:r>
        <w:rPr>
          <w:rFonts w:hint="eastAsia" w:ascii="宋体" w:hAnsi="宋体" w:cs="Times New Roman"/>
          <w:szCs w:val="21"/>
          <w:lang w:eastAsia="zh-CN"/>
        </w:rPr>
        <w:t>采购人</w:t>
      </w:r>
      <w:r>
        <w:rPr>
          <w:rFonts w:hint="eastAsia" w:ascii="宋体" w:hAnsi="宋体" w:cs="Times New Roman"/>
          <w:szCs w:val="21"/>
        </w:rPr>
        <w:t>不承担有关催化剂专利的一切责任。</w:t>
      </w:r>
      <w:r>
        <w:rPr>
          <w:rFonts w:hint="eastAsia" w:ascii="宋体" w:hAnsi="宋体" w:cs="Times New Roman"/>
          <w:szCs w:val="21"/>
          <w:lang w:eastAsia="zh-CN"/>
        </w:rPr>
        <w:t>投标人</w:t>
      </w:r>
      <w:r>
        <w:rPr>
          <w:rFonts w:hint="eastAsia" w:ascii="宋体" w:hAnsi="宋体" w:cs="Times New Roman"/>
          <w:szCs w:val="21"/>
        </w:rPr>
        <w:t>对所提供的催化剂负有全责，即包括分包（或采购）的部件。</w:t>
      </w:r>
    </w:p>
    <w:p w14:paraId="26638B56">
      <w:pPr>
        <w:ind w:firstLine="420" w:firstLineChars="200"/>
        <w:rPr>
          <w:rFonts w:hint="eastAsia" w:ascii="宋体" w:hAnsi="宋体" w:cs="Times New Roman"/>
          <w:szCs w:val="21"/>
        </w:rPr>
      </w:pPr>
      <w:r>
        <w:rPr>
          <w:rFonts w:hint="eastAsia" w:ascii="宋体" w:hAnsi="宋体" w:cs="Times New Roman"/>
          <w:szCs w:val="21"/>
        </w:rPr>
        <w:t>1.</w:t>
      </w:r>
      <w:r>
        <w:rPr>
          <w:rFonts w:hint="eastAsia" w:ascii="宋体" w:hAnsi="宋体" w:cs="Times New Roman"/>
          <w:szCs w:val="21"/>
          <w:lang w:val="en-US" w:eastAsia="zh-CN"/>
        </w:rPr>
        <w:t>6</w:t>
      </w:r>
      <w:r>
        <w:rPr>
          <w:rFonts w:hint="eastAsia" w:ascii="宋体" w:hAnsi="宋体" w:cs="Times New Roman"/>
          <w:szCs w:val="21"/>
        </w:rPr>
        <w:t>在</w:t>
      </w:r>
      <w:r>
        <w:rPr>
          <w:rFonts w:hint="eastAsia" w:ascii="宋体" w:hAnsi="宋体" w:cs="Times New Roman"/>
          <w:szCs w:val="21"/>
          <w:lang w:eastAsia="zh-CN"/>
        </w:rPr>
        <w:t>技术需求书</w:t>
      </w:r>
      <w:r>
        <w:rPr>
          <w:rFonts w:hint="eastAsia" w:ascii="宋体" w:hAnsi="宋体" w:cs="Times New Roman"/>
          <w:szCs w:val="21"/>
        </w:rPr>
        <w:t>签定后的一周内，按本</w:t>
      </w:r>
      <w:r>
        <w:rPr>
          <w:rFonts w:hint="eastAsia" w:ascii="宋体" w:hAnsi="宋体" w:cs="Times New Roman"/>
          <w:szCs w:val="21"/>
          <w:lang w:val="en-US" w:eastAsia="zh-CN"/>
        </w:rPr>
        <w:t>服务</w:t>
      </w:r>
      <w:r>
        <w:rPr>
          <w:rFonts w:hint="eastAsia" w:ascii="宋体" w:hAnsi="宋体" w:cs="Times New Roman"/>
          <w:szCs w:val="21"/>
          <w:lang w:eastAsia="zh-CN"/>
        </w:rPr>
        <w:t>技术需求书</w:t>
      </w:r>
      <w:r>
        <w:rPr>
          <w:rFonts w:hint="eastAsia" w:ascii="宋体" w:hAnsi="宋体" w:cs="Times New Roman"/>
          <w:szCs w:val="21"/>
        </w:rPr>
        <w:t>要求，</w:t>
      </w:r>
      <w:r>
        <w:rPr>
          <w:rFonts w:hint="eastAsia" w:ascii="宋体" w:hAnsi="宋体" w:cs="Times New Roman"/>
          <w:szCs w:val="21"/>
          <w:lang w:eastAsia="zh-CN"/>
        </w:rPr>
        <w:t>投标人</w:t>
      </w:r>
      <w:r>
        <w:rPr>
          <w:rFonts w:hint="eastAsia" w:ascii="宋体" w:hAnsi="宋体" w:cs="Times New Roman"/>
          <w:szCs w:val="21"/>
        </w:rPr>
        <w:t>提出</w:t>
      </w:r>
      <w:r>
        <w:rPr>
          <w:rFonts w:hint="eastAsia" w:ascii="宋体" w:hAnsi="宋体" w:cs="Times New Roman"/>
          <w:szCs w:val="21"/>
          <w:lang w:val="en-US" w:eastAsia="zh-CN"/>
        </w:rPr>
        <w:t>催化剂服务（</w:t>
      </w:r>
      <w:r>
        <w:rPr>
          <w:rFonts w:hint="eastAsia" w:ascii="宋体" w:hAnsi="宋体" w:cs="Times New Roman"/>
          <w:szCs w:val="21"/>
        </w:rPr>
        <w:t>含材料、安装、调试、运维以及原 材料的拆除)</w:t>
      </w:r>
      <w:r>
        <w:rPr>
          <w:rFonts w:hint="eastAsia" w:ascii="宋体" w:hAnsi="宋体" w:cs="Times New Roman"/>
          <w:szCs w:val="21"/>
          <w:lang w:val="en-US" w:eastAsia="zh-CN"/>
        </w:rPr>
        <w:t>中</w:t>
      </w:r>
      <w:r>
        <w:rPr>
          <w:rFonts w:hint="eastAsia" w:ascii="宋体" w:hAnsi="宋体" w:cs="Times New Roman"/>
          <w:szCs w:val="21"/>
        </w:rPr>
        <w:t>的设计、制造、检验/试验、装配、安装、调试、试运、验收、试验、运行和维护等资料给</w:t>
      </w:r>
      <w:r>
        <w:rPr>
          <w:rFonts w:hint="eastAsia" w:ascii="宋体" w:hAnsi="宋体" w:cs="Times New Roman"/>
          <w:szCs w:val="21"/>
          <w:lang w:eastAsia="zh-CN"/>
        </w:rPr>
        <w:t>采购人</w:t>
      </w:r>
      <w:r>
        <w:rPr>
          <w:rFonts w:hint="eastAsia" w:ascii="宋体" w:hAnsi="宋体" w:cs="Times New Roman"/>
          <w:szCs w:val="21"/>
        </w:rPr>
        <w:t>，</w:t>
      </w:r>
      <w:r>
        <w:rPr>
          <w:rFonts w:hint="eastAsia" w:ascii="宋体" w:hAnsi="宋体" w:cs="Times New Roman"/>
          <w:szCs w:val="21"/>
          <w:lang w:val="en-US" w:eastAsia="zh-CN"/>
        </w:rPr>
        <w:t>供</w:t>
      </w:r>
      <w:r>
        <w:rPr>
          <w:rFonts w:hint="eastAsia" w:ascii="宋体" w:hAnsi="宋体" w:cs="Times New Roman"/>
          <w:szCs w:val="21"/>
          <w:lang w:eastAsia="zh-CN"/>
        </w:rPr>
        <w:t>采购人</w:t>
      </w:r>
      <w:r>
        <w:rPr>
          <w:rFonts w:hint="eastAsia" w:ascii="宋体" w:hAnsi="宋体" w:cs="Times New Roman"/>
          <w:szCs w:val="21"/>
        </w:rPr>
        <w:t>确认。</w:t>
      </w:r>
    </w:p>
    <w:p w14:paraId="16AB986A">
      <w:pPr>
        <w:ind w:firstLine="420" w:firstLineChars="200"/>
        <w:rPr>
          <w:rFonts w:hint="eastAsia" w:ascii="宋体" w:hAnsi="宋体" w:cs="Times New Roman"/>
          <w:szCs w:val="21"/>
        </w:rPr>
      </w:pPr>
      <w:r>
        <w:rPr>
          <w:rFonts w:hint="eastAsia" w:ascii="宋体" w:hAnsi="宋体" w:cs="Times New Roman"/>
          <w:szCs w:val="21"/>
        </w:rPr>
        <w:t>1.7在签订合同之后，</w:t>
      </w:r>
      <w:r>
        <w:rPr>
          <w:rFonts w:hint="eastAsia" w:ascii="宋体" w:hAnsi="宋体" w:cs="Times New Roman"/>
          <w:szCs w:val="21"/>
          <w:lang w:eastAsia="zh-CN"/>
        </w:rPr>
        <w:t>采购人</w:t>
      </w:r>
      <w:r>
        <w:rPr>
          <w:rFonts w:hint="eastAsia" w:ascii="宋体" w:hAnsi="宋体" w:cs="Times New Roman"/>
          <w:szCs w:val="21"/>
        </w:rPr>
        <w:t>保留对本</w:t>
      </w:r>
      <w:r>
        <w:rPr>
          <w:rFonts w:hint="eastAsia" w:ascii="宋体" w:hAnsi="宋体" w:cs="Times New Roman"/>
          <w:szCs w:val="21"/>
          <w:lang w:eastAsia="zh-CN"/>
        </w:rPr>
        <w:t>技术需求书</w:t>
      </w:r>
      <w:r>
        <w:rPr>
          <w:rFonts w:hint="eastAsia" w:ascii="宋体" w:hAnsi="宋体" w:cs="Times New Roman"/>
          <w:szCs w:val="21"/>
        </w:rPr>
        <w:t>提出补充要求和修改的权</w:t>
      </w:r>
      <w:r>
        <w:rPr>
          <w:rFonts w:hint="eastAsia" w:ascii="宋体" w:hAnsi="宋体" w:cs="Times New Roman"/>
          <w:szCs w:val="21"/>
          <w:lang w:val="en-US" w:eastAsia="zh-CN"/>
        </w:rPr>
        <w:t>利</w:t>
      </w:r>
      <w:r>
        <w:rPr>
          <w:rFonts w:hint="eastAsia" w:ascii="宋体" w:hAnsi="宋体" w:cs="Times New Roman"/>
          <w:szCs w:val="21"/>
        </w:rPr>
        <w:t>，</w:t>
      </w:r>
      <w:r>
        <w:rPr>
          <w:rFonts w:hint="eastAsia" w:ascii="宋体" w:hAnsi="宋体" w:cs="Times New Roman"/>
          <w:szCs w:val="21"/>
          <w:lang w:eastAsia="zh-CN"/>
        </w:rPr>
        <w:t>投标人</w:t>
      </w:r>
      <w:r>
        <w:rPr>
          <w:rFonts w:hint="eastAsia" w:ascii="宋体" w:hAnsi="宋体" w:cs="Times New Roman"/>
          <w:szCs w:val="21"/>
        </w:rPr>
        <w:t>应承诺予以配合。如提出修改，具体项目和条件由双方商定。</w:t>
      </w:r>
    </w:p>
    <w:p w14:paraId="327982D6">
      <w:pPr>
        <w:ind w:firstLine="420" w:firstLineChars="200"/>
        <w:rPr>
          <w:rFonts w:hint="eastAsia" w:ascii="宋体" w:hAnsi="宋体" w:cs="Times New Roman"/>
          <w:szCs w:val="21"/>
        </w:rPr>
      </w:pPr>
      <w:r>
        <w:rPr>
          <w:rFonts w:hint="eastAsia" w:ascii="宋体" w:hAnsi="宋体" w:cs="Times New Roman"/>
          <w:szCs w:val="21"/>
        </w:rPr>
        <w:t>1.8本</w:t>
      </w:r>
      <w:r>
        <w:rPr>
          <w:rFonts w:hint="eastAsia" w:ascii="宋体" w:hAnsi="宋体" w:cs="Times New Roman"/>
          <w:szCs w:val="21"/>
          <w:lang w:eastAsia="zh-CN"/>
        </w:rPr>
        <w:t>技术需求书</w:t>
      </w:r>
      <w:r>
        <w:rPr>
          <w:rFonts w:hint="eastAsia" w:ascii="宋体" w:hAnsi="宋体" w:cs="Times New Roman"/>
          <w:szCs w:val="21"/>
        </w:rPr>
        <w:t>与合同正文具有同等法律效力。</w:t>
      </w:r>
    </w:p>
    <w:p w14:paraId="04C26796">
      <w:pPr>
        <w:ind w:firstLine="420" w:firstLineChars="200"/>
        <w:rPr>
          <w:rFonts w:hint="eastAsia" w:ascii="宋体" w:hAnsi="宋体" w:cs="Times New Roman"/>
          <w:szCs w:val="21"/>
        </w:rPr>
      </w:pPr>
      <w:r>
        <w:rPr>
          <w:rFonts w:hint="eastAsia" w:ascii="宋体" w:hAnsi="宋体" w:cs="Times New Roman"/>
          <w:szCs w:val="21"/>
        </w:rPr>
        <w:t>1.9</w:t>
      </w:r>
      <w:r>
        <w:rPr>
          <w:rFonts w:hint="eastAsia" w:ascii="宋体" w:hAnsi="宋体" w:cs="Times New Roman"/>
          <w:szCs w:val="21"/>
          <w:lang w:eastAsia="zh-CN"/>
        </w:rPr>
        <w:t>投标人</w:t>
      </w:r>
      <w:r>
        <w:rPr>
          <w:rFonts w:hint="eastAsia" w:ascii="宋体" w:hAnsi="宋体" w:cs="Times New Roman"/>
          <w:szCs w:val="21"/>
        </w:rPr>
        <w:t>提供</w:t>
      </w:r>
      <w:r>
        <w:rPr>
          <w:rFonts w:hint="eastAsia" w:ascii="宋体" w:hAnsi="宋体" w:cs="Times New Roman"/>
          <w:szCs w:val="21"/>
          <w:lang w:val="en-US" w:eastAsia="zh-CN"/>
        </w:rPr>
        <w:t>服务所包含的货物</w:t>
      </w:r>
      <w:r>
        <w:rPr>
          <w:rFonts w:hint="eastAsia" w:ascii="宋体" w:hAnsi="宋体" w:cs="Times New Roman"/>
          <w:szCs w:val="21"/>
        </w:rPr>
        <w:t>应是全新的和先进的，并经过运行实践已证明是完全成熟可靠的产品。</w:t>
      </w:r>
    </w:p>
    <w:p w14:paraId="0F2630CF">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1.10投标人须为烟气脱硝催化剂生产单位，并提供相应证明资质及材料。</w:t>
      </w:r>
    </w:p>
    <w:p w14:paraId="3E8F0427">
      <w:pPr>
        <w:ind w:firstLine="420" w:firstLineChars="200"/>
        <w:rPr>
          <w:rFonts w:hint="eastAsia" w:ascii="宋体" w:hAnsi="宋体" w:cs="Times New Roman"/>
          <w:szCs w:val="21"/>
        </w:rPr>
      </w:pPr>
      <w:r>
        <w:rPr>
          <w:rFonts w:hint="eastAsia" w:ascii="宋体" w:hAnsi="宋体" w:cs="Times New Roman"/>
          <w:szCs w:val="21"/>
        </w:rPr>
        <w:t>1.1</w:t>
      </w:r>
      <w:r>
        <w:rPr>
          <w:rFonts w:hint="eastAsia" w:ascii="宋体" w:hAnsi="宋体" w:cs="Times New Roman"/>
          <w:szCs w:val="21"/>
          <w:lang w:val="en-US" w:eastAsia="zh-CN"/>
        </w:rPr>
        <w:t>1</w:t>
      </w:r>
      <w:r>
        <w:rPr>
          <w:rFonts w:hint="eastAsia" w:ascii="宋体" w:hAnsi="宋体" w:cs="Times New Roman"/>
          <w:szCs w:val="21"/>
          <w:lang w:eastAsia="zh-CN"/>
        </w:rPr>
        <w:t>投标人</w:t>
      </w:r>
      <w:r>
        <w:rPr>
          <w:rFonts w:hint="eastAsia" w:ascii="宋体" w:hAnsi="宋体" w:cs="Times New Roman"/>
          <w:szCs w:val="21"/>
        </w:rPr>
        <w:t>对本次提供的产品要求：</w:t>
      </w:r>
    </w:p>
    <w:p w14:paraId="62EB1B18">
      <w:pPr>
        <w:ind w:firstLine="420" w:firstLineChars="200"/>
        <w:rPr>
          <w:rFonts w:hint="eastAsia" w:ascii="宋体" w:hAnsi="宋体" w:cs="Times New Roman"/>
          <w:szCs w:val="21"/>
        </w:rPr>
      </w:pPr>
      <w:r>
        <w:rPr>
          <w:rFonts w:hint="eastAsia" w:ascii="宋体" w:hAnsi="宋体" w:cs="Times New Roman"/>
          <w:szCs w:val="21"/>
        </w:rPr>
        <w:t>（1）签订合同之后，</w:t>
      </w:r>
      <w:r>
        <w:rPr>
          <w:rFonts w:hint="eastAsia" w:ascii="宋体" w:hAnsi="宋体" w:cs="Times New Roman"/>
          <w:szCs w:val="21"/>
          <w:lang w:eastAsia="zh-CN"/>
        </w:rPr>
        <w:t>投标人</w:t>
      </w:r>
      <w:r>
        <w:rPr>
          <w:rFonts w:hint="eastAsia" w:ascii="宋体" w:hAnsi="宋体" w:cs="Times New Roman"/>
          <w:szCs w:val="21"/>
          <w:lang w:val="en-US" w:eastAsia="zh-CN"/>
        </w:rPr>
        <w:t>提供</w:t>
      </w:r>
      <w:r>
        <w:rPr>
          <w:rFonts w:hint="eastAsia" w:ascii="宋体" w:hAnsi="宋体" w:cs="Times New Roman"/>
          <w:szCs w:val="21"/>
        </w:rPr>
        <w:t>催化</w:t>
      </w:r>
      <w:r>
        <w:rPr>
          <w:rFonts w:hint="eastAsia" w:ascii="宋体" w:hAnsi="宋体" w:cs="Times New Roman"/>
          <w:szCs w:val="21"/>
          <w:lang w:val="en-US" w:eastAsia="zh-CN"/>
        </w:rPr>
        <w:t>服务内容中</w:t>
      </w:r>
      <w:r>
        <w:rPr>
          <w:rFonts w:hint="eastAsia" w:ascii="宋体" w:hAnsi="宋体" w:cs="Times New Roman"/>
          <w:szCs w:val="21"/>
        </w:rPr>
        <w:t>的</w:t>
      </w:r>
      <w:r>
        <w:rPr>
          <w:rFonts w:hint="eastAsia" w:ascii="宋体" w:hAnsi="宋体" w:cs="Times New Roman"/>
          <w:szCs w:val="21"/>
          <w:lang w:val="en-US" w:eastAsia="zh-CN"/>
        </w:rPr>
        <w:t>相关材料</w:t>
      </w:r>
      <w:r>
        <w:rPr>
          <w:rFonts w:hint="eastAsia" w:ascii="宋体" w:hAnsi="宋体" w:cs="Times New Roman"/>
          <w:szCs w:val="21"/>
        </w:rPr>
        <w:t>生产和供货须由</w:t>
      </w:r>
      <w:r>
        <w:rPr>
          <w:rFonts w:hint="eastAsia" w:ascii="宋体" w:hAnsi="宋体" w:cs="Times New Roman"/>
          <w:szCs w:val="21"/>
          <w:lang w:eastAsia="zh-CN"/>
        </w:rPr>
        <w:t>采购人</w:t>
      </w:r>
      <w:r>
        <w:rPr>
          <w:rFonts w:hint="eastAsia" w:ascii="宋体" w:hAnsi="宋体" w:cs="Times New Roman"/>
          <w:szCs w:val="21"/>
        </w:rPr>
        <w:t>同意，由</w:t>
      </w:r>
      <w:r>
        <w:rPr>
          <w:rFonts w:hint="eastAsia" w:ascii="宋体" w:hAnsi="宋体" w:cs="Times New Roman"/>
          <w:szCs w:val="21"/>
          <w:lang w:eastAsia="zh-CN"/>
        </w:rPr>
        <w:t>采购人</w:t>
      </w:r>
      <w:r>
        <w:rPr>
          <w:rFonts w:hint="eastAsia" w:ascii="宋体" w:hAnsi="宋体" w:cs="Times New Roman"/>
          <w:szCs w:val="21"/>
        </w:rPr>
        <w:t>出具正式的需求书后才能下达生产计划。</w:t>
      </w:r>
      <w:r>
        <w:rPr>
          <w:rFonts w:hint="eastAsia" w:ascii="宋体" w:hAnsi="宋体" w:cs="Times New Roman"/>
          <w:szCs w:val="21"/>
          <w:lang w:eastAsia="zh-CN"/>
        </w:rPr>
        <w:t>投标人</w:t>
      </w:r>
      <w:r>
        <w:rPr>
          <w:rFonts w:hint="eastAsia" w:ascii="宋体" w:hAnsi="宋体" w:cs="Times New Roman"/>
          <w:szCs w:val="21"/>
        </w:rPr>
        <w:t>接受到需求计划书之日起，</w:t>
      </w:r>
      <w:r>
        <w:rPr>
          <w:rFonts w:hint="eastAsia" w:ascii="宋体" w:hAnsi="宋体" w:cs="Times New Roman"/>
          <w:szCs w:val="21"/>
          <w:lang w:val="en-US" w:eastAsia="zh-CN"/>
        </w:rPr>
        <w:t>30个日历日</w:t>
      </w:r>
      <w:r>
        <w:rPr>
          <w:rFonts w:hint="eastAsia" w:ascii="宋体" w:hAnsi="宋体" w:cs="Times New Roman"/>
          <w:szCs w:val="21"/>
        </w:rPr>
        <w:t>内现场达到一套</w:t>
      </w:r>
      <w:r>
        <w:rPr>
          <w:rFonts w:hint="eastAsia" w:ascii="宋体" w:hAnsi="宋体" w:cs="Times New Roman"/>
          <w:szCs w:val="21"/>
          <w:lang w:eastAsia="zh-CN"/>
        </w:rPr>
        <w:t>（3号线）</w:t>
      </w:r>
      <w:r>
        <w:rPr>
          <w:rFonts w:hint="eastAsia" w:ascii="宋体" w:hAnsi="宋体" w:cs="Times New Roman"/>
          <w:szCs w:val="21"/>
        </w:rPr>
        <w:t>低温SCR脱硝催化服务及运维服务的服务标准现场条件</w:t>
      </w:r>
      <w:r>
        <w:rPr>
          <w:rFonts w:hint="eastAsia" w:ascii="宋体" w:hAnsi="宋体" w:cs="Times New Roman"/>
          <w:szCs w:val="21"/>
          <w:lang w:eastAsia="zh-CN"/>
        </w:rPr>
        <w:t>（</w:t>
      </w:r>
      <w:r>
        <w:rPr>
          <w:rFonts w:hint="eastAsia" w:ascii="宋体" w:hAnsi="宋体" w:cs="Times New Roman"/>
          <w:szCs w:val="21"/>
          <w:lang w:val="en-US" w:eastAsia="zh-CN"/>
        </w:rPr>
        <w:t>含</w:t>
      </w:r>
      <w:r>
        <w:rPr>
          <w:rFonts w:hint="eastAsia" w:ascii="宋体" w:hAnsi="宋体" w:cs="Times New Roman"/>
          <w:szCs w:val="21"/>
        </w:rPr>
        <w:t>脱硝催化剂的生产</w:t>
      </w:r>
      <w:r>
        <w:rPr>
          <w:rFonts w:hint="eastAsia" w:ascii="宋体" w:hAnsi="宋体" w:cs="Times New Roman"/>
          <w:szCs w:val="21"/>
          <w:lang w:eastAsia="zh-CN"/>
        </w:rPr>
        <w:t>、</w:t>
      </w:r>
      <w:r>
        <w:rPr>
          <w:rFonts w:hint="eastAsia" w:ascii="宋体" w:hAnsi="宋体" w:cs="Times New Roman"/>
          <w:szCs w:val="21"/>
        </w:rPr>
        <w:t>供货</w:t>
      </w:r>
      <w:r>
        <w:rPr>
          <w:rFonts w:hint="eastAsia" w:ascii="宋体" w:hAnsi="宋体" w:cs="Times New Roman"/>
          <w:szCs w:val="21"/>
          <w:lang w:eastAsia="zh-CN"/>
        </w:rPr>
        <w:t>、</w:t>
      </w:r>
      <w:r>
        <w:rPr>
          <w:rFonts w:hint="eastAsia" w:ascii="宋体" w:hAnsi="宋体" w:cs="Times New Roman"/>
          <w:szCs w:val="21"/>
          <w:lang w:val="en-US" w:eastAsia="zh-CN"/>
        </w:rPr>
        <w:t>安装及原催化剂拆除）</w:t>
      </w:r>
      <w:r>
        <w:rPr>
          <w:rFonts w:hint="eastAsia" w:ascii="宋体" w:hAnsi="宋体" w:cs="Times New Roman"/>
          <w:szCs w:val="21"/>
        </w:rPr>
        <w:t>。</w:t>
      </w:r>
    </w:p>
    <w:p w14:paraId="228107DB">
      <w:pPr>
        <w:ind w:firstLine="420" w:firstLineChars="200"/>
        <w:rPr>
          <w:rFonts w:hint="eastAsia" w:ascii="宋体" w:hAnsi="宋体" w:cs="Times New Roman"/>
          <w:szCs w:val="21"/>
        </w:rPr>
      </w:pPr>
      <w:r>
        <w:rPr>
          <w:rFonts w:hint="eastAsia" w:ascii="宋体" w:hAnsi="宋体" w:cs="Times New Roman"/>
          <w:szCs w:val="21"/>
        </w:rPr>
        <w:t>（2）</w:t>
      </w:r>
      <w:r>
        <w:rPr>
          <w:rFonts w:hint="eastAsia" w:ascii="宋体" w:hAnsi="宋体" w:cs="Times New Roman"/>
          <w:szCs w:val="21"/>
          <w:lang w:val="en-US" w:eastAsia="zh-CN"/>
        </w:rPr>
        <w:t>提供的</w:t>
      </w:r>
      <w:r>
        <w:rPr>
          <w:rFonts w:hint="eastAsia" w:ascii="宋体" w:hAnsi="宋体" w:cs="Times New Roman"/>
          <w:szCs w:val="21"/>
        </w:rPr>
        <w:t>催化剂</w:t>
      </w:r>
      <w:r>
        <w:rPr>
          <w:rFonts w:hint="eastAsia" w:ascii="宋体" w:hAnsi="宋体" w:cs="Times New Roman"/>
          <w:szCs w:val="21"/>
          <w:lang w:val="en-US" w:eastAsia="zh-CN"/>
        </w:rPr>
        <w:t>服务</w:t>
      </w:r>
      <w:r>
        <w:rPr>
          <w:rFonts w:hint="eastAsia" w:ascii="宋体" w:hAnsi="宋体" w:cs="Times New Roman"/>
          <w:szCs w:val="21"/>
        </w:rPr>
        <w:t>性能满足本</w:t>
      </w:r>
      <w:r>
        <w:rPr>
          <w:rFonts w:hint="eastAsia" w:ascii="宋体" w:hAnsi="宋体" w:cs="Times New Roman"/>
          <w:szCs w:val="21"/>
          <w:lang w:eastAsia="zh-CN"/>
        </w:rPr>
        <w:t>技术需求书</w:t>
      </w:r>
      <w:r>
        <w:rPr>
          <w:rFonts w:hint="eastAsia" w:ascii="宋体" w:hAnsi="宋体" w:cs="Times New Roman"/>
          <w:szCs w:val="21"/>
        </w:rPr>
        <w:t>要求。</w:t>
      </w:r>
      <w:r>
        <w:rPr>
          <w:rFonts w:hint="eastAsia" w:ascii="宋体" w:hAnsi="宋体" w:cs="Times New Roman"/>
          <w:szCs w:val="21"/>
          <w:lang w:val="en-US" w:eastAsia="zh-CN"/>
        </w:rPr>
        <w:t>服务所涉及的材料</w:t>
      </w:r>
      <w:r>
        <w:rPr>
          <w:rFonts w:hint="eastAsia" w:ascii="宋体" w:hAnsi="宋体" w:cs="Times New Roman"/>
          <w:szCs w:val="21"/>
        </w:rPr>
        <w:t>到现场需附带供货清单、材质检验合格单。货到现场后，</w:t>
      </w:r>
      <w:r>
        <w:rPr>
          <w:rFonts w:hint="eastAsia" w:ascii="宋体" w:hAnsi="宋体" w:cs="Times New Roman"/>
          <w:szCs w:val="21"/>
          <w:lang w:val="en-US" w:eastAsia="zh-CN"/>
        </w:rPr>
        <w:t>如有异议，</w:t>
      </w:r>
      <w:r>
        <w:rPr>
          <w:rFonts w:hint="eastAsia" w:ascii="宋体" w:hAnsi="宋体" w:cs="Times New Roman"/>
          <w:szCs w:val="21"/>
        </w:rPr>
        <w:t>双方现场</w:t>
      </w:r>
      <w:r>
        <w:rPr>
          <w:rFonts w:hint="eastAsia" w:ascii="宋体" w:hAnsi="宋体" w:cs="Times New Roman"/>
          <w:szCs w:val="21"/>
          <w:lang w:val="en-US" w:eastAsia="zh-CN"/>
        </w:rPr>
        <w:t>可</w:t>
      </w:r>
      <w:r>
        <w:rPr>
          <w:rFonts w:hint="eastAsia" w:ascii="宋体" w:hAnsi="宋体" w:cs="Times New Roman"/>
          <w:szCs w:val="21"/>
        </w:rPr>
        <w:t>随机取样并送国家认可的第三方检测机构对所进材料进行检测，并以检测报告单为准，检测费用、送检费用(差旅或邮寄费)由</w:t>
      </w:r>
      <w:r>
        <w:rPr>
          <w:rFonts w:hint="eastAsia" w:ascii="宋体" w:hAnsi="宋体" w:cs="Times New Roman"/>
          <w:szCs w:val="21"/>
          <w:lang w:val="en-US" w:eastAsia="zh-CN"/>
        </w:rPr>
        <w:t>投标</w:t>
      </w:r>
      <w:r>
        <w:rPr>
          <w:rFonts w:hint="eastAsia" w:ascii="宋体" w:hAnsi="宋体" w:cs="Times New Roman"/>
          <w:szCs w:val="21"/>
        </w:rPr>
        <w:t>方承担，如检测结果不符合国标及以上技术标准，</w:t>
      </w:r>
      <w:r>
        <w:rPr>
          <w:rFonts w:hint="eastAsia" w:ascii="宋体" w:hAnsi="宋体" w:cs="Times New Roman"/>
          <w:szCs w:val="21"/>
          <w:lang w:eastAsia="zh-CN"/>
        </w:rPr>
        <w:t>投标人</w:t>
      </w:r>
      <w:r>
        <w:rPr>
          <w:rFonts w:hint="eastAsia" w:ascii="宋体" w:hAnsi="宋体" w:cs="Times New Roman"/>
          <w:szCs w:val="21"/>
        </w:rPr>
        <w:t>须无偿调换符合标准条件的催化剂。</w:t>
      </w:r>
    </w:p>
    <w:p w14:paraId="6F1FA9F0">
      <w:pPr>
        <w:ind w:firstLine="420" w:firstLineChars="200"/>
        <w:rPr>
          <w:rFonts w:hint="eastAsia" w:ascii="宋体" w:hAnsi="宋体" w:cs="Times New Roman"/>
          <w:szCs w:val="21"/>
        </w:rPr>
      </w:pPr>
      <w:r>
        <w:rPr>
          <w:rFonts w:hint="eastAsia" w:ascii="宋体" w:hAnsi="宋体" w:cs="Times New Roman"/>
          <w:szCs w:val="21"/>
        </w:rPr>
        <w:t>1.13</w:t>
      </w:r>
      <w:r>
        <w:rPr>
          <w:rFonts w:hint="eastAsia" w:ascii="宋体" w:hAnsi="宋体" w:cs="Times New Roman"/>
          <w:szCs w:val="21"/>
          <w:lang w:eastAsia="zh-CN"/>
        </w:rPr>
        <w:t>投标人</w:t>
      </w:r>
      <w:r>
        <w:rPr>
          <w:rFonts w:hint="eastAsia" w:ascii="宋体" w:hAnsi="宋体" w:cs="Times New Roman"/>
          <w:szCs w:val="21"/>
        </w:rPr>
        <w:t>负责本项目</w:t>
      </w:r>
      <w:r>
        <w:rPr>
          <w:rFonts w:hint="eastAsia" w:ascii="宋体" w:hAnsi="宋体" w:cs="Times New Roman"/>
          <w:szCs w:val="21"/>
          <w:lang w:val="en-US" w:eastAsia="zh-CN"/>
        </w:rPr>
        <w:t>服务所涉及的材料</w:t>
      </w:r>
      <w:r>
        <w:rPr>
          <w:rFonts w:hint="eastAsia" w:ascii="宋体" w:hAnsi="宋体" w:cs="Times New Roman"/>
          <w:szCs w:val="21"/>
        </w:rPr>
        <w:t>的设计及供货，包括：</w:t>
      </w:r>
      <w:r>
        <w:rPr>
          <w:rFonts w:hint="eastAsia" w:ascii="宋体" w:hAnsi="宋体" w:cs="Times New Roman"/>
          <w:szCs w:val="21"/>
          <w:lang w:val="en-US" w:eastAsia="zh-CN"/>
        </w:rPr>
        <w:t>脱硝</w:t>
      </w:r>
      <w:r>
        <w:rPr>
          <w:rFonts w:hint="eastAsia" w:ascii="宋体" w:hAnsi="宋体" w:cs="Times New Roman"/>
          <w:szCs w:val="21"/>
        </w:rPr>
        <w:t>催化剂及其配件的设计、制造、运输、</w:t>
      </w:r>
      <w:r>
        <w:rPr>
          <w:rFonts w:hint="eastAsia" w:ascii="宋体" w:hAnsi="宋体" w:cs="Times New Roman"/>
          <w:szCs w:val="21"/>
          <w:lang w:val="en-US" w:eastAsia="zh-CN"/>
        </w:rPr>
        <w:t>新</w:t>
      </w:r>
      <w:r>
        <w:rPr>
          <w:rFonts w:hint="eastAsia" w:ascii="宋体" w:hAnsi="宋体" w:cs="Times New Roman"/>
          <w:szCs w:val="21"/>
        </w:rPr>
        <w:t>催化剂启活、调试、技术培训</w:t>
      </w:r>
      <w:r>
        <w:rPr>
          <w:rFonts w:hint="eastAsia" w:ascii="宋体" w:hAnsi="宋体" w:cs="Times New Roman"/>
          <w:szCs w:val="21"/>
          <w:lang w:eastAsia="zh-CN"/>
        </w:rPr>
        <w:t>，</w:t>
      </w:r>
      <w:r>
        <w:rPr>
          <w:rFonts w:hint="eastAsia" w:ascii="宋体" w:hAnsi="宋体" w:cs="Times New Roman"/>
          <w:szCs w:val="21"/>
          <w:lang w:val="en-US" w:eastAsia="zh-CN"/>
        </w:rPr>
        <w:t>负责安排</w:t>
      </w:r>
      <w:r>
        <w:rPr>
          <w:rFonts w:hint="eastAsia" w:ascii="宋体" w:hAnsi="宋体" w:cs="Times New Roman"/>
          <w:szCs w:val="21"/>
        </w:rPr>
        <w:t>专业人员现场</w:t>
      </w:r>
      <w:r>
        <w:rPr>
          <w:rFonts w:hint="eastAsia" w:ascii="宋体" w:hAnsi="宋体" w:cs="Times New Roman"/>
          <w:szCs w:val="21"/>
          <w:lang w:val="en-US" w:eastAsia="zh-CN"/>
        </w:rPr>
        <w:t>拆除旧</w:t>
      </w:r>
      <w:r>
        <w:rPr>
          <w:rFonts w:hint="eastAsia" w:ascii="宋体" w:hAnsi="宋体" w:cs="Times New Roman"/>
          <w:szCs w:val="21"/>
        </w:rPr>
        <w:t>催化剂</w:t>
      </w:r>
      <w:r>
        <w:rPr>
          <w:rFonts w:hint="eastAsia" w:ascii="宋体" w:hAnsi="宋体" w:cs="Times New Roman"/>
          <w:szCs w:val="21"/>
          <w:lang w:val="en-US" w:eastAsia="zh-CN"/>
        </w:rPr>
        <w:t>和新催化剂</w:t>
      </w:r>
      <w:r>
        <w:rPr>
          <w:rFonts w:hint="eastAsia" w:ascii="宋体" w:hAnsi="宋体" w:cs="Times New Roman"/>
          <w:szCs w:val="21"/>
        </w:rPr>
        <w:t>更换安装等（均包含在合同总价内），并对催化剂的可靠性负责。</w:t>
      </w:r>
    </w:p>
    <w:p w14:paraId="4ED69998">
      <w:pPr>
        <w:ind w:firstLine="420" w:firstLineChars="200"/>
        <w:rPr>
          <w:rFonts w:hint="eastAsia" w:ascii="宋体" w:hAnsi="宋体" w:cs="Times New Roman"/>
          <w:szCs w:val="21"/>
          <w:lang w:val="en-US" w:eastAsia="zh-CN"/>
        </w:rPr>
      </w:pPr>
    </w:p>
    <w:p w14:paraId="58740657">
      <w:pPr>
        <w:ind w:firstLine="420" w:firstLineChars="200"/>
        <w:rPr>
          <w:rFonts w:hint="eastAsia" w:ascii="宋体" w:hAnsi="宋体" w:cs="Times New Roman"/>
          <w:szCs w:val="21"/>
        </w:rPr>
      </w:pPr>
      <w:r>
        <w:rPr>
          <w:rFonts w:hint="eastAsia" w:ascii="宋体" w:hAnsi="宋体" w:cs="Times New Roman"/>
          <w:szCs w:val="21"/>
        </w:rPr>
        <w:t>2 概况</w:t>
      </w:r>
    </w:p>
    <w:p w14:paraId="17FA9331">
      <w:pPr>
        <w:ind w:firstLine="420" w:firstLineChars="200"/>
        <w:rPr>
          <w:rFonts w:hint="eastAsia" w:ascii="宋体" w:hAnsi="宋体" w:cs="Times New Roman"/>
          <w:szCs w:val="21"/>
        </w:rPr>
      </w:pPr>
      <w:r>
        <w:rPr>
          <w:rFonts w:hint="eastAsia" w:ascii="宋体" w:hAnsi="宋体" w:cs="Times New Roman"/>
          <w:szCs w:val="21"/>
        </w:rPr>
        <w:t>东莞市新东元环保投资有限公司海心沙资源综合利用中心环保热电厂为</w:t>
      </w:r>
      <w:r>
        <w:rPr>
          <w:rFonts w:hint="eastAsia" w:ascii="宋体" w:hAnsi="宋体" w:cs="Times New Roman"/>
          <w:szCs w:val="21"/>
          <w:highlight w:val="none"/>
        </w:rPr>
        <w:t>750T</w:t>
      </w:r>
      <w:r>
        <w:rPr>
          <w:rFonts w:hint="eastAsia" w:ascii="宋体" w:hAnsi="宋体" w:cs="Times New Roman"/>
          <w:szCs w:val="21"/>
        </w:rPr>
        <w:t>垃圾焚烧炉，采用“SNCR炉内脱硝＋湿法脱酸+干法喷射+活性炭吸附＋布袋除尘+SCR”等组合工艺，对烟气进行综合净化处理</w:t>
      </w:r>
      <w:r>
        <w:rPr>
          <w:rFonts w:hint="eastAsia" w:ascii="宋体" w:hAnsi="宋体" w:cs="Times New Roman"/>
          <w:szCs w:val="21"/>
          <w:lang w:eastAsia="zh-CN"/>
        </w:rPr>
        <w:t>。</w:t>
      </w:r>
      <w:r>
        <w:rPr>
          <w:rFonts w:hint="eastAsia" w:ascii="宋体" w:hAnsi="宋体" w:cs="Times New Roman"/>
          <w:szCs w:val="21"/>
        </w:rPr>
        <w:t>锅炉出口烟气量</w:t>
      </w:r>
      <w:r>
        <w:rPr>
          <w:rFonts w:hint="eastAsia" w:ascii="宋体" w:hAnsi="宋体" w:cs="Times New Roman"/>
          <w:szCs w:val="21"/>
          <w:lang w:val="en-US" w:eastAsia="zh-CN"/>
        </w:rPr>
        <w:t>近期最高值约</w:t>
      </w:r>
      <w:r>
        <w:rPr>
          <w:rFonts w:hint="eastAsia" w:ascii="宋体" w:hAnsi="宋体" w:cs="Times New Roman"/>
          <w:szCs w:val="21"/>
        </w:rPr>
        <w:t>为1</w:t>
      </w:r>
      <w:r>
        <w:rPr>
          <w:rFonts w:hint="eastAsia" w:ascii="宋体" w:hAnsi="宋体" w:cs="Times New Roman"/>
          <w:szCs w:val="21"/>
          <w:lang w:val="en-US" w:eastAsia="zh-CN"/>
        </w:rPr>
        <w:t>710</w:t>
      </w:r>
      <w:r>
        <w:rPr>
          <w:rFonts w:hint="eastAsia" w:ascii="宋体" w:hAnsi="宋体" w:cs="Times New Roman"/>
          <w:szCs w:val="21"/>
        </w:rPr>
        <w:t>00m³/h</w:t>
      </w:r>
      <w:r>
        <w:rPr>
          <w:rFonts w:hint="eastAsia" w:ascii="宋体" w:hAnsi="宋体" w:cs="Times New Roman"/>
          <w:szCs w:val="21"/>
          <w:lang w:eastAsia="zh-CN"/>
        </w:rPr>
        <w:t>（</w:t>
      </w:r>
      <w:r>
        <w:rPr>
          <w:rFonts w:hint="eastAsia" w:ascii="宋体" w:hAnsi="宋体" w:cs="Times New Roman"/>
          <w:szCs w:val="21"/>
          <w:lang w:val="en-US" w:eastAsia="zh-CN"/>
        </w:rPr>
        <w:t>近两个月内最高值</w:t>
      </w:r>
      <w:r>
        <w:rPr>
          <w:rFonts w:hint="eastAsia" w:ascii="宋体" w:hAnsi="宋体" w:cs="Times New Roman"/>
          <w:szCs w:val="21"/>
          <w:lang w:eastAsia="zh-CN"/>
        </w:rPr>
        <w:t>），</w:t>
      </w:r>
      <w:r>
        <w:rPr>
          <w:rFonts w:hint="eastAsia" w:ascii="宋体" w:hAnsi="宋体" w:cs="Times New Roman"/>
          <w:szCs w:val="21"/>
          <w:lang w:val="en-US" w:eastAsia="zh-CN"/>
        </w:rPr>
        <w:t>设计值为</w:t>
      </w:r>
      <w:r>
        <w:rPr>
          <w:rFonts w:hint="default" w:ascii="宋体" w:hAnsi="宋体" w:cs="Times New Roman"/>
          <w:szCs w:val="21"/>
          <w:lang w:val="en-US" w:eastAsia="zh-CN"/>
        </w:rPr>
        <w:t>190700</w:t>
      </w:r>
      <w:r>
        <w:rPr>
          <w:rFonts w:hint="eastAsia" w:ascii="宋体" w:hAnsi="宋体" w:cs="Times New Roman"/>
          <w:szCs w:val="21"/>
        </w:rPr>
        <w:t>m³/h</w:t>
      </w:r>
      <w:r>
        <w:rPr>
          <w:rFonts w:hint="default" w:ascii="宋体" w:hAnsi="宋体" w:cs="Times New Roman"/>
          <w:szCs w:val="21"/>
          <w:lang w:val="en-US" w:eastAsia="zh-CN"/>
        </w:rPr>
        <w:t xml:space="preserve"> </w:t>
      </w:r>
      <w:r>
        <w:rPr>
          <w:rFonts w:hint="eastAsia" w:ascii="宋体" w:hAnsi="宋体" w:cs="Times New Roman"/>
          <w:szCs w:val="21"/>
          <w:lang w:val="en-US" w:eastAsia="zh-CN"/>
        </w:rPr>
        <w:t>~</w:t>
      </w:r>
      <w:r>
        <w:rPr>
          <w:rFonts w:hint="default" w:ascii="宋体" w:hAnsi="宋体" w:cs="Times New Roman"/>
          <w:szCs w:val="21"/>
          <w:lang w:val="en-US" w:eastAsia="zh-CN"/>
        </w:rPr>
        <w:t>228000</w:t>
      </w:r>
      <w:r>
        <w:rPr>
          <w:rFonts w:hint="eastAsia" w:ascii="宋体" w:hAnsi="宋体" w:cs="Times New Roman"/>
          <w:szCs w:val="21"/>
        </w:rPr>
        <w:t>m³/h</w:t>
      </w:r>
      <w:r>
        <w:rPr>
          <w:rFonts w:hint="eastAsia" w:ascii="宋体" w:hAnsi="宋体" w:cs="Times New Roman"/>
          <w:szCs w:val="21"/>
          <w:lang w:eastAsia="zh-CN"/>
        </w:rPr>
        <w:t>（</w:t>
      </w:r>
      <w:r>
        <w:rPr>
          <w:rFonts w:hint="eastAsia" w:ascii="宋体" w:hAnsi="宋体" w:cs="Times New Roman"/>
          <w:szCs w:val="21"/>
          <w:lang w:val="en-US" w:eastAsia="zh-CN"/>
        </w:rPr>
        <w:t>按</w:t>
      </w:r>
      <w:r>
        <w:rPr>
          <w:rFonts w:hint="default" w:ascii="宋体" w:hAnsi="宋体" w:cs="Times New Roman"/>
          <w:szCs w:val="21"/>
          <w:lang w:val="en-US" w:eastAsia="zh-CN"/>
        </w:rPr>
        <w:t>100%MCR</w:t>
      </w:r>
      <w:r>
        <w:rPr>
          <w:rFonts w:hint="eastAsia" w:ascii="宋体" w:hAnsi="宋体" w:cs="Times New Roman"/>
          <w:szCs w:val="21"/>
          <w:lang w:val="en-US" w:eastAsia="zh-CN"/>
        </w:rPr>
        <w:t>及</w:t>
      </w:r>
      <w:r>
        <w:rPr>
          <w:rFonts w:hint="default" w:ascii="宋体" w:hAnsi="宋体" w:cs="Times New Roman"/>
          <w:szCs w:val="21"/>
          <w:lang w:val="en-US" w:eastAsia="zh-CN"/>
        </w:rPr>
        <w:t>1</w:t>
      </w:r>
      <w:r>
        <w:rPr>
          <w:rFonts w:hint="eastAsia" w:ascii="宋体" w:hAnsi="宋体" w:cs="Times New Roman"/>
          <w:szCs w:val="21"/>
          <w:lang w:val="en-US" w:eastAsia="zh-CN"/>
        </w:rPr>
        <w:t>2</w:t>
      </w:r>
      <w:r>
        <w:rPr>
          <w:rFonts w:hint="default" w:ascii="宋体" w:hAnsi="宋体" w:cs="Times New Roman"/>
          <w:szCs w:val="21"/>
          <w:lang w:val="en-US" w:eastAsia="zh-CN"/>
        </w:rPr>
        <w:t xml:space="preserve">0%MCR </w:t>
      </w:r>
      <w:r>
        <w:rPr>
          <w:rFonts w:hint="eastAsia" w:ascii="宋体" w:hAnsi="宋体" w:cs="Times New Roman"/>
          <w:szCs w:val="21"/>
          <w:lang w:val="en-US" w:eastAsia="zh-CN"/>
        </w:rPr>
        <w:t>烟气量</w:t>
      </w:r>
      <w:r>
        <w:rPr>
          <w:rFonts w:hint="eastAsia" w:ascii="宋体" w:hAnsi="宋体" w:cs="Times New Roman"/>
          <w:szCs w:val="21"/>
          <w:lang w:eastAsia="zh-CN"/>
        </w:rPr>
        <w:t>）</w:t>
      </w:r>
      <w:r>
        <w:rPr>
          <w:rFonts w:hint="eastAsia" w:ascii="宋体" w:hAnsi="宋体" w:cs="Times New Roman"/>
          <w:szCs w:val="21"/>
        </w:rPr>
        <w:t>，脱硝系统布置在干法脱硫布袋除尘系统</w:t>
      </w:r>
      <w:r>
        <w:rPr>
          <w:rFonts w:hint="eastAsia" w:ascii="宋体" w:hAnsi="宋体" w:cs="Times New Roman"/>
          <w:szCs w:val="21"/>
          <w:lang w:val="en-US" w:eastAsia="zh-CN"/>
        </w:rPr>
        <w:t>及烟气湿法脱酸系统</w:t>
      </w:r>
      <w:r>
        <w:rPr>
          <w:rFonts w:hint="eastAsia" w:ascii="宋体" w:hAnsi="宋体" w:cs="Times New Roman"/>
          <w:szCs w:val="21"/>
        </w:rPr>
        <w:t>之后，具有</w:t>
      </w:r>
      <w:r>
        <w:rPr>
          <w:rFonts w:hint="eastAsia" w:ascii="宋体" w:hAnsi="宋体" w:cs="Times New Roman"/>
          <w:szCs w:val="21"/>
          <w:lang w:val="en-US" w:eastAsia="zh-CN"/>
        </w:rPr>
        <w:t>深度</w:t>
      </w:r>
      <w:r>
        <w:rPr>
          <w:rFonts w:hint="eastAsia" w:ascii="宋体" w:hAnsi="宋体" w:cs="Times New Roman"/>
          <w:szCs w:val="21"/>
        </w:rPr>
        <w:t>脱除NOx功能。</w:t>
      </w:r>
    </w:p>
    <w:p w14:paraId="39D55FFE">
      <w:pPr>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 xml:space="preserve">    本项目采用低温SCR催化，低温催化温入口度约180</w:t>
      </w:r>
      <w:r>
        <w:rPr>
          <w:rFonts w:hint="eastAsia" w:ascii="宋体" w:hAnsi="宋体" w:cs="Times New Roman"/>
          <w:szCs w:val="21"/>
        </w:rPr>
        <w:t>℃~</w:t>
      </w:r>
      <w:r>
        <w:rPr>
          <w:rFonts w:hint="eastAsia" w:ascii="宋体" w:hAnsi="宋体" w:cs="Times New Roman"/>
          <w:szCs w:val="21"/>
          <w:lang w:val="en-US" w:eastAsia="zh-CN"/>
        </w:rPr>
        <w:t>210℃，烟气经湿法脱酸后温度约为130</w:t>
      </w:r>
      <w:r>
        <w:rPr>
          <w:rFonts w:hint="eastAsia" w:ascii="宋体" w:hAnsi="宋体" w:cs="Times New Roman"/>
          <w:szCs w:val="21"/>
        </w:rPr>
        <w:t>℃</w:t>
      </w:r>
      <w:r>
        <w:rPr>
          <w:rFonts w:hint="eastAsia" w:ascii="宋体" w:hAnsi="宋体" w:cs="Times New Roman"/>
          <w:szCs w:val="21"/>
          <w:lang w:eastAsia="zh-CN"/>
        </w:rPr>
        <w:t>，</w:t>
      </w:r>
      <w:r>
        <w:rPr>
          <w:rFonts w:hint="eastAsia" w:ascii="宋体" w:hAnsi="宋体" w:cs="Times New Roman"/>
          <w:szCs w:val="21"/>
          <w:lang w:val="en-US" w:eastAsia="zh-CN"/>
        </w:rPr>
        <w:t>通过使用250</w:t>
      </w:r>
      <w:r>
        <w:rPr>
          <w:rFonts w:hint="eastAsia" w:ascii="宋体" w:hAnsi="宋体" w:cs="Times New Roman"/>
          <w:szCs w:val="21"/>
        </w:rPr>
        <w:t>℃、</w:t>
      </w:r>
      <w:r>
        <w:rPr>
          <w:rFonts w:hint="eastAsia" w:ascii="宋体" w:hAnsi="宋体" w:cs="Times New Roman"/>
          <w:szCs w:val="21"/>
          <w:lang w:val="en-US" w:eastAsia="zh-CN"/>
        </w:rPr>
        <w:t>4MPa的饱和蒸汽对烟气进行加热（换热器）升温，达到SCR催化工作温度，每套（或每条线）使用蒸汽量6~8吨/小时（供参考）。</w:t>
      </w:r>
    </w:p>
    <w:p w14:paraId="7FF50B58">
      <w:pPr>
        <w:ind w:firstLine="420" w:firstLineChars="200"/>
        <w:rPr>
          <w:rFonts w:hint="eastAsia" w:ascii="宋体" w:hAnsi="宋体" w:cs="Times New Roman"/>
          <w:szCs w:val="21"/>
        </w:rPr>
      </w:pPr>
    </w:p>
    <w:p w14:paraId="1E263FAC">
      <w:pPr>
        <w:ind w:firstLine="420" w:firstLineChars="200"/>
        <w:rPr>
          <w:rFonts w:hint="eastAsia" w:ascii="宋体" w:hAnsi="宋体" w:cs="Times New Roman"/>
          <w:szCs w:val="21"/>
        </w:rPr>
      </w:pPr>
      <w:r>
        <w:rPr>
          <w:rFonts w:hint="eastAsia" w:ascii="宋体" w:hAnsi="宋体" w:cs="Times New Roman"/>
          <w:szCs w:val="21"/>
        </w:rPr>
        <w:t>2.1使用地点</w:t>
      </w:r>
    </w:p>
    <w:p w14:paraId="47B3C28E">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东莞市新东元环保投资有限公司海心沙资源综合利用中心环保热电厂。</w:t>
      </w:r>
    </w:p>
    <w:p w14:paraId="5CB15CB1">
      <w:pPr>
        <w:ind w:firstLine="420" w:firstLineChars="200"/>
        <w:rPr>
          <w:rFonts w:hint="eastAsia" w:ascii="宋体" w:hAnsi="宋体" w:cs="Times New Roman"/>
          <w:szCs w:val="21"/>
        </w:rPr>
      </w:pPr>
    </w:p>
    <w:p w14:paraId="609BAD90">
      <w:pPr>
        <w:ind w:firstLine="420" w:firstLineChars="200"/>
        <w:rPr>
          <w:rFonts w:hint="eastAsia" w:ascii="宋体" w:hAnsi="宋体" w:cs="Times New Roman"/>
          <w:szCs w:val="21"/>
        </w:rPr>
      </w:pPr>
      <w:r>
        <w:rPr>
          <w:rFonts w:hint="eastAsia" w:ascii="宋体" w:hAnsi="宋体" w:cs="Times New Roman"/>
          <w:szCs w:val="21"/>
        </w:rPr>
        <w:t>2.2自然条件</w:t>
      </w:r>
    </w:p>
    <w:p w14:paraId="6AE0E014">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气候类型：海心沙岛属于亚热带季风气候，长夏无冬，日照充足，雨量充沛，温差小，季风明显。</w:t>
      </w:r>
    </w:p>
    <w:p w14:paraId="1194E373">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降水与湿度：该地区多年平均降雨量大于蒸发量，但降水在年内分配不均，丰水期和枯水期差异明显。空气相对湿度较大，常年在80%以上。</w:t>
      </w:r>
    </w:p>
    <w:p w14:paraId="470F917D">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极端气候：可能受潮汐、洪汛等极端气候影响，同时存在雷暴和海洋性气候侵蚀。</w:t>
      </w:r>
    </w:p>
    <w:p w14:paraId="7D594182">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地理位置：工厂位于海心沙岛，地理坐标为北纬23°0′35.33″，东经113°35′19.36″，地处珠江口附近，属于典型的河口冲积平原地带。</w:t>
      </w:r>
    </w:p>
    <w:p w14:paraId="693E7908">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地形地貌：该地区地形平坦，整体地势北高南低、东高西低，属于三角洲平原地貌。场地周边主要由砂质粘土、粉质粘土等构成，地质条件相对稳定。</w:t>
      </w:r>
    </w:p>
    <w:p w14:paraId="15D469AC">
      <w:pPr>
        <w:ind w:firstLine="420" w:firstLineChars="200"/>
        <w:rPr>
          <w:rFonts w:hint="eastAsia" w:ascii="宋体" w:hAnsi="宋体" w:cs="Times New Roman"/>
          <w:szCs w:val="21"/>
          <w:lang w:val="en-US" w:eastAsia="zh-CN"/>
        </w:rPr>
      </w:pPr>
    </w:p>
    <w:p w14:paraId="135370F1">
      <w:pPr>
        <w:ind w:firstLine="420" w:firstLineChars="200"/>
        <w:rPr>
          <w:rFonts w:hint="eastAsia" w:ascii="宋体" w:hAnsi="宋体" w:cs="Times New Roman"/>
          <w:szCs w:val="21"/>
          <w:lang w:val="en-US" w:eastAsia="zh-CN"/>
        </w:rPr>
      </w:pPr>
      <w:r>
        <w:rPr>
          <w:rFonts w:hint="eastAsia" w:ascii="宋体" w:hAnsi="宋体" w:cs="Times New Roman"/>
          <w:szCs w:val="21"/>
        </w:rPr>
        <w:t>2.3</w:t>
      </w:r>
      <w:r>
        <w:rPr>
          <w:rFonts w:hint="eastAsia" w:ascii="宋体" w:hAnsi="宋体" w:cs="Times New Roman"/>
          <w:szCs w:val="21"/>
          <w:lang w:val="en-US" w:eastAsia="zh-CN"/>
        </w:rPr>
        <w:t>规范及标准</w:t>
      </w:r>
    </w:p>
    <w:p w14:paraId="2944260D">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本技术需求文件提出的是最低限度的要求，并未对一切细节作出规定，也未充分引述全部有关标准和规范的条文，投标人提供的所有服务（包括材料的设计、制造、测试和安装）都应符合采购时已颁布的现行中国国家或国家认可的（部颁、行业）标准和国际标准化组织以及等效或更优的其他国家的权威性标准和规范的有关条文。如果这些标准内容有矛盾时，应按最高标准的条款执行。</w:t>
      </w:r>
    </w:p>
    <w:p w14:paraId="7A2828D7">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如果技术规范中某些要求高于上述标准，则以技术规范的要求为准。</w:t>
      </w:r>
    </w:p>
    <w:p w14:paraId="5D1573F9">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投标人应提供服务范围内涉及的设计制造的规范、规程和标准等清单。</w:t>
      </w:r>
    </w:p>
    <w:p w14:paraId="6DF0E793">
      <w:pPr>
        <w:ind w:firstLine="420" w:firstLineChars="200"/>
        <w:rPr>
          <w:rFonts w:hint="eastAsia" w:ascii="宋体" w:hAnsi="宋体" w:cs="Times New Roman"/>
          <w:szCs w:val="21"/>
          <w:lang w:val="en-US" w:eastAsia="zh-CN"/>
        </w:rPr>
      </w:pPr>
    </w:p>
    <w:tbl>
      <w:tblPr>
        <w:tblStyle w:val="80"/>
        <w:tblW w:w="8526" w:type="dxa"/>
        <w:tblInd w:w="3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8"/>
        <w:gridCol w:w="6028"/>
      </w:tblGrid>
      <w:tr w14:paraId="717D4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98" w:type="dxa"/>
            <w:vAlign w:val="top"/>
          </w:tcPr>
          <w:p w14:paraId="68DF3AC8">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标准号</w:t>
            </w:r>
          </w:p>
        </w:tc>
        <w:tc>
          <w:tcPr>
            <w:tcW w:w="6028" w:type="dxa"/>
            <w:vAlign w:val="top"/>
          </w:tcPr>
          <w:p w14:paraId="53AA0EB0">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标准名称</w:t>
            </w:r>
          </w:p>
        </w:tc>
      </w:tr>
      <w:tr w14:paraId="7D35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98" w:type="dxa"/>
            <w:vAlign w:val="top"/>
          </w:tcPr>
          <w:p w14:paraId="00929D95">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GB 18485-2014</w:t>
            </w:r>
          </w:p>
        </w:tc>
        <w:tc>
          <w:tcPr>
            <w:tcW w:w="6028" w:type="dxa"/>
            <w:vAlign w:val="top"/>
          </w:tcPr>
          <w:p w14:paraId="30FFEEF9">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生活垃圾焚烧污染控制标准</w:t>
            </w:r>
          </w:p>
        </w:tc>
      </w:tr>
      <w:tr w14:paraId="7CEBB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98" w:type="dxa"/>
            <w:vAlign w:val="top"/>
          </w:tcPr>
          <w:p w14:paraId="14C812FF">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GB/T 31587</w:t>
            </w:r>
          </w:p>
        </w:tc>
        <w:tc>
          <w:tcPr>
            <w:tcW w:w="6028" w:type="dxa"/>
            <w:vAlign w:val="top"/>
          </w:tcPr>
          <w:p w14:paraId="57E4FE57">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蜂窝式烟气脱硝催化剂</w:t>
            </w:r>
          </w:p>
        </w:tc>
      </w:tr>
      <w:tr w14:paraId="03909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98" w:type="dxa"/>
            <w:vAlign w:val="top"/>
          </w:tcPr>
          <w:p w14:paraId="600CB442">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DL/T 5480</w:t>
            </w:r>
          </w:p>
        </w:tc>
        <w:tc>
          <w:tcPr>
            <w:tcW w:w="6028" w:type="dxa"/>
            <w:vAlign w:val="top"/>
          </w:tcPr>
          <w:p w14:paraId="33E77BFB">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火力发电厂烟气脱硝设计技术规程</w:t>
            </w:r>
          </w:p>
        </w:tc>
      </w:tr>
      <w:tr w14:paraId="7382C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98" w:type="dxa"/>
            <w:vAlign w:val="top"/>
          </w:tcPr>
          <w:p w14:paraId="70B12E2D">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DL/T 1286</w:t>
            </w:r>
          </w:p>
        </w:tc>
        <w:tc>
          <w:tcPr>
            <w:tcW w:w="6028" w:type="dxa"/>
            <w:vAlign w:val="top"/>
          </w:tcPr>
          <w:p w14:paraId="5DC78EA2">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火电厂烟气脱硝催化剂检测技术规范</w:t>
            </w:r>
          </w:p>
        </w:tc>
      </w:tr>
      <w:tr w14:paraId="6012A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98" w:type="dxa"/>
            <w:vAlign w:val="top"/>
          </w:tcPr>
          <w:p w14:paraId="33539EEE">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HJ/T 75</w:t>
            </w:r>
          </w:p>
        </w:tc>
        <w:tc>
          <w:tcPr>
            <w:tcW w:w="6028" w:type="dxa"/>
            <w:vAlign w:val="top"/>
          </w:tcPr>
          <w:p w14:paraId="0E5DC742">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火电厂烟气排放连续监测技术规程</w:t>
            </w:r>
          </w:p>
        </w:tc>
      </w:tr>
      <w:tr w14:paraId="0D834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98" w:type="dxa"/>
            <w:vAlign w:val="top"/>
          </w:tcPr>
          <w:p w14:paraId="19F558F9">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HJ 1133-2021</w:t>
            </w:r>
          </w:p>
        </w:tc>
        <w:tc>
          <w:tcPr>
            <w:tcW w:w="6028" w:type="dxa"/>
            <w:vAlign w:val="top"/>
          </w:tcPr>
          <w:p w14:paraId="4482B915">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生活垃圾焚烧厂烟气在线监测系统技术要求及检测方法</w:t>
            </w:r>
          </w:p>
        </w:tc>
      </w:tr>
      <w:tr w14:paraId="04B28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98" w:type="dxa"/>
            <w:vAlign w:val="top"/>
          </w:tcPr>
          <w:p w14:paraId="2AAEF392">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HJ/T 562</w:t>
            </w:r>
          </w:p>
        </w:tc>
        <w:tc>
          <w:tcPr>
            <w:tcW w:w="6028" w:type="dxa"/>
            <w:vAlign w:val="top"/>
          </w:tcPr>
          <w:p w14:paraId="044CB2E7">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火电厂烟气脱硝工程技术规范 选择性催化还原法</w:t>
            </w:r>
          </w:p>
        </w:tc>
      </w:tr>
    </w:tbl>
    <w:p w14:paraId="361B8BC6">
      <w:pPr>
        <w:ind w:firstLine="420" w:firstLineChars="200"/>
        <w:rPr>
          <w:rFonts w:hint="default" w:ascii="宋体" w:hAnsi="宋体" w:cs="Times New Roman"/>
          <w:szCs w:val="21"/>
          <w:lang w:val="en-US" w:eastAsia="zh-CN"/>
        </w:rPr>
      </w:pPr>
    </w:p>
    <w:p w14:paraId="41EE1B48">
      <w:pPr>
        <w:ind w:firstLine="420" w:firstLineChars="200"/>
        <w:rPr>
          <w:rFonts w:hint="eastAsia" w:ascii="宋体" w:hAnsi="宋体" w:cs="Times New Roman"/>
          <w:szCs w:val="21"/>
          <w:lang w:val="en-US" w:eastAsia="zh-CN"/>
        </w:rPr>
      </w:pPr>
    </w:p>
    <w:p w14:paraId="3A49EF2F">
      <w:pPr>
        <w:ind w:firstLine="420" w:firstLineChars="200"/>
        <w:rPr>
          <w:rFonts w:hint="eastAsia" w:ascii="宋体" w:hAnsi="宋体" w:cs="Times New Roman"/>
          <w:szCs w:val="21"/>
        </w:rPr>
      </w:pPr>
      <w:r>
        <w:rPr>
          <w:rFonts w:hint="eastAsia" w:ascii="宋体" w:hAnsi="宋体" w:cs="Times New Roman"/>
          <w:szCs w:val="21"/>
        </w:rPr>
        <w:t>2.4催化剂设计参数</w:t>
      </w:r>
    </w:p>
    <w:p w14:paraId="46FDC1FF">
      <w:pPr>
        <w:ind w:firstLine="420" w:firstLineChars="200"/>
        <w:rPr>
          <w:rFonts w:hint="eastAsia" w:ascii="宋体" w:hAnsi="宋体" w:cs="Times New Roman"/>
          <w:szCs w:val="21"/>
        </w:rPr>
      </w:pPr>
      <w:r>
        <w:rPr>
          <w:rFonts w:hint="eastAsia" w:ascii="宋体" w:hAnsi="宋体" w:cs="Times New Roman"/>
          <w:szCs w:val="21"/>
          <w:lang w:val="en-US" w:eastAsia="zh-CN"/>
        </w:rPr>
        <w:t xml:space="preserve">2.4.1 </w:t>
      </w:r>
      <w:r>
        <w:rPr>
          <w:rFonts w:hint="eastAsia" w:ascii="宋体" w:hAnsi="宋体" w:cs="Times New Roman"/>
          <w:szCs w:val="21"/>
        </w:rPr>
        <w:t>工程项目的烟气参数</w:t>
      </w:r>
    </w:p>
    <w:tbl>
      <w:tblPr>
        <w:tblStyle w:val="30"/>
        <w:tblW w:w="9957" w:type="dxa"/>
        <w:tblInd w:w="0" w:type="dxa"/>
        <w:tblLayout w:type="autofit"/>
        <w:tblCellMar>
          <w:top w:w="0" w:type="dxa"/>
          <w:left w:w="108" w:type="dxa"/>
          <w:bottom w:w="0" w:type="dxa"/>
          <w:right w:w="108" w:type="dxa"/>
        </w:tblCellMar>
      </w:tblPr>
      <w:tblGrid>
        <w:gridCol w:w="3174"/>
        <w:gridCol w:w="1626"/>
        <w:gridCol w:w="1983"/>
        <w:gridCol w:w="3174"/>
      </w:tblGrid>
      <w:tr w14:paraId="6E62848A">
        <w:tblPrEx>
          <w:tblCellMar>
            <w:top w:w="0" w:type="dxa"/>
            <w:left w:w="108" w:type="dxa"/>
            <w:bottom w:w="0" w:type="dxa"/>
            <w:right w:w="108" w:type="dxa"/>
          </w:tblCellMar>
        </w:tblPrEx>
        <w:trPr>
          <w:trHeight w:val="429" w:hRule="atLeast"/>
        </w:trPr>
        <w:tc>
          <w:tcPr>
            <w:tcW w:w="3174" w:type="dxa"/>
            <w:tcBorders>
              <w:top w:val="single" w:color="auto" w:sz="4" w:space="0"/>
              <w:left w:val="single" w:color="auto" w:sz="4" w:space="0"/>
              <w:bottom w:val="single" w:color="auto" w:sz="4" w:space="0"/>
              <w:right w:val="single" w:color="auto" w:sz="4" w:space="0"/>
            </w:tcBorders>
            <w:noWrap w:val="0"/>
            <w:vAlign w:val="center"/>
          </w:tcPr>
          <w:p w14:paraId="6AED5646">
            <w:pPr>
              <w:ind w:firstLine="420" w:firstLineChars="200"/>
              <w:rPr>
                <w:rFonts w:hint="eastAsia" w:ascii="宋体" w:hAnsi="宋体" w:cs="Times New Roman"/>
                <w:szCs w:val="21"/>
              </w:rPr>
            </w:pPr>
            <w:r>
              <w:rPr>
                <w:rFonts w:hint="eastAsia" w:ascii="宋体" w:hAnsi="宋体" w:cs="Times New Roman"/>
                <w:szCs w:val="21"/>
              </w:rPr>
              <w:t>项目</w:t>
            </w:r>
          </w:p>
        </w:tc>
        <w:tc>
          <w:tcPr>
            <w:tcW w:w="1626" w:type="dxa"/>
            <w:tcBorders>
              <w:top w:val="single" w:color="auto" w:sz="4" w:space="0"/>
              <w:left w:val="nil"/>
              <w:bottom w:val="single" w:color="auto" w:sz="4" w:space="0"/>
              <w:right w:val="single" w:color="auto" w:sz="4" w:space="0"/>
            </w:tcBorders>
            <w:noWrap w:val="0"/>
            <w:vAlign w:val="center"/>
          </w:tcPr>
          <w:p w14:paraId="4B81EBA7">
            <w:pPr>
              <w:ind w:firstLine="420" w:firstLineChars="200"/>
              <w:rPr>
                <w:rFonts w:hint="eastAsia" w:ascii="宋体" w:hAnsi="宋体" w:cs="Times New Roman"/>
                <w:szCs w:val="21"/>
              </w:rPr>
            </w:pPr>
            <w:r>
              <w:rPr>
                <w:rFonts w:hint="eastAsia" w:ascii="宋体" w:hAnsi="宋体" w:cs="Times New Roman"/>
                <w:szCs w:val="21"/>
              </w:rPr>
              <w:t>单位</w:t>
            </w:r>
          </w:p>
        </w:tc>
        <w:tc>
          <w:tcPr>
            <w:tcW w:w="1983" w:type="dxa"/>
            <w:tcBorders>
              <w:top w:val="single" w:color="auto" w:sz="4" w:space="0"/>
              <w:left w:val="nil"/>
              <w:bottom w:val="single" w:color="auto" w:sz="4" w:space="0"/>
              <w:right w:val="single" w:color="auto" w:sz="4" w:space="0"/>
            </w:tcBorders>
            <w:noWrap w:val="0"/>
            <w:vAlign w:val="center"/>
          </w:tcPr>
          <w:p w14:paraId="782F6F9E">
            <w:pPr>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参数</w:t>
            </w:r>
          </w:p>
        </w:tc>
        <w:tc>
          <w:tcPr>
            <w:tcW w:w="3174" w:type="dxa"/>
            <w:tcBorders>
              <w:top w:val="single" w:color="auto" w:sz="4" w:space="0"/>
              <w:left w:val="nil"/>
              <w:bottom w:val="single" w:color="auto" w:sz="4" w:space="0"/>
              <w:right w:val="single" w:color="auto" w:sz="4" w:space="0"/>
            </w:tcBorders>
            <w:noWrap w:val="0"/>
            <w:vAlign w:val="center"/>
          </w:tcPr>
          <w:p w14:paraId="3D8B81DC">
            <w:pPr>
              <w:ind w:firstLine="420" w:firstLineChars="200"/>
              <w:rPr>
                <w:rFonts w:hint="eastAsia" w:ascii="宋体" w:hAnsi="宋体" w:cs="Times New Roman"/>
                <w:szCs w:val="21"/>
              </w:rPr>
            </w:pPr>
            <w:r>
              <w:rPr>
                <w:rFonts w:hint="eastAsia" w:ascii="宋体" w:hAnsi="宋体" w:cs="Times New Roman"/>
                <w:szCs w:val="21"/>
              </w:rPr>
              <w:t>备注</w:t>
            </w:r>
          </w:p>
        </w:tc>
      </w:tr>
      <w:tr w14:paraId="7BEDDBE5">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shd w:val="clear" w:color="auto" w:fill="auto"/>
            <w:noWrap/>
            <w:vAlign w:val="center"/>
          </w:tcPr>
          <w:p w14:paraId="0A405405">
            <w:pPr>
              <w:ind w:firstLine="420" w:firstLineChars="200"/>
              <w:rPr>
                <w:rFonts w:hint="eastAsia" w:ascii="宋体" w:hAnsi="宋体" w:cs="Times New Roman"/>
                <w:szCs w:val="21"/>
              </w:rPr>
            </w:pPr>
            <w:r>
              <w:rPr>
                <w:rFonts w:hint="eastAsia" w:ascii="宋体" w:hAnsi="宋体" w:cs="Times New Roman"/>
                <w:szCs w:val="21"/>
              </w:rPr>
              <w:t>烟气工况流量</w:t>
            </w:r>
          </w:p>
        </w:tc>
        <w:tc>
          <w:tcPr>
            <w:tcW w:w="1626" w:type="dxa"/>
            <w:tcBorders>
              <w:top w:val="nil"/>
              <w:left w:val="nil"/>
              <w:bottom w:val="single" w:color="auto" w:sz="4" w:space="0"/>
              <w:right w:val="single" w:color="auto" w:sz="4" w:space="0"/>
            </w:tcBorders>
            <w:shd w:val="clear" w:color="auto" w:fill="auto"/>
            <w:noWrap/>
            <w:vAlign w:val="center"/>
          </w:tcPr>
          <w:p w14:paraId="523FAEC5">
            <w:pPr>
              <w:ind w:firstLine="420" w:firstLineChars="200"/>
              <w:rPr>
                <w:rFonts w:hint="eastAsia" w:ascii="宋体" w:hAnsi="宋体" w:cs="Times New Roman"/>
                <w:szCs w:val="21"/>
              </w:rPr>
            </w:pPr>
            <w:r>
              <w:rPr>
                <w:rFonts w:hint="eastAsia" w:ascii="宋体" w:hAnsi="宋体" w:cs="Times New Roman"/>
                <w:szCs w:val="21"/>
                <w:lang w:val="en-US" w:eastAsia="zh-CN"/>
              </w:rPr>
              <w:t>N</w:t>
            </w:r>
            <w:r>
              <w:rPr>
                <w:rFonts w:hint="eastAsia" w:ascii="宋体" w:hAnsi="宋体" w:cs="Times New Roman"/>
                <w:szCs w:val="21"/>
              </w:rPr>
              <w:t>m³/h</w:t>
            </w:r>
          </w:p>
        </w:tc>
        <w:tc>
          <w:tcPr>
            <w:tcW w:w="1983" w:type="dxa"/>
            <w:tcBorders>
              <w:top w:val="single" w:color="auto" w:sz="4" w:space="0"/>
              <w:left w:val="nil"/>
              <w:bottom w:val="single" w:color="auto" w:sz="4" w:space="0"/>
              <w:right w:val="single" w:color="auto" w:sz="4" w:space="0"/>
            </w:tcBorders>
            <w:shd w:val="clear" w:color="auto" w:fill="FFFFFF"/>
            <w:noWrap/>
            <w:vAlign w:val="center"/>
          </w:tcPr>
          <w:p w14:paraId="54B4D0ED">
            <w:pPr>
              <w:ind w:firstLine="420" w:firstLineChars="200"/>
              <w:rPr>
                <w:rFonts w:hint="eastAsia" w:ascii="宋体" w:hAnsi="宋体" w:cs="Times New Roman"/>
                <w:szCs w:val="21"/>
              </w:rPr>
            </w:pPr>
            <w:r>
              <w:rPr>
                <w:rFonts w:hint="eastAsia" w:ascii="宋体" w:hAnsi="宋体" w:cs="Times New Roman"/>
                <w:szCs w:val="21"/>
              </w:rPr>
              <w:t>1</w:t>
            </w:r>
            <w:r>
              <w:rPr>
                <w:rFonts w:hint="eastAsia" w:ascii="宋体" w:hAnsi="宋体" w:cs="Times New Roman"/>
                <w:szCs w:val="21"/>
                <w:lang w:val="en-US" w:eastAsia="zh-CN"/>
              </w:rPr>
              <w:t>710</w:t>
            </w:r>
            <w:r>
              <w:rPr>
                <w:rFonts w:hint="eastAsia" w:ascii="宋体" w:hAnsi="宋体" w:cs="Times New Roman"/>
                <w:szCs w:val="21"/>
              </w:rPr>
              <w:t>00</w:t>
            </w:r>
          </w:p>
        </w:tc>
        <w:tc>
          <w:tcPr>
            <w:tcW w:w="3174" w:type="dxa"/>
            <w:tcBorders>
              <w:top w:val="nil"/>
              <w:left w:val="nil"/>
              <w:bottom w:val="single" w:color="auto" w:sz="4" w:space="0"/>
              <w:right w:val="single" w:color="auto" w:sz="4" w:space="0"/>
            </w:tcBorders>
            <w:noWrap/>
            <w:vAlign w:val="center"/>
          </w:tcPr>
          <w:p w14:paraId="38159755">
            <w:pPr>
              <w:ind w:firstLine="0" w:firstLineChars="0"/>
              <w:rPr>
                <w:rFonts w:hint="eastAsia" w:ascii="宋体" w:hAnsi="宋体" w:cs="Times New Roman"/>
                <w:szCs w:val="21"/>
              </w:rPr>
            </w:pPr>
            <w:r>
              <w:rPr>
                <w:rFonts w:hint="eastAsia" w:ascii="宋体" w:hAnsi="宋体" w:cs="Times New Roman"/>
                <w:szCs w:val="21"/>
                <w:lang w:val="en-US" w:eastAsia="zh-CN"/>
              </w:rPr>
              <w:t>为近两个月内最高值，设计值见下附备注，最终设计以现场勘察为准。工态，</w:t>
            </w:r>
            <w:r>
              <w:rPr>
                <w:rFonts w:hint="eastAsia" w:ascii="宋体" w:hAnsi="宋体" w:cs="Times New Roman"/>
                <w:szCs w:val="21"/>
              </w:rPr>
              <w:t>湿基，实际氧</w:t>
            </w:r>
          </w:p>
        </w:tc>
      </w:tr>
      <w:tr w14:paraId="5F58A316">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shd w:val="clear" w:color="auto" w:fill="auto"/>
            <w:noWrap/>
            <w:vAlign w:val="center"/>
          </w:tcPr>
          <w:p w14:paraId="042DE6E8">
            <w:pPr>
              <w:ind w:firstLine="420" w:firstLineChars="200"/>
              <w:rPr>
                <w:rFonts w:hint="eastAsia" w:ascii="宋体" w:hAnsi="宋体" w:cs="Times New Roman"/>
                <w:szCs w:val="21"/>
              </w:rPr>
            </w:pPr>
            <w:r>
              <w:rPr>
                <w:rFonts w:hint="eastAsia" w:ascii="宋体" w:hAnsi="宋体" w:cs="Times New Roman"/>
                <w:szCs w:val="21"/>
              </w:rPr>
              <w:t>SCR反应温度</w:t>
            </w:r>
          </w:p>
        </w:tc>
        <w:tc>
          <w:tcPr>
            <w:tcW w:w="1626" w:type="dxa"/>
            <w:tcBorders>
              <w:top w:val="nil"/>
              <w:left w:val="nil"/>
              <w:bottom w:val="single" w:color="auto" w:sz="4" w:space="0"/>
              <w:right w:val="single" w:color="auto" w:sz="4" w:space="0"/>
            </w:tcBorders>
            <w:shd w:val="clear" w:color="auto" w:fill="auto"/>
            <w:noWrap/>
            <w:vAlign w:val="center"/>
          </w:tcPr>
          <w:p w14:paraId="7C93DB42">
            <w:pPr>
              <w:ind w:firstLine="420" w:firstLineChars="200"/>
              <w:rPr>
                <w:rFonts w:hint="eastAsia" w:ascii="宋体" w:hAnsi="宋体" w:cs="Times New Roman"/>
                <w:szCs w:val="21"/>
              </w:rPr>
            </w:pPr>
            <w:r>
              <w:rPr>
                <w:rFonts w:hint="eastAsia" w:ascii="宋体" w:hAnsi="宋体" w:cs="Times New Roman"/>
                <w:szCs w:val="21"/>
              </w:rPr>
              <w:t>℃</w:t>
            </w:r>
          </w:p>
        </w:tc>
        <w:tc>
          <w:tcPr>
            <w:tcW w:w="1983" w:type="dxa"/>
            <w:tcBorders>
              <w:top w:val="single" w:color="auto" w:sz="4" w:space="0"/>
              <w:left w:val="nil"/>
              <w:bottom w:val="single" w:color="auto" w:sz="4" w:space="0"/>
              <w:right w:val="single" w:color="auto" w:sz="4" w:space="0"/>
            </w:tcBorders>
            <w:shd w:val="clear" w:color="auto" w:fill="FFFFFF"/>
            <w:noWrap/>
            <w:vAlign w:val="center"/>
          </w:tcPr>
          <w:p w14:paraId="6E489ED1">
            <w:pPr>
              <w:ind w:firstLine="0" w:firstLineChars="0"/>
              <w:rPr>
                <w:rFonts w:hint="eastAsia" w:ascii="宋体" w:hAnsi="宋体" w:cs="Times New Roman"/>
                <w:szCs w:val="21"/>
                <w:lang w:val="en-US" w:eastAsia="zh-CN"/>
              </w:rPr>
            </w:pPr>
            <w:r>
              <w:rPr>
                <w:rFonts w:hint="eastAsia" w:ascii="宋体" w:hAnsi="宋体" w:cs="Times New Roman"/>
                <w:szCs w:val="21"/>
                <w:lang w:val="en-US" w:eastAsia="zh-CN"/>
              </w:rPr>
              <w:t>（投标人填写）</w:t>
            </w:r>
          </w:p>
        </w:tc>
        <w:tc>
          <w:tcPr>
            <w:tcW w:w="3174" w:type="dxa"/>
            <w:tcBorders>
              <w:top w:val="nil"/>
              <w:left w:val="nil"/>
              <w:bottom w:val="single" w:color="auto" w:sz="4" w:space="0"/>
              <w:right w:val="single" w:color="auto" w:sz="4" w:space="0"/>
            </w:tcBorders>
            <w:noWrap/>
            <w:vAlign w:val="center"/>
          </w:tcPr>
          <w:p w14:paraId="68201656">
            <w:pPr>
              <w:ind w:firstLine="420" w:firstLineChars="200"/>
              <w:rPr>
                <w:rFonts w:hint="default" w:ascii="宋体" w:hAnsi="宋体" w:cs="Times New Roman"/>
                <w:szCs w:val="21"/>
                <w:lang w:val="en-US" w:eastAsia="zh-CN"/>
              </w:rPr>
            </w:pPr>
            <w:r>
              <w:rPr>
                <w:rFonts w:hint="eastAsia" w:ascii="宋体" w:hAnsi="宋体" w:cs="Times New Roman"/>
                <w:szCs w:val="21"/>
              </w:rPr>
              <w:t>　≤</w:t>
            </w:r>
            <w:r>
              <w:rPr>
                <w:rFonts w:hint="eastAsia" w:ascii="宋体" w:hAnsi="宋体" w:cs="Times New Roman"/>
                <w:szCs w:val="21"/>
                <w:lang w:val="en-US" w:eastAsia="zh-CN"/>
              </w:rPr>
              <w:t>155℃</w:t>
            </w:r>
          </w:p>
        </w:tc>
      </w:tr>
      <w:tr w14:paraId="66612561">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shd w:val="clear" w:color="auto" w:fill="auto"/>
            <w:noWrap/>
            <w:vAlign w:val="center"/>
          </w:tcPr>
          <w:p w14:paraId="7274219E">
            <w:pPr>
              <w:ind w:firstLine="420" w:firstLineChars="200"/>
              <w:rPr>
                <w:rFonts w:hint="eastAsia" w:ascii="宋体" w:hAnsi="宋体" w:cs="Times New Roman"/>
                <w:szCs w:val="21"/>
              </w:rPr>
            </w:pPr>
            <w:r>
              <w:rPr>
                <w:rFonts w:hint="eastAsia" w:ascii="宋体" w:hAnsi="宋体" w:cs="Times New Roman"/>
                <w:szCs w:val="21"/>
              </w:rPr>
              <w:t>烟气含NOx量</w:t>
            </w:r>
          </w:p>
        </w:tc>
        <w:tc>
          <w:tcPr>
            <w:tcW w:w="1626" w:type="dxa"/>
            <w:tcBorders>
              <w:top w:val="nil"/>
              <w:left w:val="nil"/>
              <w:bottom w:val="single" w:color="auto" w:sz="4" w:space="0"/>
              <w:right w:val="single" w:color="auto" w:sz="4" w:space="0"/>
            </w:tcBorders>
            <w:shd w:val="clear" w:color="auto" w:fill="auto"/>
            <w:noWrap/>
            <w:vAlign w:val="center"/>
          </w:tcPr>
          <w:p w14:paraId="47A8337E">
            <w:pPr>
              <w:ind w:firstLine="420" w:firstLineChars="200"/>
              <w:rPr>
                <w:rFonts w:hint="eastAsia" w:ascii="宋体" w:hAnsi="宋体" w:cs="Times New Roman"/>
                <w:szCs w:val="21"/>
              </w:rPr>
            </w:pPr>
            <w:r>
              <w:rPr>
                <w:rFonts w:hint="eastAsia" w:ascii="宋体" w:hAnsi="宋体" w:cs="Times New Roman"/>
                <w:szCs w:val="21"/>
              </w:rPr>
              <w:t>mg/Nm³</w:t>
            </w:r>
          </w:p>
        </w:tc>
        <w:tc>
          <w:tcPr>
            <w:tcW w:w="1983" w:type="dxa"/>
            <w:tcBorders>
              <w:top w:val="single" w:color="auto" w:sz="4" w:space="0"/>
              <w:left w:val="nil"/>
              <w:bottom w:val="single" w:color="auto" w:sz="4" w:space="0"/>
              <w:right w:val="single" w:color="auto" w:sz="4" w:space="0"/>
            </w:tcBorders>
            <w:shd w:val="clear" w:color="auto" w:fill="FFFFFF"/>
            <w:noWrap/>
            <w:vAlign w:val="center"/>
          </w:tcPr>
          <w:p w14:paraId="0073BC1B">
            <w:pPr>
              <w:ind w:firstLine="420" w:firstLineChars="200"/>
              <w:rPr>
                <w:rFonts w:hint="eastAsia" w:ascii="宋体" w:hAnsi="宋体" w:cs="Times New Roman"/>
                <w:szCs w:val="21"/>
                <w:lang w:val="en-US" w:eastAsia="zh-CN"/>
              </w:rPr>
            </w:pPr>
            <w:r>
              <w:rPr>
                <w:rFonts w:hint="eastAsia" w:ascii="宋体" w:hAnsi="宋体" w:cs="Times New Roman"/>
                <w:szCs w:val="21"/>
              </w:rPr>
              <w:t>≤</w:t>
            </w:r>
            <w:r>
              <w:rPr>
                <w:rFonts w:hint="eastAsia" w:ascii="宋体" w:hAnsi="宋体" w:cs="Times New Roman"/>
                <w:szCs w:val="21"/>
                <w:lang w:val="en-US" w:eastAsia="zh-CN"/>
              </w:rPr>
              <w:t>200</w:t>
            </w:r>
          </w:p>
        </w:tc>
        <w:tc>
          <w:tcPr>
            <w:tcW w:w="3174" w:type="dxa"/>
            <w:tcBorders>
              <w:top w:val="nil"/>
              <w:left w:val="nil"/>
              <w:bottom w:val="single" w:color="auto" w:sz="4" w:space="0"/>
              <w:right w:val="single" w:color="auto" w:sz="4" w:space="0"/>
            </w:tcBorders>
            <w:noWrap w:val="0"/>
            <w:vAlign w:val="center"/>
          </w:tcPr>
          <w:p w14:paraId="153DA891">
            <w:pPr>
              <w:ind w:firstLine="420" w:firstLineChars="200"/>
              <w:rPr>
                <w:rFonts w:hint="default" w:ascii="宋体" w:hAnsi="宋体" w:cs="Times New Roman"/>
                <w:szCs w:val="21"/>
                <w:lang w:val="en-US" w:eastAsia="zh-CN"/>
              </w:rPr>
            </w:pPr>
            <w:r>
              <w:rPr>
                <w:rFonts w:hint="eastAsia" w:ascii="宋体" w:hAnsi="宋体" w:cs="Times New Roman"/>
                <w:szCs w:val="21"/>
              </w:rPr>
              <w:t>标况，干基，11%氧</w:t>
            </w:r>
            <w:r>
              <w:rPr>
                <w:rFonts w:hint="eastAsia" w:ascii="宋体" w:hAnsi="宋体" w:cs="Times New Roman"/>
                <w:szCs w:val="21"/>
                <w:lang w:val="en-US" w:eastAsia="zh-CN"/>
              </w:rPr>
              <w:t>;瞬时值存在波动，按小时均值计。</w:t>
            </w:r>
          </w:p>
        </w:tc>
      </w:tr>
      <w:tr w14:paraId="2E853590">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shd w:val="clear" w:color="auto" w:fill="auto"/>
            <w:noWrap/>
            <w:vAlign w:val="center"/>
          </w:tcPr>
          <w:p w14:paraId="5C5A3E51">
            <w:pPr>
              <w:ind w:firstLine="420" w:firstLineChars="200"/>
              <w:rPr>
                <w:rFonts w:hint="eastAsia" w:ascii="宋体" w:hAnsi="宋体" w:cs="Times New Roman"/>
                <w:szCs w:val="21"/>
              </w:rPr>
            </w:pPr>
            <w:r>
              <w:rPr>
                <w:rFonts w:hint="eastAsia" w:ascii="宋体" w:hAnsi="宋体" w:cs="Times New Roman"/>
                <w:szCs w:val="21"/>
              </w:rPr>
              <w:t>烟气含SO2量</w:t>
            </w:r>
          </w:p>
        </w:tc>
        <w:tc>
          <w:tcPr>
            <w:tcW w:w="1626" w:type="dxa"/>
            <w:tcBorders>
              <w:top w:val="nil"/>
              <w:left w:val="nil"/>
              <w:bottom w:val="single" w:color="auto" w:sz="4" w:space="0"/>
              <w:right w:val="single" w:color="auto" w:sz="4" w:space="0"/>
            </w:tcBorders>
            <w:shd w:val="clear" w:color="auto" w:fill="auto"/>
            <w:noWrap/>
            <w:vAlign w:val="center"/>
          </w:tcPr>
          <w:p w14:paraId="3BF4D7B6">
            <w:pPr>
              <w:ind w:firstLine="420" w:firstLineChars="200"/>
              <w:rPr>
                <w:rFonts w:hint="eastAsia" w:ascii="宋体" w:hAnsi="宋体" w:cs="Times New Roman"/>
                <w:szCs w:val="21"/>
              </w:rPr>
            </w:pPr>
            <w:r>
              <w:rPr>
                <w:rFonts w:hint="eastAsia" w:ascii="宋体" w:hAnsi="宋体" w:cs="Times New Roman"/>
                <w:szCs w:val="21"/>
              </w:rPr>
              <w:t>mg/Nm³</w:t>
            </w:r>
          </w:p>
        </w:tc>
        <w:tc>
          <w:tcPr>
            <w:tcW w:w="1983" w:type="dxa"/>
            <w:tcBorders>
              <w:top w:val="single" w:color="auto" w:sz="4" w:space="0"/>
              <w:left w:val="nil"/>
              <w:bottom w:val="single" w:color="auto" w:sz="4" w:space="0"/>
              <w:right w:val="single" w:color="auto" w:sz="4" w:space="0"/>
            </w:tcBorders>
            <w:shd w:val="clear" w:color="auto" w:fill="FFFFFF"/>
            <w:noWrap/>
            <w:vAlign w:val="center"/>
          </w:tcPr>
          <w:p w14:paraId="5FAB7779">
            <w:pPr>
              <w:ind w:firstLine="420" w:firstLineChars="200"/>
              <w:rPr>
                <w:rFonts w:hint="default" w:ascii="宋体" w:hAnsi="宋体" w:cs="Times New Roman"/>
                <w:szCs w:val="21"/>
                <w:lang w:val="en-US" w:eastAsia="zh-CN"/>
              </w:rPr>
            </w:pPr>
            <w:r>
              <w:rPr>
                <w:rFonts w:hint="eastAsia" w:ascii="宋体" w:hAnsi="宋体" w:cs="Times New Roman"/>
                <w:szCs w:val="21"/>
              </w:rPr>
              <w:t>≤</w:t>
            </w:r>
            <w:r>
              <w:rPr>
                <w:rFonts w:hint="eastAsia" w:ascii="宋体" w:hAnsi="宋体" w:cs="Times New Roman"/>
                <w:szCs w:val="21"/>
                <w:lang w:val="en-US" w:eastAsia="zh-CN"/>
              </w:rPr>
              <w:t>100</w:t>
            </w:r>
          </w:p>
        </w:tc>
        <w:tc>
          <w:tcPr>
            <w:tcW w:w="3174" w:type="dxa"/>
            <w:tcBorders>
              <w:top w:val="nil"/>
              <w:left w:val="nil"/>
              <w:bottom w:val="single" w:color="auto" w:sz="4" w:space="0"/>
              <w:right w:val="single" w:color="auto" w:sz="4" w:space="0"/>
            </w:tcBorders>
            <w:noWrap w:val="0"/>
            <w:vAlign w:val="center"/>
          </w:tcPr>
          <w:p w14:paraId="01CCB4B4">
            <w:pPr>
              <w:ind w:firstLine="420" w:firstLineChars="200"/>
              <w:rPr>
                <w:rFonts w:hint="eastAsia" w:ascii="宋体" w:hAnsi="宋体" w:cs="Times New Roman"/>
                <w:szCs w:val="21"/>
              </w:rPr>
            </w:pPr>
            <w:r>
              <w:rPr>
                <w:rFonts w:hint="eastAsia" w:ascii="宋体" w:hAnsi="宋体" w:cs="Times New Roman"/>
                <w:szCs w:val="21"/>
              </w:rPr>
              <w:t>标况，干基，11%氧</w:t>
            </w:r>
          </w:p>
        </w:tc>
      </w:tr>
      <w:tr w14:paraId="1BEAE2E0">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shd w:val="clear" w:color="auto" w:fill="auto"/>
            <w:noWrap/>
            <w:vAlign w:val="center"/>
          </w:tcPr>
          <w:p w14:paraId="6D9A9626">
            <w:pPr>
              <w:ind w:firstLine="420" w:firstLineChars="200"/>
              <w:rPr>
                <w:rFonts w:hint="eastAsia" w:ascii="宋体" w:hAnsi="宋体" w:cs="Times New Roman"/>
                <w:szCs w:val="21"/>
              </w:rPr>
            </w:pPr>
            <w:r>
              <w:rPr>
                <w:rFonts w:hint="eastAsia" w:ascii="宋体" w:hAnsi="宋体" w:cs="Times New Roman"/>
                <w:szCs w:val="21"/>
              </w:rPr>
              <w:t>烟气含水量</w:t>
            </w:r>
          </w:p>
        </w:tc>
        <w:tc>
          <w:tcPr>
            <w:tcW w:w="1626" w:type="dxa"/>
            <w:tcBorders>
              <w:top w:val="nil"/>
              <w:left w:val="nil"/>
              <w:bottom w:val="single" w:color="auto" w:sz="4" w:space="0"/>
              <w:right w:val="single" w:color="auto" w:sz="4" w:space="0"/>
            </w:tcBorders>
            <w:shd w:val="clear" w:color="auto" w:fill="auto"/>
            <w:noWrap/>
            <w:vAlign w:val="center"/>
          </w:tcPr>
          <w:p w14:paraId="4B6F16F4">
            <w:pPr>
              <w:ind w:firstLine="420" w:firstLineChars="200"/>
              <w:rPr>
                <w:rFonts w:hint="eastAsia" w:ascii="宋体" w:hAnsi="宋体" w:cs="Times New Roman"/>
                <w:szCs w:val="21"/>
              </w:rPr>
            </w:pPr>
            <w:r>
              <w:rPr>
                <w:rFonts w:hint="eastAsia" w:ascii="宋体" w:hAnsi="宋体" w:cs="Times New Roman"/>
                <w:szCs w:val="21"/>
              </w:rPr>
              <w:t>%</w:t>
            </w:r>
          </w:p>
        </w:tc>
        <w:tc>
          <w:tcPr>
            <w:tcW w:w="1983" w:type="dxa"/>
            <w:tcBorders>
              <w:top w:val="nil"/>
              <w:left w:val="nil"/>
              <w:bottom w:val="single" w:color="auto" w:sz="4" w:space="0"/>
              <w:right w:val="single" w:color="auto" w:sz="4" w:space="0"/>
            </w:tcBorders>
            <w:shd w:val="clear" w:color="auto" w:fill="FFFFFF"/>
            <w:noWrap/>
            <w:vAlign w:val="center"/>
          </w:tcPr>
          <w:p w14:paraId="3BA528A3">
            <w:pPr>
              <w:ind w:firstLine="420" w:firstLineChars="200"/>
              <w:rPr>
                <w:rFonts w:hint="default" w:ascii="宋体" w:hAnsi="宋体" w:cs="Times New Roman"/>
                <w:szCs w:val="21"/>
                <w:lang w:val="en-US" w:eastAsia="zh-CN"/>
              </w:rPr>
            </w:pPr>
            <w:r>
              <w:rPr>
                <w:rFonts w:hint="eastAsia" w:ascii="宋体" w:hAnsi="宋体" w:cs="Times New Roman"/>
                <w:szCs w:val="21"/>
              </w:rPr>
              <w:t>≤</w:t>
            </w:r>
            <w:r>
              <w:rPr>
                <w:rFonts w:hint="eastAsia" w:ascii="宋体" w:hAnsi="宋体" w:cs="Times New Roman"/>
                <w:szCs w:val="21"/>
                <w:lang w:val="en-US" w:eastAsia="zh-CN"/>
              </w:rPr>
              <w:t>35</w:t>
            </w:r>
          </w:p>
        </w:tc>
        <w:tc>
          <w:tcPr>
            <w:tcW w:w="3174" w:type="dxa"/>
            <w:tcBorders>
              <w:top w:val="nil"/>
              <w:left w:val="nil"/>
              <w:bottom w:val="single" w:color="auto" w:sz="4" w:space="0"/>
              <w:right w:val="single" w:color="auto" w:sz="4" w:space="0"/>
            </w:tcBorders>
            <w:noWrap/>
            <w:vAlign w:val="center"/>
          </w:tcPr>
          <w:p w14:paraId="057D88F7">
            <w:pPr>
              <w:ind w:firstLine="420" w:firstLineChars="200"/>
              <w:rPr>
                <w:rFonts w:hint="eastAsia" w:ascii="宋体" w:hAnsi="宋体" w:cs="Times New Roman"/>
                <w:szCs w:val="21"/>
              </w:rPr>
            </w:pPr>
            <w:r>
              <w:rPr>
                <w:rFonts w:hint="eastAsia" w:ascii="宋体" w:hAnsi="宋体" w:cs="Times New Roman"/>
                <w:szCs w:val="21"/>
              </w:rPr>
              <w:t>vol%，标况、湿基</w:t>
            </w:r>
          </w:p>
        </w:tc>
      </w:tr>
      <w:tr w14:paraId="1535E69B">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shd w:val="clear" w:color="auto" w:fill="auto"/>
            <w:noWrap/>
            <w:vAlign w:val="center"/>
          </w:tcPr>
          <w:p w14:paraId="45687A78">
            <w:pPr>
              <w:ind w:firstLine="420" w:firstLineChars="200"/>
              <w:rPr>
                <w:rFonts w:hint="eastAsia" w:ascii="宋体" w:hAnsi="宋体" w:cs="Times New Roman"/>
                <w:szCs w:val="21"/>
              </w:rPr>
            </w:pPr>
            <w:r>
              <w:rPr>
                <w:rFonts w:hint="eastAsia" w:ascii="宋体" w:hAnsi="宋体" w:cs="Times New Roman"/>
                <w:szCs w:val="21"/>
              </w:rPr>
              <w:t>烟气含O2量</w:t>
            </w:r>
          </w:p>
        </w:tc>
        <w:tc>
          <w:tcPr>
            <w:tcW w:w="1626" w:type="dxa"/>
            <w:tcBorders>
              <w:top w:val="nil"/>
              <w:left w:val="nil"/>
              <w:bottom w:val="single" w:color="auto" w:sz="4" w:space="0"/>
              <w:right w:val="single" w:color="auto" w:sz="4" w:space="0"/>
            </w:tcBorders>
            <w:shd w:val="clear" w:color="auto" w:fill="auto"/>
            <w:noWrap/>
            <w:vAlign w:val="center"/>
          </w:tcPr>
          <w:p w14:paraId="0475DDBD">
            <w:pPr>
              <w:ind w:firstLine="420" w:firstLineChars="200"/>
              <w:rPr>
                <w:rFonts w:hint="eastAsia" w:ascii="宋体" w:hAnsi="宋体" w:cs="Times New Roman"/>
                <w:szCs w:val="21"/>
              </w:rPr>
            </w:pPr>
            <w:r>
              <w:rPr>
                <w:rFonts w:hint="eastAsia" w:ascii="宋体" w:hAnsi="宋体" w:cs="Times New Roman"/>
                <w:szCs w:val="21"/>
              </w:rPr>
              <w:t>%</w:t>
            </w:r>
          </w:p>
        </w:tc>
        <w:tc>
          <w:tcPr>
            <w:tcW w:w="1983" w:type="dxa"/>
            <w:tcBorders>
              <w:top w:val="nil"/>
              <w:left w:val="nil"/>
              <w:bottom w:val="single" w:color="auto" w:sz="4" w:space="0"/>
              <w:right w:val="single" w:color="auto" w:sz="4" w:space="0"/>
            </w:tcBorders>
            <w:shd w:val="clear" w:color="auto" w:fill="FFFFFF"/>
            <w:noWrap/>
            <w:vAlign w:val="center"/>
          </w:tcPr>
          <w:p w14:paraId="708C6787">
            <w:pPr>
              <w:ind w:firstLine="420" w:firstLineChars="200"/>
              <w:rPr>
                <w:rFonts w:hint="eastAsia" w:ascii="宋体" w:hAnsi="宋体" w:cs="Times New Roman"/>
                <w:szCs w:val="21"/>
              </w:rPr>
            </w:pPr>
            <w:r>
              <w:rPr>
                <w:rFonts w:hint="eastAsia" w:ascii="宋体" w:hAnsi="宋体" w:cs="Times New Roman"/>
                <w:szCs w:val="21"/>
              </w:rPr>
              <w:t>≤10</w:t>
            </w:r>
          </w:p>
        </w:tc>
        <w:tc>
          <w:tcPr>
            <w:tcW w:w="3174" w:type="dxa"/>
            <w:tcBorders>
              <w:top w:val="nil"/>
              <w:left w:val="nil"/>
              <w:bottom w:val="single" w:color="auto" w:sz="4" w:space="0"/>
              <w:right w:val="single" w:color="auto" w:sz="4" w:space="0"/>
            </w:tcBorders>
            <w:noWrap/>
            <w:vAlign w:val="center"/>
          </w:tcPr>
          <w:p w14:paraId="7656398B">
            <w:pPr>
              <w:ind w:firstLine="420" w:firstLineChars="200"/>
              <w:rPr>
                <w:rFonts w:hint="eastAsia" w:ascii="宋体" w:hAnsi="宋体" w:cs="Times New Roman"/>
                <w:szCs w:val="21"/>
              </w:rPr>
            </w:pPr>
            <w:r>
              <w:rPr>
                <w:rFonts w:hint="eastAsia" w:ascii="宋体" w:hAnsi="宋体" w:cs="Times New Roman"/>
                <w:szCs w:val="21"/>
              </w:rPr>
              <w:t>vol%，标况、干基</w:t>
            </w:r>
          </w:p>
        </w:tc>
      </w:tr>
      <w:tr w14:paraId="4E66E041">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shd w:val="clear" w:color="auto" w:fill="auto"/>
            <w:noWrap/>
            <w:vAlign w:val="center"/>
          </w:tcPr>
          <w:p w14:paraId="0A3C6156">
            <w:pPr>
              <w:ind w:firstLine="420" w:firstLineChars="200"/>
              <w:rPr>
                <w:rFonts w:hint="eastAsia" w:ascii="宋体" w:hAnsi="宋体" w:cs="Times New Roman"/>
                <w:szCs w:val="21"/>
              </w:rPr>
            </w:pPr>
            <w:r>
              <w:rPr>
                <w:rFonts w:hint="eastAsia" w:ascii="宋体" w:hAnsi="宋体" w:cs="Times New Roman"/>
                <w:szCs w:val="21"/>
              </w:rPr>
              <w:t>烟气含尘量</w:t>
            </w:r>
          </w:p>
        </w:tc>
        <w:tc>
          <w:tcPr>
            <w:tcW w:w="1626" w:type="dxa"/>
            <w:tcBorders>
              <w:top w:val="nil"/>
              <w:left w:val="nil"/>
              <w:bottom w:val="single" w:color="auto" w:sz="4" w:space="0"/>
              <w:right w:val="single" w:color="auto" w:sz="4" w:space="0"/>
            </w:tcBorders>
            <w:shd w:val="clear" w:color="auto" w:fill="auto"/>
            <w:noWrap/>
            <w:vAlign w:val="center"/>
          </w:tcPr>
          <w:p w14:paraId="1313627B">
            <w:pPr>
              <w:ind w:firstLine="420" w:firstLineChars="200"/>
              <w:rPr>
                <w:rFonts w:hint="eastAsia" w:ascii="宋体" w:hAnsi="宋体" w:cs="Times New Roman"/>
                <w:szCs w:val="21"/>
              </w:rPr>
            </w:pPr>
            <w:r>
              <w:rPr>
                <w:rFonts w:hint="eastAsia" w:ascii="宋体" w:hAnsi="宋体" w:cs="Times New Roman"/>
                <w:szCs w:val="21"/>
              </w:rPr>
              <w:t>mg/Nm3</w:t>
            </w:r>
          </w:p>
        </w:tc>
        <w:tc>
          <w:tcPr>
            <w:tcW w:w="1983" w:type="dxa"/>
            <w:tcBorders>
              <w:top w:val="nil"/>
              <w:left w:val="nil"/>
              <w:bottom w:val="single" w:color="auto" w:sz="4" w:space="0"/>
              <w:right w:val="single" w:color="auto" w:sz="4" w:space="0"/>
            </w:tcBorders>
            <w:shd w:val="clear" w:color="auto" w:fill="FFFFFF"/>
            <w:noWrap/>
            <w:vAlign w:val="center"/>
          </w:tcPr>
          <w:p w14:paraId="14A085D1">
            <w:pPr>
              <w:ind w:firstLine="420" w:firstLineChars="200"/>
              <w:rPr>
                <w:rFonts w:hint="eastAsia" w:ascii="宋体" w:hAnsi="宋体" w:cs="Times New Roman"/>
                <w:szCs w:val="21"/>
              </w:rPr>
            </w:pPr>
            <w:r>
              <w:rPr>
                <w:rFonts w:hint="eastAsia" w:ascii="宋体" w:hAnsi="宋体" w:cs="Times New Roman"/>
                <w:szCs w:val="21"/>
              </w:rPr>
              <w:t>≤10</w:t>
            </w:r>
          </w:p>
        </w:tc>
        <w:tc>
          <w:tcPr>
            <w:tcW w:w="3174" w:type="dxa"/>
            <w:tcBorders>
              <w:top w:val="nil"/>
              <w:left w:val="nil"/>
              <w:bottom w:val="single" w:color="auto" w:sz="4" w:space="0"/>
              <w:right w:val="single" w:color="auto" w:sz="4" w:space="0"/>
            </w:tcBorders>
            <w:noWrap w:val="0"/>
            <w:vAlign w:val="center"/>
          </w:tcPr>
          <w:p w14:paraId="0FB585D4">
            <w:pPr>
              <w:ind w:firstLine="420" w:firstLineChars="200"/>
              <w:rPr>
                <w:rFonts w:hint="eastAsia" w:ascii="宋体" w:hAnsi="宋体" w:cs="Times New Roman"/>
                <w:szCs w:val="21"/>
              </w:rPr>
            </w:pPr>
            <w:r>
              <w:rPr>
                <w:rFonts w:hint="eastAsia" w:ascii="宋体" w:hAnsi="宋体" w:cs="Times New Roman"/>
                <w:szCs w:val="21"/>
              </w:rPr>
              <w:t>标况，干基</w:t>
            </w:r>
          </w:p>
        </w:tc>
      </w:tr>
      <w:tr w14:paraId="47BAA7FC">
        <w:tblPrEx>
          <w:tblCellMar>
            <w:top w:w="0" w:type="dxa"/>
            <w:left w:w="108" w:type="dxa"/>
            <w:bottom w:w="0" w:type="dxa"/>
            <w:right w:w="108" w:type="dxa"/>
          </w:tblCellMar>
        </w:tblPrEx>
        <w:trPr>
          <w:trHeight w:val="484" w:hRule="atLeast"/>
        </w:trPr>
        <w:tc>
          <w:tcPr>
            <w:tcW w:w="4800" w:type="dxa"/>
            <w:gridSpan w:val="2"/>
            <w:tcBorders>
              <w:top w:val="nil"/>
              <w:left w:val="nil"/>
              <w:bottom w:val="nil"/>
              <w:right w:val="nil"/>
            </w:tcBorders>
            <w:noWrap/>
            <w:vAlign w:val="center"/>
          </w:tcPr>
          <w:p w14:paraId="2A0701DD">
            <w:pPr>
              <w:ind w:firstLine="420" w:firstLineChars="200"/>
              <w:rPr>
                <w:rFonts w:hint="eastAsia" w:ascii="宋体" w:hAnsi="宋体" w:cs="Times New Roman"/>
                <w:szCs w:val="21"/>
                <w:lang w:val="en-US" w:eastAsia="zh-CN"/>
              </w:rPr>
            </w:pPr>
          </w:p>
          <w:p w14:paraId="15FB5E96">
            <w:pPr>
              <w:ind w:firstLine="420" w:firstLineChars="200"/>
              <w:rPr>
                <w:rFonts w:hint="eastAsia" w:ascii="宋体" w:hAnsi="宋体" w:cs="Times New Roman"/>
                <w:szCs w:val="21"/>
              </w:rPr>
            </w:pPr>
            <w:r>
              <w:rPr>
                <w:rFonts w:hint="eastAsia" w:ascii="宋体" w:hAnsi="宋体" w:cs="Times New Roman"/>
                <w:szCs w:val="21"/>
                <w:lang w:val="en-US" w:eastAsia="zh-CN"/>
              </w:rPr>
              <w:t xml:space="preserve">2.4.2 </w:t>
            </w:r>
            <w:r>
              <w:rPr>
                <w:rFonts w:hint="eastAsia" w:ascii="宋体" w:hAnsi="宋体" w:cs="Times New Roman"/>
                <w:szCs w:val="21"/>
              </w:rPr>
              <w:t>SCR</w:t>
            </w:r>
            <w:r>
              <w:rPr>
                <w:rFonts w:hint="eastAsia" w:ascii="宋体" w:hAnsi="宋体" w:cs="Times New Roman"/>
                <w:szCs w:val="21"/>
                <w:lang w:val="en-US" w:eastAsia="zh-CN"/>
              </w:rPr>
              <w:t>低温</w:t>
            </w:r>
            <w:r>
              <w:rPr>
                <w:rFonts w:hint="eastAsia" w:ascii="宋体" w:hAnsi="宋体" w:cs="Times New Roman"/>
                <w:szCs w:val="21"/>
              </w:rPr>
              <w:t>脱硝催化剂性能设计参数</w:t>
            </w:r>
          </w:p>
        </w:tc>
        <w:tc>
          <w:tcPr>
            <w:tcW w:w="1983" w:type="dxa"/>
            <w:tcBorders>
              <w:top w:val="nil"/>
              <w:left w:val="nil"/>
              <w:bottom w:val="nil"/>
              <w:right w:val="nil"/>
            </w:tcBorders>
            <w:noWrap/>
            <w:vAlign w:val="center"/>
          </w:tcPr>
          <w:p w14:paraId="6D063FA7">
            <w:pPr>
              <w:ind w:firstLine="420" w:firstLineChars="200"/>
              <w:rPr>
                <w:rFonts w:hint="eastAsia" w:ascii="宋体" w:hAnsi="宋体" w:cs="Times New Roman"/>
                <w:szCs w:val="21"/>
              </w:rPr>
            </w:pPr>
          </w:p>
        </w:tc>
        <w:tc>
          <w:tcPr>
            <w:tcW w:w="3174" w:type="dxa"/>
            <w:tcBorders>
              <w:top w:val="nil"/>
              <w:left w:val="nil"/>
              <w:bottom w:val="nil"/>
              <w:right w:val="nil"/>
            </w:tcBorders>
            <w:noWrap/>
            <w:vAlign w:val="center"/>
          </w:tcPr>
          <w:p w14:paraId="35B3042B">
            <w:pPr>
              <w:ind w:firstLine="420" w:firstLineChars="200"/>
              <w:rPr>
                <w:rFonts w:hint="eastAsia" w:ascii="宋体" w:hAnsi="宋体" w:cs="Times New Roman"/>
                <w:szCs w:val="21"/>
              </w:rPr>
            </w:pPr>
          </w:p>
        </w:tc>
      </w:tr>
      <w:tr w14:paraId="7211890E">
        <w:tblPrEx>
          <w:tblCellMar>
            <w:top w:w="0" w:type="dxa"/>
            <w:left w:w="108" w:type="dxa"/>
            <w:bottom w:w="0" w:type="dxa"/>
            <w:right w:w="108" w:type="dxa"/>
          </w:tblCellMar>
        </w:tblPrEx>
        <w:trPr>
          <w:trHeight w:val="429" w:hRule="atLeast"/>
        </w:trPr>
        <w:tc>
          <w:tcPr>
            <w:tcW w:w="3174" w:type="dxa"/>
            <w:tcBorders>
              <w:top w:val="single" w:color="auto" w:sz="4" w:space="0"/>
              <w:left w:val="single" w:color="auto" w:sz="4" w:space="0"/>
              <w:bottom w:val="single" w:color="auto" w:sz="4" w:space="0"/>
              <w:right w:val="single" w:color="auto" w:sz="4" w:space="0"/>
            </w:tcBorders>
            <w:noWrap w:val="0"/>
            <w:vAlign w:val="center"/>
          </w:tcPr>
          <w:p w14:paraId="608EDD70">
            <w:pPr>
              <w:ind w:firstLine="420" w:firstLineChars="200"/>
              <w:rPr>
                <w:rFonts w:hint="eastAsia" w:ascii="宋体" w:hAnsi="宋体" w:cs="Times New Roman"/>
                <w:szCs w:val="21"/>
              </w:rPr>
            </w:pPr>
            <w:r>
              <w:rPr>
                <w:rFonts w:hint="eastAsia" w:ascii="宋体" w:hAnsi="宋体" w:cs="Times New Roman"/>
                <w:szCs w:val="21"/>
              </w:rPr>
              <w:t>性能保证</w:t>
            </w:r>
          </w:p>
        </w:tc>
        <w:tc>
          <w:tcPr>
            <w:tcW w:w="1626" w:type="dxa"/>
            <w:tcBorders>
              <w:top w:val="single" w:color="auto" w:sz="4" w:space="0"/>
              <w:left w:val="nil"/>
              <w:bottom w:val="single" w:color="auto" w:sz="4" w:space="0"/>
              <w:right w:val="single" w:color="auto" w:sz="4" w:space="0"/>
            </w:tcBorders>
            <w:noWrap w:val="0"/>
            <w:vAlign w:val="center"/>
          </w:tcPr>
          <w:p w14:paraId="58B6C035">
            <w:pPr>
              <w:ind w:firstLine="420" w:firstLineChars="200"/>
              <w:rPr>
                <w:rFonts w:hint="eastAsia" w:ascii="宋体" w:hAnsi="宋体" w:cs="Times New Roman"/>
                <w:szCs w:val="21"/>
              </w:rPr>
            </w:pPr>
            <w:r>
              <w:rPr>
                <w:rFonts w:hint="eastAsia" w:ascii="宋体" w:hAnsi="宋体" w:cs="Times New Roman"/>
                <w:szCs w:val="21"/>
              </w:rPr>
              <w:t>单位</w:t>
            </w:r>
          </w:p>
        </w:tc>
        <w:tc>
          <w:tcPr>
            <w:tcW w:w="1983" w:type="dxa"/>
            <w:tcBorders>
              <w:top w:val="single" w:color="auto" w:sz="4" w:space="0"/>
              <w:left w:val="nil"/>
              <w:bottom w:val="single" w:color="auto" w:sz="4" w:space="0"/>
              <w:right w:val="single" w:color="auto" w:sz="4" w:space="0"/>
            </w:tcBorders>
            <w:noWrap w:val="0"/>
            <w:vAlign w:val="center"/>
          </w:tcPr>
          <w:p w14:paraId="49BAB81F">
            <w:pPr>
              <w:ind w:firstLine="420" w:firstLineChars="200"/>
              <w:rPr>
                <w:rFonts w:hint="eastAsia" w:ascii="宋体" w:hAnsi="宋体" w:cs="Times New Roman"/>
                <w:szCs w:val="21"/>
              </w:rPr>
            </w:pPr>
            <w:r>
              <w:rPr>
                <w:rFonts w:hint="eastAsia" w:ascii="宋体" w:hAnsi="宋体" w:cs="Times New Roman"/>
                <w:szCs w:val="21"/>
                <w:lang w:val="en-US" w:eastAsia="zh-CN"/>
              </w:rPr>
              <w:t>参数</w:t>
            </w:r>
          </w:p>
        </w:tc>
        <w:tc>
          <w:tcPr>
            <w:tcW w:w="3174" w:type="dxa"/>
            <w:tcBorders>
              <w:top w:val="single" w:color="auto" w:sz="4" w:space="0"/>
              <w:left w:val="nil"/>
              <w:bottom w:val="single" w:color="auto" w:sz="4" w:space="0"/>
              <w:right w:val="single" w:color="auto" w:sz="4" w:space="0"/>
            </w:tcBorders>
            <w:noWrap w:val="0"/>
            <w:vAlign w:val="center"/>
          </w:tcPr>
          <w:p w14:paraId="6D4B4516">
            <w:pPr>
              <w:ind w:firstLine="420" w:firstLineChars="200"/>
              <w:rPr>
                <w:rFonts w:hint="eastAsia" w:ascii="宋体" w:hAnsi="宋体" w:cs="Times New Roman"/>
                <w:szCs w:val="21"/>
              </w:rPr>
            </w:pPr>
            <w:r>
              <w:rPr>
                <w:rFonts w:hint="eastAsia" w:ascii="宋体" w:hAnsi="宋体" w:cs="Times New Roman"/>
                <w:szCs w:val="21"/>
              </w:rPr>
              <w:t>备注</w:t>
            </w:r>
          </w:p>
        </w:tc>
      </w:tr>
      <w:tr w14:paraId="00BE8DD9">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03B541F7">
            <w:pPr>
              <w:ind w:firstLine="420" w:firstLineChars="200"/>
              <w:rPr>
                <w:rFonts w:hint="eastAsia" w:ascii="宋体" w:hAnsi="宋体" w:cs="Times New Roman"/>
                <w:szCs w:val="21"/>
              </w:rPr>
            </w:pPr>
            <w:r>
              <w:rPr>
                <w:rFonts w:hint="eastAsia" w:ascii="宋体" w:hAnsi="宋体" w:cs="Times New Roman"/>
                <w:szCs w:val="21"/>
              </w:rPr>
              <w:t>制造商</w:t>
            </w:r>
          </w:p>
        </w:tc>
        <w:tc>
          <w:tcPr>
            <w:tcW w:w="1626" w:type="dxa"/>
            <w:tcBorders>
              <w:top w:val="nil"/>
              <w:left w:val="nil"/>
              <w:bottom w:val="single" w:color="auto" w:sz="4" w:space="0"/>
              <w:right w:val="single" w:color="auto" w:sz="4" w:space="0"/>
            </w:tcBorders>
            <w:noWrap w:val="0"/>
            <w:vAlign w:val="center"/>
          </w:tcPr>
          <w:p w14:paraId="74FCA7F7">
            <w:pPr>
              <w:ind w:firstLine="420" w:firstLineChars="200"/>
              <w:rPr>
                <w:rFonts w:hint="eastAsia" w:ascii="宋体" w:hAnsi="宋体" w:cs="Times New Roman"/>
                <w:szCs w:val="21"/>
              </w:rPr>
            </w:pPr>
            <w:r>
              <w:rPr>
                <w:rFonts w:hint="eastAsia" w:ascii="宋体" w:hAnsi="宋体" w:cs="Times New Roman"/>
                <w:szCs w:val="21"/>
              </w:rPr>
              <w:t>　</w:t>
            </w:r>
          </w:p>
        </w:tc>
        <w:tc>
          <w:tcPr>
            <w:tcW w:w="1983" w:type="dxa"/>
            <w:tcBorders>
              <w:top w:val="nil"/>
              <w:left w:val="nil"/>
              <w:bottom w:val="single" w:color="auto" w:sz="4" w:space="0"/>
              <w:right w:val="single" w:color="auto" w:sz="4" w:space="0"/>
            </w:tcBorders>
            <w:noWrap w:val="0"/>
            <w:vAlign w:val="center"/>
          </w:tcPr>
          <w:p w14:paraId="0A813F9C">
            <w:pPr>
              <w:ind w:firstLine="0" w:firstLineChars="0"/>
              <w:rPr>
                <w:rFonts w:hint="eastAsia" w:ascii="宋体" w:hAnsi="宋体" w:cs="Times New Roman"/>
                <w:szCs w:val="21"/>
                <w:lang w:eastAsia="zh-CN"/>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3F32A3EA">
            <w:pPr>
              <w:ind w:firstLine="420" w:firstLineChars="200"/>
              <w:rPr>
                <w:rFonts w:hint="eastAsia" w:ascii="宋体" w:hAnsi="宋体" w:cs="Times New Roman"/>
                <w:szCs w:val="21"/>
              </w:rPr>
            </w:pPr>
          </w:p>
        </w:tc>
      </w:tr>
      <w:tr w14:paraId="26AC2A44">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359ACD58">
            <w:pPr>
              <w:ind w:firstLine="420" w:firstLineChars="200"/>
              <w:rPr>
                <w:rFonts w:hint="eastAsia" w:ascii="宋体" w:hAnsi="宋体" w:cs="Times New Roman"/>
                <w:szCs w:val="21"/>
              </w:rPr>
            </w:pPr>
            <w:r>
              <w:rPr>
                <w:rFonts w:hint="eastAsia" w:ascii="宋体" w:hAnsi="宋体" w:cs="Times New Roman"/>
                <w:szCs w:val="21"/>
              </w:rPr>
              <w:t>催化剂型式</w:t>
            </w:r>
          </w:p>
        </w:tc>
        <w:tc>
          <w:tcPr>
            <w:tcW w:w="1626" w:type="dxa"/>
            <w:tcBorders>
              <w:top w:val="nil"/>
              <w:left w:val="nil"/>
              <w:bottom w:val="single" w:color="auto" w:sz="4" w:space="0"/>
              <w:right w:val="single" w:color="auto" w:sz="4" w:space="0"/>
            </w:tcBorders>
            <w:noWrap w:val="0"/>
            <w:vAlign w:val="center"/>
          </w:tcPr>
          <w:p w14:paraId="5D5DA76D">
            <w:pPr>
              <w:ind w:firstLine="420" w:firstLineChars="200"/>
              <w:rPr>
                <w:rFonts w:hint="eastAsia" w:ascii="宋体" w:hAnsi="宋体" w:cs="Times New Roman"/>
                <w:szCs w:val="21"/>
              </w:rPr>
            </w:pPr>
            <w:r>
              <w:rPr>
                <w:rFonts w:hint="eastAsia" w:ascii="宋体" w:hAnsi="宋体" w:cs="Times New Roman"/>
                <w:szCs w:val="21"/>
              </w:rPr>
              <w:t>　</w:t>
            </w:r>
          </w:p>
        </w:tc>
        <w:tc>
          <w:tcPr>
            <w:tcW w:w="1983" w:type="dxa"/>
            <w:tcBorders>
              <w:top w:val="nil"/>
              <w:left w:val="nil"/>
              <w:bottom w:val="single" w:color="auto" w:sz="4" w:space="0"/>
              <w:right w:val="single" w:color="auto" w:sz="4" w:space="0"/>
            </w:tcBorders>
            <w:noWrap w:val="0"/>
            <w:vAlign w:val="center"/>
          </w:tcPr>
          <w:p w14:paraId="5F49F72A">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276C562B">
            <w:pPr>
              <w:ind w:firstLine="420" w:firstLineChars="200"/>
              <w:rPr>
                <w:rFonts w:hint="eastAsia" w:ascii="宋体" w:hAnsi="宋体" w:cs="Times New Roman"/>
                <w:szCs w:val="21"/>
              </w:rPr>
            </w:pPr>
          </w:p>
        </w:tc>
      </w:tr>
      <w:tr w14:paraId="44B2A38B">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1C4AEF05">
            <w:pPr>
              <w:ind w:firstLine="420" w:firstLineChars="200"/>
              <w:rPr>
                <w:rFonts w:hint="eastAsia" w:ascii="宋体" w:hAnsi="宋体" w:cs="Times New Roman"/>
                <w:szCs w:val="21"/>
              </w:rPr>
            </w:pPr>
            <w:r>
              <w:rPr>
                <w:rFonts w:hint="eastAsia" w:ascii="宋体" w:hAnsi="宋体" w:cs="Times New Roman"/>
                <w:szCs w:val="21"/>
              </w:rPr>
              <w:t>设计出口NOx浓度</w:t>
            </w:r>
          </w:p>
        </w:tc>
        <w:tc>
          <w:tcPr>
            <w:tcW w:w="1626" w:type="dxa"/>
            <w:tcBorders>
              <w:top w:val="nil"/>
              <w:left w:val="nil"/>
              <w:bottom w:val="single" w:color="auto" w:sz="4" w:space="0"/>
              <w:right w:val="single" w:color="auto" w:sz="4" w:space="0"/>
            </w:tcBorders>
            <w:noWrap w:val="0"/>
            <w:vAlign w:val="center"/>
          </w:tcPr>
          <w:p w14:paraId="4BEA9A9F">
            <w:pPr>
              <w:ind w:firstLine="420" w:firstLineChars="200"/>
              <w:rPr>
                <w:rFonts w:hint="eastAsia" w:ascii="宋体" w:hAnsi="宋体" w:cs="Times New Roman"/>
                <w:szCs w:val="21"/>
              </w:rPr>
            </w:pPr>
            <w:r>
              <w:rPr>
                <w:rFonts w:hint="eastAsia" w:ascii="宋体" w:hAnsi="宋体" w:cs="Times New Roman"/>
                <w:szCs w:val="21"/>
              </w:rPr>
              <w:t>mg/Nm³</w:t>
            </w:r>
          </w:p>
        </w:tc>
        <w:tc>
          <w:tcPr>
            <w:tcW w:w="1983" w:type="dxa"/>
            <w:tcBorders>
              <w:top w:val="nil"/>
              <w:left w:val="nil"/>
              <w:bottom w:val="single" w:color="auto" w:sz="4" w:space="0"/>
              <w:right w:val="single" w:color="auto" w:sz="4" w:space="0"/>
            </w:tcBorders>
            <w:noWrap w:val="0"/>
            <w:vAlign w:val="center"/>
          </w:tcPr>
          <w:p w14:paraId="30CE49DE">
            <w:pPr>
              <w:ind w:firstLine="420" w:firstLineChars="200"/>
              <w:rPr>
                <w:rFonts w:hint="default" w:ascii="宋体" w:hAnsi="宋体" w:cs="Times New Roman"/>
                <w:szCs w:val="21"/>
                <w:lang w:val="en-US"/>
              </w:rPr>
            </w:pPr>
            <w:r>
              <w:rPr>
                <w:rFonts w:hint="eastAsia" w:ascii="宋体" w:hAnsi="宋体" w:cs="Times New Roman"/>
                <w:szCs w:val="21"/>
              </w:rPr>
              <w:t>≤</w:t>
            </w:r>
            <w:r>
              <w:rPr>
                <w:rFonts w:hint="eastAsia" w:ascii="宋体" w:hAnsi="宋体" w:cs="Times New Roman"/>
                <w:szCs w:val="21"/>
                <w:lang w:val="en-US" w:eastAsia="zh-CN"/>
              </w:rPr>
              <w:t>40</w:t>
            </w:r>
          </w:p>
        </w:tc>
        <w:tc>
          <w:tcPr>
            <w:tcW w:w="3174" w:type="dxa"/>
            <w:tcBorders>
              <w:top w:val="nil"/>
              <w:left w:val="nil"/>
              <w:bottom w:val="single" w:color="auto" w:sz="4" w:space="0"/>
              <w:right w:val="single" w:color="auto" w:sz="4" w:space="0"/>
            </w:tcBorders>
            <w:noWrap w:val="0"/>
            <w:vAlign w:val="center"/>
          </w:tcPr>
          <w:p w14:paraId="2370B2BB">
            <w:pPr>
              <w:ind w:firstLine="420" w:firstLineChars="200"/>
              <w:rPr>
                <w:rFonts w:hint="eastAsia" w:ascii="宋体" w:hAnsi="宋体" w:cs="Times New Roman"/>
                <w:szCs w:val="21"/>
              </w:rPr>
            </w:pPr>
            <w:r>
              <w:rPr>
                <w:rFonts w:hint="eastAsia" w:ascii="宋体" w:hAnsi="宋体" w:cs="Times New Roman"/>
                <w:szCs w:val="21"/>
              </w:rPr>
              <w:t>标况，干基，11%氧　</w:t>
            </w:r>
          </w:p>
        </w:tc>
      </w:tr>
      <w:tr w14:paraId="7EF7069B">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ign w:val="center"/>
          </w:tcPr>
          <w:p w14:paraId="762947D8">
            <w:pPr>
              <w:ind w:firstLine="420" w:firstLineChars="200"/>
              <w:rPr>
                <w:rFonts w:hint="eastAsia" w:ascii="宋体" w:hAnsi="宋体" w:cs="Times New Roman"/>
                <w:szCs w:val="21"/>
              </w:rPr>
            </w:pPr>
            <w:r>
              <w:rPr>
                <w:rFonts w:hint="eastAsia" w:ascii="宋体" w:hAnsi="宋体" w:cs="Times New Roman"/>
                <w:szCs w:val="21"/>
              </w:rPr>
              <w:t>脱硝效率</w:t>
            </w:r>
          </w:p>
        </w:tc>
        <w:tc>
          <w:tcPr>
            <w:tcW w:w="1626" w:type="dxa"/>
            <w:tcBorders>
              <w:top w:val="nil"/>
              <w:left w:val="nil"/>
              <w:bottom w:val="single" w:color="auto" w:sz="4" w:space="0"/>
              <w:right w:val="single" w:color="auto" w:sz="4" w:space="0"/>
            </w:tcBorders>
            <w:noWrap/>
            <w:vAlign w:val="center"/>
          </w:tcPr>
          <w:p w14:paraId="7DFCC49F">
            <w:pPr>
              <w:ind w:firstLine="420" w:firstLineChars="200"/>
              <w:rPr>
                <w:rFonts w:hint="eastAsia" w:ascii="宋体" w:hAnsi="宋体" w:cs="Times New Roman"/>
                <w:szCs w:val="21"/>
              </w:rPr>
            </w:pPr>
            <w:r>
              <w:rPr>
                <w:rFonts w:hint="eastAsia" w:ascii="宋体" w:hAnsi="宋体" w:cs="Times New Roman"/>
                <w:szCs w:val="21"/>
              </w:rPr>
              <w:t>%</w:t>
            </w:r>
          </w:p>
        </w:tc>
        <w:tc>
          <w:tcPr>
            <w:tcW w:w="1983" w:type="dxa"/>
            <w:tcBorders>
              <w:top w:val="nil"/>
              <w:left w:val="nil"/>
              <w:bottom w:val="single" w:color="auto" w:sz="4" w:space="0"/>
              <w:right w:val="single" w:color="auto" w:sz="4" w:space="0"/>
            </w:tcBorders>
            <w:noWrap/>
            <w:vAlign w:val="center"/>
          </w:tcPr>
          <w:p w14:paraId="5F9B014D">
            <w:pPr>
              <w:ind w:firstLine="420" w:firstLineChars="200"/>
              <w:rPr>
                <w:rFonts w:hint="default" w:ascii="宋体" w:hAnsi="宋体" w:cs="Times New Roman"/>
                <w:szCs w:val="21"/>
                <w:lang w:val="en-US" w:eastAsia="zh-CN"/>
              </w:rPr>
            </w:pPr>
            <w:r>
              <w:rPr>
                <w:rFonts w:hint="eastAsia" w:ascii="宋体" w:hAnsi="宋体" w:cs="Times New Roman"/>
                <w:szCs w:val="21"/>
              </w:rPr>
              <w:t>≥</w:t>
            </w:r>
            <w:r>
              <w:rPr>
                <w:rFonts w:hint="eastAsia" w:ascii="宋体" w:hAnsi="宋体" w:cs="Times New Roman"/>
                <w:szCs w:val="21"/>
                <w:lang w:val="en-US" w:eastAsia="zh-CN"/>
              </w:rPr>
              <w:t>80</w:t>
            </w:r>
          </w:p>
        </w:tc>
        <w:tc>
          <w:tcPr>
            <w:tcW w:w="3174" w:type="dxa"/>
            <w:tcBorders>
              <w:top w:val="nil"/>
              <w:left w:val="nil"/>
              <w:bottom w:val="single" w:color="auto" w:sz="4" w:space="0"/>
              <w:right w:val="single" w:color="auto" w:sz="4" w:space="0"/>
            </w:tcBorders>
            <w:noWrap/>
            <w:vAlign w:val="center"/>
          </w:tcPr>
          <w:p w14:paraId="303E414E">
            <w:pPr>
              <w:ind w:firstLine="420" w:firstLineChars="200"/>
              <w:rPr>
                <w:rFonts w:hint="eastAsia" w:ascii="宋体" w:hAnsi="宋体" w:cs="Times New Roman"/>
                <w:szCs w:val="21"/>
              </w:rPr>
            </w:pPr>
            <w:r>
              <w:rPr>
                <w:rFonts w:hint="eastAsia" w:ascii="宋体" w:hAnsi="宋体" w:cs="Times New Roman"/>
                <w:szCs w:val="21"/>
              </w:rPr>
              <w:t>　</w:t>
            </w:r>
          </w:p>
        </w:tc>
      </w:tr>
      <w:tr w14:paraId="09C7CCC9">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28679E52">
            <w:pPr>
              <w:ind w:firstLine="420" w:firstLineChars="200"/>
              <w:rPr>
                <w:rFonts w:hint="eastAsia" w:ascii="宋体" w:hAnsi="宋体" w:cs="Times New Roman"/>
                <w:szCs w:val="21"/>
              </w:rPr>
            </w:pPr>
            <w:r>
              <w:rPr>
                <w:rFonts w:hint="eastAsia" w:ascii="宋体" w:hAnsi="宋体" w:cs="Times New Roman"/>
                <w:szCs w:val="21"/>
              </w:rPr>
              <w:t>初始催化剂体积</w:t>
            </w:r>
          </w:p>
        </w:tc>
        <w:tc>
          <w:tcPr>
            <w:tcW w:w="1626" w:type="dxa"/>
            <w:tcBorders>
              <w:top w:val="nil"/>
              <w:left w:val="nil"/>
              <w:bottom w:val="single" w:color="auto" w:sz="4" w:space="0"/>
              <w:right w:val="single" w:color="auto" w:sz="4" w:space="0"/>
            </w:tcBorders>
            <w:noWrap w:val="0"/>
            <w:vAlign w:val="center"/>
          </w:tcPr>
          <w:p w14:paraId="2F936296">
            <w:pPr>
              <w:ind w:firstLine="420" w:firstLineChars="200"/>
              <w:rPr>
                <w:rFonts w:hint="eastAsia" w:ascii="宋体" w:hAnsi="宋体" w:cs="Times New Roman"/>
                <w:szCs w:val="21"/>
              </w:rPr>
            </w:pPr>
            <w:r>
              <w:rPr>
                <w:rFonts w:hint="eastAsia" w:ascii="宋体" w:hAnsi="宋体" w:cs="Times New Roman"/>
                <w:szCs w:val="21"/>
              </w:rPr>
              <w:t>m3</w:t>
            </w:r>
          </w:p>
        </w:tc>
        <w:tc>
          <w:tcPr>
            <w:tcW w:w="1983" w:type="dxa"/>
            <w:tcBorders>
              <w:top w:val="nil"/>
              <w:left w:val="nil"/>
              <w:bottom w:val="single" w:color="auto" w:sz="4" w:space="0"/>
              <w:right w:val="single" w:color="auto" w:sz="4" w:space="0"/>
            </w:tcBorders>
            <w:noWrap w:val="0"/>
            <w:vAlign w:val="center"/>
          </w:tcPr>
          <w:p w14:paraId="6CF489E5">
            <w:pPr>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51.98</w:t>
            </w:r>
          </w:p>
        </w:tc>
        <w:tc>
          <w:tcPr>
            <w:tcW w:w="3174" w:type="dxa"/>
            <w:tcBorders>
              <w:top w:val="nil"/>
              <w:left w:val="nil"/>
              <w:bottom w:val="single" w:color="auto" w:sz="4" w:space="0"/>
              <w:right w:val="single" w:color="auto" w:sz="4" w:space="0"/>
            </w:tcBorders>
            <w:noWrap w:val="0"/>
            <w:vAlign w:val="center"/>
          </w:tcPr>
          <w:p w14:paraId="6D08A1F7">
            <w:pPr>
              <w:ind w:firstLine="420" w:firstLineChars="200"/>
              <w:rPr>
                <w:rFonts w:hint="eastAsia" w:ascii="宋体" w:hAnsi="宋体" w:cs="Times New Roman"/>
                <w:szCs w:val="21"/>
              </w:rPr>
            </w:pPr>
            <w:r>
              <w:rPr>
                <w:rFonts w:hint="eastAsia" w:ascii="宋体" w:hAnsi="宋体" w:cs="Times New Roman"/>
                <w:szCs w:val="21"/>
                <w:lang w:val="en-US" w:eastAsia="zh-CN"/>
              </w:rPr>
              <w:t>原催化剂体积</w:t>
            </w:r>
            <w:r>
              <w:rPr>
                <w:rFonts w:hint="eastAsia" w:ascii="宋体" w:hAnsi="宋体" w:cs="Times New Roman"/>
                <w:szCs w:val="21"/>
              </w:rPr>
              <w:t>　</w:t>
            </w:r>
          </w:p>
        </w:tc>
      </w:tr>
      <w:tr w14:paraId="604C4132">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223301B5">
            <w:pPr>
              <w:ind w:firstLine="420" w:firstLineChars="200"/>
              <w:rPr>
                <w:rFonts w:hint="eastAsia" w:ascii="宋体" w:hAnsi="宋体" w:cs="Times New Roman"/>
                <w:szCs w:val="21"/>
              </w:rPr>
            </w:pPr>
            <w:r>
              <w:rPr>
                <w:rFonts w:hint="eastAsia" w:ascii="宋体" w:hAnsi="宋体" w:cs="Times New Roman"/>
                <w:szCs w:val="21"/>
              </w:rPr>
              <w:t>烟气空间速度</w:t>
            </w:r>
          </w:p>
        </w:tc>
        <w:tc>
          <w:tcPr>
            <w:tcW w:w="1626" w:type="dxa"/>
            <w:tcBorders>
              <w:top w:val="nil"/>
              <w:left w:val="nil"/>
              <w:bottom w:val="single" w:color="auto" w:sz="4" w:space="0"/>
              <w:right w:val="single" w:color="auto" w:sz="4" w:space="0"/>
            </w:tcBorders>
            <w:noWrap w:val="0"/>
            <w:vAlign w:val="center"/>
          </w:tcPr>
          <w:p w14:paraId="7AAF68CD">
            <w:pPr>
              <w:ind w:firstLine="420" w:firstLineChars="200"/>
              <w:rPr>
                <w:rFonts w:hint="eastAsia" w:ascii="宋体" w:hAnsi="宋体" w:cs="Times New Roman"/>
                <w:szCs w:val="21"/>
              </w:rPr>
            </w:pPr>
            <w:r>
              <w:rPr>
                <w:rFonts w:hint="eastAsia" w:ascii="宋体" w:hAnsi="宋体" w:cs="Times New Roman"/>
                <w:szCs w:val="21"/>
                <w:lang w:val="en-US" w:eastAsia="zh-CN"/>
              </w:rPr>
              <w:t>l</w:t>
            </w:r>
            <w:r>
              <w:rPr>
                <w:rFonts w:hint="eastAsia" w:ascii="宋体" w:hAnsi="宋体" w:cs="Times New Roman"/>
                <w:szCs w:val="21"/>
              </w:rPr>
              <w:t>/h</w:t>
            </w:r>
          </w:p>
        </w:tc>
        <w:tc>
          <w:tcPr>
            <w:tcW w:w="1983" w:type="dxa"/>
            <w:tcBorders>
              <w:top w:val="nil"/>
              <w:left w:val="nil"/>
              <w:bottom w:val="single" w:color="auto" w:sz="4" w:space="0"/>
              <w:right w:val="single" w:color="auto" w:sz="4" w:space="0"/>
            </w:tcBorders>
            <w:noWrap w:val="0"/>
            <w:vAlign w:val="center"/>
          </w:tcPr>
          <w:p w14:paraId="63D73FA6">
            <w:pPr>
              <w:ind w:firstLine="0" w:firstLineChars="0"/>
              <w:rPr>
                <w:rFonts w:hint="eastAsia" w:ascii="宋体" w:hAnsi="宋体" w:cs="Times New Roman"/>
                <w:szCs w:val="21"/>
                <w:lang w:val="en-US" w:eastAsia="zh-CN"/>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177AF73D">
            <w:pPr>
              <w:ind w:firstLine="420" w:firstLineChars="200"/>
              <w:rPr>
                <w:rFonts w:hint="eastAsia" w:ascii="宋体" w:hAnsi="宋体" w:cs="Times New Roman"/>
                <w:szCs w:val="21"/>
              </w:rPr>
            </w:pPr>
            <w:r>
              <w:rPr>
                <w:rFonts w:hint="eastAsia" w:ascii="宋体" w:hAnsi="宋体" w:cs="Times New Roman"/>
                <w:szCs w:val="21"/>
              </w:rPr>
              <w:t>　</w:t>
            </w:r>
          </w:p>
        </w:tc>
      </w:tr>
      <w:tr w14:paraId="563BEB39">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323C98AF">
            <w:pPr>
              <w:ind w:firstLine="420" w:firstLineChars="200"/>
              <w:rPr>
                <w:rFonts w:hint="eastAsia" w:ascii="宋体" w:hAnsi="宋体" w:cs="Times New Roman"/>
                <w:szCs w:val="21"/>
              </w:rPr>
            </w:pPr>
            <w:r>
              <w:rPr>
                <w:rFonts w:hint="eastAsia" w:ascii="宋体" w:hAnsi="宋体" w:cs="Times New Roman"/>
                <w:szCs w:val="21"/>
              </w:rPr>
              <w:t>面积速度</w:t>
            </w:r>
          </w:p>
        </w:tc>
        <w:tc>
          <w:tcPr>
            <w:tcW w:w="1626" w:type="dxa"/>
            <w:tcBorders>
              <w:top w:val="nil"/>
              <w:left w:val="nil"/>
              <w:bottom w:val="single" w:color="auto" w:sz="4" w:space="0"/>
              <w:right w:val="single" w:color="auto" w:sz="4" w:space="0"/>
            </w:tcBorders>
            <w:noWrap w:val="0"/>
            <w:vAlign w:val="center"/>
          </w:tcPr>
          <w:p w14:paraId="5200D48F">
            <w:pPr>
              <w:ind w:firstLine="420" w:firstLineChars="200"/>
              <w:rPr>
                <w:rFonts w:hint="eastAsia" w:ascii="宋体" w:hAnsi="宋体" w:cs="Times New Roman"/>
                <w:szCs w:val="21"/>
              </w:rPr>
            </w:pPr>
            <w:r>
              <w:rPr>
                <w:rFonts w:hint="eastAsia" w:ascii="宋体" w:hAnsi="宋体" w:cs="Times New Roman"/>
                <w:szCs w:val="21"/>
              </w:rPr>
              <w:t>m/h</w:t>
            </w:r>
          </w:p>
        </w:tc>
        <w:tc>
          <w:tcPr>
            <w:tcW w:w="1983" w:type="dxa"/>
            <w:tcBorders>
              <w:top w:val="nil"/>
              <w:left w:val="nil"/>
              <w:bottom w:val="single" w:color="auto" w:sz="4" w:space="0"/>
              <w:right w:val="single" w:color="auto" w:sz="4" w:space="0"/>
            </w:tcBorders>
            <w:noWrap w:val="0"/>
            <w:vAlign w:val="center"/>
          </w:tcPr>
          <w:p w14:paraId="1E1248C8">
            <w:pPr>
              <w:ind w:firstLine="0" w:firstLineChars="0"/>
              <w:rPr>
                <w:rFonts w:hint="eastAsia" w:ascii="宋体" w:hAnsi="宋体" w:cs="Times New Roman"/>
                <w:szCs w:val="21"/>
                <w:lang w:val="en-US" w:eastAsia="zh-CN"/>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77CF2B70">
            <w:pPr>
              <w:ind w:firstLine="420" w:firstLineChars="200"/>
              <w:rPr>
                <w:rFonts w:hint="eastAsia" w:ascii="宋体" w:hAnsi="宋体" w:cs="Times New Roman"/>
                <w:szCs w:val="21"/>
              </w:rPr>
            </w:pPr>
            <w:r>
              <w:rPr>
                <w:rFonts w:hint="eastAsia" w:ascii="宋体" w:hAnsi="宋体" w:cs="Times New Roman"/>
                <w:szCs w:val="21"/>
              </w:rPr>
              <w:t>　</w:t>
            </w:r>
          </w:p>
        </w:tc>
      </w:tr>
      <w:tr w14:paraId="6CD224A9">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720EE3FD">
            <w:pPr>
              <w:ind w:firstLine="420" w:firstLineChars="200"/>
              <w:rPr>
                <w:rFonts w:hint="eastAsia" w:ascii="宋体" w:hAnsi="宋体" w:cs="Times New Roman"/>
                <w:szCs w:val="21"/>
              </w:rPr>
            </w:pPr>
            <w:r>
              <w:rPr>
                <w:rFonts w:hint="eastAsia" w:ascii="宋体" w:hAnsi="宋体" w:cs="Times New Roman"/>
                <w:szCs w:val="21"/>
              </w:rPr>
              <w:t>反应器内流速</w:t>
            </w:r>
          </w:p>
        </w:tc>
        <w:tc>
          <w:tcPr>
            <w:tcW w:w="1626" w:type="dxa"/>
            <w:tcBorders>
              <w:top w:val="nil"/>
              <w:left w:val="nil"/>
              <w:bottom w:val="single" w:color="auto" w:sz="4" w:space="0"/>
              <w:right w:val="single" w:color="auto" w:sz="4" w:space="0"/>
            </w:tcBorders>
            <w:noWrap w:val="0"/>
            <w:vAlign w:val="center"/>
          </w:tcPr>
          <w:p w14:paraId="56A2C42F">
            <w:pPr>
              <w:ind w:firstLine="420" w:firstLineChars="200"/>
              <w:rPr>
                <w:rFonts w:hint="eastAsia" w:ascii="宋体" w:hAnsi="宋体" w:cs="Times New Roman"/>
                <w:szCs w:val="21"/>
              </w:rPr>
            </w:pPr>
            <w:r>
              <w:rPr>
                <w:rFonts w:hint="eastAsia" w:ascii="宋体" w:hAnsi="宋体" w:cs="Times New Roman"/>
                <w:szCs w:val="21"/>
              </w:rPr>
              <w:t>m/s</w:t>
            </w:r>
          </w:p>
        </w:tc>
        <w:tc>
          <w:tcPr>
            <w:tcW w:w="1983" w:type="dxa"/>
            <w:tcBorders>
              <w:top w:val="nil"/>
              <w:left w:val="nil"/>
              <w:bottom w:val="single" w:color="auto" w:sz="4" w:space="0"/>
              <w:right w:val="single" w:color="auto" w:sz="4" w:space="0"/>
            </w:tcBorders>
            <w:noWrap w:val="0"/>
            <w:vAlign w:val="center"/>
          </w:tcPr>
          <w:p w14:paraId="0B34B584">
            <w:pPr>
              <w:ind w:firstLine="0" w:firstLineChars="0"/>
              <w:rPr>
                <w:rFonts w:hint="eastAsia" w:ascii="宋体" w:hAnsi="宋体" w:cs="Times New Roman"/>
                <w:szCs w:val="21"/>
                <w:lang w:val="en-US" w:eastAsia="zh-CN"/>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04A435BD">
            <w:pPr>
              <w:ind w:firstLine="420" w:firstLineChars="200"/>
              <w:rPr>
                <w:rFonts w:hint="eastAsia" w:ascii="宋体" w:hAnsi="宋体" w:cs="Times New Roman"/>
                <w:szCs w:val="21"/>
              </w:rPr>
            </w:pPr>
            <w:r>
              <w:rPr>
                <w:rFonts w:hint="eastAsia" w:ascii="宋体" w:hAnsi="宋体" w:cs="Times New Roman"/>
                <w:szCs w:val="21"/>
              </w:rPr>
              <w:t>　</w:t>
            </w:r>
          </w:p>
        </w:tc>
      </w:tr>
      <w:tr w14:paraId="2B0F268D">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2FA9B437">
            <w:pPr>
              <w:ind w:firstLine="420" w:firstLineChars="200"/>
              <w:rPr>
                <w:rFonts w:hint="eastAsia" w:ascii="宋体" w:hAnsi="宋体" w:cs="Times New Roman"/>
                <w:szCs w:val="21"/>
              </w:rPr>
            </w:pPr>
            <w:r>
              <w:rPr>
                <w:rFonts w:hint="eastAsia" w:ascii="宋体" w:hAnsi="宋体" w:cs="Times New Roman"/>
                <w:szCs w:val="21"/>
              </w:rPr>
              <w:t>催化剂孔内流速</w:t>
            </w:r>
          </w:p>
        </w:tc>
        <w:tc>
          <w:tcPr>
            <w:tcW w:w="1626" w:type="dxa"/>
            <w:tcBorders>
              <w:top w:val="nil"/>
              <w:left w:val="nil"/>
              <w:bottom w:val="single" w:color="auto" w:sz="4" w:space="0"/>
              <w:right w:val="single" w:color="auto" w:sz="4" w:space="0"/>
            </w:tcBorders>
            <w:noWrap w:val="0"/>
            <w:vAlign w:val="center"/>
          </w:tcPr>
          <w:p w14:paraId="215CA45D">
            <w:pPr>
              <w:ind w:firstLine="420" w:firstLineChars="200"/>
              <w:rPr>
                <w:rFonts w:hint="eastAsia" w:ascii="宋体" w:hAnsi="宋体" w:cs="Times New Roman"/>
                <w:szCs w:val="21"/>
              </w:rPr>
            </w:pPr>
            <w:r>
              <w:rPr>
                <w:rFonts w:hint="eastAsia" w:ascii="宋体" w:hAnsi="宋体" w:cs="Times New Roman"/>
                <w:szCs w:val="21"/>
              </w:rPr>
              <w:t>m/s</w:t>
            </w:r>
          </w:p>
        </w:tc>
        <w:tc>
          <w:tcPr>
            <w:tcW w:w="1983" w:type="dxa"/>
            <w:tcBorders>
              <w:top w:val="nil"/>
              <w:left w:val="nil"/>
              <w:bottom w:val="single" w:color="auto" w:sz="4" w:space="0"/>
              <w:right w:val="single" w:color="auto" w:sz="4" w:space="0"/>
            </w:tcBorders>
            <w:noWrap w:val="0"/>
            <w:vAlign w:val="center"/>
          </w:tcPr>
          <w:p w14:paraId="3B7C4BB4">
            <w:pPr>
              <w:ind w:firstLine="0" w:firstLineChars="0"/>
              <w:rPr>
                <w:rFonts w:hint="eastAsia" w:ascii="宋体" w:hAnsi="宋体" w:cs="Times New Roman"/>
                <w:szCs w:val="21"/>
                <w:lang w:val="en-US" w:eastAsia="zh-CN"/>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332EA343">
            <w:pPr>
              <w:ind w:firstLine="420" w:firstLineChars="200"/>
              <w:rPr>
                <w:rFonts w:hint="eastAsia" w:ascii="宋体" w:hAnsi="宋体" w:cs="Times New Roman"/>
                <w:szCs w:val="21"/>
              </w:rPr>
            </w:pPr>
            <w:r>
              <w:rPr>
                <w:rFonts w:hint="eastAsia" w:ascii="宋体" w:hAnsi="宋体" w:cs="Times New Roman"/>
                <w:szCs w:val="21"/>
              </w:rPr>
              <w:t>　</w:t>
            </w:r>
          </w:p>
        </w:tc>
      </w:tr>
      <w:tr w14:paraId="6380747B">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ign w:val="center"/>
          </w:tcPr>
          <w:p w14:paraId="5F84D5B1">
            <w:pPr>
              <w:ind w:firstLine="420" w:firstLineChars="200"/>
              <w:rPr>
                <w:rFonts w:hint="eastAsia" w:ascii="宋体" w:hAnsi="宋体" w:cs="Times New Roman"/>
                <w:szCs w:val="21"/>
              </w:rPr>
            </w:pPr>
            <w:r>
              <w:rPr>
                <w:rFonts w:hint="eastAsia" w:ascii="宋体" w:hAnsi="宋体" w:cs="Times New Roman"/>
                <w:szCs w:val="21"/>
              </w:rPr>
              <w:t>氨逃逸</w:t>
            </w:r>
          </w:p>
        </w:tc>
        <w:tc>
          <w:tcPr>
            <w:tcW w:w="1626" w:type="dxa"/>
            <w:tcBorders>
              <w:top w:val="nil"/>
              <w:left w:val="nil"/>
              <w:bottom w:val="single" w:color="auto" w:sz="4" w:space="0"/>
              <w:right w:val="single" w:color="auto" w:sz="4" w:space="0"/>
            </w:tcBorders>
            <w:noWrap/>
            <w:vAlign w:val="center"/>
          </w:tcPr>
          <w:p w14:paraId="7E0D7A5E">
            <w:pPr>
              <w:ind w:firstLine="420" w:firstLineChars="200"/>
              <w:rPr>
                <w:rFonts w:hint="eastAsia" w:ascii="宋体" w:hAnsi="宋体" w:cs="Times New Roman"/>
                <w:szCs w:val="21"/>
              </w:rPr>
            </w:pPr>
            <w:r>
              <w:rPr>
                <w:rFonts w:hint="eastAsia" w:ascii="宋体" w:hAnsi="宋体" w:cs="Times New Roman"/>
                <w:szCs w:val="21"/>
              </w:rPr>
              <w:t>mg/Nm³</w:t>
            </w:r>
          </w:p>
        </w:tc>
        <w:tc>
          <w:tcPr>
            <w:tcW w:w="1983" w:type="dxa"/>
            <w:tcBorders>
              <w:top w:val="nil"/>
              <w:left w:val="nil"/>
              <w:bottom w:val="single" w:color="auto" w:sz="4" w:space="0"/>
              <w:right w:val="single" w:color="auto" w:sz="4" w:space="0"/>
            </w:tcBorders>
            <w:noWrap/>
            <w:vAlign w:val="center"/>
          </w:tcPr>
          <w:p w14:paraId="026DC978">
            <w:pPr>
              <w:ind w:firstLine="420" w:firstLineChars="200"/>
              <w:rPr>
                <w:rFonts w:hint="eastAsia" w:ascii="宋体" w:hAnsi="宋体" w:cs="Times New Roman"/>
                <w:szCs w:val="21"/>
                <w:lang w:eastAsia="zh-CN"/>
              </w:rPr>
            </w:pPr>
            <w:r>
              <w:rPr>
                <w:rFonts w:hint="eastAsia" w:ascii="宋体" w:hAnsi="宋体" w:cs="Times New Roman"/>
                <w:szCs w:val="21"/>
              </w:rPr>
              <w:t>≤</w:t>
            </w:r>
            <w:r>
              <w:rPr>
                <w:rFonts w:hint="eastAsia" w:ascii="宋体" w:hAnsi="宋体" w:cs="Times New Roman"/>
                <w:szCs w:val="21"/>
                <w:lang w:val="en-US" w:eastAsia="zh-CN"/>
              </w:rPr>
              <w:t>8</w:t>
            </w:r>
          </w:p>
        </w:tc>
        <w:tc>
          <w:tcPr>
            <w:tcW w:w="3174" w:type="dxa"/>
            <w:tcBorders>
              <w:top w:val="nil"/>
              <w:left w:val="nil"/>
              <w:bottom w:val="single" w:color="auto" w:sz="4" w:space="0"/>
              <w:right w:val="single" w:color="auto" w:sz="4" w:space="0"/>
            </w:tcBorders>
            <w:noWrap w:val="0"/>
            <w:vAlign w:val="center"/>
          </w:tcPr>
          <w:p w14:paraId="0738C6B5">
            <w:pPr>
              <w:ind w:firstLine="420" w:firstLineChars="200"/>
              <w:rPr>
                <w:rFonts w:hint="eastAsia" w:ascii="宋体" w:hAnsi="宋体" w:cs="Times New Roman"/>
                <w:szCs w:val="21"/>
              </w:rPr>
            </w:pPr>
            <w:r>
              <w:rPr>
                <w:rFonts w:hint="eastAsia" w:ascii="宋体" w:hAnsi="宋体" w:cs="Times New Roman"/>
                <w:szCs w:val="21"/>
              </w:rPr>
              <w:t>标况，干基，11%氧</w:t>
            </w:r>
          </w:p>
        </w:tc>
      </w:tr>
      <w:tr w14:paraId="26AAEBEF">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ign w:val="center"/>
          </w:tcPr>
          <w:p w14:paraId="4F39A47A">
            <w:pPr>
              <w:ind w:firstLine="420" w:firstLineChars="200"/>
              <w:rPr>
                <w:rFonts w:hint="eastAsia" w:ascii="宋体" w:hAnsi="宋体" w:cs="Times New Roman"/>
                <w:szCs w:val="21"/>
              </w:rPr>
            </w:pPr>
            <w:r>
              <w:rPr>
                <w:rFonts w:hint="eastAsia" w:ascii="宋体" w:hAnsi="宋体" w:cs="Times New Roman"/>
                <w:szCs w:val="21"/>
              </w:rPr>
              <w:t>SO2/SO3转化率</w:t>
            </w:r>
          </w:p>
        </w:tc>
        <w:tc>
          <w:tcPr>
            <w:tcW w:w="1626" w:type="dxa"/>
            <w:tcBorders>
              <w:top w:val="nil"/>
              <w:left w:val="nil"/>
              <w:bottom w:val="single" w:color="auto" w:sz="4" w:space="0"/>
              <w:right w:val="single" w:color="auto" w:sz="4" w:space="0"/>
            </w:tcBorders>
            <w:noWrap/>
            <w:vAlign w:val="center"/>
          </w:tcPr>
          <w:p w14:paraId="0C18DFAB">
            <w:pPr>
              <w:ind w:firstLine="420" w:firstLineChars="200"/>
              <w:rPr>
                <w:rFonts w:hint="eastAsia" w:ascii="宋体" w:hAnsi="宋体" w:cs="Times New Roman"/>
                <w:szCs w:val="21"/>
              </w:rPr>
            </w:pPr>
            <w:r>
              <w:rPr>
                <w:rFonts w:hint="eastAsia" w:ascii="宋体" w:hAnsi="宋体" w:cs="Times New Roman"/>
                <w:szCs w:val="21"/>
              </w:rPr>
              <w:t>　</w:t>
            </w:r>
          </w:p>
        </w:tc>
        <w:tc>
          <w:tcPr>
            <w:tcW w:w="1983" w:type="dxa"/>
            <w:tcBorders>
              <w:top w:val="nil"/>
              <w:left w:val="nil"/>
              <w:bottom w:val="single" w:color="auto" w:sz="4" w:space="0"/>
              <w:right w:val="single" w:color="auto" w:sz="4" w:space="0"/>
            </w:tcBorders>
            <w:noWrap/>
            <w:vAlign w:val="center"/>
          </w:tcPr>
          <w:p w14:paraId="370E9E6A">
            <w:pPr>
              <w:ind w:firstLine="420" w:firstLineChars="200"/>
              <w:rPr>
                <w:rFonts w:hint="eastAsia" w:ascii="宋体" w:hAnsi="宋体" w:cs="Times New Roman"/>
                <w:szCs w:val="21"/>
              </w:rPr>
            </w:pPr>
            <w:r>
              <w:rPr>
                <w:rFonts w:hint="eastAsia" w:ascii="宋体" w:hAnsi="宋体" w:cs="Times New Roman"/>
                <w:szCs w:val="21"/>
              </w:rPr>
              <w:t>≤1%</w:t>
            </w:r>
          </w:p>
        </w:tc>
        <w:tc>
          <w:tcPr>
            <w:tcW w:w="3174" w:type="dxa"/>
            <w:tcBorders>
              <w:top w:val="nil"/>
              <w:left w:val="nil"/>
              <w:bottom w:val="single" w:color="auto" w:sz="4" w:space="0"/>
              <w:right w:val="single" w:color="auto" w:sz="4" w:space="0"/>
            </w:tcBorders>
            <w:noWrap/>
            <w:vAlign w:val="center"/>
          </w:tcPr>
          <w:p w14:paraId="515A494B">
            <w:pPr>
              <w:ind w:firstLine="420" w:firstLineChars="200"/>
              <w:rPr>
                <w:rFonts w:hint="eastAsia" w:ascii="宋体" w:hAnsi="宋体" w:cs="Times New Roman"/>
                <w:szCs w:val="21"/>
              </w:rPr>
            </w:pPr>
            <w:r>
              <w:rPr>
                <w:rFonts w:hint="eastAsia" w:ascii="宋体" w:hAnsi="宋体" w:cs="Times New Roman"/>
                <w:szCs w:val="21"/>
              </w:rPr>
              <w:t>　</w:t>
            </w:r>
          </w:p>
        </w:tc>
      </w:tr>
      <w:tr w14:paraId="50D54F6B">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ign w:val="center"/>
          </w:tcPr>
          <w:p w14:paraId="14F546DE">
            <w:pPr>
              <w:ind w:firstLine="420" w:firstLineChars="200"/>
              <w:rPr>
                <w:rFonts w:hint="eastAsia" w:ascii="宋体" w:hAnsi="宋体" w:cs="Times New Roman"/>
                <w:szCs w:val="21"/>
              </w:rPr>
            </w:pPr>
            <w:r>
              <w:rPr>
                <w:rFonts w:hint="eastAsia" w:ascii="宋体" w:hAnsi="宋体" w:cs="Times New Roman"/>
                <w:szCs w:val="21"/>
              </w:rPr>
              <w:t>允许运行温度内化学寿命</w:t>
            </w:r>
          </w:p>
        </w:tc>
        <w:tc>
          <w:tcPr>
            <w:tcW w:w="1626" w:type="dxa"/>
            <w:tcBorders>
              <w:top w:val="nil"/>
              <w:left w:val="nil"/>
              <w:bottom w:val="single" w:color="auto" w:sz="4" w:space="0"/>
              <w:right w:val="single" w:color="auto" w:sz="4" w:space="0"/>
            </w:tcBorders>
            <w:noWrap/>
            <w:vAlign w:val="center"/>
          </w:tcPr>
          <w:p w14:paraId="2B3A0A2E">
            <w:pPr>
              <w:ind w:firstLine="420" w:firstLineChars="200"/>
              <w:rPr>
                <w:rFonts w:hint="eastAsia" w:ascii="宋体" w:hAnsi="宋体" w:cs="Times New Roman"/>
                <w:szCs w:val="21"/>
              </w:rPr>
            </w:pPr>
            <w:r>
              <w:rPr>
                <w:rFonts w:hint="eastAsia" w:ascii="宋体" w:hAnsi="宋体" w:cs="Times New Roman"/>
                <w:szCs w:val="21"/>
              </w:rPr>
              <w:t>h</w:t>
            </w:r>
          </w:p>
        </w:tc>
        <w:tc>
          <w:tcPr>
            <w:tcW w:w="1983" w:type="dxa"/>
            <w:tcBorders>
              <w:top w:val="nil"/>
              <w:left w:val="nil"/>
              <w:bottom w:val="single" w:color="auto" w:sz="4" w:space="0"/>
              <w:right w:val="single" w:color="auto" w:sz="4" w:space="0"/>
            </w:tcBorders>
            <w:noWrap/>
            <w:vAlign w:val="center"/>
          </w:tcPr>
          <w:p w14:paraId="6926A86E">
            <w:pPr>
              <w:ind w:firstLine="420" w:firstLineChars="200"/>
              <w:rPr>
                <w:rFonts w:hint="eastAsia" w:ascii="宋体" w:hAnsi="宋体" w:cs="Times New Roman"/>
                <w:szCs w:val="21"/>
              </w:rPr>
            </w:pPr>
            <w:r>
              <w:rPr>
                <w:rFonts w:hint="eastAsia" w:ascii="宋体" w:hAnsi="宋体" w:cs="Times New Roman"/>
                <w:szCs w:val="21"/>
              </w:rPr>
              <w:t>24000</w:t>
            </w:r>
          </w:p>
        </w:tc>
        <w:tc>
          <w:tcPr>
            <w:tcW w:w="3174" w:type="dxa"/>
            <w:tcBorders>
              <w:top w:val="nil"/>
              <w:left w:val="nil"/>
              <w:bottom w:val="single" w:color="auto" w:sz="4" w:space="0"/>
              <w:right w:val="single" w:color="auto" w:sz="4" w:space="0"/>
            </w:tcBorders>
            <w:noWrap/>
            <w:vAlign w:val="center"/>
          </w:tcPr>
          <w:p w14:paraId="68469018">
            <w:pPr>
              <w:ind w:firstLine="420" w:firstLineChars="200"/>
              <w:rPr>
                <w:rFonts w:hint="eastAsia" w:ascii="宋体" w:hAnsi="宋体" w:cs="Times New Roman"/>
                <w:szCs w:val="21"/>
              </w:rPr>
            </w:pPr>
            <w:r>
              <w:rPr>
                <w:rFonts w:hint="eastAsia" w:ascii="宋体" w:hAnsi="宋体" w:cs="Times New Roman"/>
                <w:szCs w:val="21"/>
              </w:rPr>
              <w:t>3年</w:t>
            </w:r>
          </w:p>
        </w:tc>
      </w:tr>
      <w:tr w14:paraId="740FE09C">
        <w:tblPrEx>
          <w:tblCellMar>
            <w:top w:w="0" w:type="dxa"/>
            <w:left w:w="108" w:type="dxa"/>
            <w:bottom w:w="0" w:type="dxa"/>
            <w:right w:w="108" w:type="dxa"/>
          </w:tblCellMar>
        </w:tblPrEx>
        <w:trPr>
          <w:trHeight w:val="361" w:hRule="atLeast"/>
        </w:trPr>
        <w:tc>
          <w:tcPr>
            <w:tcW w:w="3174" w:type="dxa"/>
            <w:tcBorders>
              <w:top w:val="nil"/>
              <w:left w:val="nil"/>
              <w:bottom w:val="nil"/>
              <w:right w:val="nil"/>
            </w:tcBorders>
            <w:noWrap/>
            <w:vAlign w:val="center"/>
          </w:tcPr>
          <w:p w14:paraId="2FE7F53D">
            <w:pPr>
              <w:ind w:firstLine="420" w:firstLineChars="200"/>
              <w:rPr>
                <w:rFonts w:hint="eastAsia" w:ascii="宋体" w:hAnsi="宋体" w:cs="Times New Roman"/>
                <w:szCs w:val="21"/>
              </w:rPr>
            </w:pPr>
          </w:p>
        </w:tc>
        <w:tc>
          <w:tcPr>
            <w:tcW w:w="1626" w:type="dxa"/>
            <w:tcBorders>
              <w:top w:val="nil"/>
              <w:left w:val="nil"/>
              <w:bottom w:val="nil"/>
              <w:right w:val="nil"/>
            </w:tcBorders>
            <w:noWrap/>
            <w:vAlign w:val="center"/>
          </w:tcPr>
          <w:p w14:paraId="719ADD45">
            <w:pPr>
              <w:ind w:firstLine="420" w:firstLineChars="200"/>
              <w:rPr>
                <w:rFonts w:hint="eastAsia" w:ascii="宋体" w:hAnsi="宋体" w:cs="Times New Roman"/>
                <w:szCs w:val="21"/>
              </w:rPr>
            </w:pPr>
          </w:p>
        </w:tc>
        <w:tc>
          <w:tcPr>
            <w:tcW w:w="1983" w:type="dxa"/>
            <w:tcBorders>
              <w:top w:val="nil"/>
              <w:left w:val="nil"/>
              <w:bottom w:val="nil"/>
              <w:right w:val="nil"/>
            </w:tcBorders>
            <w:noWrap/>
            <w:vAlign w:val="center"/>
          </w:tcPr>
          <w:p w14:paraId="65EB1AC0">
            <w:pPr>
              <w:ind w:firstLine="420" w:firstLineChars="200"/>
              <w:rPr>
                <w:rFonts w:hint="eastAsia" w:ascii="宋体" w:hAnsi="宋体" w:cs="Times New Roman"/>
                <w:szCs w:val="21"/>
              </w:rPr>
            </w:pPr>
          </w:p>
        </w:tc>
        <w:tc>
          <w:tcPr>
            <w:tcW w:w="3174" w:type="dxa"/>
            <w:tcBorders>
              <w:top w:val="nil"/>
              <w:left w:val="nil"/>
              <w:bottom w:val="nil"/>
              <w:right w:val="nil"/>
            </w:tcBorders>
            <w:noWrap/>
            <w:vAlign w:val="center"/>
          </w:tcPr>
          <w:p w14:paraId="43271FA3">
            <w:pPr>
              <w:ind w:firstLine="420" w:firstLineChars="200"/>
              <w:rPr>
                <w:rFonts w:hint="eastAsia" w:ascii="宋体" w:hAnsi="宋体" w:cs="Times New Roman"/>
                <w:szCs w:val="21"/>
              </w:rPr>
            </w:pPr>
          </w:p>
        </w:tc>
      </w:tr>
      <w:tr w14:paraId="71E03B64">
        <w:tblPrEx>
          <w:tblCellMar>
            <w:top w:w="0" w:type="dxa"/>
            <w:left w:w="108" w:type="dxa"/>
            <w:bottom w:w="0" w:type="dxa"/>
            <w:right w:w="108" w:type="dxa"/>
          </w:tblCellMar>
        </w:tblPrEx>
        <w:trPr>
          <w:trHeight w:val="429" w:hRule="atLeast"/>
        </w:trPr>
        <w:tc>
          <w:tcPr>
            <w:tcW w:w="3174" w:type="dxa"/>
            <w:tcBorders>
              <w:top w:val="single" w:color="auto" w:sz="4" w:space="0"/>
              <w:left w:val="single" w:color="auto" w:sz="4" w:space="0"/>
              <w:bottom w:val="single" w:color="auto" w:sz="4" w:space="0"/>
              <w:right w:val="single" w:color="auto" w:sz="4" w:space="0"/>
            </w:tcBorders>
            <w:noWrap w:val="0"/>
            <w:vAlign w:val="center"/>
          </w:tcPr>
          <w:p w14:paraId="4BA57ACF">
            <w:pPr>
              <w:ind w:firstLine="420" w:firstLineChars="200"/>
              <w:rPr>
                <w:rFonts w:hint="eastAsia" w:ascii="宋体" w:hAnsi="宋体" w:cs="Times New Roman"/>
                <w:szCs w:val="21"/>
              </w:rPr>
            </w:pPr>
            <w:r>
              <w:rPr>
                <w:rFonts w:hint="eastAsia" w:ascii="宋体" w:hAnsi="宋体" w:cs="Times New Roman"/>
                <w:szCs w:val="21"/>
              </w:rPr>
              <w:t>催化剂单体技术参数</w:t>
            </w:r>
          </w:p>
        </w:tc>
        <w:tc>
          <w:tcPr>
            <w:tcW w:w="1626" w:type="dxa"/>
            <w:tcBorders>
              <w:top w:val="single" w:color="auto" w:sz="4" w:space="0"/>
              <w:left w:val="nil"/>
              <w:bottom w:val="single" w:color="auto" w:sz="4" w:space="0"/>
              <w:right w:val="single" w:color="auto" w:sz="4" w:space="0"/>
            </w:tcBorders>
            <w:noWrap w:val="0"/>
            <w:vAlign w:val="center"/>
          </w:tcPr>
          <w:p w14:paraId="7A8CA68E">
            <w:pPr>
              <w:ind w:firstLine="420" w:firstLineChars="200"/>
              <w:rPr>
                <w:rFonts w:hint="eastAsia" w:ascii="宋体" w:hAnsi="宋体" w:cs="Times New Roman"/>
                <w:szCs w:val="21"/>
              </w:rPr>
            </w:pPr>
            <w:r>
              <w:rPr>
                <w:rFonts w:hint="eastAsia" w:ascii="宋体" w:hAnsi="宋体" w:cs="Times New Roman"/>
                <w:szCs w:val="21"/>
              </w:rPr>
              <w:t>单位</w:t>
            </w:r>
          </w:p>
        </w:tc>
        <w:tc>
          <w:tcPr>
            <w:tcW w:w="1983" w:type="dxa"/>
            <w:tcBorders>
              <w:top w:val="single" w:color="auto" w:sz="4" w:space="0"/>
              <w:left w:val="nil"/>
              <w:bottom w:val="single" w:color="auto" w:sz="4" w:space="0"/>
              <w:right w:val="single" w:color="auto" w:sz="4" w:space="0"/>
            </w:tcBorders>
            <w:noWrap w:val="0"/>
            <w:vAlign w:val="center"/>
          </w:tcPr>
          <w:p w14:paraId="688F6189">
            <w:pPr>
              <w:ind w:firstLine="420" w:firstLineChars="200"/>
              <w:rPr>
                <w:rFonts w:hint="eastAsia" w:ascii="宋体" w:hAnsi="宋体" w:cs="Times New Roman"/>
                <w:szCs w:val="21"/>
              </w:rPr>
            </w:pPr>
            <w:r>
              <w:rPr>
                <w:rFonts w:hint="eastAsia" w:ascii="宋体" w:hAnsi="宋体" w:cs="Times New Roman"/>
                <w:szCs w:val="21"/>
                <w:lang w:val="en-US" w:eastAsia="zh-CN"/>
              </w:rPr>
              <w:t>参数</w:t>
            </w:r>
          </w:p>
        </w:tc>
        <w:tc>
          <w:tcPr>
            <w:tcW w:w="3174" w:type="dxa"/>
            <w:tcBorders>
              <w:top w:val="single" w:color="auto" w:sz="4" w:space="0"/>
              <w:left w:val="nil"/>
              <w:bottom w:val="single" w:color="auto" w:sz="4" w:space="0"/>
              <w:right w:val="single" w:color="auto" w:sz="4" w:space="0"/>
            </w:tcBorders>
            <w:noWrap w:val="0"/>
            <w:vAlign w:val="center"/>
          </w:tcPr>
          <w:p w14:paraId="50D33DC0">
            <w:pPr>
              <w:ind w:firstLine="420" w:firstLineChars="200"/>
              <w:rPr>
                <w:rFonts w:hint="eastAsia" w:ascii="宋体" w:hAnsi="宋体" w:cs="Times New Roman"/>
                <w:szCs w:val="21"/>
              </w:rPr>
            </w:pPr>
            <w:r>
              <w:rPr>
                <w:rFonts w:hint="eastAsia" w:ascii="宋体" w:hAnsi="宋体" w:cs="Times New Roman"/>
                <w:szCs w:val="21"/>
              </w:rPr>
              <w:t>备注</w:t>
            </w:r>
          </w:p>
        </w:tc>
      </w:tr>
      <w:tr w14:paraId="1693FF16">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4E75E570">
            <w:pPr>
              <w:ind w:firstLine="420" w:firstLineChars="200"/>
              <w:rPr>
                <w:rFonts w:hint="eastAsia" w:ascii="宋体" w:hAnsi="宋体" w:cs="Times New Roman"/>
                <w:szCs w:val="21"/>
              </w:rPr>
            </w:pPr>
            <w:r>
              <w:rPr>
                <w:rFonts w:hint="eastAsia" w:ascii="宋体" w:hAnsi="宋体" w:cs="Times New Roman"/>
                <w:szCs w:val="21"/>
              </w:rPr>
              <w:t>催化剂孔数</w:t>
            </w:r>
          </w:p>
        </w:tc>
        <w:tc>
          <w:tcPr>
            <w:tcW w:w="1626" w:type="dxa"/>
            <w:tcBorders>
              <w:top w:val="nil"/>
              <w:left w:val="nil"/>
              <w:bottom w:val="single" w:color="auto" w:sz="4" w:space="0"/>
              <w:right w:val="single" w:color="auto" w:sz="4" w:space="0"/>
            </w:tcBorders>
            <w:noWrap w:val="0"/>
            <w:vAlign w:val="center"/>
          </w:tcPr>
          <w:p w14:paraId="69E8A136">
            <w:pPr>
              <w:ind w:firstLine="420" w:firstLineChars="200"/>
              <w:rPr>
                <w:rFonts w:hint="eastAsia" w:ascii="宋体" w:hAnsi="宋体" w:cs="Times New Roman"/>
                <w:szCs w:val="21"/>
              </w:rPr>
            </w:pPr>
            <w:r>
              <w:rPr>
                <w:rFonts w:hint="eastAsia" w:ascii="宋体" w:hAnsi="宋体" w:cs="Times New Roman"/>
                <w:szCs w:val="21"/>
              </w:rPr>
              <w:t>孔</w:t>
            </w:r>
          </w:p>
        </w:tc>
        <w:tc>
          <w:tcPr>
            <w:tcW w:w="1983" w:type="dxa"/>
            <w:tcBorders>
              <w:top w:val="nil"/>
              <w:left w:val="nil"/>
              <w:bottom w:val="single" w:color="auto" w:sz="4" w:space="0"/>
              <w:right w:val="single" w:color="auto" w:sz="4" w:space="0"/>
            </w:tcBorders>
            <w:noWrap w:val="0"/>
            <w:vAlign w:val="center"/>
          </w:tcPr>
          <w:p w14:paraId="26AD72D5">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5B78A720">
            <w:pPr>
              <w:ind w:firstLine="420" w:firstLineChars="200"/>
              <w:rPr>
                <w:rFonts w:hint="eastAsia" w:ascii="宋体" w:hAnsi="宋体" w:cs="Times New Roman"/>
                <w:szCs w:val="21"/>
              </w:rPr>
            </w:pPr>
          </w:p>
        </w:tc>
      </w:tr>
      <w:tr w14:paraId="338A6343">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0E8627BE">
            <w:pPr>
              <w:ind w:firstLine="420" w:firstLineChars="200"/>
              <w:rPr>
                <w:rFonts w:hint="eastAsia" w:ascii="宋体" w:hAnsi="宋体" w:cs="Times New Roman"/>
                <w:szCs w:val="21"/>
              </w:rPr>
            </w:pPr>
            <w:r>
              <w:rPr>
                <w:rFonts w:hint="eastAsia" w:ascii="宋体" w:hAnsi="宋体" w:cs="Times New Roman"/>
                <w:szCs w:val="21"/>
              </w:rPr>
              <w:t>催化剂单体长度</w:t>
            </w:r>
          </w:p>
        </w:tc>
        <w:tc>
          <w:tcPr>
            <w:tcW w:w="1626" w:type="dxa"/>
            <w:tcBorders>
              <w:top w:val="nil"/>
              <w:left w:val="nil"/>
              <w:bottom w:val="single" w:color="auto" w:sz="4" w:space="0"/>
              <w:right w:val="single" w:color="auto" w:sz="4" w:space="0"/>
            </w:tcBorders>
            <w:noWrap w:val="0"/>
            <w:vAlign w:val="center"/>
          </w:tcPr>
          <w:p w14:paraId="4BEA835F">
            <w:pPr>
              <w:ind w:firstLine="420" w:firstLineChars="200"/>
              <w:rPr>
                <w:rFonts w:hint="eastAsia" w:ascii="宋体" w:hAnsi="宋体" w:cs="Times New Roman"/>
                <w:szCs w:val="21"/>
              </w:rPr>
            </w:pPr>
            <w:r>
              <w:rPr>
                <w:rFonts w:hint="eastAsia" w:ascii="宋体" w:hAnsi="宋体" w:cs="Times New Roman"/>
                <w:szCs w:val="21"/>
              </w:rPr>
              <w:t>mm</w:t>
            </w:r>
          </w:p>
        </w:tc>
        <w:tc>
          <w:tcPr>
            <w:tcW w:w="1983" w:type="dxa"/>
            <w:tcBorders>
              <w:top w:val="nil"/>
              <w:left w:val="nil"/>
              <w:bottom w:val="single" w:color="auto" w:sz="4" w:space="0"/>
              <w:right w:val="single" w:color="auto" w:sz="4" w:space="0"/>
            </w:tcBorders>
            <w:noWrap w:val="0"/>
            <w:vAlign w:val="center"/>
          </w:tcPr>
          <w:p w14:paraId="0C6C290A">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37659297">
            <w:pPr>
              <w:ind w:firstLine="420" w:firstLineChars="200"/>
              <w:rPr>
                <w:rFonts w:hint="eastAsia" w:ascii="宋体" w:hAnsi="宋体" w:cs="Times New Roman"/>
                <w:szCs w:val="21"/>
              </w:rPr>
            </w:pPr>
          </w:p>
        </w:tc>
      </w:tr>
      <w:tr w14:paraId="6E7CF488">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4E542D48">
            <w:pPr>
              <w:ind w:firstLine="420" w:firstLineChars="200"/>
              <w:rPr>
                <w:rFonts w:hint="eastAsia" w:ascii="宋体" w:hAnsi="宋体" w:cs="Times New Roman"/>
                <w:szCs w:val="21"/>
              </w:rPr>
            </w:pPr>
            <w:r>
              <w:rPr>
                <w:rFonts w:hint="eastAsia" w:ascii="宋体" w:hAnsi="宋体" w:cs="Times New Roman"/>
                <w:szCs w:val="21"/>
              </w:rPr>
              <w:t>催化剂单体宽度</w:t>
            </w:r>
          </w:p>
        </w:tc>
        <w:tc>
          <w:tcPr>
            <w:tcW w:w="1626" w:type="dxa"/>
            <w:tcBorders>
              <w:top w:val="nil"/>
              <w:left w:val="nil"/>
              <w:bottom w:val="single" w:color="auto" w:sz="4" w:space="0"/>
              <w:right w:val="single" w:color="auto" w:sz="4" w:space="0"/>
            </w:tcBorders>
            <w:noWrap w:val="0"/>
            <w:vAlign w:val="center"/>
          </w:tcPr>
          <w:p w14:paraId="7D5549A5">
            <w:pPr>
              <w:ind w:firstLine="420" w:firstLineChars="200"/>
              <w:rPr>
                <w:rFonts w:hint="eastAsia" w:ascii="宋体" w:hAnsi="宋体" w:cs="Times New Roman"/>
                <w:szCs w:val="21"/>
              </w:rPr>
            </w:pPr>
            <w:r>
              <w:rPr>
                <w:rFonts w:hint="eastAsia" w:ascii="宋体" w:hAnsi="宋体" w:cs="Times New Roman"/>
                <w:szCs w:val="21"/>
              </w:rPr>
              <w:t>mm</w:t>
            </w:r>
          </w:p>
        </w:tc>
        <w:tc>
          <w:tcPr>
            <w:tcW w:w="1983" w:type="dxa"/>
            <w:tcBorders>
              <w:top w:val="nil"/>
              <w:left w:val="nil"/>
              <w:bottom w:val="single" w:color="auto" w:sz="4" w:space="0"/>
              <w:right w:val="single" w:color="auto" w:sz="4" w:space="0"/>
            </w:tcBorders>
            <w:noWrap w:val="0"/>
            <w:vAlign w:val="center"/>
          </w:tcPr>
          <w:p w14:paraId="74E5F7CD">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3A8368CA">
            <w:pPr>
              <w:ind w:firstLine="420" w:firstLineChars="200"/>
              <w:rPr>
                <w:rFonts w:hint="eastAsia" w:ascii="宋体" w:hAnsi="宋体" w:cs="Times New Roman"/>
                <w:szCs w:val="21"/>
              </w:rPr>
            </w:pPr>
          </w:p>
        </w:tc>
      </w:tr>
      <w:tr w14:paraId="35D64498">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46D57508">
            <w:pPr>
              <w:ind w:firstLine="420" w:firstLineChars="200"/>
              <w:rPr>
                <w:rFonts w:hint="eastAsia" w:ascii="宋体" w:hAnsi="宋体" w:cs="Times New Roman"/>
                <w:szCs w:val="21"/>
              </w:rPr>
            </w:pPr>
            <w:r>
              <w:rPr>
                <w:rFonts w:hint="eastAsia" w:ascii="宋体" w:hAnsi="宋体" w:cs="Times New Roman"/>
                <w:szCs w:val="21"/>
              </w:rPr>
              <w:t>催化剂单体高度</w:t>
            </w:r>
          </w:p>
        </w:tc>
        <w:tc>
          <w:tcPr>
            <w:tcW w:w="1626" w:type="dxa"/>
            <w:tcBorders>
              <w:top w:val="nil"/>
              <w:left w:val="nil"/>
              <w:bottom w:val="single" w:color="auto" w:sz="4" w:space="0"/>
              <w:right w:val="single" w:color="auto" w:sz="4" w:space="0"/>
            </w:tcBorders>
            <w:noWrap w:val="0"/>
            <w:vAlign w:val="center"/>
          </w:tcPr>
          <w:p w14:paraId="2539315D">
            <w:pPr>
              <w:ind w:firstLine="420" w:firstLineChars="200"/>
              <w:rPr>
                <w:rFonts w:hint="eastAsia" w:ascii="宋体" w:hAnsi="宋体" w:cs="Times New Roman"/>
                <w:szCs w:val="21"/>
              </w:rPr>
            </w:pPr>
            <w:r>
              <w:rPr>
                <w:rFonts w:hint="eastAsia" w:ascii="宋体" w:hAnsi="宋体" w:cs="Times New Roman"/>
                <w:szCs w:val="21"/>
              </w:rPr>
              <w:t>mm</w:t>
            </w:r>
          </w:p>
        </w:tc>
        <w:tc>
          <w:tcPr>
            <w:tcW w:w="1983" w:type="dxa"/>
            <w:tcBorders>
              <w:top w:val="nil"/>
              <w:left w:val="nil"/>
              <w:bottom w:val="single" w:color="auto" w:sz="4" w:space="0"/>
              <w:right w:val="single" w:color="auto" w:sz="4" w:space="0"/>
            </w:tcBorders>
            <w:noWrap w:val="0"/>
            <w:vAlign w:val="center"/>
          </w:tcPr>
          <w:p w14:paraId="0D951BD8">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46BA2B31">
            <w:pPr>
              <w:ind w:firstLine="420" w:firstLineChars="200"/>
              <w:rPr>
                <w:rFonts w:hint="eastAsia" w:ascii="宋体" w:hAnsi="宋体" w:cs="Times New Roman"/>
                <w:szCs w:val="21"/>
              </w:rPr>
            </w:pPr>
          </w:p>
        </w:tc>
      </w:tr>
      <w:tr w14:paraId="7D207A6B">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6F70887B">
            <w:pPr>
              <w:ind w:firstLine="420" w:firstLineChars="200"/>
              <w:rPr>
                <w:rFonts w:hint="eastAsia" w:ascii="宋体" w:hAnsi="宋体" w:cs="Times New Roman"/>
                <w:szCs w:val="21"/>
              </w:rPr>
            </w:pPr>
            <w:r>
              <w:rPr>
                <w:rFonts w:hint="eastAsia" w:ascii="宋体" w:hAnsi="宋体" w:cs="Times New Roman"/>
                <w:szCs w:val="21"/>
              </w:rPr>
              <w:t>外壁厚</w:t>
            </w:r>
          </w:p>
        </w:tc>
        <w:tc>
          <w:tcPr>
            <w:tcW w:w="1626" w:type="dxa"/>
            <w:tcBorders>
              <w:top w:val="nil"/>
              <w:left w:val="nil"/>
              <w:bottom w:val="single" w:color="auto" w:sz="4" w:space="0"/>
              <w:right w:val="single" w:color="auto" w:sz="4" w:space="0"/>
            </w:tcBorders>
            <w:noWrap w:val="0"/>
            <w:vAlign w:val="center"/>
          </w:tcPr>
          <w:p w14:paraId="52BF6309">
            <w:pPr>
              <w:ind w:firstLine="420" w:firstLineChars="200"/>
              <w:rPr>
                <w:rFonts w:hint="eastAsia" w:ascii="宋体" w:hAnsi="宋体" w:cs="Times New Roman"/>
                <w:szCs w:val="21"/>
              </w:rPr>
            </w:pPr>
            <w:r>
              <w:rPr>
                <w:rFonts w:hint="eastAsia" w:ascii="宋体" w:hAnsi="宋体" w:cs="Times New Roman"/>
                <w:szCs w:val="21"/>
              </w:rPr>
              <w:t>mm</w:t>
            </w:r>
          </w:p>
        </w:tc>
        <w:tc>
          <w:tcPr>
            <w:tcW w:w="1983" w:type="dxa"/>
            <w:tcBorders>
              <w:top w:val="nil"/>
              <w:left w:val="nil"/>
              <w:bottom w:val="single" w:color="auto" w:sz="4" w:space="0"/>
              <w:right w:val="single" w:color="auto" w:sz="4" w:space="0"/>
            </w:tcBorders>
            <w:noWrap w:val="0"/>
            <w:vAlign w:val="center"/>
          </w:tcPr>
          <w:p w14:paraId="0E699290">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6051B857">
            <w:pPr>
              <w:ind w:firstLine="420" w:firstLineChars="200"/>
              <w:rPr>
                <w:rFonts w:hint="eastAsia" w:ascii="宋体" w:hAnsi="宋体" w:cs="Times New Roman"/>
                <w:szCs w:val="21"/>
              </w:rPr>
            </w:pPr>
            <w:r>
              <w:rPr>
                <w:rFonts w:hint="eastAsia" w:ascii="宋体" w:hAnsi="宋体" w:cs="Times New Roman"/>
                <w:szCs w:val="21"/>
              </w:rPr>
              <w:t>　</w:t>
            </w:r>
          </w:p>
        </w:tc>
      </w:tr>
      <w:tr w14:paraId="28694C15">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197B6394">
            <w:pPr>
              <w:ind w:firstLine="420" w:firstLineChars="200"/>
              <w:rPr>
                <w:rFonts w:hint="eastAsia" w:ascii="宋体" w:hAnsi="宋体" w:cs="Times New Roman"/>
                <w:szCs w:val="21"/>
              </w:rPr>
            </w:pPr>
            <w:r>
              <w:rPr>
                <w:rFonts w:hint="eastAsia" w:ascii="宋体" w:hAnsi="宋体" w:cs="Times New Roman"/>
                <w:szCs w:val="21"/>
              </w:rPr>
              <w:t>壁厚</w:t>
            </w:r>
          </w:p>
        </w:tc>
        <w:tc>
          <w:tcPr>
            <w:tcW w:w="1626" w:type="dxa"/>
            <w:tcBorders>
              <w:top w:val="nil"/>
              <w:left w:val="nil"/>
              <w:bottom w:val="single" w:color="auto" w:sz="4" w:space="0"/>
              <w:right w:val="single" w:color="auto" w:sz="4" w:space="0"/>
            </w:tcBorders>
            <w:noWrap w:val="0"/>
            <w:vAlign w:val="center"/>
          </w:tcPr>
          <w:p w14:paraId="4E7F6D65">
            <w:pPr>
              <w:ind w:firstLine="420" w:firstLineChars="200"/>
              <w:rPr>
                <w:rFonts w:hint="eastAsia" w:ascii="宋体" w:hAnsi="宋体" w:cs="Times New Roman"/>
                <w:szCs w:val="21"/>
              </w:rPr>
            </w:pPr>
            <w:r>
              <w:rPr>
                <w:rFonts w:hint="eastAsia" w:ascii="宋体" w:hAnsi="宋体" w:cs="Times New Roman"/>
                <w:szCs w:val="21"/>
              </w:rPr>
              <w:t>mm</w:t>
            </w:r>
          </w:p>
        </w:tc>
        <w:tc>
          <w:tcPr>
            <w:tcW w:w="1983" w:type="dxa"/>
            <w:tcBorders>
              <w:top w:val="nil"/>
              <w:left w:val="nil"/>
              <w:bottom w:val="single" w:color="auto" w:sz="4" w:space="0"/>
              <w:right w:val="single" w:color="auto" w:sz="4" w:space="0"/>
            </w:tcBorders>
            <w:noWrap w:val="0"/>
            <w:vAlign w:val="center"/>
          </w:tcPr>
          <w:p w14:paraId="27423457">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48B76249">
            <w:pPr>
              <w:ind w:firstLine="420" w:firstLineChars="200"/>
              <w:rPr>
                <w:rFonts w:hint="eastAsia" w:ascii="宋体" w:hAnsi="宋体" w:cs="Times New Roman"/>
                <w:szCs w:val="21"/>
              </w:rPr>
            </w:pPr>
            <w:r>
              <w:rPr>
                <w:rFonts w:hint="eastAsia" w:ascii="宋体" w:hAnsi="宋体" w:cs="Times New Roman"/>
                <w:szCs w:val="21"/>
              </w:rPr>
              <w:t>　</w:t>
            </w:r>
          </w:p>
        </w:tc>
      </w:tr>
      <w:tr w14:paraId="2C7343FF">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3F99E899">
            <w:pPr>
              <w:ind w:firstLine="420" w:firstLineChars="200"/>
              <w:rPr>
                <w:rFonts w:hint="eastAsia" w:ascii="宋体" w:hAnsi="宋体" w:cs="Times New Roman"/>
                <w:szCs w:val="21"/>
              </w:rPr>
            </w:pPr>
            <w:r>
              <w:rPr>
                <w:rFonts w:hint="eastAsia" w:ascii="宋体" w:hAnsi="宋体" w:cs="Times New Roman"/>
                <w:szCs w:val="21"/>
              </w:rPr>
              <w:t>节距</w:t>
            </w:r>
          </w:p>
        </w:tc>
        <w:tc>
          <w:tcPr>
            <w:tcW w:w="1626" w:type="dxa"/>
            <w:tcBorders>
              <w:top w:val="nil"/>
              <w:left w:val="nil"/>
              <w:bottom w:val="single" w:color="auto" w:sz="4" w:space="0"/>
              <w:right w:val="single" w:color="auto" w:sz="4" w:space="0"/>
            </w:tcBorders>
            <w:noWrap w:val="0"/>
            <w:vAlign w:val="center"/>
          </w:tcPr>
          <w:p w14:paraId="484C8C78">
            <w:pPr>
              <w:ind w:firstLine="420" w:firstLineChars="200"/>
              <w:rPr>
                <w:rFonts w:hint="eastAsia" w:ascii="宋体" w:hAnsi="宋体" w:cs="Times New Roman"/>
                <w:szCs w:val="21"/>
              </w:rPr>
            </w:pPr>
            <w:r>
              <w:rPr>
                <w:rFonts w:hint="eastAsia" w:ascii="宋体" w:hAnsi="宋体" w:cs="Times New Roman"/>
                <w:szCs w:val="21"/>
              </w:rPr>
              <w:t>mm×mm</w:t>
            </w:r>
          </w:p>
        </w:tc>
        <w:tc>
          <w:tcPr>
            <w:tcW w:w="1983" w:type="dxa"/>
            <w:tcBorders>
              <w:top w:val="nil"/>
              <w:left w:val="nil"/>
              <w:bottom w:val="single" w:color="auto" w:sz="4" w:space="0"/>
              <w:right w:val="single" w:color="auto" w:sz="4" w:space="0"/>
            </w:tcBorders>
            <w:noWrap w:val="0"/>
            <w:vAlign w:val="center"/>
          </w:tcPr>
          <w:p w14:paraId="50C58C0C">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7DF1CE51">
            <w:pPr>
              <w:ind w:firstLine="420" w:firstLineChars="200"/>
              <w:rPr>
                <w:rFonts w:hint="eastAsia" w:ascii="宋体" w:hAnsi="宋体" w:cs="Times New Roman"/>
                <w:szCs w:val="21"/>
              </w:rPr>
            </w:pPr>
            <w:r>
              <w:rPr>
                <w:rFonts w:hint="eastAsia" w:ascii="宋体" w:hAnsi="宋体" w:cs="Times New Roman"/>
                <w:szCs w:val="21"/>
              </w:rPr>
              <w:t>　</w:t>
            </w:r>
          </w:p>
        </w:tc>
      </w:tr>
      <w:tr w14:paraId="5E226EAF">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339FCE5A">
            <w:pPr>
              <w:ind w:firstLine="420" w:firstLineChars="200"/>
              <w:rPr>
                <w:rFonts w:hint="eastAsia" w:ascii="宋体" w:hAnsi="宋体" w:cs="Times New Roman"/>
                <w:szCs w:val="21"/>
              </w:rPr>
            </w:pPr>
            <w:r>
              <w:rPr>
                <w:rFonts w:hint="eastAsia" w:ascii="宋体" w:hAnsi="宋体" w:cs="Times New Roman"/>
                <w:szCs w:val="21"/>
              </w:rPr>
              <w:t>催化剂比表面积</w:t>
            </w:r>
          </w:p>
        </w:tc>
        <w:tc>
          <w:tcPr>
            <w:tcW w:w="1626" w:type="dxa"/>
            <w:tcBorders>
              <w:top w:val="nil"/>
              <w:left w:val="nil"/>
              <w:bottom w:val="single" w:color="auto" w:sz="4" w:space="0"/>
              <w:right w:val="single" w:color="auto" w:sz="4" w:space="0"/>
            </w:tcBorders>
            <w:noWrap w:val="0"/>
            <w:vAlign w:val="center"/>
          </w:tcPr>
          <w:p w14:paraId="7E2BF788">
            <w:pPr>
              <w:ind w:firstLine="420" w:firstLineChars="200"/>
              <w:rPr>
                <w:rFonts w:hint="eastAsia" w:ascii="宋体" w:hAnsi="宋体" w:cs="Times New Roman"/>
                <w:szCs w:val="21"/>
              </w:rPr>
            </w:pPr>
            <w:r>
              <w:rPr>
                <w:rFonts w:hint="eastAsia" w:ascii="宋体" w:hAnsi="宋体" w:cs="Times New Roman"/>
                <w:szCs w:val="21"/>
              </w:rPr>
              <w:t>m2/m3</w:t>
            </w:r>
          </w:p>
        </w:tc>
        <w:tc>
          <w:tcPr>
            <w:tcW w:w="1983" w:type="dxa"/>
            <w:tcBorders>
              <w:top w:val="nil"/>
              <w:left w:val="nil"/>
              <w:bottom w:val="single" w:color="auto" w:sz="4" w:space="0"/>
              <w:right w:val="single" w:color="auto" w:sz="4" w:space="0"/>
            </w:tcBorders>
            <w:noWrap w:val="0"/>
            <w:vAlign w:val="center"/>
          </w:tcPr>
          <w:p w14:paraId="2005BA78">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2FB7FCDE">
            <w:pPr>
              <w:ind w:firstLine="420" w:firstLineChars="200"/>
              <w:rPr>
                <w:rFonts w:hint="eastAsia" w:ascii="宋体" w:hAnsi="宋体" w:cs="Times New Roman"/>
                <w:szCs w:val="21"/>
              </w:rPr>
            </w:pPr>
            <w:r>
              <w:rPr>
                <w:rFonts w:hint="eastAsia" w:ascii="宋体" w:hAnsi="宋体" w:cs="Times New Roman"/>
                <w:szCs w:val="21"/>
              </w:rPr>
              <w:t>　</w:t>
            </w:r>
          </w:p>
        </w:tc>
      </w:tr>
      <w:tr w14:paraId="6870776A">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37CAEA64">
            <w:pPr>
              <w:ind w:firstLine="420" w:firstLineChars="200"/>
              <w:rPr>
                <w:rFonts w:hint="eastAsia" w:ascii="宋体" w:hAnsi="宋体" w:cs="Times New Roman"/>
                <w:szCs w:val="21"/>
              </w:rPr>
            </w:pPr>
            <w:r>
              <w:rPr>
                <w:rFonts w:hint="eastAsia" w:ascii="宋体" w:hAnsi="宋体" w:cs="Times New Roman"/>
                <w:szCs w:val="21"/>
              </w:rPr>
              <w:t>催化剂体积密度</w:t>
            </w:r>
          </w:p>
        </w:tc>
        <w:tc>
          <w:tcPr>
            <w:tcW w:w="1626" w:type="dxa"/>
            <w:tcBorders>
              <w:top w:val="nil"/>
              <w:left w:val="nil"/>
              <w:bottom w:val="single" w:color="auto" w:sz="4" w:space="0"/>
              <w:right w:val="single" w:color="auto" w:sz="4" w:space="0"/>
            </w:tcBorders>
            <w:noWrap w:val="0"/>
            <w:vAlign w:val="center"/>
          </w:tcPr>
          <w:p w14:paraId="0AA6C9F9">
            <w:pPr>
              <w:ind w:firstLine="420" w:firstLineChars="200"/>
              <w:rPr>
                <w:rFonts w:hint="eastAsia" w:ascii="宋体" w:hAnsi="宋体" w:cs="Times New Roman"/>
                <w:szCs w:val="21"/>
              </w:rPr>
            </w:pPr>
            <w:r>
              <w:rPr>
                <w:rFonts w:hint="eastAsia" w:ascii="宋体" w:hAnsi="宋体" w:cs="Times New Roman"/>
                <w:szCs w:val="21"/>
              </w:rPr>
              <w:t>kg/m3</w:t>
            </w:r>
          </w:p>
        </w:tc>
        <w:tc>
          <w:tcPr>
            <w:tcW w:w="1983" w:type="dxa"/>
            <w:tcBorders>
              <w:top w:val="nil"/>
              <w:left w:val="nil"/>
              <w:bottom w:val="single" w:color="auto" w:sz="4" w:space="0"/>
              <w:right w:val="single" w:color="auto" w:sz="4" w:space="0"/>
            </w:tcBorders>
            <w:noWrap w:val="0"/>
            <w:vAlign w:val="center"/>
          </w:tcPr>
          <w:p w14:paraId="27B05273">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4AB56E59">
            <w:pPr>
              <w:ind w:firstLine="420" w:firstLineChars="200"/>
              <w:rPr>
                <w:rFonts w:hint="eastAsia" w:ascii="宋体" w:hAnsi="宋体" w:cs="Times New Roman"/>
                <w:szCs w:val="21"/>
              </w:rPr>
            </w:pPr>
            <w:r>
              <w:rPr>
                <w:rFonts w:hint="eastAsia" w:ascii="宋体" w:hAnsi="宋体" w:cs="Times New Roman"/>
                <w:szCs w:val="21"/>
              </w:rPr>
              <w:t>　</w:t>
            </w:r>
          </w:p>
        </w:tc>
      </w:tr>
      <w:tr w14:paraId="4856F5F8">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0"/>
            <w:vAlign w:val="center"/>
          </w:tcPr>
          <w:p w14:paraId="3B99D729">
            <w:pPr>
              <w:ind w:firstLine="420" w:firstLineChars="200"/>
              <w:rPr>
                <w:rFonts w:hint="eastAsia" w:ascii="宋体" w:hAnsi="宋体" w:cs="Times New Roman"/>
                <w:szCs w:val="21"/>
              </w:rPr>
            </w:pPr>
            <w:r>
              <w:rPr>
                <w:rFonts w:hint="eastAsia" w:ascii="宋体" w:hAnsi="宋体" w:cs="Times New Roman"/>
                <w:szCs w:val="21"/>
              </w:rPr>
              <w:t>催化剂空隙率</w:t>
            </w:r>
          </w:p>
        </w:tc>
        <w:tc>
          <w:tcPr>
            <w:tcW w:w="1626" w:type="dxa"/>
            <w:tcBorders>
              <w:top w:val="nil"/>
              <w:left w:val="nil"/>
              <w:bottom w:val="single" w:color="auto" w:sz="4" w:space="0"/>
              <w:right w:val="single" w:color="auto" w:sz="4" w:space="0"/>
            </w:tcBorders>
            <w:noWrap w:val="0"/>
            <w:vAlign w:val="center"/>
          </w:tcPr>
          <w:p w14:paraId="58A3D413">
            <w:pPr>
              <w:ind w:firstLine="420" w:firstLineChars="200"/>
              <w:rPr>
                <w:rFonts w:hint="eastAsia" w:ascii="宋体" w:hAnsi="宋体" w:cs="Times New Roman"/>
                <w:szCs w:val="21"/>
              </w:rPr>
            </w:pPr>
            <w:r>
              <w:rPr>
                <w:rFonts w:hint="eastAsia" w:ascii="宋体" w:hAnsi="宋体" w:cs="Times New Roman"/>
                <w:szCs w:val="21"/>
              </w:rPr>
              <w:t>%</w:t>
            </w:r>
          </w:p>
        </w:tc>
        <w:tc>
          <w:tcPr>
            <w:tcW w:w="1983" w:type="dxa"/>
            <w:tcBorders>
              <w:top w:val="nil"/>
              <w:left w:val="nil"/>
              <w:bottom w:val="single" w:color="auto" w:sz="4" w:space="0"/>
              <w:right w:val="single" w:color="auto" w:sz="4" w:space="0"/>
            </w:tcBorders>
            <w:noWrap w:val="0"/>
            <w:vAlign w:val="center"/>
          </w:tcPr>
          <w:p w14:paraId="4D781C2C">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0"/>
            <w:vAlign w:val="center"/>
          </w:tcPr>
          <w:p w14:paraId="1017DD0A">
            <w:pPr>
              <w:ind w:firstLine="420" w:firstLineChars="200"/>
              <w:rPr>
                <w:rFonts w:hint="eastAsia" w:ascii="宋体" w:hAnsi="宋体" w:cs="Times New Roman"/>
                <w:szCs w:val="21"/>
              </w:rPr>
            </w:pPr>
            <w:r>
              <w:rPr>
                <w:rFonts w:hint="eastAsia" w:ascii="宋体" w:hAnsi="宋体" w:cs="Times New Roman"/>
                <w:szCs w:val="21"/>
              </w:rPr>
              <w:t>　</w:t>
            </w:r>
          </w:p>
        </w:tc>
      </w:tr>
      <w:tr w14:paraId="07B50154">
        <w:tblPrEx>
          <w:tblCellMar>
            <w:top w:w="0" w:type="dxa"/>
            <w:left w:w="108" w:type="dxa"/>
            <w:bottom w:w="0" w:type="dxa"/>
            <w:right w:w="108" w:type="dxa"/>
          </w:tblCellMar>
        </w:tblPrEx>
        <w:trPr>
          <w:trHeight w:val="361" w:hRule="atLeast"/>
        </w:trPr>
        <w:tc>
          <w:tcPr>
            <w:tcW w:w="3174" w:type="dxa"/>
            <w:tcBorders>
              <w:top w:val="nil"/>
              <w:left w:val="nil"/>
              <w:bottom w:val="nil"/>
              <w:right w:val="nil"/>
            </w:tcBorders>
            <w:noWrap/>
            <w:vAlign w:val="center"/>
          </w:tcPr>
          <w:p w14:paraId="6335777E">
            <w:pPr>
              <w:ind w:firstLine="420" w:firstLineChars="200"/>
              <w:rPr>
                <w:rFonts w:hint="eastAsia" w:ascii="宋体" w:hAnsi="宋体" w:cs="Times New Roman"/>
                <w:szCs w:val="21"/>
              </w:rPr>
            </w:pPr>
          </w:p>
        </w:tc>
        <w:tc>
          <w:tcPr>
            <w:tcW w:w="1626" w:type="dxa"/>
            <w:tcBorders>
              <w:top w:val="nil"/>
              <w:left w:val="nil"/>
              <w:bottom w:val="nil"/>
              <w:right w:val="nil"/>
            </w:tcBorders>
            <w:noWrap/>
            <w:vAlign w:val="center"/>
          </w:tcPr>
          <w:p w14:paraId="01BD5647">
            <w:pPr>
              <w:ind w:firstLine="420" w:firstLineChars="200"/>
              <w:rPr>
                <w:rFonts w:hint="eastAsia" w:ascii="宋体" w:hAnsi="宋体" w:cs="Times New Roman"/>
                <w:szCs w:val="21"/>
              </w:rPr>
            </w:pPr>
          </w:p>
        </w:tc>
        <w:tc>
          <w:tcPr>
            <w:tcW w:w="1983" w:type="dxa"/>
            <w:tcBorders>
              <w:top w:val="nil"/>
              <w:left w:val="nil"/>
              <w:bottom w:val="nil"/>
              <w:right w:val="nil"/>
            </w:tcBorders>
            <w:noWrap/>
            <w:vAlign w:val="center"/>
          </w:tcPr>
          <w:p w14:paraId="426338F2">
            <w:pPr>
              <w:ind w:firstLine="420" w:firstLineChars="200"/>
              <w:rPr>
                <w:rFonts w:hint="eastAsia" w:ascii="宋体" w:hAnsi="宋体" w:cs="Times New Roman"/>
                <w:szCs w:val="21"/>
              </w:rPr>
            </w:pPr>
          </w:p>
        </w:tc>
        <w:tc>
          <w:tcPr>
            <w:tcW w:w="3174" w:type="dxa"/>
            <w:tcBorders>
              <w:top w:val="nil"/>
              <w:left w:val="nil"/>
              <w:bottom w:val="nil"/>
              <w:right w:val="nil"/>
            </w:tcBorders>
            <w:noWrap/>
            <w:vAlign w:val="center"/>
          </w:tcPr>
          <w:p w14:paraId="01B807B8">
            <w:pPr>
              <w:ind w:firstLine="420" w:firstLineChars="200"/>
              <w:rPr>
                <w:rFonts w:hint="eastAsia" w:ascii="宋体" w:hAnsi="宋体" w:cs="Times New Roman"/>
                <w:szCs w:val="21"/>
              </w:rPr>
            </w:pPr>
          </w:p>
        </w:tc>
      </w:tr>
      <w:tr w14:paraId="0A857D49">
        <w:tblPrEx>
          <w:tblCellMar>
            <w:top w:w="0" w:type="dxa"/>
            <w:left w:w="108" w:type="dxa"/>
            <w:bottom w:w="0" w:type="dxa"/>
            <w:right w:w="108" w:type="dxa"/>
          </w:tblCellMar>
        </w:tblPrEx>
        <w:trPr>
          <w:trHeight w:val="429" w:hRule="atLeast"/>
        </w:trPr>
        <w:tc>
          <w:tcPr>
            <w:tcW w:w="3174" w:type="dxa"/>
            <w:tcBorders>
              <w:top w:val="single" w:color="auto" w:sz="4" w:space="0"/>
              <w:left w:val="single" w:color="auto" w:sz="4" w:space="0"/>
              <w:bottom w:val="single" w:color="auto" w:sz="4" w:space="0"/>
              <w:right w:val="single" w:color="auto" w:sz="4" w:space="0"/>
            </w:tcBorders>
            <w:noWrap w:val="0"/>
            <w:vAlign w:val="center"/>
          </w:tcPr>
          <w:p w14:paraId="41FC8060">
            <w:pPr>
              <w:ind w:firstLine="420" w:firstLineChars="200"/>
              <w:rPr>
                <w:rFonts w:hint="eastAsia" w:ascii="宋体" w:hAnsi="宋体" w:cs="Times New Roman"/>
                <w:szCs w:val="21"/>
              </w:rPr>
            </w:pPr>
            <w:r>
              <w:rPr>
                <w:rFonts w:hint="eastAsia" w:ascii="宋体" w:hAnsi="宋体" w:cs="Times New Roman"/>
                <w:szCs w:val="21"/>
              </w:rPr>
              <w:t>脱硝系统技术参数</w:t>
            </w:r>
          </w:p>
        </w:tc>
        <w:tc>
          <w:tcPr>
            <w:tcW w:w="1626" w:type="dxa"/>
            <w:tcBorders>
              <w:top w:val="single" w:color="auto" w:sz="4" w:space="0"/>
              <w:left w:val="nil"/>
              <w:bottom w:val="single" w:color="auto" w:sz="4" w:space="0"/>
              <w:right w:val="single" w:color="auto" w:sz="4" w:space="0"/>
            </w:tcBorders>
            <w:noWrap w:val="0"/>
            <w:vAlign w:val="center"/>
          </w:tcPr>
          <w:p w14:paraId="788E201C">
            <w:pPr>
              <w:ind w:firstLine="420" w:firstLineChars="200"/>
              <w:rPr>
                <w:rFonts w:hint="eastAsia" w:ascii="宋体" w:hAnsi="宋体" w:cs="Times New Roman"/>
                <w:szCs w:val="21"/>
              </w:rPr>
            </w:pPr>
            <w:r>
              <w:rPr>
                <w:rFonts w:hint="eastAsia" w:ascii="宋体" w:hAnsi="宋体" w:cs="Times New Roman"/>
                <w:szCs w:val="21"/>
              </w:rPr>
              <w:t>单位</w:t>
            </w:r>
          </w:p>
        </w:tc>
        <w:tc>
          <w:tcPr>
            <w:tcW w:w="1983" w:type="dxa"/>
            <w:tcBorders>
              <w:top w:val="single" w:color="auto" w:sz="4" w:space="0"/>
              <w:left w:val="nil"/>
              <w:bottom w:val="single" w:color="auto" w:sz="4" w:space="0"/>
              <w:right w:val="single" w:color="auto" w:sz="4" w:space="0"/>
            </w:tcBorders>
            <w:noWrap w:val="0"/>
            <w:vAlign w:val="center"/>
          </w:tcPr>
          <w:p w14:paraId="0B6669FF">
            <w:pPr>
              <w:ind w:firstLine="420" w:firstLineChars="200"/>
              <w:rPr>
                <w:rFonts w:hint="eastAsia" w:ascii="宋体" w:hAnsi="宋体" w:cs="Times New Roman"/>
                <w:szCs w:val="21"/>
              </w:rPr>
            </w:pPr>
            <w:r>
              <w:rPr>
                <w:rFonts w:hint="eastAsia" w:ascii="宋体" w:hAnsi="宋体" w:cs="Times New Roman"/>
                <w:szCs w:val="21"/>
                <w:lang w:val="en-US" w:eastAsia="zh-CN"/>
              </w:rPr>
              <w:t>参数</w:t>
            </w:r>
          </w:p>
        </w:tc>
        <w:tc>
          <w:tcPr>
            <w:tcW w:w="3174" w:type="dxa"/>
            <w:tcBorders>
              <w:top w:val="single" w:color="auto" w:sz="4" w:space="0"/>
              <w:left w:val="nil"/>
              <w:bottom w:val="single" w:color="auto" w:sz="4" w:space="0"/>
              <w:right w:val="single" w:color="auto" w:sz="4" w:space="0"/>
            </w:tcBorders>
            <w:noWrap w:val="0"/>
            <w:vAlign w:val="center"/>
          </w:tcPr>
          <w:p w14:paraId="5592774B">
            <w:pPr>
              <w:ind w:firstLine="420" w:firstLineChars="200"/>
              <w:rPr>
                <w:rFonts w:hint="eastAsia" w:ascii="宋体" w:hAnsi="宋体" w:cs="Times New Roman"/>
                <w:szCs w:val="21"/>
              </w:rPr>
            </w:pPr>
            <w:r>
              <w:rPr>
                <w:rFonts w:hint="eastAsia" w:ascii="宋体" w:hAnsi="宋体" w:cs="Times New Roman"/>
                <w:szCs w:val="21"/>
              </w:rPr>
              <w:t>备注</w:t>
            </w:r>
          </w:p>
        </w:tc>
      </w:tr>
      <w:tr w14:paraId="439B8184">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ign w:val="center"/>
          </w:tcPr>
          <w:p w14:paraId="6CF21765">
            <w:pPr>
              <w:ind w:firstLine="420" w:firstLineChars="200"/>
              <w:rPr>
                <w:rFonts w:hint="eastAsia" w:ascii="宋体" w:hAnsi="宋体" w:cs="Times New Roman"/>
                <w:szCs w:val="21"/>
              </w:rPr>
            </w:pPr>
            <w:r>
              <w:rPr>
                <w:rFonts w:hint="eastAsia" w:ascii="宋体" w:hAnsi="宋体" w:cs="Times New Roman"/>
                <w:szCs w:val="21"/>
              </w:rPr>
              <w:t>入口NOx 浓度分布偏差</w:t>
            </w:r>
          </w:p>
        </w:tc>
        <w:tc>
          <w:tcPr>
            <w:tcW w:w="1626" w:type="dxa"/>
            <w:tcBorders>
              <w:top w:val="nil"/>
              <w:left w:val="nil"/>
              <w:bottom w:val="single" w:color="auto" w:sz="4" w:space="0"/>
              <w:right w:val="single" w:color="auto" w:sz="4" w:space="0"/>
            </w:tcBorders>
            <w:noWrap/>
            <w:vAlign w:val="center"/>
          </w:tcPr>
          <w:p w14:paraId="4DFE2D2A">
            <w:pPr>
              <w:ind w:firstLine="420" w:firstLineChars="200"/>
              <w:rPr>
                <w:rFonts w:hint="eastAsia" w:ascii="宋体" w:hAnsi="宋体" w:cs="Times New Roman"/>
                <w:szCs w:val="21"/>
              </w:rPr>
            </w:pPr>
            <w:r>
              <w:rPr>
                <w:rFonts w:hint="eastAsia" w:ascii="宋体" w:hAnsi="宋体" w:cs="Times New Roman"/>
                <w:szCs w:val="21"/>
              </w:rPr>
              <w:t>%</w:t>
            </w:r>
          </w:p>
        </w:tc>
        <w:tc>
          <w:tcPr>
            <w:tcW w:w="1983" w:type="dxa"/>
            <w:tcBorders>
              <w:top w:val="nil"/>
              <w:left w:val="nil"/>
              <w:bottom w:val="single" w:color="auto" w:sz="4" w:space="0"/>
              <w:right w:val="single" w:color="auto" w:sz="4" w:space="0"/>
            </w:tcBorders>
            <w:noWrap/>
            <w:vAlign w:val="center"/>
          </w:tcPr>
          <w:p w14:paraId="0E409EF2">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ign w:val="center"/>
          </w:tcPr>
          <w:p w14:paraId="3879122B">
            <w:pPr>
              <w:ind w:firstLine="420" w:firstLineChars="200"/>
              <w:rPr>
                <w:rFonts w:hint="eastAsia" w:ascii="宋体" w:hAnsi="宋体" w:cs="Times New Roman"/>
                <w:szCs w:val="21"/>
              </w:rPr>
            </w:pPr>
            <w:r>
              <w:rPr>
                <w:rFonts w:hint="eastAsia" w:ascii="宋体" w:hAnsi="宋体" w:cs="Times New Roman"/>
                <w:szCs w:val="21"/>
              </w:rPr>
              <w:t>　</w:t>
            </w:r>
          </w:p>
        </w:tc>
      </w:tr>
      <w:tr w14:paraId="55419C30">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ign w:val="center"/>
          </w:tcPr>
          <w:p w14:paraId="48D17813">
            <w:pPr>
              <w:ind w:firstLine="420" w:firstLineChars="200"/>
              <w:rPr>
                <w:rFonts w:hint="eastAsia" w:ascii="宋体" w:hAnsi="宋体" w:cs="Times New Roman"/>
                <w:szCs w:val="21"/>
              </w:rPr>
            </w:pPr>
            <w:r>
              <w:rPr>
                <w:rFonts w:hint="eastAsia" w:ascii="宋体" w:hAnsi="宋体" w:cs="Times New Roman"/>
                <w:szCs w:val="21"/>
              </w:rPr>
              <w:t>设计使用温度范围</w:t>
            </w:r>
          </w:p>
        </w:tc>
        <w:tc>
          <w:tcPr>
            <w:tcW w:w="1626" w:type="dxa"/>
            <w:tcBorders>
              <w:top w:val="nil"/>
              <w:left w:val="nil"/>
              <w:bottom w:val="single" w:color="auto" w:sz="4" w:space="0"/>
              <w:right w:val="single" w:color="auto" w:sz="4" w:space="0"/>
            </w:tcBorders>
            <w:noWrap/>
            <w:vAlign w:val="center"/>
          </w:tcPr>
          <w:p w14:paraId="41D81C1D">
            <w:pPr>
              <w:ind w:firstLine="420" w:firstLineChars="200"/>
              <w:rPr>
                <w:rFonts w:hint="eastAsia" w:ascii="宋体" w:hAnsi="宋体" w:cs="Times New Roman"/>
                <w:szCs w:val="21"/>
              </w:rPr>
            </w:pPr>
            <w:r>
              <w:rPr>
                <w:rFonts w:hint="eastAsia" w:ascii="宋体" w:hAnsi="宋体" w:cs="Times New Roman"/>
                <w:szCs w:val="21"/>
              </w:rPr>
              <w:t>℃</w:t>
            </w:r>
          </w:p>
        </w:tc>
        <w:tc>
          <w:tcPr>
            <w:tcW w:w="1983" w:type="dxa"/>
            <w:tcBorders>
              <w:top w:val="nil"/>
              <w:left w:val="nil"/>
              <w:bottom w:val="single" w:color="auto" w:sz="4" w:space="0"/>
              <w:right w:val="single" w:color="auto" w:sz="4" w:space="0"/>
            </w:tcBorders>
            <w:noWrap/>
            <w:vAlign w:val="center"/>
          </w:tcPr>
          <w:p w14:paraId="2D93ED12">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ign w:val="center"/>
          </w:tcPr>
          <w:p w14:paraId="799744BD">
            <w:pPr>
              <w:ind w:firstLine="420" w:firstLineChars="200"/>
              <w:rPr>
                <w:rFonts w:hint="eastAsia" w:ascii="宋体" w:hAnsi="宋体" w:cs="Times New Roman"/>
                <w:szCs w:val="21"/>
              </w:rPr>
            </w:pPr>
            <w:r>
              <w:rPr>
                <w:rFonts w:hint="eastAsia" w:ascii="宋体" w:hAnsi="宋体" w:cs="Times New Roman"/>
                <w:szCs w:val="21"/>
              </w:rPr>
              <w:t>　</w:t>
            </w:r>
          </w:p>
        </w:tc>
      </w:tr>
      <w:tr w14:paraId="0C9BB68A">
        <w:tblPrEx>
          <w:tblCellMar>
            <w:top w:w="0" w:type="dxa"/>
            <w:left w:w="108" w:type="dxa"/>
            <w:bottom w:w="0" w:type="dxa"/>
            <w:right w:w="108" w:type="dxa"/>
          </w:tblCellMar>
        </w:tblPrEx>
        <w:trPr>
          <w:trHeight w:val="429" w:hRule="atLeast"/>
        </w:trPr>
        <w:tc>
          <w:tcPr>
            <w:tcW w:w="3174" w:type="dxa"/>
            <w:tcBorders>
              <w:top w:val="nil"/>
              <w:left w:val="single" w:color="auto" w:sz="4" w:space="0"/>
              <w:bottom w:val="single" w:color="auto" w:sz="4" w:space="0"/>
              <w:right w:val="single" w:color="auto" w:sz="4" w:space="0"/>
            </w:tcBorders>
            <w:noWrap/>
            <w:vAlign w:val="center"/>
          </w:tcPr>
          <w:p w14:paraId="5BC9012E">
            <w:pPr>
              <w:ind w:firstLine="420" w:firstLineChars="200"/>
              <w:rPr>
                <w:rFonts w:hint="eastAsia" w:ascii="宋体" w:hAnsi="宋体" w:cs="Times New Roman"/>
                <w:szCs w:val="21"/>
              </w:rPr>
            </w:pPr>
            <w:r>
              <w:rPr>
                <w:rFonts w:hint="eastAsia" w:ascii="宋体" w:hAnsi="宋体" w:cs="Times New Roman"/>
                <w:szCs w:val="21"/>
              </w:rPr>
              <w:t>化学寿命期催化剂层压降</w:t>
            </w:r>
          </w:p>
        </w:tc>
        <w:tc>
          <w:tcPr>
            <w:tcW w:w="1626" w:type="dxa"/>
            <w:tcBorders>
              <w:top w:val="nil"/>
              <w:left w:val="nil"/>
              <w:bottom w:val="single" w:color="auto" w:sz="4" w:space="0"/>
              <w:right w:val="single" w:color="auto" w:sz="4" w:space="0"/>
            </w:tcBorders>
            <w:noWrap/>
            <w:vAlign w:val="center"/>
          </w:tcPr>
          <w:p w14:paraId="2883C625">
            <w:pPr>
              <w:ind w:firstLine="420" w:firstLineChars="200"/>
              <w:rPr>
                <w:rFonts w:hint="eastAsia" w:ascii="宋体" w:hAnsi="宋体" w:cs="Times New Roman"/>
                <w:szCs w:val="21"/>
              </w:rPr>
            </w:pPr>
            <w:r>
              <w:rPr>
                <w:rFonts w:hint="eastAsia" w:ascii="宋体" w:hAnsi="宋体" w:cs="Times New Roman"/>
                <w:szCs w:val="21"/>
              </w:rPr>
              <w:t>Pa</w:t>
            </w:r>
          </w:p>
        </w:tc>
        <w:tc>
          <w:tcPr>
            <w:tcW w:w="1983" w:type="dxa"/>
            <w:tcBorders>
              <w:top w:val="nil"/>
              <w:left w:val="nil"/>
              <w:bottom w:val="single" w:color="auto" w:sz="4" w:space="0"/>
              <w:right w:val="single" w:color="auto" w:sz="4" w:space="0"/>
            </w:tcBorders>
            <w:noWrap/>
            <w:vAlign w:val="center"/>
          </w:tcPr>
          <w:p w14:paraId="50D5AFD9">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ign w:val="center"/>
          </w:tcPr>
          <w:p w14:paraId="4007605D">
            <w:pPr>
              <w:ind w:firstLine="420" w:firstLineChars="200"/>
              <w:rPr>
                <w:rFonts w:hint="eastAsia" w:ascii="宋体" w:hAnsi="宋体" w:cs="Times New Roman"/>
                <w:szCs w:val="21"/>
              </w:rPr>
            </w:pPr>
            <w:r>
              <w:rPr>
                <w:rFonts w:hint="eastAsia" w:ascii="宋体" w:hAnsi="宋体" w:cs="Times New Roman"/>
                <w:szCs w:val="21"/>
              </w:rPr>
              <w:t>　</w:t>
            </w:r>
          </w:p>
        </w:tc>
      </w:tr>
      <w:tr w14:paraId="38038DEE">
        <w:tblPrEx>
          <w:tblCellMar>
            <w:top w:w="0" w:type="dxa"/>
            <w:left w:w="108" w:type="dxa"/>
            <w:bottom w:w="0" w:type="dxa"/>
            <w:right w:w="108" w:type="dxa"/>
          </w:tblCellMar>
        </w:tblPrEx>
        <w:trPr>
          <w:trHeight w:val="471" w:hRule="atLeast"/>
        </w:trPr>
        <w:tc>
          <w:tcPr>
            <w:tcW w:w="3174" w:type="dxa"/>
            <w:tcBorders>
              <w:top w:val="nil"/>
              <w:left w:val="single" w:color="auto" w:sz="4" w:space="0"/>
              <w:bottom w:val="single" w:color="auto" w:sz="4" w:space="0"/>
              <w:right w:val="single" w:color="auto" w:sz="4" w:space="0"/>
            </w:tcBorders>
            <w:noWrap/>
            <w:vAlign w:val="center"/>
          </w:tcPr>
          <w:p w14:paraId="0A873760">
            <w:pPr>
              <w:ind w:firstLine="420" w:firstLineChars="200"/>
              <w:rPr>
                <w:rFonts w:hint="eastAsia" w:ascii="宋体" w:hAnsi="宋体" w:cs="Times New Roman"/>
                <w:szCs w:val="21"/>
              </w:rPr>
            </w:pPr>
            <w:r>
              <w:rPr>
                <w:rFonts w:hint="eastAsia" w:ascii="宋体" w:hAnsi="宋体" w:cs="Times New Roman"/>
                <w:szCs w:val="21"/>
              </w:rPr>
              <w:t>整个脱硝系统压降总预留</w:t>
            </w:r>
          </w:p>
        </w:tc>
        <w:tc>
          <w:tcPr>
            <w:tcW w:w="1626" w:type="dxa"/>
            <w:tcBorders>
              <w:top w:val="nil"/>
              <w:left w:val="nil"/>
              <w:bottom w:val="single" w:color="auto" w:sz="4" w:space="0"/>
              <w:right w:val="single" w:color="auto" w:sz="4" w:space="0"/>
            </w:tcBorders>
            <w:noWrap/>
            <w:vAlign w:val="center"/>
          </w:tcPr>
          <w:p w14:paraId="1A00FAFA">
            <w:pPr>
              <w:ind w:firstLine="420" w:firstLineChars="200"/>
              <w:rPr>
                <w:rFonts w:hint="eastAsia" w:ascii="宋体" w:hAnsi="宋体" w:cs="Times New Roman"/>
                <w:szCs w:val="21"/>
              </w:rPr>
            </w:pPr>
            <w:r>
              <w:rPr>
                <w:rFonts w:hint="eastAsia" w:ascii="宋体" w:hAnsi="宋体" w:cs="Times New Roman"/>
                <w:szCs w:val="21"/>
              </w:rPr>
              <w:t>Pa</w:t>
            </w:r>
          </w:p>
        </w:tc>
        <w:tc>
          <w:tcPr>
            <w:tcW w:w="1983" w:type="dxa"/>
            <w:tcBorders>
              <w:top w:val="nil"/>
              <w:left w:val="nil"/>
              <w:bottom w:val="single" w:color="auto" w:sz="4" w:space="0"/>
              <w:right w:val="single" w:color="auto" w:sz="4" w:space="0"/>
            </w:tcBorders>
            <w:noWrap/>
            <w:vAlign w:val="center"/>
          </w:tcPr>
          <w:p w14:paraId="5EA681E1">
            <w:pPr>
              <w:ind w:firstLine="0" w:firstLineChars="0"/>
              <w:rPr>
                <w:rFonts w:hint="eastAsia" w:ascii="宋体" w:hAnsi="宋体" w:cs="Times New Roman"/>
                <w:szCs w:val="21"/>
              </w:rPr>
            </w:pPr>
            <w:r>
              <w:rPr>
                <w:rFonts w:hint="eastAsia" w:ascii="宋体" w:hAnsi="宋体" w:cs="Times New Roman"/>
                <w:szCs w:val="21"/>
                <w:lang w:eastAsia="zh-CN"/>
              </w:rPr>
              <w:t>（投标人填写）</w:t>
            </w:r>
          </w:p>
        </w:tc>
        <w:tc>
          <w:tcPr>
            <w:tcW w:w="3174" w:type="dxa"/>
            <w:tcBorders>
              <w:top w:val="nil"/>
              <w:left w:val="nil"/>
              <w:bottom w:val="single" w:color="auto" w:sz="4" w:space="0"/>
              <w:right w:val="single" w:color="auto" w:sz="4" w:space="0"/>
            </w:tcBorders>
            <w:noWrap/>
            <w:vAlign w:val="center"/>
          </w:tcPr>
          <w:p w14:paraId="6DCB27F4">
            <w:pPr>
              <w:ind w:firstLine="420" w:firstLineChars="200"/>
              <w:rPr>
                <w:rFonts w:hint="eastAsia" w:ascii="宋体" w:hAnsi="宋体" w:cs="Times New Roman"/>
                <w:szCs w:val="21"/>
              </w:rPr>
            </w:pPr>
            <w:r>
              <w:rPr>
                <w:rFonts w:hint="eastAsia" w:ascii="宋体" w:hAnsi="宋体" w:cs="Times New Roman"/>
                <w:szCs w:val="21"/>
                <w:lang w:val="en-US" w:eastAsia="zh-CN"/>
              </w:rPr>
              <w:t>不超过800</w:t>
            </w:r>
            <w:r>
              <w:rPr>
                <w:rFonts w:hint="eastAsia" w:ascii="宋体" w:hAnsi="宋体" w:cs="Times New Roman"/>
                <w:szCs w:val="21"/>
              </w:rPr>
              <w:t>Pa</w:t>
            </w:r>
          </w:p>
        </w:tc>
      </w:tr>
    </w:tbl>
    <w:p w14:paraId="75FC2DB5">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备注：</w:t>
      </w:r>
    </w:p>
    <w:p w14:paraId="2F6040A7">
      <w:pPr>
        <w:ind w:firstLine="420" w:firstLineChars="200"/>
        <w:rPr>
          <w:rFonts w:ascii="宋体" w:hAnsi="宋体" w:cs="Times New Roman"/>
          <w:szCs w:val="21"/>
        </w:rPr>
      </w:pPr>
      <w:r>
        <w:rPr>
          <w:rFonts w:hint="eastAsia" w:ascii="宋体" w:hAnsi="宋体" w:cs="Times New Roman"/>
          <w:szCs w:val="21"/>
          <w:lang w:val="en-US" w:eastAsia="zh-CN"/>
        </w:rPr>
        <w:t>1、锅炉出口烟气量近期最高值约为171000m³/h（近两个月内最高值），设计值为</w:t>
      </w:r>
      <w:r>
        <w:rPr>
          <w:rFonts w:hint="default" w:ascii="宋体" w:hAnsi="宋体" w:cs="Times New Roman"/>
          <w:szCs w:val="21"/>
          <w:lang w:val="en-US" w:eastAsia="zh-CN"/>
        </w:rPr>
        <w:t>190700</w:t>
      </w:r>
      <w:r>
        <w:rPr>
          <w:rFonts w:hint="eastAsia" w:ascii="宋体" w:hAnsi="宋体" w:cs="Times New Roman"/>
          <w:szCs w:val="21"/>
          <w:lang w:val="en-US" w:eastAsia="zh-CN"/>
        </w:rPr>
        <w:t>m³/h</w:t>
      </w:r>
      <w:r>
        <w:rPr>
          <w:rFonts w:hint="default" w:ascii="宋体" w:hAnsi="宋体" w:cs="Times New Roman"/>
          <w:szCs w:val="21"/>
          <w:lang w:val="en-US" w:eastAsia="zh-CN"/>
        </w:rPr>
        <w:t xml:space="preserve"> </w:t>
      </w:r>
      <w:r>
        <w:rPr>
          <w:rFonts w:hint="eastAsia" w:ascii="宋体" w:hAnsi="宋体" w:cs="Times New Roman"/>
          <w:szCs w:val="21"/>
          <w:lang w:val="en-US" w:eastAsia="zh-CN"/>
        </w:rPr>
        <w:t>~</w:t>
      </w:r>
      <w:r>
        <w:rPr>
          <w:rFonts w:hint="default" w:ascii="宋体" w:hAnsi="宋体" w:cs="Times New Roman"/>
          <w:szCs w:val="21"/>
          <w:lang w:val="en-US" w:eastAsia="zh-CN"/>
        </w:rPr>
        <w:t>228000</w:t>
      </w:r>
      <w:r>
        <w:rPr>
          <w:rFonts w:hint="eastAsia" w:ascii="宋体" w:hAnsi="宋体" w:cs="Times New Roman"/>
          <w:szCs w:val="21"/>
          <w:lang w:val="en-US" w:eastAsia="zh-CN"/>
        </w:rPr>
        <w:t>m³/h（按</w:t>
      </w:r>
      <w:r>
        <w:rPr>
          <w:rFonts w:hint="default" w:ascii="宋体" w:hAnsi="宋体" w:cs="Times New Roman"/>
          <w:szCs w:val="21"/>
          <w:lang w:val="en-US" w:eastAsia="zh-CN"/>
        </w:rPr>
        <w:t>100%MCR</w:t>
      </w:r>
      <w:r>
        <w:rPr>
          <w:rFonts w:hint="eastAsia" w:ascii="宋体" w:hAnsi="宋体" w:cs="Times New Roman"/>
          <w:szCs w:val="21"/>
          <w:lang w:val="en-US" w:eastAsia="zh-CN"/>
        </w:rPr>
        <w:t>及</w:t>
      </w:r>
      <w:r>
        <w:rPr>
          <w:rFonts w:hint="default" w:ascii="宋体" w:hAnsi="宋体" w:cs="Times New Roman"/>
          <w:szCs w:val="21"/>
          <w:lang w:val="en-US" w:eastAsia="zh-CN"/>
        </w:rPr>
        <w:t>1</w:t>
      </w:r>
      <w:r>
        <w:rPr>
          <w:rFonts w:hint="eastAsia" w:ascii="宋体" w:hAnsi="宋体" w:cs="Times New Roman"/>
          <w:szCs w:val="21"/>
          <w:lang w:val="en-US" w:eastAsia="zh-CN"/>
        </w:rPr>
        <w:t>2</w:t>
      </w:r>
      <w:r>
        <w:rPr>
          <w:rFonts w:hint="default" w:ascii="宋体" w:hAnsi="宋体" w:cs="Times New Roman"/>
          <w:szCs w:val="21"/>
          <w:lang w:val="en-US" w:eastAsia="zh-CN"/>
        </w:rPr>
        <w:t xml:space="preserve">0%MCR </w:t>
      </w:r>
      <w:r>
        <w:rPr>
          <w:rFonts w:hint="eastAsia" w:ascii="宋体" w:hAnsi="宋体" w:cs="Times New Roman"/>
          <w:szCs w:val="21"/>
          <w:lang w:val="en-US" w:eastAsia="zh-CN"/>
        </w:rPr>
        <w:t>烟气量），具体实际值以投标人现场勘察为准。）</w:t>
      </w:r>
    </w:p>
    <w:p w14:paraId="73921859">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2、投标人需承诺满足上述催化剂设计参数或提出更优于本技术设计参数，负偏离一项或以上的视为不响应本次采购，作废标处理。</w:t>
      </w:r>
    </w:p>
    <w:p w14:paraId="4EF05106">
      <w:pPr>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3、以上投标人填写的技术参数必须满足本技术需求书要求，否则视为无效响应。</w:t>
      </w:r>
    </w:p>
    <w:p w14:paraId="6B2847B8">
      <w:pPr>
        <w:ind w:firstLine="420" w:firstLineChars="200"/>
        <w:rPr>
          <w:rFonts w:ascii="宋体" w:hAnsi="宋体" w:cs="Times New Roman"/>
          <w:szCs w:val="21"/>
        </w:rPr>
      </w:pPr>
    </w:p>
    <w:p w14:paraId="03AF219B">
      <w:pPr>
        <w:ind w:firstLine="420" w:firstLineChars="200"/>
        <w:rPr>
          <w:rFonts w:hint="eastAsia" w:ascii="宋体" w:hAnsi="宋体" w:cs="Times New Roman"/>
          <w:szCs w:val="21"/>
        </w:rPr>
      </w:pPr>
      <w:r>
        <w:rPr>
          <w:rFonts w:hint="eastAsia" w:ascii="宋体" w:hAnsi="宋体" w:cs="Times New Roman"/>
          <w:szCs w:val="21"/>
        </w:rPr>
        <w:t xml:space="preserve">3 </w:t>
      </w:r>
      <w:r>
        <w:rPr>
          <w:rFonts w:hint="eastAsia" w:ascii="宋体" w:hAnsi="宋体" w:cs="Times New Roman"/>
          <w:szCs w:val="21"/>
          <w:lang w:val="en-US" w:eastAsia="zh-CN"/>
        </w:rPr>
        <w:t>服务</w:t>
      </w:r>
      <w:r>
        <w:rPr>
          <w:rFonts w:hint="eastAsia" w:ascii="宋体" w:hAnsi="宋体" w:cs="Times New Roman"/>
          <w:szCs w:val="21"/>
        </w:rPr>
        <w:t>技术性能要求</w:t>
      </w:r>
    </w:p>
    <w:p w14:paraId="70BEBAC1">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3.1本工程工艺设计为湿法脱酸+SCR脱硫脱硝工艺，要求SCR脱硝催化剂必须适应低温脱硝的工艺设计要求，脱硝 SCR 反应器采用2层的布置形式（具体详见附件设计图纸）。</w:t>
      </w:r>
    </w:p>
    <w:p w14:paraId="6566AA3C">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3.2脱硝催化剂可单仓（离）线更换，正常工况下脱硝催化剂使用寿命不低于24000小时，适应垃圾焚烧锅炉烟气介质特性。</w:t>
      </w:r>
    </w:p>
    <w:p w14:paraId="084E2DB9">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3.3根据垃圾焚烧锅炉烟气的特性，合理选择催化剂孔径大小并设计有防中毒、安装拆卸等措施，确保催化剂无磨损、便于安装维护及更换，降低催化剂中毒概率。</w:t>
      </w:r>
    </w:p>
    <w:p w14:paraId="4C7A8F6F">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3.4充分考虑在保证催化剂化学寿命及其它性能考核指标的前提下，合理选择烟气流速，并据此选择催化剂的截面积，以期获得最佳的防止催化剂中毒的设计参数。</w:t>
      </w:r>
    </w:p>
    <w:p w14:paraId="2528BDDC">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3.5充分考虑烟气中H2S、CO、H2O及其它组份对催化剂可能产生的危害及对催化剂性能的影响，催化剂须具备优秀的抗碱抗硫性能。</w:t>
      </w:r>
    </w:p>
    <w:p w14:paraId="5AC54958">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3.6催化剂活性温度范围：能满足脱硝出口烟气温度</w:t>
      </w:r>
      <w:r>
        <w:rPr>
          <w:rFonts w:hint="default" w:ascii="宋体" w:hAnsi="宋体" w:cs="Times New Roman"/>
          <w:szCs w:val="21"/>
          <w:lang w:val="en-US" w:eastAsia="zh-CN"/>
        </w:rPr>
        <w:t>≤</w:t>
      </w:r>
      <w:r>
        <w:rPr>
          <w:rFonts w:hint="eastAsia" w:ascii="宋体" w:hAnsi="宋体" w:cs="Times New Roman"/>
          <w:szCs w:val="21"/>
          <w:lang w:val="en-US" w:eastAsia="zh-CN"/>
        </w:rPr>
        <w:t>155℃的情况下长期达标运行。（具体按投标人承诺SCR反应温度）</w:t>
      </w:r>
    </w:p>
    <w:p w14:paraId="49D8A9F8">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3.7催化剂对SO2氧化率：&lt;1%。</w:t>
      </w:r>
    </w:p>
    <w:p w14:paraId="2239986B">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3.8低温催化剂结构强度：径向抗压强度：≥0.6MPa，轴向抗压强度：≥2MPa；</w:t>
      </w:r>
    </w:p>
    <w:p w14:paraId="53554321">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3.9催化剂应采用标准化设计。催化剂一般应规格统一、具有互换性以减少更换催化剂的时间。</w:t>
      </w:r>
    </w:p>
    <w:p w14:paraId="6615E190">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3.10催化剂模块设计有效防止烟气短路的密封系统，密封装置的寿命不低于催化剂的寿命。</w:t>
      </w:r>
    </w:p>
    <w:p w14:paraId="68F256C9">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3.11模块应采用碳钢结构框架，并焊接、密封完好，且便于运输、安装、起吊。</w:t>
      </w:r>
    </w:p>
    <w:p w14:paraId="77A0EBFA">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3.12投标人提供必要的催化剂专用吊具。</w:t>
      </w:r>
    </w:p>
    <w:p w14:paraId="022A5620">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3.13在满足烟气入口条件下，催化剂更换期间及更换后，经过脱硝处理后的出口烟气中NH3含量≤8mg/Nm3（标况，干基，11%氧）、NOx含量≤45mg/Nm3（标况，干基，11%氧）。</w:t>
      </w:r>
    </w:p>
    <w:p w14:paraId="01B94C23">
      <w:pPr>
        <w:ind w:firstLine="420" w:firstLineChars="200"/>
        <w:rPr>
          <w:rFonts w:ascii="宋体" w:hAnsi="宋体" w:cs="Times New Roman"/>
          <w:szCs w:val="21"/>
        </w:rPr>
      </w:pPr>
      <w:r>
        <w:rPr>
          <w:rFonts w:hint="eastAsia" w:ascii="宋体" w:hAnsi="宋体" w:cs="Times New Roman"/>
          <w:szCs w:val="21"/>
          <w:lang w:val="en-US" w:eastAsia="zh-CN"/>
        </w:rPr>
        <w:t>3.14</w:t>
      </w:r>
      <w:r>
        <w:rPr>
          <w:rFonts w:ascii="宋体" w:hAnsi="宋体" w:cs="Times New Roman"/>
          <w:szCs w:val="21"/>
        </w:rPr>
        <w:t>偏差</w:t>
      </w:r>
    </w:p>
    <w:p w14:paraId="4F2CBCF9">
      <w:pPr>
        <w:ind w:firstLine="420" w:firstLineChars="200"/>
        <w:rPr>
          <w:rFonts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14</w:t>
      </w:r>
      <w:r>
        <w:rPr>
          <w:rFonts w:hint="eastAsia" w:ascii="宋体" w:hAnsi="宋体" w:cs="Times New Roman"/>
          <w:szCs w:val="21"/>
        </w:rPr>
        <w:t>.1</w:t>
      </w:r>
      <w:r>
        <w:rPr>
          <w:rFonts w:ascii="宋体" w:hAnsi="宋体" w:cs="Times New Roman"/>
          <w:szCs w:val="21"/>
        </w:rPr>
        <w:t>催化剂单元尺寸偏差</w:t>
      </w:r>
    </w:p>
    <w:p w14:paraId="7D8C3370">
      <w:pPr>
        <w:ind w:firstLine="420" w:firstLineChars="200"/>
        <w:rPr>
          <w:rFonts w:ascii="宋体" w:hAnsi="宋体" w:cs="Times New Roman"/>
          <w:szCs w:val="21"/>
        </w:rPr>
      </w:pPr>
      <w:r>
        <w:rPr>
          <w:rFonts w:hint="eastAsia" w:ascii="宋体" w:hAnsi="宋体" w:cs="Times New Roman"/>
          <w:szCs w:val="21"/>
        </w:rPr>
        <w:t>（1）</w:t>
      </w:r>
      <w:r>
        <w:rPr>
          <w:rFonts w:ascii="宋体" w:hAnsi="宋体" w:cs="Times New Roman"/>
          <w:szCs w:val="21"/>
        </w:rPr>
        <w:t>催化剂单元高度偏差：正偏差≤1mm；</w:t>
      </w:r>
    </w:p>
    <w:p w14:paraId="29902C8E">
      <w:pPr>
        <w:ind w:firstLine="420" w:firstLineChars="200"/>
        <w:rPr>
          <w:rFonts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14</w:t>
      </w:r>
      <w:r>
        <w:rPr>
          <w:rFonts w:hint="eastAsia" w:ascii="宋体" w:hAnsi="宋体" w:cs="Times New Roman"/>
          <w:szCs w:val="21"/>
        </w:rPr>
        <w:t>.2</w:t>
      </w:r>
      <w:r>
        <w:rPr>
          <w:rFonts w:ascii="宋体" w:hAnsi="宋体" w:cs="Times New Roman"/>
          <w:szCs w:val="21"/>
        </w:rPr>
        <w:t>模块外形尺寸偏差</w:t>
      </w:r>
    </w:p>
    <w:p w14:paraId="53917A75">
      <w:pPr>
        <w:ind w:firstLine="420" w:firstLineChars="200"/>
        <w:rPr>
          <w:rFonts w:ascii="宋体" w:hAnsi="宋体" w:cs="Times New Roman"/>
          <w:szCs w:val="21"/>
        </w:rPr>
      </w:pPr>
      <w:r>
        <w:rPr>
          <w:rFonts w:hint="eastAsia" w:ascii="宋体" w:hAnsi="宋体" w:cs="Times New Roman"/>
          <w:szCs w:val="21"/>
        </w:rPr>
        <w:t>（1）</w:t>
      </w:r>
      <w:r>
        <w:rPr>
          <w:rFonts w:ascii="宋体" w:hAnsi="宋体" w:cs="Times New Roman"/>
          <w:szCs w:val="21"/>
        </w:rPr>
        <w:t>模块外形长、宽偏差：正偏差0mm，负偏差≤2mm；</w:t>
      </w:r>
    </w:p>
    <w:p w14:paraId="3417710B">
      <w:pPr>
        <w:ind w:firstLine="420" w:firstLineChars="200"/>
        <w:rPr>
          <w:rFonts w:ascii="宋体" w:hAnsi="宋体" w:cs="Times New Roman"/>
          <w:szCs w:val="21"/>
        </w:rPr>
      </w:pPr>
      <w:r>
        <w:rPr>
          <w:rFonts w:hint="eastAsia" w:ascii="宋体" w:hAnsi="宋体" w:cs="Times New Roman"/>
          <w:szCs w:val="21"/>
        </w:rPr>
        <w:t>（2）</w:t>
      </w:r>
      <w:r>
        <w:rPr>
          <w:rFonts w:ascii="宋体" w:hAnsi="宋体" w:cs="Times New Roman"/>
          <w:szCs w:val="21"/>
        </w:rPr>
        <w:t>模块外形高度偏差：正偏差≤2mm，负偏差≤2mm；</w:t>
      </w:r>
    </w:p>
    <w:p w14:paraId="1F14972A">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3.15 催化剂应满足全年365天连续运行条件；生命周期内（3年）需要确保催化效率不低于55%。</w:t>
      </w:r>
    </w:p>
    <w:p w14:paraId="28529D67">
      <w:pPr>
        <w:ind w:firstLine="420" w:firstLineChars="200"/>
        <w:rPr>
          <w:rFonts w:hint="eastAsia" w:ascii="宋体" w:hAnsi="宋体" w:cs="Times New Roman"/>
          <w:szCs w:val="21"/>
        </w:rPr>
      </w:pPr>
      <w:r>
        <w:rPr>
          <w:rFonts w:hint="eastAsia" w:ascii="宋体" w:hAnsi="宋体" w:cs="Times New Roman"/>
          <w:szCs w:val="21"/>
          <w:lang w:val="en-US" w:eastAsia="zh-CN"/>
        </w:rPr>
        <w:t>3.16  SCR反应器按</w:t>
      </w:r>
      <w:r>
        <w:rPr>
          <w:rFonts w:hint="default" w:ascii="宋体" w:hAnsi="宋体" w:cs="Times New Roman"/>
          <w:szCs w:val="21"/>
          <w:lang w:val="en-US" w:eastAsia="zh-CN"/>
        </w:rPr>
        <w:t>3</w:t>
      </w:r>
      <w:r>
        <w:rPr>
          <w:rFonts w:hint="eastAsia" w:ascii="宋体" w:hAnsi="宋体" w:cs="Times New Roman"/>
          <w:szCs w:val="21"/>
          <w:lang w:val="en-US" w:eastAsia="zh-CN"/>
        </w:rPr>
        <w:t xml:space="preserve">层催化剂设计，其中安装 </w:t>
      </w:r>
      <w:r>
        <w:rPr>
          <w:rFonts w:hint="default" w:ascii="宋体" w:hAnsi="宋体" w:cs="Times New Roman"/>
          <w:szCs w:val="21"/>
          <w:lang w:val="en-US" w:eastAsia="zh-CN"/>
        </w:rPr>
        <w:t xml:space="preserve">2 </w:t>
      </w:r>
      <w:r>
        <w:rPr>
          <w:rFonts w:hint="eastAsia" w:ascii="宋体" w:hAnsi="宋体" w:cs="Times New Roman"/>
          <w:szCs w:val="21"/>
          <w:lang w:val="en-US" w:eastAsia="zh-CN"/>
        </w:rPr>
        <w:t xml:space="preserve">层，预留 </w:t>
      </w:r>
      <w:r>
        <w:rPr>
          <w:rFonts w:hint="default" w:ascii="宋体" w:hAnsi="宋体" w:cs="Times New Roman"/>
          <w:szCs w:val="21"/>
          <w:lang w:val="en-US" w:eastAsia="zh-CN"/>
        </w:rPr>
        <w:t xml:space="preserve">1 </w:t>
      </w:r>
      <w:r>
        <w:rPr>
          <w:rFonts w:hint="eastAsia" w:ascii="宋体" w:hAnsi="宋体" w:cs="Times New Roman"/>
          <w:szCs w:val="21"/>
          <w:lang w:val="en-US" w:eastAsia="zh-CN"/>
        </w:rPr>
        <w:t>层备用，安装催化剂时需预留一层备用（只允许安装2层催化剂）；反应器有承重设计要求（可参看原设计文件），更换催化剂需提供相关承重设计文件（需有相应资质单位出具），必要时需提供加固方案。</w:t>
      </w:r>
    </w:p>
    <w:p w14:paraId="632D4443">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4 服务范围</w:t>
      </w:r>
    </w:p>
    <w:p w14:paraId="7B6A6000">
      <w:pPr>
        <w:ind w:firstLine="420" w:firstLineChars="200"/>
        <w:rPr>
          <w:rFonts w:hint="eastAsia" w:ascii="宋体" w:hAnsi="宋体" w:cs="Times New Roman"/>
          <w:szCs w:val="21"/>
        </w:rPr>
      </w:pPr>
      <w:r>
        <w:rPr>
          <w:rFonts w:hint="eastAsia" w:ascii="宋体" w:hAnsi="宋体" w:cs="Times New Roman"/>
          <w:szCs w:val="21"/>
        </w:rPr>
        <w:t>4.1</w:t>
      </w:r>
      <w:r>
        <w:rPr>
          <w:rFonts w:hint="eastAsia" w:ascii="宋体" w:hAnsi="宋体" w:cs="Times New Roman"/>
          <w:szCs w:val="21"/>
          <w:lang w:val="en-US" w:eastAsia="zh-CN"/>
        </w:rPr>
        <w:t>需求一套（或一条线）低温SCR催化服务（催化剂工作温度</w:t>
      </w:r>
      <w:r>
        <w:rPr>
          <w:rFonts w:hint="default" w:ascii="宋体" w:hAnsi="宋体" w:cs="Times New Roman"/>
          <w:szCs w:val="21"/>
          <w:lang w:val="en-US" w:eastAsia="zh-CN"/>
        </w:rPr>
        <w:t>≤</w:t>
      </w:r>
      <w:r>
        <w:rPr>
          <w:rFonts w:hint="eastAsia" w:ascii="宋体" w:hAnsi="宋体" w:cs="Times New Roman"/>
          <w:szCs w:val="21"/>
          <w:lang w:val="en-US" w:eastAsia="zh-CN"/>
        </w:rPr>
        <w:t>155℃），包含（但不限于）</w:t>
      </w:r>
      <w:r>
        <w:rPr>
          <w:rFonts w:hint="eastAsia" w:ascii="宋体" w:hAnsi="宋体" w:cs="Times New Roman"/>
          <w:szCs w:val="21"/>
        </w:rPr>
        <w:t>催化</w:t>
      </w:r>
      <w:r>
        <w:rPr>
          <w:rFonts w:hint="eastAsia" w:ascii="宋体" w:hAnsi="宋体" w:cs="Times New Roman"/>
          <w:szCs w:val="21"/>
          <w:lang w:val="en-US" w:eastAsia="zh-CN"/>
        </w:rPr>
        <w:t>服务</w:t>
      </w:r>
      <w:r>
        <w:rPr>
          <w:rFonts w:hint="eastAsia" w:ascii="宋体" w:hAnsi="宋体" w:cs="Times New Roman"/>
          <w:szCs w:val="21"/>
        </w:rPr>
        <w:t>(含材料、安装、调试、运维以及原材料的拆除)，全部</w:t>
      </w:r>
      <w:r>
        <w:rPr>
          <w:rFonts w:hint="eastAsia" w:ascii="宋体" w:hAnsi="宋体" w:cs="Times New Roman"/>
          <w:szCs w:val="21"/>
          <w:lang w:val="en-US" w:eastAsia="zh-CN"/>
        </w:rPr>
        <w:t>服务</w:t>
      </w:r>
      <w:r>
        <w:rPr>
          <w:rFonts w:hint="eastAsia" w:ascii="宋体" w:hAnsi="宋体" w:cs="Times New Roman"/>
          <w:szCs w:val="21"/>
        </w:rPr>
        <w:t>数量1套，</w:t>
      </w:r>
      <w:r>
        <w:rPr>
          <w:rFonts w:ascii="宋体" w:hAnsi="宋体" w:cs="Times New Roman"/>
          <w:szCs w:val="21"/>
        </w:rPr>
        <w:t>催化剂体积</w:t>
      </w:r>
      <w:r>
        <w:rPr>
          <w:rFonts w:hint="eastAsia" w:ascii="宋体" w:hAnsi="宋体" w:cs="Times New Roman"/>
          <w:szCs w:val="21"/>
        </w:rPr>
        <w:t>≥</w:t>
      </w:r>
      <w:r>
        <w:rPr>
          <w:rFonts w:hint="eastAsia" w:ascii="宋体" w:hAnsi="宋体" w:cs="Times New Roman"/>
          <w:szCs w:val="21"/>
          <w:lang w:val="en-US" w:eastAsia="zh-CN"/>
        </w:rPr>
        <w:t>51.98</w:t>
      </w:r>
      <w:r>
        <w:rPr>
          <w:rFonts w:ascii="宋体" w:hAnsi="宋体" w:cs="Times New Roman"/>
          <w:szCs w:val="21"/>
        </w:rPr>
        <w:t>m3</w:t>
      </w:r>
      <w:r>
        <w:rPr>
          <w:rFonts w:hint="eastAsia" w:ascii="宋体" w:hAnsi="宋体" w:cs="Times New Roman"/>
          <w:szCs w:val="21"/>
        </w:rPr>
        <w:t>（</w:t>
      </w:r>
      <w:r>
        <w:rPr>
          <w:rFonts w:hint="eastAsia" w:ascii="宋体" w:hAnsi="宋体" w:cs="Times New Roman"/>
          <w:szCs w:val="21"/>
          <w:lang w:val="en-US" w:eastAsia="zh-CN"/>
        </w:rPr>
        <w:t>现有催化剂体积数，投标人可根据实际设计经采购人同意后方可进行调整</w:t>
      </w:r>
      <w:r>
        <w:rPr>
          <w:rFonts w:hint="eastAsia" w:ascii="宋体" w:hAnsi="宋体" w:cs="Times New Roman"/>
          <w:szCs w:val="21"/>
        </w:rPr>
        <w:t>）。</w:t>
      </w:r>
    </w:p>
    <w:p w14:paraId="7BE0AFDB">
      <w:pPr>
        <w:ind w:firstLine="420" w:firstLineChars="200"/>
        <w:rPr>
          <w:rFonts w:hint="eastAsia" w:ascii="宋体" w:hAnsi="宋体" w:cs="Times New Roman"/>
          <w:szCs w:val="21"/>
        </w:rPr>
      </w:pPr>
      <w:r>
        <w:rPr>
          <w:rFonts w:hint="eastAsia" w:ascii="宋体" w:hAnsi="宋体" w:cs="Times New Roman"/>
          <w:szCs w:val="21"/>
        </w:rPr>
        <w:t>4.</w:t>
      </w:r>
      <w:r>
        <w:rPr>
          <w:rFonts w:hint="eastAsia" w:ascii="宋体" w:hAnsi="宋体" w:cs="Times New Roman"/>
          <w:szCs w:val="21"/>
          <w:lang w:val="en-US" w:eastAsia="zh-CN"/>
        </w:rPr>
        <w:t>2 供货的催化剂，低温催化温度应</w:t>
      </w:r>
      <w:r>
        <w:rPr>
          <w:rFonts w:hint="default" w:ascii="宋体" w:hAnsi="宋体" w:cs="Times New Roman"/>
          <w:szCs w:val="21"/>
          <w:lang w:val="en-US" w:eastAsia="zh-CN"/>
        </w:rPr>
        <w:t>≤</w:t>
      </w:r>
      <w:r>
        <w:rPr>
          <w:rFonts w:hint="eastAsia" w:ascii="宋体" w:hAnsi="宋体" w:cs="Times New Roman"/>
          <w:szCs w:val="21"/>
          <w:lang w:val="en-US" w:eastAsia="zh-CN"/>
        </w:rPr>
        <w:t>155℃</w:t>
      </w:r>
      <w:r>
        <w:rPr>
          <w:rFonts w:hint="eastAsia" w:ascii="宋体" w:hAnsi="宋体" w:cs="Times New Roman"/>
          <w:szCs w:val="21"/>
          <w:lang w:eastAsia="zh-CN"/>
        </w:rPr>
        <w:t>，</w:t>
      </w:r>
      <w:r>
        <w:rPr>
          <w:rFonts w:hint="eastAsia" w:ascii="宋体" w:hAnsi="宋体" w:cs="Times New Roman"/>
          <w:szCs w:val="21"/>
          <w:lang w:val="en-US" w:eastAsia="zh-CN"/>
        </w:rPr>
        <w:t>以催化温度越低及催化效率越高为宜（尽可能减少加热蒸汽使用量）；相关要求以</w:t>
      </w:r>
      <w:r>
        <w:rPr>
          <w:rFonts w:hint="eastAsia" w:ascii="宋体" w:hAnsi="宋体" w:cs="Times New Roman"/>
          <w:szCs w:val="21"/>
        </w:rPr>
        <w:t>技术性能要求、</w:t>
      </w:r>
      <w:r>
        <w:rPr>
          <w:rFonts w:hint="eastAsia" w:ascii="宋体" w:hAnsi="宋体" w:cs="Times New Roman"/>
          <w:szCs w:val="21"/>
          <w:lang w:val="en-US" w:eastAsia="zh-CN"/>
        </w:rPr>
        <w:t>试验与验收等章约定为准。</w:t>
      </w:r>
    </w:p>
    <w:p w14:paraId="48CDC837">
      <w:pPr>
        <w:ind w:firstLine="420" w:firstLineChars="200"/>
        <w:rPr>
          <w:rFonts w:hint="eastAsia" w:ascii="宋体" w:hAnsi="宋体" w:cs="Times New Roman"/>
          <w:szCs w:val="21"/>
          <w:lang w:val="en-US" w:eastAsia="zh-CN"/>
        </w:rPr>
      </w:pPr>
      <w:r>
        <w:rPr>
          <w:rFonts w:hint="eastAsia" w:ascii="宋体" w:hAnsi="宋体" w:cs="Times New Roman"/>
          <w:szCs w:val="21"/>
        </w:rPr>
        <w:t>4.</w:t>
      </w:r>
      <w:r>
        <w:rPr>
          <w:rFonts w:hint="eastAsia" w:ascii="宋体" w:hAnsi="宋体" w:cs="Times New Roman"/>
          <w:szCs w:val="21"/>
          <w:lang w:val="en-US" w:eastAsia="zh-CN"/>
        </w:rPr>
        <w:t>3 包含原催化剂的拆除所有工作，拆除后的原催化剂所属权归采购人所有。</w:t>
      </w:r>
    </w:p>
    <w:p w14:paraId="09005B7E">
      <w:pPr>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4.4 包含反应器有承重设计、加固等文件或方案（需经采购人审核同意），以及具体的加固处理的所有工作。</w:t>
      </w:r>
    </w:p>
    <w:p w14:paraId="5965DC06">
      <w:pPr>
        <w:ind w:firstLine="420" w:firstLineChars="200"/>
        <w:rPr>
          <w:rFonts w:hint="default" w:ascii="宋体" w:hAnsi="宋体" w:cs="Times New Roman"/>
          <w:szCs w:val="21"/>
          <w:lang w:val="en-US" w:eastAsia="zh-CN"/>
        </w:rPr>
      </w:pPr>
      <w:r>
        <w:rPr>
          <w:rFonts w:hint="eastAsia" w:ascii="宋体" w:hAnsi="宋体" w:cs="Times New Roman"/>
          <w:szCs w:val="21"/>
        </w:rPr>
        <w:t>4.</w:t>
      </w:r>
      <w:r>
        <w:rPr>
          <w:rFonts w:hint="eastAsia" w:ascii="宋体" w:hAnsi="宋体" w:cs="Times New Roman"/>
          <w:szCs w:val="21"/>
          <w:lang w:val="en-US" w:eastAsia="zh-CN"/>
        </w:rPr>
        <w:t>5</w:t>
      </w:r>
      <w:r>
        <w:rPr>
          <w:rFonts w:hint="eastAsia" w:ascii="宋体" w:hAnsi="宋体" w:cs="Times New Roman"/>
          <w:szCs w:val="21"/>
        </w:rPr>
        <w:t>催化剂由催化剂及其配件组成，由</w:t>
      </w:r>
      <w:r>
        <w:rPr>
          <w:rFonts w:hint="eastAsia" w:ascii="宋体" w:hAnsi="宋体" w:cs="Times New Roman"/>
          <w:szCs w:val="21"/>
          <w:lang w:eastAsia="zh-CN"/>
        </w:rPr>
        <w:t>投标人</w:t>
      </w:r>
      <w:r>
        <w:rPr>
          <w:rFonts w:hint="eastAsia" w:ascii="宋体" w:hAnsi="宋体" w:cs="Times New Roman"/>
          <w:szCs w:val="21"/>
        </w:rPr>
        <w:t>负责供货、制作、</w:t>
      </w:r>
      <w:r>
        <w:rPr>
          <w:rFonts w:hint="eastAsia" w:ascii="宋体" w:hAnsi="宋体" w:cs="Times New Roman"/>
          <w:szCs w:val="21"/>
          <w:lang w:val="en-US" w:eastAsia="zh-CN"/>
        </w:rPr>
        <w:t>安装</w:t>
      </w:r>
      <w:r>
        <w:rPr>
          <w:rFonts w:hint="eastAsia" w:ascii="宋体" w:hAnsi="宋体" w:cs="Times New Roman"/>
          <w:szCs w:val="21"/>
        </w:rPr>
        <w:t>、</w:t>
      </w:r>
      <w:r>
        <w:rPr>
          <w:rFonts w:hint="eastAsia" w:ascii="宋体" w:hAnsi="宋体" w:cs="Times New Roman"/>
          <w:szCs w:val="21"/>
          <w:lang w:val="en-US" w:eastAsia="zh-CN"/>
        </w:rPr>
        <w:t>调试及周期内技术支持。</w:t>
      </w:r>
    </w:p>
    <w:p w14:paraId="2A70E982">
      <w:pPr>
        <w:ind w:firstLine="420" w:firstLineChars="200"/>
        <w:rPr>
          <w:rFonts w:hint="default" w:ascii="宋体" w:hAnsi="宋体" w:cs="Times New Roman"/>
          <w:szCs w:val="21"/>
          <w:lang w:val="en-US" w:eastAsia="zh-CN"/>
        </w:rPr>
      </w:pPr>
      <w:r>
        <w:rPr>
          <w:rFonts w:hint="eastAsia" w:ascii="宋体" w:hAnsi="宋体" w:cs="Times New Roman"/>
          <w:szCs w:val="21"/>
        </w:rPr>
        <w:t>4.</w:t>
      </w:r>
      <w:r>
        <w:rPr>
          <w:rFonts w:hint="eastAsia" w:ascii="宋体" w:hAnsi="宋体" w:cs="Times New Roman"/>
          <w:szCs w:val="21"/>
          <w:lang w:val="en-US" w:eastAsia="zh-CN"/>
        </w:rPr>
        <w:t>6 设计､供货､安装（含旧催化剂拆除）及调试的总周期原则上不超过30个日历日。</w:t>
      </w:r>
    </w:p>
    <w:p w14:paraId="3E26C697">
      <w:pPr>
        <w:ind w:firstLine="420" w:firstLineChars="200"/>
        <w:rPr>
          <w:rFonts w:hint="default" w:ascii="宋体" w:hAnsi="宋体" w:cs="Times New Roman"/>
          <w:szCs w:val="21"/>
          <w:lang w:val="en-US" w:eastAsia="zh-CN"/>
        </w:rPr>
      </w:pPr>
    </w:p>
    <w:p w14:paraId="0539304B">
      <w:pPr>
        <w:ind w:firstLine="420" w:firstLineChars="200"/>
        <w:rPr>
          <w:rFonts w:hint="eastAsia" w:ascii="宋体" w:hAnsi="宋体" w:cs="Times New Roman"/>
          <w:szCs w:val="21"/>
        </w:rPr>
      </w:pPr>
      <w:r>
        <w:rPr>
          <w:rFonts w:hint="eastAsia" w:ascii="宋体" w:hAnsi="宋体" w:cs="Times New Roman"/>
          <w:szCs w:val="21"/>
        </w:rPr>
        <w:t>5 试验与验收</w:t>
      </w:r>
    </w:p>
    <w:p w14:paraId="69BD0AC6">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5.1出厂前材料检验证书及合格证书；</w:t>
      </w:r>
    </w:p>
    <w:p w14:paraId="2A1FCEA9">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5.2提供《操作使用维护说明书》、《供货清单》等催化剂相关技术资料，并提供电子文档。</w:t>
      </w:r>
    </w:p>
    <w:p w14:paraId="56AA5478">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5.3提供易损件及其清单和附图等技术资料。</w:t>
      </w:r>
    </w:p>
    <w:p w14:paraId="69903202">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5.4在设备的调试和试运行阶段应提供现场指导人员的服务。</w:t>
      </w:r>
    </w:p>
    <w:p w14:paraId="28EFF169">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5.5负责对业主操作和管理人员进行技术培训和技术交底。</w:t>
      </w:r>
    </w:p>
    <w:p w14:paraId="43E17872">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5.6对提供产品的技术咨询服务。</w:t>
      </w:r>
    </w:p>
    <w:p w14:paraId="5FC67D0C">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5.7 低温催化剂实际催化温度值验收，以海心沙电厂项目烟气SCR设备的进口和出口温度平均值作为界定依据。</w:t>
      </w:r>
    </w:p>
    <w:p w14:paraId="4B3C610D">
      <w:pPr>
        <w:ind w:firstLine="420" w:firstLineChars="200"/>
        <w:rPr>
          <w:rFonts w:hint="default" w:ascii="宋体" w:hAnsi="宋体" w:cs="Times New Roman"/>
          <w:szCs w:val="21"/>
          <w:lang w:val="en-US" w:eastAsia="zh-CN"/>
        </w:rPr>
      </w:pPr>
    </w:p>
    <w:p w14:paraId="0CD51D08">
      <w:pPr>
        <w:ind w:firstLine="420" w:firstLineChars="200"/>
        <w:rPr>
          <w:rFonts w:hint="eastAsia" w:ascii="宋体" w:hAnsi="宋体" w:cs="Times New Roman"/>
          <w:szCs w:val="21"/>
        </w:rPr>
      </w:pPr>
      <w:r>
        <w:rPr>
          <w:rFonts w:hint="eastAsia" w:ascii="宋体" w:hAnsi="宋体" w:cs="Times New Roman"/>
          <w:szCs w:val="21"/>
        </w:rPr>
        <w:t xml:space="preserve">6 </w:t>
      </w:r>
      <w:r>
        <w:rPr>
          <w:rFonts w:hint="eastAsia" w:ascii="宋体" w:hAnsi="宋体" w:cs="Times New Roman"/>
          <w:szCs w:val="21"/>
          <w:lang w:val="en-US" w:eastAsia="zh-CN"/>
        </w:rPr>
        <w:t>服务</w:t>
      </w:r>
      <w:r>
        <w:rPr>
          <w:rFonts w:hint="eastAsia" w:ascii="宋体" w:hAnsi="宋体" w:cs="Times New Roman"/>
          <w:szCs w:val="21"/>
        </w:rPr>
        <w:t>技术资料内容及要求</w:t>
      </w:r>
    </w:p>
    <w:p w14:paraId="6AF21879">
      <w:pPr>
        <w:ind w:firstLine="420" w:firstLineChars="200"/>
        <w:rPr>
          <w:rFonts w:hint="eastAsia" w:ascii="宋体" w:hAnsi="宋体" w:cs="Times New Roman"/>
          <w:szCs w:val="21"/>
        </w:rPr>
      </w:pPr>
      <w:r>
        <w:rPr>
          <w:rFonts w:hint="eastAsia" w:ascii="宋体" w:hAnsi="宋体" w:cs="Times New Roman"/>
          <w:szCs w:val="21"/>
        </w:rPr>
        <w:t>6.1供需双方的技术资料要求</w:t>
      </w:r>
    </w:p>
    <w:p w14:paraId="239DEF92">
      <w:pPr>
        <w:ind w:firstLine="420" w:firstLineChars="200"/>
        <w:rPr>
          <w:rFonts w:hint="eastAsia" w:ascii="宋体" w:hAnsi="宋体" w:cs="Times New Roman"/>
          <w:szCs w:val="21"/>
        </w:rPr>
      </w:pPr>
      <w:r>
        <w:rPr>
          <w:rFonts w:hint="eastAsia" w:ascii="宋体" w:hAnsi="宋体" w:cs="Times New Roman"/>
          <w:szCs w:val="21"/>
        </w:rPr>
        <w:t>双方必须保证提交给对方的技术资料的完整性与正确性。该技术资料必须满足设计、施工、试运行、生产和维护的要求（包含催化剂尺寸、催化剂模块尺寸、重量、数量、配件材质及装配图）。</w:t>
      </w:r>
    </w:p>
    <w:p w14:paraId="4D202D96">
      <w:pPr>
        <w:ind w:firstLine="420" w:firstLineChars="200"/>
        <w:rPr>
          <w:rFonts w:hint="eastAsia" w:ascii="宋体" w:hAnsi="宋体" w:cs="Times New Roman"/>
          <w:szCs w:val="21"/>
        </w:rPr>
      </w:pPr>
      <w:r>
        <w:rPr>
          <w:rFonts w:hint="eastAsia" w:ascii="宋体" w:hAnsi="宋体" w:cs="Times New Roman"/>
          <w:szCs w:val="21"/>
        </w:rPr>
        <w:t>在提供交付纸质资料的同时还应提供交付电子资料2份。文档格式和图纸格式均为PDF。</w:t>
      </w:r>
    </w:p>
    <w:p w14:paraId="6C93F493">
      <w:pPr>
        <w:ind w:firstLine="420" w:firstLineChars="200"/>
        <w:rPr>
          <w:rFonts w:hint="eastAsia" w:ascii="宋体" w:hAnsi="宋体" w:cs="Times New Roman"/>
          <w:szCs w:val="21"/>
        </w:rPr>
      </w:pPr>
      <w:r>
        <w:rPr>
          <w:rFonts w:hint="eastAsia" w:ascii="宋体" w:hAnsi="宋体" w:cs="Times New Roman"/>
          <w:szCs w:val="21"/>
        </w:rPr>
        <w:t>6.2</w:t>
      </w:r>
      <w:r>
        <w:rPr>
          <w:rFonts w:hint="eastAsia" w:ascii="宋体" w:hAnsi="宋体" w:cs="Times New Roman"/>
          <w:szCs w:val="21"/>
          <w:lang w:eastAsia="zh-CN"/>
        </w:rPr>
        <w:t>投标人</w:t>
      </w:r>
      <w:r>
        <w:rPr>
          <w:rFonts w:hint="eastAsia" w:ascii="宋体" w:hAnsi="宋体" w:cs="Times New Roman"/>
          <w:szCs w:val="21"/>
        </w:rPr>
        <w:t>提供给</w:t>
      </w:r>
      <w:r>
        <w:rPr>
          <w:rFonts w:hint="eastAsia" w:ascii="宋体" w:hAnsi="宋体" w:cs="Times New Roman"/>
          <w:szCs w:val="21"/>
          <w:lang w:eastAsia="zh-CN"/>
        </w:rPr>
        <w:t>采购人</w:t>
      </w:r>
      <w:r>
        <w:rPr>
          <w:rFonts w:hint="eastAsia" w:ascii="宋体" w:hAnsi="宋体" w:cs="Times New Roman"/>
          <w:szCs w:val="21"/>
        </w:rPr>
        <w:t>的资料及其交付进度</w:t>
      </w:r>
    </w:p>
    <w:p w14:paraId="5E14443D">
      <w:pPr>
        <w:ind w:firstLine="420" w:firstLineChars="200"/>
        <w:rPr>
          <w:rFonts w:hint="eastAsia" w:ascii="宋体" w:hAnsi="宋体" w:cs="Times New Roman"/>
          <w:szCs w:val="21"/>
        </w:rPr>
      </w:pPr>
      <w:r>
        <w:rPr>
          <w:rFonts w:hint="eastAsia" w:ascii="宋体" w:hAnsi="宋体" w:cs="Times New Roman"/>
          <w:szCs w:val="21"/>
        </w:rPr>
        <w:t>催化剂布置图和密封件图纸，签订合同后提供（</w:t>
      </w:r>
      <w:r>
        <w:rPr>
          <w:rFonts w:hint="eastAsia" w:ascii="宋体" w:hAnsi="宋体" w:cs="Times New Roman"/>
          <w:szCs w:val="21"/>
          <w:lang w:eastAsia="zh-CN"/>
        </w:rPr>
        <w:t>投标人</w:t>
      </w:r>
      <w:r>
        <w:rPr>
          <w:rFonts w:hint="eastAsia" w:ascii="宋体" w:hAnsi="宋体" w:cs="Times New Roman"/>
          <w:szCs w:val="21"/>
        </w:rPr>
        <w:t>必须在</w:t>
      </w:r>
      <w:r>
        <w:rPr>
          <w:rFonts w:hint="eastAsia" w:ascii="宋体" w:hAnsi="宋体" w:cs="Times New Roman"/>
          <w:szCs w:val="21"/>
          <w:lang w:eastAsia="zh-CN"/>
        </w:rPr>
        <w:t>采购人</w:t>
      </w:r>
      <w:r>
        <w:rPr>
          <w:rFonts w:hint="eastAsia" w:ascii="宋体" w:hAnsi="宋体" w:cs="Times New Roman"/>
          <w:szCs w:val="21"/>
        </w:rPr>
        <w:t>给定的反应器净尺寸合理布置催化剂，并返回催化剂布置图给</w:t>
      </w:r>
      <w:r>
        <w:rPr>
          <w:rFonts w:hint="eastAsia" w:ascii="宋体" w:hAnsi="宋体" w:cs="Times New Roman"/>
          <w:szCs w:val="21"/>
          <w:lang w:eastAsia="zh-CN"/>
        </w:rPr>
        <w:t>采购人</w:t>
      </w:r>
      <w:r>
        <w:rPr>
          <w:rFonts w:hint="eastAsia" w:ascii="宋体" w:hAnsi="宋体" w:cs="Times New Roman"/>
          <w:szCs w:val="21"/>
        </w:rPr>
        <w:t>确认）。</w:t>
      </w:r>
    </w:p>
    <w:p w14:paraId="4ED6FAC4">
      <w:pPr>
        <w:ind w:firstLine="420" w:firstLineChars="200"/>
        <w:rPr>
          <w:rFonts w:hint="eastAsia" w:ascii="宋体" w:hAnsi="宋体" w:cs="Times New Roman"/>
          <w:szCs w:val="21"/>
        </w:rPr>
      </w:pPr>
      <w:r>
        <w:rPr>
          <w:rFonts w:hint="eastAsia" w:ascii="宋体" w:hAnsi="宋体" w:cs="Times New Roman"/>
          <w:szCs w:val="21"/>
        </w:rPr>
        <w:t>安装、运行、维护、检修所需详尽图纸和技术资料在合同签订后1月内提供。</w:t>
      </w:r>
    </w:p>
    <w:p w14:paraId="69072056">
      <w:pPr>
        <w:ind w:firstLine="420" w:firstLineChars="200"/>
        <w:rPr>
          <w:rFonts w:hint="eastAsia" w:ascii="宋体" w:hAnsi="宋体" w:cs="Times New Roman"/>
          <w:szCs w:val="21"/>
        </w:rPr>
      </w:pPr>
      <w:r>
        <w:rPr>
          <w:rFonts w:hint="eastAsia" w:ascii="宋体" w:hAnsi="宋体" w:cs="Times New Roman"/>
          <w:szCs w:val="21"/>
        </w:rPr>
        <w:t>资料交付进度满足</w:t>
      </w:r>
      <w:r>
        <w:rPr>
          <w:rFonts w:hint="eastAsia" w:ascii="宋体" w:hAnsi="宋体" w:cs="Times New Roman"/>
          <w:szCs w:val="21"/>
          <w:lang w:eastAsia="zh-CN"/>
        </w:rPr>
        <w:t>采购</w:t>
      </w:r>
      <w:r>
        <w:rPr>
          <w:rFonts w:hint="eastAsia" w:ascii="宋体" w:hAnsi="宋体" w:cs="Times New Roman"/>
          <w:szCs w:val="21"/>
        </w:rPr>
        <w:t>要求。</w:t>
      </w:r>
    </w:p>
    <w:p w14:paraId="4AFC97AE">
      <w:pPr>
        <w:ind w:firstLine="420" w:firstLineChars="200"/>
        <w:rPr>
          <w:rFonts w:hint="eastAsia" w:ascii="宋体" w:hAnsi="宋体" w:cs="Times New Roman"/>
          <w:szCs w:val="21"/>
        </w:rPr>
      </w:pPr>
    </w:p>
    <w:p w14:paraId="5E827DE5">
      <w:pPr>
        <w:ind w:firstLine="420" w:firstLineChars="200"/>
        <w:rPr>
          <w:rFonts w:hint="eastAsia" w:ascii="宋体" w:hAnsi="宋体" w:cs="Times New Roman"/>
          <w:szCs w:val="21"/>
        </w:rPr>
      </w:pPr>
      <w:r>
        <w:rPr>
          <w:rFonts w:hint="eastAsia" w:ascii="宋体" w:hAnsi="宋体" w:cs="Times New Roman"/>
          <w:szCs w:val="21"/>
        </w:rPr>
        <w:t>7 工厂检验</w:t>
      </w:r>
    </w:p>
    <w:p w14:paraId="02D80EC5">
      <w:pPr>
        <w:ind w:firstLine="420" w:firstLineChars="200"/>
        <w:rPr>
          <w:rFonts w:hint="eastAsia" w:ascii="宋体" w:hAnsi="宋体" w:cs="Times New Roman"/>
          <w:szCs w:val="21"/>
        </w:rPr>
      </w:pPr>
      <w:r>
        <w:rPr>
          <w:rFonts w:hint="eastAsia" w:ascii="宋体" w:hAnsi="宋体" w:cs="Times New Roman"/>
          <w:szCs w:val="21"/>
        </w:rPr>
        <w:t>7.1</w:t>
      </w:r>
      <w:r>
        <w:rPr>
          <w:rFonts w:hint="eastAsia" w:ascii="宋体" w:hAnsi="宋体" w:cs="Times New Roman"/>
          <w:szCs w:val="21"/>
          <w:lang w:eastAsia="zh-CN"/>
        </w:rPr>
        <w:t>投标人</w:t>
      </w:r>
      <w:r>
        <w:rPr>
          <w:rFonts w:hint="eastAsia" w:ascii="宋体" w:hAnsi="宋体" w:cs="Times New Roman"/>
          <w:szCs w:val="21"/>
        </w:rPr>
        <w:t>在其加工厂的制作应严格按图纸要求进行，</w:t>
      </w:r>
      <w:r>
        <w:rPr>
          <w:rFonts w:hint="eastAsia" w:ascii="宋体" w:hAnsi="宋体" w:cs="Times New Roman"/>
          <w:szCs w:val="21"/>
          <w:lang w:eastAsia="zh-CN"/>
        </w:rPr>
        <w:t>采购人</w:t>
      </w:r>
      <w:r>
        <w:rPr>
          <w:rFonts w:hint="eastAsia" w:ascii="宋体" w:hAnsi="宋体" w:cs="Times New Roman"/>
          <w:szCs w:val="21"/>
        </w:rPr>
        <w:t>将视具体情况派员进行加工质量的中间检查。</w:t>
      </w:r>
    </w:p>
    <w:p w14:paraId="7A9AA80B">
      <w:pPr>
        <w:ind w:firstLine="420" w:firstLineChars="200"/>
        <w:rPr>
          <w:rFonts w:hint="eastAsia" w:ascii="宋体" w:hAnsi="宋体" w:cs="Times New Roman"/>
          <w:szCs w:val="21"/>
        </w:rPr>
      </w:pPr>
      <w:r>
        <w:rPr>
          <w:rFonts w:hint="eastAsia" w:ascii="宋体" w:hAnsi="宋体" w:cs="Times New Roman"/>
          <w:szCs w:val="21"/>
        </w:rPr>
        <w:t>7.2催化剂出厂前</w:t>
      </w:r>
      <w:r>
        <w:rPr>
          <w:rFonts w:hint="eastAsia" w:ascii="宋体" w:hAnsi="宋体" w:cs="Times New Roman"/>
          <w:szCs w:val="21"/>
          <w:lang w:eastAsia="zh-CN"/>
        </w:rPr>
        <w:t>投标人</w:t>
      </w:r>
      <w:r>
        <w:rPr>
          <w:rFonts w:hint="eastAsia" w:ascii="宋体" w:hAnsi="宋体" w:cs="Times New Roman"/>
          <w:szCs w:val="21"/>
        </w:rPr>
        <w:t>应通知</w:t>
      </w:r>
      <w:r>
        <w:rPr>
          <w:rFonts w:hint="eastAsia" w:ascii="宋体" w:hAnsi="宋体" w:cs="Times New Roman"/>
          <w:szCs w:val="21"/>
          <w:lang w:eastAsia="zh-CN"/>
        </w:rPr>
        <w:t>采购人</w:t>
      </w:r>
      <w:r>
        <w:rPr>
          <w:rFonts w:hint="eastAsia" w:ascii="宋体" w:hAnsi="宋体" w:cs="Times New Roman"/>
          <w:szCs w:val="21"/>
        </w:rPr>
        <w:t>进行出厂检验，检验之前</w:t>
      </w:r>
      <w:r>
        <w:rPr>
          <w:rFonts w:hint="eastAsia" w:ascii="宋体" w:hAnsi="宋体" w:cs="Times New Roman"/>
          <w:szCs w:val="21"/>
          <w:lang w:eastAsia="zh-CN"/>
        </w:rPr>
        <w:t>投标人</w:t>
      </w:r>
      <w:r>
        <w:rPr>
          <w:rFonts w:hint="eastAsia" w:ascii="宋体" w:hAnsi="宋体" w:cs="Times New Roman"/>
          <w:szCs w:val="21"/>
        </w:rPr>
        <w:t>提供检验大纲（需由</w:t>
      </w:r>
      <w:r>
        <w:rPr>
          <w:rFonts w:hint="eastAsia" w:ascii="宋体" w:hAnsi="宋体" w:cs="Times New Roman"/>
          <w:szCs w:val="21"/>
          <w:lang w:eastAsia="zh-CN"/>
        </w:rPr>
        <w:t>采购人</w:t>
      </w:r>
      <w:r>
        <w:rPr>
          <w:rFonts w:hint="eastAsia" w:ascii="宋体" w:hAnsi="宋体" w:cs="Times New Roman"/>
          <w:szCs w:val="21"/>
        </w:rPr>
        <w:t>确认），1式6份，内容包括：催化剂规格、检验项目、检验方式等。</w:t>
      </w:r>
    </w:p>
    <w:p w14:paraId="7DA242D7">
      <w:pPr>
        <w:ind w:firstLine="420" w:firstLineChars="200"/>
        <w:rPr>
          <w:rFonts w:hint="eastAsia" w:ascii="宋体" w:hAnsi="宋体" w:cs="Times New Roman"/>
          <w:szCs w:val="21"/>
        </w:rPr>
      </w:pPr>
      <w:r>
        <w:rPr>
          <w:rFonts w:hint="eastAsia" w:ascii="宋体" w:hAnsi="宋体" w:cs="Times New Roman"/>
          <w:szCs w:val="21"/>
        </w:rPr>
        <w:t>7.3</w:t>
      </w:r>
      <w:r>
        <w:rPr>
          <w:rFonts w:hint="eastAsia" w:ascii="宋体" w:hAnsi="宋体" w:cs="Times New Roman"/>
          <w:szCs w:val="21"/>
          <w:lang w:eastAsia="zh-CN"/>
        </w:rPr>
        <w:t>投标人</w:t>
      </w:r>
      <w:r>
        <w:rPr>
          <w:rFonts w:hint="eastAsia" w:ascii="宋体" w:hAnsi="宋体" w:cs="Times New Roman"/>
          <w:szCs w:val="21"/>
          <w:lang w:val="en-US" w:eastAsia="zh-CN"/>
        </w:rPr>
        <w:t>服务</w:t>
      </w:r>
      <w:r>
        <w:rPr>
          <w:rFonts w:hint="eastAsia" w:ascii="宋体" w:hAnsi="宋体" w:cs="Times New Roman"/>
          <w:szCs w:val="21"/>
        </w:rPr>
        <w:t>供货范围内的设备和材料必须进行出厂质量检验、检查，合格后才能运出。并需出具出厂质量检验书、相关数据及合格证书。</w:t>
      </w:r>
    </w:p>
    <w:p w14:paraId="742AC852">
      <w:pPr>
        <w:ind w:firstLine="420" w:firstLineChars="200"/>
        <w:rPr>
          <w:rFonts w:hint="eastAsia" w:ascii="宋体" w:hAnsi="宋体" w:cs="Times New Roman"/>
          <w:szCs w:val="21"/>
        </w:rPr>
      </w:pPr>
      <w:r>
        <w:rPr>
          <w:rFonts w:hint="eastAsia" w:ascii="宋体" w:hAnsi="宋体" w:cs="Times New Roman"/>
          <w:szCs w:val="21"/>
        </w:rPr>
        <w:t>7.4</w:t>
      </w:r>
      <w:r>
        <w:rPr>
          <w:rFonts w:hint="eastAsia" w:ascii="宋体" w:hAnsi="宋体" w:cs="Times New Roman"/>
          <w:szCs w:val="21"/>
          <w:lang w:eastAsia="zh-CN"/>
        </w:rPr>
        <w:t>投标人</w:t>
      </w:r>
      <w:r>
        <w:rPr>
          <w:rFonts w:hint="eastAsia" w:ascii="宋体" w:hAnsi="宋体" w:cs="Times New Roman"/>
          <w:szCs w:val="21"/>
          <w:lang w:val="en-US" w:eastAsia="zh-CN"/>
        </w:rPr>
        <w:t>服务</w:t>
      </w:r>
      <w:r>
        <w:rPr>
          <w:rFonts w:hint="eastAsia" w:ascii="宋体" w:hAnsi="宋体" w:cs="Times New Roman"/>
          <w:szCs w:val="21"/>
        </w:rPr>
        <w:t>提供的设备和材料必须按照国家现行标准和规范进行设计、制造和检验。</w:t>
      </w:r>
    </w:p>
    <w:p w14:paraId="79AFE4EB">
      <w:pPr>
        <w:ind w:firstLine="420" w:firstLineChars="200"/>
        <w:rPr>
          <w:rFonts w:hint="eastAsia" w:ascii="宋体" w:hAnsi="宋体" w:cs="Times New Roman"/>
          <w:szCs w:val="21"/>
        </w:rPr>
      </w:pPr>
      <w:r>
        <w:rPr>
          <w:rFonts w:hint="eastAsia" w:ascii="宋体" w:hAnsi="宋体" w:cs="Times New Roman"/>
          <w:szCs w:val="21"/>
        </w:rPr>
        <w:t>7.5生产催化剂所需的全部原材料是全新的，</w:t>
      </w:r>
      <w:r>
        <w:rPr>
          <w:rFonts w:hint="eastAsia" w:ascii="宋体" w:hAnsi="宋体" w:cs="Times New Roman"/>
          <w:szCs w:val="21"/>
          <w:lang w:eastAsia="zh-CN"/>
        </w:rPr>
        <w:t>采购人</w:t>
      </w:r>
      <w:r>
        <w:rPr>
          <w:rFonts w:hint="eastAsia" w:ascii="宋体" w:hAnsi="宋体" w:cs="Times New Roman"/>
          <w:szCs w:val="21"/>
        </w:rPr>
        <w:t>有权自费派遣人员赴</w:t>
      </w:r>
      <w:r>
        <w:rPr>
          <w:rFonts w:hint="eastAsia" w:ascii="宋体" w:hAnsi="宋体" w:cs="Times New Roman"/>
          <w:szCs w:val="21"/>
          <w:lang w:eastAsia="zh-CN"/>
        </w:rPr>
        <w:t>投标人</w:t>
      </w:r>
      <w:r>
        <w:rPr>
          <w:rFonts w:hint="eastAsia" w:ascii="宋体" w:hAnsi="宋体" w:cs="Times New Roman"/>
          <w:szCs w:val="21"/>
        </w:rPr>
        <w:t>对</w:t>
      </w:r>
      <w:r>
        <w:rPr>
          <w:rFonts w:hint="eastAsia" w:ascii="宋体" w:hAnsi="宋体" w:cs="Times New Roman"/>
          <w:szCs w:val="21"/>
          <w:lang w:val="en-US" w:eastAsia="zh-CN"/>
        </w:rPr>
        <w:t>催化剂</w:t>
      </w:r>
      <w:r>
        <w:rPr>
          <w:rFonts w:hint="eastAsia" w:ascii="宋体" w:hAnsi="宋体" w:cs="Times New Roman"/>
          <w:szCs w:val="21"/>
        </w:rPr>
        <w:t>进行制造过程检验和出厂检验。</w:t>
      </w:r>
    </w:p>
    <w:p w14:paraId="68A1AF57">
      <w:pPr>
        <w:ind w:firstLine="420" w:firstLineChars="200"/>
        <w:rPr>
          <w:rFonts w:hint="eastAsia" w:ascii="宋体" w:hAnsi="宋体" w:cs="Times New Roman"/>
          <w:szCs w:val="21"/>
        </w:rPr>
      </w:pPr>
    </w:p>
    <w:p w14:paraId="4C157396">
      <w:pPr>
        <w:ind w:firstLine="420" w:firstLineChars="200"/>
        <w:rPr>
          <w:rFonts w:hint="eastAsia" w:ascii="宋体" w:hAnsi="宋体" w:cs="Times New Roman"/>
          <w:szCs w:val="21"/>
        </w:rPr>
      </w:pPr>
      <w:r>
        <w:rPr>
          <w:rFonts w:hint="eastAsia" w:ascii="宋体" w:hAnsi="宋体" w:cs="Times New Roman"/>
          <w:szCs w:val="21"/>
        </w:rPr>
        <w:t>8 质量控制及质量保证</w:t>
      </w:r>
    </w:p>
    <w:p w14:paraId="72EFFA0A">
      <w:pPr>
        <w:ind w:firstLine="420" w:firstLineChars="200"/>
        <w:rPr>
          <w:rFonts w:hint="eastAsia" w:ascii="宋体" w:hAnsi="宋体" w:cs="Times New Roman"/>
          <w:szCs w:val="21"/>
        </w:rPr>
      </w:pPr>
      <w:r>
        <w:rPr>
          <w:rFonts w:hint="eastAsia" w:ascii="宋体" w:hAnsi="宋体" w:cs="Times New Roman"/>
          <w:szCs w:val="21"/>
        </w:rPr>
        <w:t>8.1质量控制</w:t>
      </w:r>
    </w:p>
    <w:p w14:paraId="18643217">
      <w:pPr>
        <w:ind w:firstLine="420" w:firstLineChars="200"/>
        <w:rPr>
          <w:rFonts w:hint="eastAsia" w:ascii="宋体" w:hAnsi="宋体" w:cs="Times New Roman"/>
          <w:szCs w:val="21"/>
        </w:rPr>
      </w:pPr>
      <w:r>
        <w:rPr>
          <w:rFonts w:hint="eastAsia" w:ascii="宋体" w:hAnsi="宋体" w:cs="Times New Roman"/>
          <w:szCs w:val="21"/>
        </w:rPr>
        <w:t>8.1.1择优采购原辅材料，严把质量关，再根据技术质量标准进行检测，符合设计图纸技术要求中所规定的性能要求后方能使用。</w:t>
      </w:r>
    </w:p>
    <w:p w14:paraId="7863B9F8">
      <w:pPr>
        <w:ind w:firstLine="420" w:firstLineChars="200"/>
        <w:rPr>
          <w:rFonts w:hint="eastAsia" w:ascii="宋体" w:hAnsi="宋体" w:cs="Times New Roman"/>
          <w:szCs w:val="21"/>
        </w:rPr>
      </w:pPr>
      <w:r>
        <w:rPr>
          <w:rFonts w:hint="eastAsia" w:ascii="宋体" w:hAnsi="宋体" w:cs="Times New Roman"/>
          <w:szCs w:val="21"/>
        </w:rPr>
        <w:t>8.1.2</w:t>
      </w:r>
      <w:r>
        <w:rPr>
          <w:rFonts w:hint="eastAsia" w:ascii="宋体" w:hAnsi="宋体" w:cs="Times New Roman"/>
          <w:szCs w:val="21"/>
          <w:lang w:eastAsia="zh-CN"/>
        </w:rPr>
        <w:t>投标人</w:t>
      </w:r>
      <w:r>
        <w:rPr>
          <w:rFonts w:hint="eastAsia" w:ascii="宋体" w:hAnsi="宋体" w:cs="Times New Roman"/>
          <w:szCs w:val="21"/>
          <w:lang w:val="en-US" w:eastAsia="zh-CN"/>
        </w:rPr>
        <w:t>服务</w:t>
      </w:r>
      <w:r>
        <w:rPr>
          <w:rFonts w:hint="eastAsia" w:ascii="宋体" w:hAnsi="宋体" w:cs="Times New Roman"/>
          <w:szCs w:val="21"/>
        </w:rPr>
        <w:t>范围内</w:t>
      </w:r>
      <w:r>
        <w:rPr>
          <w:rFonts w:hint="eastAsia" w:ascii="宋体" w:hAnsi="宋体" w:cs="Times New Roman"/>
          <w:szCs w:val="21"/>
          <w:lang w:val="en-US" w:eastAsia="zh-CN"/>
        </w:rPr>
        <w:t>提供</w:t>
      </w:r>
      <w:r>
        <w:rPr>
          <w:rFonts w:hint="eastAsia" w:ascii="宋体" w:hAnsi="宋体" w:cs="Times New Roman"/>
          <w:szCs w:val="21"/>
        </w:rPr>
        <w:t>的</w:t>
      </w:r>
      <w:r>
        <w:rPr>
          <w:rFonts w:hint="eastAsia" w:ascii="宋体" w:hAnsi="宋体" w:cs="Times New Roman"/>
          <w:szCs w:val="21"/>
          <w:lang w:val="en-US" w:eastAsia="zh-CN"/>
        </w:rPr>
        <w:t>货物</w:t>
      </w:r>
      <w:r>
        <w:rPr>
          <w:rFonts w:hint="eastAsia" w:ascii="宋体" w:hAnsi="宋体" w:cs="Times New Roman"/>
          <w:szCs w:val="21"/>
        </w:rPr>
        <w:t>和材料必须进行出厂质量检验、检查，合格后才能运出，并需出具出厂质量检验书及合格证书。</w:t>
      </w:r>
    </w:p>
    <w:p w14:paraId="6B08F30B">
      <w:pPr>
        <w:ind w:firstLine="420" w:firstLineChars="200"/>
        <w:rPr>
          <w:rFonts w:hint="eastAsia" w:ascii="宋体" w:hAnsi="宋体" w:cs="Times New Roman"/>
          <w:szCs w:val="21"/>
        </w:rPr>
      </w:pPr>
      <w:r>
        <w:rPr>
          <w:rFonts w:hint="eastAsia" w:ascii="宋体" w:hAnsi="宋体" w:cs="Times New Roman"/>
          <w:szCs w:val="21"/>
        </w:rPr>
        <w:t>8.1.3</w:t>
      </w:r>
      <w:r>
        <w:rPr>
          <w:rFonts w:hint="eastAsia" w:ascii="宋体" w:hAnsi="宋体" w:cs="Times New Roman"/>
          <w:szCs w:val="21"/>
          <w:lang w:eastAsia="zh-CN"/>
        </w:rPr>
        <w:t>投标人</w:t>
      </w:r>
      <w:r>
        <w:rPr>
          <w:rFonts w:hint="eastAsia" w:ascii="宋体" w:hAnsi="宋体" w:cs="Times New Roman"/>
          <w:szCs w:val="21"/>
          <w:lang w:val="en-US" w:eastAsia="zh-CN"/>
        </w:rPr>
        <w:t>服务</w:t>
      </w:r>
      <w:r>
        <w:rPr>
          <w:rFonts w:hint="eastAsia" w:ascii="宋体" w:hAnsi="宋体" w:cs="Times New Roman"/>
          <w:szCs w:val="21"/>
        </w:rPr>
        <w:t>提供的</w:t>
      </w:r>
      <w:r>
        <w:rPr>
          <w:rFonts w:hint="eastAsia" w:ascii="宋体" w:hAnsi="宋体" w:cs="Times New Roman"/>
          <w:szCs w:val="21"/>
          <w:lang w:val="en-US" w:eastAsia="zh-CN"/>
        </w:rPr>
        <w:t>货物</w:t>
      </w:r>
      <w:r>
        <w:rPr>
          <w:rFonts w:hint="eastAsia" w:ascii="宋体" w:hAnsi="宋体" w:cs="Times New Roman"/>
          <w:szCs w:val="21"/>
        </w:rPr>
        <w:t>和材料必须按照国家现行的标准和规范进行设计、制造和检验。</w:t>
      </w:r>
    </w:p>
    <w:p w14:paraId="6B80B512">
      <w:pPr>
        <w:ind w:firstLine="420" w:firstLineChars="200"/>
        <w:rPr>
          <w:rFonts w:hint="eastAsia" w:ascii="宋体" w:hAnsi="宋体" w:cs="Times New Roman"/>
          <w:szCs w:val="21"/>
        </w:rPr>
      </w:pPr>
      <w:r>
        <w:rPr>
          <w:rFonts w:hint="eastAsia" w:ascii="宋体" w:hAnsi="宋体" w:cs="Times New Roman"/>
          <w:szCs w:val="21"/>
        </w:rPr>
        <w:t>8.1.4催化剂的工厂检验、组装、交货和现场试验与验收，应符合国家有关施工及验收规范的规定。</w:t>
      </w:r>
    </w:p>
    <w:p w14:paraId="18318FC1">
      <w:pPr>
        <w:ind w:firstLine="420" w:firstLineChars="200"/>
        <w:rPr>
          <w:rFonts w:hint="eastAsia" w:ascii="宋体" w:hAnsi="宋体" w:cs="Times New Roman"/>
          <w:szCs w:val="21"/>
        </w:rPr>
      </w:pPr>
    </w:p>
    <w:p w14:paraId="0EFD4234">
      <w:pPr>
        <w:ind w:firstLine="420" w:firstLineChars="200"/>
        <w:rPr>
          <w:rFonts w:hint="eastAsia" w:ascii="宋体" w:hAnsi="宋体" w:cs="Times New Roman"/>
          <w:szCs w:val="21"/>
        </w:rPr>
      </w:pPr>
      <w:r>
        <w:rPr>
          <w:rFonts w:hint="eastAsia" w:ascii="宋体" w:hAnsi="宋体" w:cs="Times New Roman"/>
          <w:szCs w:val="21"/>
        </w:rPr>
        <w:t>8.2质量保证</w:t>
      </w:r>
    </w:p>
    <w:p w14:paraId="3D911890">
      <w:pPr>
        <w:ind w:firstLine="420" w:firstLineChars="200"/>
        <w:rPr>
          <w:rFonts w:hint="eastAsia" w:ascii="宋体" w:hAnsi="宋体" w:cs="Times New Roman"/>
          <w:szCs w:val="21"/>
        </w:rPr>
      </w:pPr>
      <w:r>
        <w:rPr>
          <w:rFonts w:hint="eastAsia" w:ascii="宋体" w:hAnsi="宋体" w:cs="Times New Roman"/>
          <w:szCs w:val="21"/>
        </w:rPr>
        <w:t>8.2.</w:t>
      </w:r>
      <w:r>
        <w:rPr>
          <w:rFonts w:hint="eastAsia" w:ascii="宋体" w:hAnsi="宋体" w:cs="Times New Roman"/>
          <w:szCs w:val="21"/>
          <w:lang w:val="en-US" w:eastAsia="zh-CN"/>
        </w:rPr>
        <w:t>1</w:t>
      </w:r>
      <w:r>
        <w:rPr>
          <w:rFonts w:hint="eastAsia" w:ascii="宋体" w:hAnsi="宋体" w:cs="Times New Roman"/>
          <w:szCs w:val="21"/>
        </w:rPr>
        <w:t>催化剂出厂前做质量检测，交货时提供测试报告和质量合格证书。</w:t>
      </w:r>
    </w:p>
    <w:p w14:paraId="40E57B81">
      <w:pPr>
        <w:ind w:firstLine="420" w:firstLineChars="200"/>
        <w:rPr>
          <w:rFonts w:hint="eastAsia" w:ascii="宋体" w:hAnsi="宋体" w:cs="Times New Roman"/>
          <w:szCs w:val="21"/>
        </w:rPr>
      </w:pPr>
      <w:r>
        <w:rPr>
          <w:rFonts w:hint="eastAsia" w:ascii="宋体" w:hAnsi="宋体" w:cs="Times New Roman"/>
          <w:szCs w:val="21"/>
        </w:rPr>
        <w:t>8.2.</w:t>
      </w:r>
      <w:r>
        <w:rPr>
          <w:rFonts w:hint="eastAsia" w:ascii="宋体" w:hAnsi="宋体" w:cs="Times New Roman"/>
          <w:szCs w:val="21"/>
          <w:lang w:val="en-US" w:eastAsia="zh-CN"/>
        </w:rPr>
        <w:t>2</w:t>
      </w:r>
      <w:r>
        <w:rPr>
          <w:rFonts w:hint="eastAsia" w:ascii="宋体" w:hAnsi="宋体" w:cs="Times New Roman"/>
          <w:szCs w:val="21"/>
          <w:lang w:eastAsia="zh-CN"/>
        </w:rPr>
        <w:t>投标人</w:t>
      </w:r>
      <w:r>
        <w:rPr>
          <w:rFonts w:hint="eastAsia" w:ascii="宋体" w:hAnsi="宋体" w:cs="Times New Roman"/>
          <w:szCs w:val="21"/>
        </w:rPr>
        <w:t>所提供</w:t>
      </w:r>
      <w:r>
        <w:rPr>
          <w:rFonts w:hint="eastAsia" w:ascii="宋体" w:hAnsi="宋体" w:cs="Times New Roman"/>
          <w:szCs w:val="21"/>
          <w:lang w:val="en-US" w:eastAsia="zh-CN"/>
        </w:rPr>
        <w:t>服务</w:t>
      </w:r>
      <w:r>
        <w:rPr>
          <w:rFonts w:hint="eastAsia" w:ascii="宋体" w:hAnsi="宋体" w:cs="Times New Roman"/>
          <w:szCs w:val="21"/>
        </w:rPr>
        <w:t>的设备及技术数据必须满足当地的环保要求，同时保证设备正常运行工况。</w:t>
      </w:r>
    </w:p>
    <w:p w14:paraId="55514E80">
      <w:pPr>
        <w:ind w:firstLine="420" w:firstLineChars="200"/>
        <w:rPr>
          <w:rFonts w:hint="eastAsia" w:ascii="宋体" w:hAnsi="宋体" w:cs="Times New Roman"/>
          <w:szCs w:val="21"/>
        </w:rPr>
      </w:pPr>
      <w:r>
        <w:rPr>
          <w:rFonts w:hint="eastAsia" w:ascii="宋体" w:hAnsi="宋体" w:cs="Times New Roman"/>
          <w:szCs w:val="21"/>
        </w:rPr>
        <w:t>8.3运输、装卸和储存：</w:t>
      </w:r>
    </w:p>
    <w:p w14:paraId="66D35BE9">
      <w:pPr>
        <w:ind w:firstLine="420" w:firstLineChars="200"/>
        <w:rPr>
          <w:rFonts w:hint="eastAsia" w:ascii="宋体" w:hAnsi="宋体" w:cs="Times New Roman"/>
          <w:szCs w:val="21"/>
        </w:rPr>
      </w:pPr>
      <w:r>
        <w:rPr>
          <w:rFonts w:hint="eastAsia" w:ascii="宋体" w:hAnsi="宋体" w:cs="Times New Roman"/>
          <w:szCs w:val="21"/>
        </w:rPr>
        <w:t>催化剂在运输前和储存过程中，应检查催化剂模块底部托盘（木质）是否放置正确，外部包装延展薄膜是否完好，催化剂模块是否水平放置（单体长度方向与地面平行或与车行方向一致），储存期间的催化剂模块还需采取防水、防尘、防潮措施。</w:t>
      </w:r>
    </w:p>
    <w:p w14:paraId="199FE64D">
      <w:pPr>
        <w:ind w:firstLine="420" w:firstLineChars="200"/>
        <w:rPr>
          <w:rFonts w:hint="eastAsia" w:ascii="宋体" w:hAnsi="宋体" w:cs="Times New Roman"/>
          <w:szCs w:val="21"/>
        </w:rPr>
      </w:pPr>
      <w:r>
        <w:rPr>
          <w:rFonts w:hint="eastAsia" w:ascii="宋体" w:hAnsi="宋体" w:cs="Times New Roman"/>
          <w:szCs w:val="21"/>
        </w:rPr>
        <w:t>催化剂长途运输过程中，车辆应缓慢行使，避免因车辆突然刹车或加速，造成催化剂模块滑动而引起催化剂机械损坏。在高栏货车、集装箱装运时，应对催化剂模块进行加固，确保平稳、牢固，必须在箱内采取防滑、防撞、防震保护措施（如图1）。</w:t>
      </w:r>
    </w:p>
    <w:p w14:paraId="332F25E8">
      <w:pPr>
        <w:ind w:firstLine="420" w:firstLineChars="200"/>
        <w:rPr>
          <w:rFonts w:ascii="宋体" w:hAnsi="宋体" w:cs="Times New Roman"/>
          <w:szCs w:val="21"/>
        </w:rPr>
      </w:pPr>
      <w:r>
        <w:rPr>
          <w:rFonts w:ascii="宋体" w:hAnsi="宋体" w:cs="Times New Roman"/>
          <w:szCs w:val="21"/>
        </w:rPr>
        <w:drawing>
          <wp:inline distT="0" distB="0" distL="0" distR="0">
            <wp:extent cx="2521585" cy="1801495"/>
            <wp:effectExtent l="0" t="0" r="12065" b="8255"/>
            <wp:docPr id="7" name="图片 7" descr="D:\工作汇总\工作\实验室以及生产设备图片\安徽催化剂模块图\催化剂照片\催化剂装车发货照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工作汇总\工作\实验室以及生产设备图片\安徽催化剂模块图\催化剂照片\催化剂装车发货照片3.jpg"/>
                    <pic:cNvPicPr>
                      <a:picLocks noChangeAspect="1" noChangeArrowheads="1"/>
                    </pic:cNvPicPr>
                  </pic:nvPicPr>
                  <pic:blipFill>
                    <a:blip r:embed="rId17"/>
                    <a:srcRect/>
                    <a:stretch>
                      <a:fillRect/>
                    </a:stretch>
                  </pic:blipFill>
                  <pic:spPr>
                    <a:xfrm>
                      <a:off x="0" y="0"/>
                      <a:ext cx="2521585" cy="1801495"/>
                    </a:xfrm>
                    <a:prstGeom prst="rect">
                      <a:avLst/>
                    </a:prstGeom>
                    <a:noFill/>
                    <a:ln>
                      <a:noFill/>
                    </a:ln>
                  </pic:spPr>
                </pic:pic>
              </a:graphicData>
            </a:graphic>
          </wp:inline>
        </w:drawing>
      </w:r>
      <w:r>
        <w:rPr>
          <w:rFonts w:ascii="宋体" w:hAnsi="宋体" w:cs="Times New Roman"/>
          <w:szCs w:val="21"/>
        </w:rPr>
        <w:t xml:space="preserve">  </w:t>
      </w:r>
      <w:r>
        <w:rPr>
          <w:rFonts w:ascii="宋体" w:hAnsi="宋体" w:cs="Times New Roman"/>
          <w:szCs w:val="21"/>
        </w:rPr>
        <w:drawing>
          <wp:inline distT="0" distB="0" distL="0" distR="0">
            <wp:extent cx="2521585" cy="1801495"/>
            <wp:effectExtent l="0" t="0" r="12065" b="8255"/>
            <wp:docPr id="8" name="图片 8" descr="D:\工作汇总\工作\实验室以及生产设备图片\安徽催化剂模块图\催化剂照片\催化剂照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工作汇总\工作\实验室以及生产设备图片\安徽催化剂模块图\催化剂照片\催化剂照片2.JPG"/>
                    <pic:cNvPicPr>
                      <a:picLocks noChangeAspect="1" noChangeArrowheads="1"/>
                    </pic:cNvPicPr>
                  </pic:nvPicPr>
                  <pic:blipFill>
                    <a:blip r:embed="rId18"/>
                    <a:srcRect/>
                    <a:stretch>
                      <a:fillRect/>
                    </a:stretch>
                  </pic:blipFill>
                  <pic:spPr>
                    <a:xfrm>
                      <a:off x="0" y="0"/>
                      <a:ext cx="2521585" cy="1801495"/>
                    </a:xfrm>
                    <a:prstGeom prst="rect">
                      <a:avLst/>
                    </a:prstGeom>
                    <a:noFill/>
                    <a:ln>
                      <a:noFill/>
                    </a:ln>
                  </pic:spPr>
                </pic:pic>
              </a:graphicData>
            </a:graphic>
          </wp:inline>
        </w:drawing>
      </w:r>
    </w:p>
    <w:p w14:paraId="5BE15C5A">
      <w:pPr>
        <w:ind w:firstLine="1260" w:firstLineChars="600"/>
        <w:rPr>
          <w:rFonts w:hint="eastAsia" w:ascii="宋体" w:hAnsi="宋体" w:cs="Times New Roman"/>
          <w:szCs w:val="21"/>
          <w:lang w:val="en-US" w:eastAsia="zh-CN"/>
        </w:rPr>
      </w:pPr>
      <w:r>
        <w:rPr>
          <w:rFonts w:hint="eastAsia" w:ascii="宋体" w:hAnsi="宋体" w:cs="Times New Roman"/>
          <w:szCs w:val="21"/>
        </w:rPr>
        <w:t>图1.催化剂运输图</w:t>
      </w:r>
      <w:r>
        <w:rPr>
          <w:rFonts w:hint="eastAsia" w:ascii="宋体" w:hAnsi="宋体" w:cs="Times New Roman"/>
          <w:szCs w:val="21"/>
          <w:lang w:val="en-US" w:eastAsia="zh-CN"/>
        </w:rPr>
        <w:t>参考</w:t>
      </w:r>
      <w:r>
        <w:rPr>
          <w:rFonts w:hint="eastAsia" w:ascii="宋体" w:hAnsi="宋体" w:cs="Times New Roman"/>
          <w:szCs w:val="21"/>
        </w:rPr>
        <w:t xml:space="preserve">                </w:t>
      </w:r>
      <w:r>
        <w:rPr>
          <w:rFonts w:hint="eastAsia" w:ascii="宋体" w:hAnsi="宋体" w:cs="Times New Roman"/>
          <w:szCs w:val="21"/>
          <w:lang w:val="en-US" w:eastAsia="zh-CN"/>
        </w:rPr>
        <w:t xml:space="preserve">    </w:t>
      </w:r>
      <w:r>
        <w:rPr>
          <w:rFonts w:hint="eastAsia" w:ascii="宋体" w:hAnsi="宋体" w:cs="Times New Roman"/>
          <w:szCs w:val="21"/>
        </w:rPr>
        <w:t>图2.催化剂储存</w:t>
      </w:r>
      <w:r>
        <w:rPr>
          <w:rFonts w:hint="eastAsia" w:ascii="宋体" w:hAnsi="宋体" w:cs="Times New Roman"/>
          <w:szCs w:val="21"/>
          <w:lang w:val="en-US" w:eastAsia="zh-CN"/>
        </w:rPr>
        <w:t>参考</w:t>
      </w:r>
    </w:p>
    <w:p w14:paraId="061DC6E1">
      <w:pPr>
        <w:ind w:firstLine="420" w:firstLineChars="200"/>
        <w:rPr>
          <w:rFonts w:hint="eastAsia" w:ascii="宋体" w:hAnsi="宋体" w:cs="Times New Roman"/>
          <w:szCs w:val="21"/>
        </w:rPr>
      </w:pPr>
      <w:r>
        <w:rPr>
          <w:rFonts w:hint="eastAsia" w:ascii="宋体" w:hAnsi="宋体" w:cs="Times New Roman"/>
          <w:szCs w:val="21"/>
        </w:rPr>
        <w:t>在催化剂装卸过程中，应防止振动，推荐采用充气轮胎并装有减震器的提升叉车进行装卸。如果没有提升叉车而采用吊车装卸时，建议使用专用尼龙纤维带吊装，可防止产品滑落而造成机械损伤。</w:t>
      </w:r>
    </w:p>
    <w:p w14:paraId="790D4576">
      <w:pPr>
        <w:ind w:firstLine="420" w:firstLineChars="200"/>
        <w:rPr>
          <w:rFonts w:hint="eastAsia" w:ascii="宋体" w:hAnsi="宋体" w:cs="Times New Roman"/>
          <w:szCs w:val="21"/>
        </w:rPr>
      </w:pPr>
      <w:r>
        <w:rPr>
          <w:rFonts w:hint="eastAsia" w:ascii="宋体" w:hAnsi="宋体" w:cs="Times New Roman"/>
          <w:szCs w:val="21"/>
        </w:rPr>
        <w:t>在催化剂现场存放时，应注意以下事项：</w:t>
      </w:r>
    </w:p>
    <w:p w14:paraId="20A9FC97">
      <w:pPr>
        <w:ind w:firstLine="420" w:firstLineChars="200"/>
        <w:rPr>
          <w:rFonts w:hint="eastAsia" w:ascii="宋体" w:hAnsi="宋体" w:cs="Times New Roman"/>
          <w:szCs w:val="21"/>
        </w:rPr>
      </w:pPr>
      <w:r>
        <w:rPr>
          <w:rFonts w:hint="eastAsia" w:ascii="宋体" w:hAnsi="宋体" w:cs="Times New Roman"/>
          <w:szCs w:val="21"/>
        </w:rPr>
        <w:t>1）催化剂模块最好存放在室内库房，并在其底部和上部覆盖防潮雨布，防止催化剂受潮。周边应设置警示围栏，防止发生碰撞而造成催化剂模块损坏。</w:t>
      </w:r>
    </w:p>
    <w:p w14:paraId="69EBC0FD">
      <w:pPr>
        <w:ind w:firstLine="420" w:firstLineChars="200"/>
        <w:rPr>
          <w:rFonts w:hint="eastAsia" w:ascii="宋体" w:hAnsi="宋体" w:cs="Times New Roman"/>
          <w:szCs w:val="21"/>
        </w:rPr>
      </w:pPr>
      <w:r>
        <w:rPr>
          <w:rFonts w:hint="eastAsia" w:ascii="宋体" w:hAnsi="宋体" w:cs="Times New Roman"/>
          <w:szCs w:val="21"/>
        </w:rPr>
        <w:t>2）催化剂存放场地的地面必须保持平整。催化剂模块存放时允许叠放，叠放层数不得超过2层，且上下层催化剂模块之间采用木质支架间隔（如图2）。</w:t>
      </w:r>
    </w:p>
    <w:p w14:paraId="37E4A9FD">
      <w:pPr>
        <w:ind w:firstLine="420" w:firstLineChars="200"/>
        <w:rPr>
          <w:rFonts w:hint="eastAsia" w:ascii="宋体" w:hAnsi="宋体" w:cs="Times New Roman"/>
          <w:szCs w:val="21"/>
        </w:rPr>
      </w:pPr>
      <w:r>
        <w:rPr>
          <w:rFonts w:hint="eastAsia" w:ascii="宋体" w:hAnsi="宋体" w:cs="Times New Roman"/>
          <w:szCs w:val="21"/>
        </w:rPr>
        <w:t>3）库房须保持干燥，防潮、防水。不具备室内库房存放条件的，在室外地面平整、干燥、具有严格保护措施。</w:t>
      </w:r>
    </w:p>
    <w:p w14:paraId="3FE5D1AF">
      <w:pPr>
        <w:ind w:firstLine="420" w:firstLineChars="200"/>
        <w:rPr>
          <w:rFonts w:hint="eastAsia" w:ascii="宋体" w:hAnsi="宋体" w:cs="Times New Roman"/>
          <w:szCs w:val="21"/>
        </w:rPr>
      </w:pPr>
    </w:p>
    <w:p w14:paraId="2A03A5AF">
      <w:pPr>
        <w:ind w:firstLine="420" w:firstLineChars="200"/>
        <w:rPr>
          <w:rFonts w:hint="eastAsia" w:ascii="宋体" w:hAnsi="宋体" w:cs="Times New Roman"/>
          <w:szCs w:val="21"/>
          <w:lang w:val="en-US" w:eastAsia="zh-CN"/>
        </w:rPr>
      </w:pPr>
      <w:r>
        <w:rPr>
          <w:rFonts w:hint="eastAsia" w:ascii="宋体" w:hAnsi="宋体" w:cs="Times New Roman"/>
          <w:szCs w:val="21"/>
        </w:rPr>
        <w:t>9 服务</w:t>
      </w:r>
      <w:r>
        <w:rPr>
          <w:rFonts w:hint="eastAsia" w:ascii="宋体" w:hAnsi="宋体" w:cs="Times New Roman"/>
          <w:szCs w:val="21"/>
          <w:lang w:val="en-US" w:eastAsia="zh-CN"/>
        </w:rPr>
        <w:t>内容</w:t>
      </w:r>
    </w:p>
    <w:p w14:paraId="6636BE04">
      <w:pPr>
        <w:ind w:firstLine="420" w:firstLineChars="200"/>
        <w:rPr>
          <w:rFonts w:hint="eastAsia" w:ascii="宋体" w:hAnsi="宋体" w:cs="Times New Roman"/>
          <w:szCs w:val="21"/>
        </w:rPr>
      </w:pPr>
      <w:r>
        <w:rPr>
          <w:rFonts w:hint="eastAsia" w:ascii="宋体" w:hAnsi="宋体" w:cs="Times New Roman"/>
          <w:szCs w:val="21"/>
        </w:rPr>
        <w:t>9.1现场服务</w:t>
      </w:r>
    </w:p>
    <w:p w14:paraId="10480BAC">
      <w:pPr>
        <w:ind w:firstLine="420" w:firstLineChars="200"/>
        <w:rPr>
          <w:rFonts w:hint="eastAsia" w:ascii="宋体" w:hAnsi="宋体" w:cs="Times New Roman"/>
          <w:szCs w:val="21"/>
        </w:rPr>
      </w:pPr>
      <w:r>
        <w:rPr>
          <w:rFonts w:hint="eastAsia" w:ascii="宋体" w:hAnsi="宋体" w:cs="Times New Roman"/>
          <w:szCs w:val="21"/>
        </w:rPr>
        <w:t>9.1.1</w:t>
      </w:r>
      <w:r>
        <w:rPr>
          <w:rFonts w:hint="eastAsia" w:ascii="宋体" w:hAnsi="宋体" w:cs="Times New Roman"/>
          <w:szCs w:val="21"/>
          <w:lang w:eastAsia="zh-CN"/>
        </w:rPr>
        <w:t>投标人</w:t>
      </w:r>
      <w:r>
        <w:rPr>
          <w:rFonts w:hint="eastAsia" w:ascii="宋体" w:hAnsi="宋体" w:cs="Times New Roman"/>
          <w:szCs w:val="21"/>
        </w:rPr>
        <w:t>应根据</w:t>
      </w:r>
      <w:r>
        <w:rPr>
          <w:rFonts w:hint="eastAsia" w:ascii="宋体" w:hAnsi="宋体" w:cs="Times New Roman"/>
          <w:szCs w:val="21"/>
          <w:lang w:eastAsia="zh-CN"/>
        </w:rPr>
        <w:t>采购人</w:t>
      </w:r>
      <w:r>
        <w:rPr>
          <w:rFonts w:hint="eastAsia" w:ascii="宋体" w:hAnsi="宋体" w:cs="Times New Roman"/>
          <w:szCs w:val="21"/>
        </w:rPr>
        <w:t>的通知日期在48小时内派遣现场服务人员。当面向使用单位进行讲解，并进行现场指导使用，处理使用过程中可能会碰到的技术问题。</w:t>
      </w:r>
    </w:p>
    <w:p w14:paraId="2C1991BF">
      <w:pPr>
        <w:ind w:firstLine="420" w:firstLineChars="200"/>
        <w:rPr>
          <w:rFonts w:hint="eastAsia" w:ascii="宋体" w:hAnsi="宋体" w:cs="Times New Roman"/>
          <w:szCs w:val="21"/>
        </w:rPr>
      </w:pPr>
      <w:r>
        <w:rPr>
          <w:rFonts w:hint="eastAsia" w:ascii="宋体" w:hAnsi="宋体" w:cs="Times New Roman"/>
          <w:szCs w:val="21"/>
        </w:rPr>
        <w:t>9.1.2</w:t>
      </w:r>
      <w:r>
        <w:rPr>
          <w:rFonts w:hint="eastAsia" w:ascii="宋体" w:hAnsi="宋体" w:cs="Times New Roman"/>
          <w:szCs w:val="21"/>
          <w:lang w:eastAsia="zh-CN"/>
        </w:rPr>
        <w:t>投标人</w:t>
      </w:r>
      <w:r>
        <w:rPr>
          <w:rFonts w:hint="eastAsia" w:ascii="宋体" w:hAnsi="宋体" w:cs="Times New Roman"/>
          <w:szCs w:val="21"/>
        </w:rPr>
        <w:t>配合调试直至合格，在设备安装和试运转直至合同规定的</w:t>
      </w:r>
      <w:r>
        <w:rPr>
          <w:rFonts w:hint="eastAsia" w:ascii="宋体" w:hAnsi="宋体" w:cs="Times New Roman"/>
          <w:szCs w:val="21"/>
          <w:lang w:val="en-US" w:eastAsia="zh-CN"/>
        </w:rPr>
        <w:t>运维期</w:t>
      </w:r>
      <w:r>
        <w:rPr>
          <w:rFonts w:hint="eastAsia" w:ascii="宋体" w:hAnsi="宋体" w:cs="Times New Roman"/>
          <w:szCs w:val="21"/>
        </w:rPr>
        <w:t>间，</w:t>
      </w:r>
      <w:r>
        <w:rPr>
          <w:rFonts w:hint="eastAsia" w:ascii="宋体" w:hAnsi="宋体" w:cs="Times New Roman"/>
          <w:szCs w:val="21"/>
          <w:lang w:eastAsia="zh-CN"/>
        </w:rPr>
        <w:t>投标人</w:t>
      </w:r>
      <w:r>
        <w:rPr>
          <w:rFonts w:hint="eastAsia" w:ascii="宋体" w:hAnsi="宋体" w:cs="Times New Roman"/>
          <w:szCs w:val="21"/>
        </w:rPr>
        <w:t>应及时处理解决。</w:t>
      </w:r>
    </w:p>
    <w:p w14:paraId="6AB6702B">
      <w:pPr>
        <w:ind w:firstLine="420" w:firstLineChars="200"/>
        <w:rPr>
          <w:rFonts w:hint="eastAsia" w:ascii="宋体" w:hAnsi="宋体" w:cs="Times New Roman"/>
          <w:szCs w:val="21"/>
        </w:rPr>
      </w:pPr>
      <w:r>
        <w:rPr>
          <w:rFonts w:hint="eastAsia" w:ascii="宋体" w:hAnsi="宋体" w:cs="Times New Roman"/>
          <w:szCs w:val="21"/>
        </w:rPr>
        <w:t>9.1.3</w:t>
      </w:r>
      <w:r>
        <w:rPr>
          <w:rFonts w:hint="eastAsia" w:ascii="宋体" w:hAnsi="宋体" w:cs="Times New Roman"/>
          <w:szCs w:val="21"/>
          <w:lang w:eastAsia="zh-CN"/>
        </w:rPr>
        <w:t>投标人</w:t>
      </w:r>
      <w:r>
        <w:rPr>
          <w:rFonts w:hint="eastAsia" w:ascii="宋体" w:hAnsi="宋体" w:cs="Times New Roman"/>
          <w:szCs w:val="21"/>
        </w:rPr>
        <w:t>负责操作和维修人员的现场培训工作、现场操作规程。</w:t>
      </w:r>
    </w:p>
    <w:p w14:paraId="7BDD1F4E">
      <w:pPr>
        <w:ind w:firstLine="420" w:firstLineChars="200"/>
        <w:rPr>
          <w:rFonts w:hint="eastAsia" w:ascii="宋体" w:hAnsi="宋体" w:cs="Times New Roman"/>
          <w:szCs w:val="21"/>
        </w:rPr>
      </w:pPr>
    </w:p>
    <w:p w14:paraId="62453F06">
      <w:pPr>
        <w:ind w:firstLine="420" w:firstLineChars="200"/>
        <w:rPr>
          <w:rFonts w:hint="eastAsia" w:ascii="宋体" w:hAnsi="宋体" w:cs="Times New Roman"/>
          <w:szCs w:val="21"/>
        </w:rPr>
      </w:pPr>
      <w:r>
        <w:rPr>
          <w:rFonts w:hint="eastAsia" w:ascii="宋体" w:hAnsi="宋体" w:cs="Times New Roman"/>
          <w:szCs w:val="21"/>
        </w:rPr>
        <w:t>9.2</w:t>
      </w:r>
      <w:r>
        <w:rPr>
          <w:rFonts w:hint="eastAsia" w:ascii="宋体" w:hAnsi="宋体" w:cs="Times New Roman"/>
          <w:szCs w:val="21"/>
          <w:lang w:val="en-US" w:eastAsia="zh-CN"/>
        </w:rPr>
        <w:t>运维</w:t>
      </w:r>
      <w:r>
        <w:rPr>
          <w:rFonts w:hint="eastAsia" w:ascii="宋体" w:hAnsi="宋体" w:cs="Times New Roman"/>
          <w:szCs w:val="21"/>
        </w:rPr>
        <w:t>服务</w:t>
      </w:r>
    </w:p>
    <w:p w14:paraId="18EA950F">
      <w:pPr>
        <w:ind w:firstLine="420" w:firstLineChars="200"/>
        <w:rPr>
          <w:rFonts w:hint="eastAsia" w:ascii="宋体" w:hAnsi="宋体" w:cs="Times New Roman"/>
          <w:szCs w:val="21"/>
        </w:rPr>
      </w:pP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）在接到用户通知48小时内，派有关工程师到现场解决问题。</w:t>
      </w:r>
    </w:p>
    <w:p w14:paraId="2F0C1A64">
      <w:pPr>
        <w:ind w:firstLine="420" w:firstLineChars="200"/>
        <w:rPr>
          <w:rFonts w:hint="eastAsia" w:ascii="宋体" w:hAnsi="宋体" w:cs="Times New Roman"/>
          <w:szCs w:val="21"/>
        </w:rPr>
      </w:pP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）在</w:t>
      </w:r>
      <w:r>
        <w:rPr>
          <w:rFonts w:hint="eastAsia" w:ascii="宋体" w:hAnsi="宋体" w:cs="Times New Roman"/>
          <w:szCs w:val="21"/>
          <w:lang w:val="en-US" w:eastAsia="zh-CN"/>
        </w:rPr>
        <w:t>项目</w:t>
      </w:r>
      <w:r>
        <w:rPr>
          <w:rFonts w:hint="eastAsia" w:ascii="宋体" w:hAnsi="宋体" w:cs="Times New Roman"/>
          <w:szCs w:val="21"/>
        </w:rPr>
        <w:t>投入使用</w:t>
      </w:r>
      <w:r>
        <w:rPr>
          <w:rFonts w:hint="eastAsia" w:ascii="宋体" w:hAnsi="宋体" w:cs="Times New Roman"/>
          <w:szCs w:val="21"/>
          <w:lang w:val="en-US" w:eastAsia="zh-CN"/>
        </w:rPr>
        <w:t>三年</w:t>
      </w:r>
      <w:r>
        <w:rPr>
          <w:rFonts w:hint="eastAsia" w:ascii="宋体" w:hAnsi="宋体" w:cs="Times New Roman"/>
          <w:szCs w:val="21"/>
        </w:rPr>
        <w:t>内，</w:t>
      </w:r>
      <w:r>
        <w:rPr>
          <w:rFonts w:hint="eastAsia" w:ascii="宋体" w:hAnsi="宋体" w:cs="Times New Roman"/>
          <w:szCs w:val="21"/>
          <w:lang w:eastAsia="zh-CN"/>
        </w:rPr>
        <w:t>根据采购人要求</w:t>
      </w:r>
      <w:r>
        <w:rPr>
          <w:rFonts w:hint="eastAsia" w:ascii="宋体" w:hAnsi="宋体" w:cs="Times New Roman"/>
          <w:szCs w:val="21"/>
        </w:rPr>
        <w:t>免费对其设备进行全面检查。</w:t>
      </w:r>
    </w:p>
    <w:p w14:paraId="39B24976">
      <w:pPr>
        <w:ind w:firstLine="420" w:firstLineChars="200"/>
        <w:rPr>
          <w:rFonts w:hint="eastAsia" w:ascii="宋体" w:hAnsi="宋体" w:cs="Times New Roman"/>
          <w:szCs w:val="21"/>
        </w:rPr>
      </w:pPr>
    </w:p>
    <w:p w14:paraId="286873DB">
      <w:pPr>
        <w:ind w:firstLine="420" w:firstLineChars="200"/>
        <w:rPr>
          <w:rFonts w:hint="eastAsia" w:ascii="宋体" w:hAnsi="宋体" w:cs="Times New Roman"/>
          <w:szCs w:val="21"/>
        </w:rPr>
      </w:pPr>
      <w:r>
        <w:rPr>
          <w:rFonts w:hint="eastAsia" w:ascii="宋体" w:hAnsi="宋体" w:cs="Times New Roman"/>
          <w:szCs w:val="21"/>
        </w:rPr>
        <w:t xml:space="preserve">9.3 </w:t>
      </w:r>
      <w:r>
        <w:rPr>
          <w:rFonts w:hint="eastAsia" w:ascii="宋体" w:hAnsi="宋体" w:cs="Times New Roman"/>
          <w:szCs w:val="21"/>
          <w:lang w:val="en-US" w:eastAsia="zh-CN"/>
        </w:rPr>
        <w:t>服务</w:t>
      </w:r>
      <w:r>
        <w:rPr>
          <w:rFonts w:hint="eastAsia" w:ascii="宋体" w:hAnsi="宋体" w:cs="Times New Roman"/>
          <w:szCs w:val="21"/>
        </w:rPr>
        <w:t>周期</w:t>
      </w:r>
    </w:p>
    <w:p w14:paraId="27F9D9FA">
      <w:pPr>
        <w:ind w:firstLine="420" w:firstLineChars="200"/>
        <w:rPr>
          <w:rFonts w:hint="eastAsia" w:ascii="宋体" w:hAnsi="宋体" w:cs="Times New Roman"/>
          <w:szCs w:val="21"/>
        </w:rPr>
      </w:pPr>
      <w:r>
        <w:rPr>
          <w:rFonts w:hint="eastAsia" w:ascii="宋体" w:hAnsi="宋体" w:cs="Times New Roman"/>
          <w:szCs w:val="21"/>
        </w:rPr>
        <w:t>合同签订后，根据</w:t>
      </w:r>
      <w:r>
        <w:rPr>
          <w:rFonts w:hint="eastAsia" w:ascii="宋体" w:hAnsi="宋体" w:cs="Times New Roman"/>
          <w:szCs w:val="21"/>
          <w:lang w:eastAsia="zh-CN"/>
        </w:rPr>
        <w:t>采购人</w:t>
      </w:r>
      <w:r>
        <w:rPr>
          <w:rFonts w:hint="eastAsia" w:ascii="宋体" w:hAnsi="宋体" w:cs="Times New Roman"/>
          <w:szCs w:val="21"/>
        </w:rPr>
        <w:t>下达的需求计划书之日起，</w:t>
      </w:r>
      <w:r>
        <w:rPr>
          <w:rFonts w:hint="eastAsia" w:ascii="宋体" w:hAnsi="宋体" w:cs="Times New Roman"/>
          <w:szCs w:val="21"/>
          <w:lang w:eastAsia="zh-CN"/>
        </w:rPr>
        <w:t>投标人</w:t>
      </w:r>
      <w:r>
        <w:rPr>
          <w:rFonts w:hint="eastAsia" w:ascii="宋体" w:hAnsi="宋体" w:cs="Times New Roman"/>
          <w:szCs w:val="21"/>
        </w:rPr>
        <w:t>在</w:t>
      </w:r>
      <w:r>
        <w:rPr>
          <w:rFonts w:hint="eastAsia" w:ascii="宋体" w:hAnsi="宋体" w:cs="Times New Roman"/>
          <w:szCs w:val="21"/>
          <w:lang w:val="en-US" w:eastAsia="zh-CN"/>
        </w:rPr>
        <w:t>30个日历日</w:t>
      </w:r>
      <w:r>
        <w:rPr>
          <w:rFonts w:hint="eastAsia" w:ascii="宋体" w:hAnsi="宋体" w:cs="Times New Roman"/>
          <w:szCs w:val="21"/>
        </w:rPr>
        <w:t>内完成脱硝催化剂（蜂窝式）的设计、制造、 检验/试验、装配、安装、调试、试运、验收试验。</w:t>
      </w:r>
    </w:p>
    <w:p w14:paraId="47886034">
      <w:pPr>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服务周期：3年；自项目达到现场运维服务标准条件之日起为期三年。</w:t>
      </w:r>
    </w:p>
    <w:p w14:paraId="44C88CC9">
      <w:pPr>
        <w:ind w:firstLine="420" w:firstLineChars="200"/>
        <w:rPr>
          <w:rFonts w:hint="eastAsia" w:ascii="宋体" w:hAnsi="宋体" w:cs="Times New Roman"/>
          <w:szCs w:val="21"/>
        </w:rPr>
      </w:pPr>
      <w:r>
        <w:rPr>
          <w:rFonts w:hint="eastAsia" w:ascii="宋体" w:hAnsi="宋体" w:cs="Times New Roman"/>
          <w:szCs w:val="21"/>
        </w:rPr>
        <w:t>交货地点：东莞市海心沙资源综合利用中心环保热电厂工地施工现场。</w:t>
      </w:r>
    </w:p>
    <w:p w14:paraId="0033A472">
      <w:pPr>
        <w:ind w:firstLine="420" w:firstLineChars="200"/>
        <w:rPr>
          <w:rFonts w:ascii="宋体" w:hAnsi="宋体" w:cs="Times New Roman"/>
          <w:szCs w:val="21"/>
        </w:rPr>
      </w:pPr>
      <w:r>
        <w:rPr>
          <w:rFonts w:ascii="宋体" w:hAnsi="宋体" w:cs="Times New Roman"/>
          <w:szCs w:val="21"/>
        </w:rPr>
        <w:t>现场服务计划表</w:t>
      </w:r>
    </w:p>
    <w:p w14:paraId="1635B9F7">
      <w:pPr>
        <w:ind w:firstLine="420" w:firstLineChars="200"/>
        <w:rPr>
          <w:rFonts w:ascii="宋体" w:hAnsi="宋体" w:cs="Times New Roman"/>
          <w:szCs w:val="21"/>
        </w:rPr>
      </w:pPr>
    </w:p>
    <w:tbl>
      <w:tblPr>
        <w:tblStyle w:val="80"/>
        <w:tblW w:w="8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728"/>
        <w:gridCol w:w="2538"/>
        <w:gridCol w:w="2017"/>
        <w:gridCol w:w="751"/>
      </w:tblGrid>
      <w:tr w14:paraId="59A9E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51" w:type="dxa"/>
            <w:vMerge w:val="restart"/>
            <w:tcBorders>
              <w:bottom w:val="nil"/>
            </w:tcBorders>
            <w:vAlign w:val="top"/>
          </w:tcPr>
          <w:p w14:paraId="1547E89A">
            <w:pPr>
              <w:ind w:firstLine="420" w:firstLineChars="200"/>
              <w:rPr>
                <w:rFonts w:ascii="宋体" w:hAnsi="宋体" w:cs="Times New Roman"/>
                <w:szCs w:val="21"/>
              </w:rPr>
            </w:pPr>
          </w:p>
          <w:p w14:paraId="72909D66">
            <w:pPr>
              <w:ind w:firstLine="0" w:firstLineChars="0"/>
              <w:rPr>
                <w:rFonts w:ascii="宋体" w:hAnsi="宋体" w:cs="Times New Roman"/>
                <w:szCs w:val="21"/>
              </w:rPr>
            </w:pPr>
            <w:r>
              <w:rPr>
                <w:rFonts w:ascii="宋体" w:hAnsi="宋体" w:cs="Times New Roman"/>
                <w:szCs w:val="21"/>
              </w:rPr>
              <w:t>序号</w:t>
            </w:r>
          </w:p>
        </w:tc>
        <w:tc>
          <w:tcPr>
            <w:tcW w:w="2728" w:type="dxa"/>
            <w:vMerge w:val="restart"/>
            <w:tcBorders>
              <w:bottom w:val="nil"/>
            </w:tcBorders>
            <w:vAlign w:val="top"/>
          </w:tcPr>
          <w:p w14:paraId="3150E0F9">
            <w:pPr>
              <w:ind w:firstLine="420" w:firstLineChars="200"/>
              <w:rPr>
                <w:rFonts w:ascii="宋体" w:hAnsi="宋体" w:cs="Times New Roman"/>
                <w:szCs w:val="21"/>
              </w:rPr>
            </w:pPr>
          </w:p>
          <w:p w14:paraId="3DCD1D4A">
            <w:pPr>
              <w:ind w:firstLine="420" w:firstLineChars="200"/>
              <w:rPr>
                <w:rFonts w:ascii="宋体" w:hAnsi="宋体" w:cs="Times New Roman"/>
                <w:szCs w:val="21"/>
              </w:rPr>
            </w:pPr>
            <w:r>
              <w:rPr>
                <w:rFonts w:ascii="宋体" w:hAnsi="宋体" w:cs="Times New Roman"/>
                <w:szCs w:val="21"/>
              </w:rPr>
              <w:t>技术服务内容</w:t>
            </w:r>
          </w:p>
        </w:tc>
        <w:tc>
          <w:tcPr>
            <w:tcW w:w="2538" w:type="dxa"/>
            <w:vMerge w:val="restart"/>
            <w:tcBorders>
              <w:bottom w:val="nil"/>
            </w:tcBorders>
            <w:vAlign w:val="top"/>
          </w:tcPr>
          <w:p w14:paraId="02BACBE8">
            <w:pPr>
              <w:ind w:firstLine="420" w:firstLineChars="200"/>
              <w:rPr>
                <w:rFonts w:ascii="宋体" w:hAnsi="宋体" w:cs="Times New Roman"/>
                <w:szCs w:val="21"/>
              </w:rPr>
            </w:pPr>
          </w:p>
          <w:p w14:paraId="2DED5DF4">
            <w:pPr>
              <w:ind w:firstLine="420" w:firstLineChars="200"/>
              <w:rPr>
                <w:rFonts w:ascii="宋体" w:hAnsi="宋体" w:cs="Times New Roman"/>
                <w:szCs w:val="21"/>
              </w:rPr>
            </w:pPr>
            <w:r>
              <w:rPr>
                <w:rFonts w:ascii="宋体" w:hAnsi="宋体" w:cs="Times New Roman"/>
                <w:szCs w:val="21"/>
              </w:rPr>
              <w:t>计划人日数</w:t>
            </w:r>
          </w:p>
        </w:tc>
        <w:tc>
          <w:tcPr>
            <w:tcW w:w="2017" w:type="dxa"/>
            <w:vAlign w:val="top"/>
          </w:tcPr>
          <w:p w14:paraId="63326EF9">
            <w:pPr>
              <w:ind w:firstLine="420" w:firstLineChars="200"/>
              <w:rPr>
                <w:rFonts w:ascii="宋体" w:hAnsi="宋体" w:cs="Times New Roman"/>
                <w:szCs w:val="21"/>
              </w:rPr>
            </w:pPr>
            <w:r>
              <w:rPr>
                <w:rFonts w:ascii="宋体" w:hAnsi="宋体" w:cs="Times New Roman"/>
                <w:szCs w:val="21"/>
              </w:rPr>
              <w:t>派出人员构成</w:t>
            </w:r>
          </w:p>
        </w:tc>
        <w:tc>
          <w:tcPr>
            <w:tcW w:w="751" w:type="dxa"/>
            <w:vMerge w:val="restart"/>
            <w:tcBorders>
              <w:bottom w:val="nil"/>
            </w:tcBorders>
            <w:vAlign w:val="top"/>
          </w:tcPr>
          <w:p w14:paraId="07CA63BC">
            <w:pPr>
              <w:ind w:firstLine="420" w:firstLineChars="200"/>
              <w:rPr>
                <w:rFonts w:ascii="宋体" w:hAnsi="宋体" w:cs="Times New Roman"/>
                <w:szCs w:val="21"/>
              </w:rPr>
            </w:pPr>
          </w:p>
          <w:p w14:paraId="6B707C26">
            <w:pPr>
              <w:ind w:firstLine="0" w:firstLineChars="0"/>
              <w:rPr>
                <w:rFonts w:ascii="宋体" w:hAnsi="宋体" w:cs="Times New Roman"/>
                <w:szCs w:val="21"/>
              </w:rPr>
            </w:pPr>
            <w:r>
              <w:rPr>
                <w:rFonts w:ascii="宋体" w:hAnsi="宋体" w:cs="Times New Roman"/>
                <w:szCs w:val="21"/>
              </w:rPr>
              <w:t>备注</w:t>
            </w:r>
          </w:p>
        </w:tc>
      </w:tr>
      <w:tr w14:paraId="0129C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Merge w:val="continue"/>
            <w:tcBorders>
              <w:top w:val="nil"/>
            </w:tcBorders>
            <w:vAlign w:val="top"/>
          </w:tcPr>
          <w:p w14:paraId="36D46E52">
            <w:pPr>
              <w:ind w:firstLine="420" w:firstLineChars="200"/>
              <w:rPr>
                <w:rFonts w:ascii="宋体" w:hAnsi="宋体" w:cs="Times New Roman"/>
                <w:szCs w:val="21"/>
              </w:rPr>
            </w:pPr>
          </w:p>
        </w:tc>
        <w:tc>
          <w:tcPr>
            <w:tcW w:w="2728" w:type="dxa"/>
            <w:vMerge w:val="continue"/>
            <w:tcBorders>
              <w:top w:val="nil"/>
            </w:tcBorders>
            <w:vAlign w:val="top"/>
          </w:tcPr>
          <w:p w14:paraId="49A488D1">
            <w:pPr>
              <w:ind w:firstLine="420" w:firstLineChars="200"/>
              <w:rPr>
                <w:rFonts w:ascii="宋体" w:hAnsi="宋体" w:cs="Times New Roman"/>
                <w:szCs w:val="21"/>
              </w:rPr>
            </w:pPr>
          </w:p>
        </w:tc>
        <w:tc>
          <w:tcPr>
            <w:tcW w:w="2538" w:type="dxa"/>
            <w:vMerge w:val="continue"/>
            <w:tcBorders>
              <w:top w:val="nil"/>
            </w:tcBorders>
            <w:vAlign w:val="top"/>
          </w:tcPr>
          <w:p w14:paraId="7D0EFFFF">
            <w:pPr>
              <w:ind w:firstLine="420" w:firstLineChars="200"/>
              <w:rPr>
                <w:rFonts w:ascii="宋体" w:hAnsi="宋体" w:cs="Times New Roman"/>
                <w:szCs w:val="21"/>
              </w:rPr>
            </w:pPr>
          </w:p>
        </w:tc>
        <w:tc>
          <w:tcPr>
            <w:tcW w:w="2017" w:type="dxa"/>
            <w:vAlign w:val="top"/>
          </w:tcPr>
          <w:p w14:paraId="2F92548C">
            <w:pPr>
              <w:ind w:firstLine="420" w:firstLineChars="200"/>
              <w:rPr>
                <w:rFonts w:ascii="宋体" w:hAnsi="宋体" w:cs="Times New Roman"/>
                <w:szCs w:val="21"/>
              </w:rPr>
            </w:pPr>
            <w:r>
              <w:rPr>
                <w:rFonts w:ascii="宋体" w:hAnsi="宋体" w:cs="Times New Roman"/>
                <w:szCs w:val="21"/>
              </w:rPr>
              <w:t>人数</w:t>
            </w:r>
          </w:p>
        </w:tc>
        <w:tc>
          <w:tcPr>
            <w:tcW w:w="751" w:type="dxa"/>
            <w:vMerge w:val="continue"/>
            <w:tcBorders>
              <w:top w:val="nil"/>
            </w:tcBorders>
            <w:vAlign w:val="top"/>
          </w:tcPr>
          <w:p w14:paraId="094749AB">
            <w:pPr>
              <w:ind w:firstLine="420" w:firstLineChars="200"/>
              <w:rPr>
                <w:rFonts w:ascii="宋体" w:hAnsi="宋体" w:cs="Times New Roman"/>
                <w:szCs w:val="21"/>
              </w:rPr>
            </w:pPr>
          </w:p>
        </w:tc>
      </w:tr>
      <w:tr w14:paraId="286A2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02AA3C61">
            <w:pPr>
              <w:ind w:firstLine="420" w:firstLineChars="200"/>
              <w:rPr>
                <w:rFonts w:ascii="宋体" w:hAnsi="宋体" w:cs="Times New Roman"/>
                <w:szCs w:val="21"/>
              </w:rPr>
            </w:pPr>
            <w:r>
              <w:rPr>
                <w:rFonts w:ascii="宋体" w:hAnsi="宋体" w:cs="Times New Roman"/>
                <w:szCs w:val="21"/>
              </w:rPr>
              <w:t>1</w:t>
            </w:r>
          </w:p>
        </w:tc>
        <w:tc>
          <w:tcPr>
            <w:tcW w:w="2728" w:type="dxa"/>
            <w:vAlign w:val="top"/>
          </w:tcPr>
          <w:p w14:paraId="516285FF">
            <w:pPr>
              <w:ind w:firstLine="420" w:firstLineChars="200"/>
              <w:rPr>
                <w:rFonts w:ascii="宋体" w:hAnsi="宋体" w:cs="Times New Roman"/>
                <w:szCs w:val="21"/>
              </w:rPr>
            </w:pPr>
            <w:r>
              <w:rPr>
                <w:rFonts w:ascii="宋体" w:hAnsi="宋体" w:cs="Times New Roman"/>
                <w:szCs w:val="21"/>
              </w:rPr>
              <w:t>催化剂安装</w:t>
            </w:r>
          </w:p>
        </w:tc>
        <w:tc>
          <w:tcPr>
            <w:tcW w:w="2538" w:type="dxa"/>
            <w:vAlign w:val="center"/>
          </w:tcPr>
          <w:p w14:paraId="243B07BC">
            <w:pPr>
              <w:ind w:firstLine="420" w:firstLineChars="200"/>
              <w:rPr>
                <w:rFonts w:ascii="宋体" w:hAnsi="宋体" w:cs="Times New Roman"/>
                <w:szCs w:val="21"/>
              </w:rPr>
            </w:pPr>
            <w:r>
              <w:rPr>
                <w:rFonts w:ascii="宋体" w:hAnsi="宋体" w:cs="Times New Roman"/>
                <w:szCs w:val="21"/>
              </w:rPr>
              <w:t>2</w:t>
            </w:r>
          </w:p>
        </w:tc>
        <w:tc>
          <w:tcPr>
            <w:tcW w:w="2017" w:type="dxa"/>
            <w:vAlign w:val="center"/>
          </w:tcPr>
          <w:p w14:paraId="7BF2AA05">
            <w:pPr>
              <w:ind w:firstLine="420" w:firstLineChars="200"/>
              <w:rPr>
                <w:rFonts w:ascii="宋体" w:hAnsi="宋体" w:cs="Times New Roman"/>
                <w:szCs w:val="21"/>
              </w:rPr>
            </w:pPr>
            <w:r>
              <w:rPr>
                <w:rFonts w:ascii="宋体" w:hAnsi="宋体" w:cs="Times New Roman"/>
                <w:szCs w:val="21"/>
              </w:rPr>
              <w:t>1</w:t>
            </w:r>
          </w:p>
        </w:tc>
        <w:tc>
          <w:tcPr>
            <w:tcW w:w="751" w:type="dxa"/>
            <w:vAlign w:val="top"/>
          </w:tcPr>
          <w:p w14:paraId="36D55D7C">
            <w:pPr>
              <w:ind w:firstLine="420" w:firstLineChars="200"/>
              <w:rPr>
                <w:rFonts w:ascii="宋体" w:hAnsi="宋体" w:cs="Times New Roman"/>
                <w:szCs w:val="21"/>
              </w:rPr>
            </w:pPr>
          </w:p>
        </w:tc>
      </w:tr>
      <w:tr w14:paraId="39120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6718E807">
            <w:pPr>
              <w:ind w:firstLine="420" w:firstLineChars="200"/>
              <w:rPr>
                <w:rFonts w:ascii="宋体" w:hAnsi="宋体" w:cs="Times New Roman"/>
                <w:szCs w:val="21"/>
              </w:rPr>
            </w:pPr>
            <w:r>
              <w:rPr>
                <w:rFonts w:ascii="宋体" w:hAnsi="宋体" w:cs="Times New Roman"/>
                <w:szCs w:val="21"/>
              </w:rPr>
              <w:t>2</w:t>
            </w:r>
          </w:p>
        </w:tc>
        <w:tc>
          <w:tcPr>
            <w:tcW w:w="2728" w:type="dxa"/>
            <w:vAlign w:val="top"/>
          </w:tcPr>
          <w:p w14:paraId="3A4F9030">
            <w:pPr>
              <w:ind w:firstLine="420" w:firstLineChars="200"/>
              <w:rPr>
                <w:rFonts w:ascii="宋体" w:hAnsi="宋体" w:cs="Times New Roman"/>
                <w:szCs w:val="21"/>
              </w:rPr>
            </w:pPr>
            <w:r>
              <w:rPr>
                <w:rFonts w:ascii="宋体" w:hAnsi="宋体" w:cs="Times New Roman"/>
                <w:szCs w:val="21"/>
              </w:rPr>
              <w:t>配合调试</w:t>
            </w:r>
          </w:p>
        </w:tc>
        <w:tc>
          <w:tcPr>
            <w:tcW w:w="2538" w:type="dxa"/>
            <w:vAlign w:val="center"/>
          </w:tcPr>
          <w:p w14:paraId="2213F832">
            <w:pPr>
              <w:ind w:firstLine="420" w:firstLineChars="200"/>
              <w:rPr>
                <w:rFonts w:ascii="宋体" w:hAnsi="宋体" w:cs="Times New Roman"/>
                <w:szCs w:val="21"/>
              </w:rPr>
            </w:pPr>
            <w:r>
              <w:rPr>
                <w:rFonts w:ascii="宋体" w:hAnsi="宋体" w:cs="Times New Roman"/>
                <w:szCs w:val="21"/>
              </w:rPr>
              <w:t>2</w:t>
            </w:r>
          </w:p>
        </w:tc>
        <w:tc>
          <w:tcPr>
            <w:tcW w:w="2017" w:type="dxa"/>
            <w:vAlign w:val="center"/>
          </w:tcPr>
          <w:p w14:paraId="29FBC3A7">
            <w:pPr>
              <w:ind w:firstLine="420" w:firstLineChars="200"/>
              <w:rPr>
                <w:rFonts w:ascii="宋体" w:hAnsi="宋体" w:cs="Times New Roman"/>
                <w:szCs w:val="21"/>
              </w:rPr>
            </w:pPr>
            <w:r>
              <w:rPr>
                <w:rFonts w:ascii="宋体" w:hAnsi="宋体" w:cs="Times New Roman"/>
                <w:szCs w:val="21"/>
              </w:rPr>
              <w:t>1</w:t>
            </w:r>
          </w:p>
        </w:tc>
        <w:tc>
          <w:tcPr>
            <w:tcW w:w="751" w:type="dxa"/>
            <w:vAlign w:val="top"/>
          </w:tcPr>
          <w:p w14:paraId="36F5AC57">
            <w:pPr>
              <w:ind w:firstLine="420" w:firstLineChars="200"/>
              <w:rPr>
                <w:rFonts w:ascii="宋体" w:hAnsi="宋体" w:cs="Times New Roman"/>
                <w:szCs w:val="21"/>
              </w:rPr>
            </w:pPr>
          </w:p>
        </w:tc>
      </w:tr>
      <w:tr w14:paraId="60C2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5A72A34F">
            <w:pPr>
              <w:ind w:firstLine="420" w:firstLineChars="200"/>
              <w:rPr>
                <w:rFonts w:ascii="宋体" w:hAnsi="宋体" w:cs="Times New Roman"/>
                <w:szCs w:val="21"/>
              </w:rPr>
            </w:pPr>
            <w:r>
              <w:rPr>
                <w:rFonts w:ascii="宋体" w:hAnsi="宋体" w:cs="Times New Roman"/>
                <w:szCs w:val="21"/>
              </w:rPr>
              <w:t>3</w:t>
            </w:r>
          </w:p>
        </w:tc>
        <w:tc>
          <w:tcPr>
            <w:tcW w:w="2728" w:type="dxa"/>
            <w:vAlign w:val="top"/>
          </w:tcPr>
          <w:p w14:paraId="2A7073C8">
            <w:pPr>
              <w:ind w:firstLine="420" w:firstLineChars="200"/>
              <w:rPr>
                <w:rFonts w:ascii="宋体" w:hAnsi="宋体" w:cs="Times New Roman"/>
                <w:szCs w:val="21"/>
              </w:rPr>
            </w:pPr>
            <w:r>
              <w:rPr>
                <w:rFonts w:ascii="宋体" w:hAnsi="宋体" w:cs="Times New Roman"/>
                <w:szCs w:val="21"/>
              </w:rPr>
              <w:t>参加试运行</w:t>
            </w:r>
          </w:p>
        </w:tc>
        <w:tc>
          <w:tcPr>
            <w:tcW w:w="2538" w:type="dxa"/>
            <w:vAlign w:val="center"/>
          </w:tcPr>
          <w:p w14:paraId="7B1D1551">
            <w:pPr>
              <w:ind w:firstLine="420" w:firstLineChars="200"/>
              <w:rPr>
                <w:rFonts w:ascii="宋体" w:hAnsi="宋体" w:cs="Times New Roman"/>
                <w:szCs w:val="21"/>
              </w:rPr>
            </w:pPr>
            <w:r>
              <w:rPr>
                <w:rFonts w:ascii="宋体" w:hAnsi="宋体" w:cs="Times New Roman"/>
                <w:szCs w:val="21"/>
              </w:rPr>
              <w:t>2</w:t>
            </w:r>
          </w:p>
        </w:tc>
        <w:tc>
          <w:tcPr>
            <w:tcW w:w="2017" w:type="dxa"/>
            <w:vAlign w:val="center"/>
          </w:tcPr>
          <w:p w14:paraId="08B4B0BD">
            <w:pPr>
              <w:ind w:firstLine="420" w:firstLineChars="200"/>
              <w:rPr>
                <w:rFonts w:ascii="宋体" w:hAnsi="宋体" w:cs="Times New Roman"/>
                <w:szCs w:val="21"/>
              </w:rPr>
            </w:pPr>
            <w:r>
              <w:rPr>
                <w:rFonts w:ascii="宋体" w:hAnsi="宋体" w:cs="Times New Roman"/>
                <w:szCs w:val="21"/>
              </w:rPr>
              <w:t>1</w:t>
            </w:r>
          </w:p>
        </w:tc>
        <w:tc>
          <w:tcPr>
            <w:tcW w:w="751" w:type="dxa"/>
            <w:vAlign w:val="top"/>
          </w:tcPr>
          <w:p w14:paraId="6DCFBFF6">
            <w:pPr>
              <w:ind w:firstLine="420" w:firstLineChars="200"/>
              <w:rPr>
                <w:rFonts w:ascii="宋体" w:hAnsi="宋体" w:cs="Times New Roman"/>
                <w:szCs w:val="21"/>
              </w:rPr>
            </w:pPr>
          </w:p>
        </w:tc>
      </w:tr>
      <w:tr w14:paraId="70DE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51" w:type="dxa"/>
            <w:vAlign w:val="top"/>
          </w:tcPr>
          <w:p w14:paraId="1D62B87E">
            <w:pPr>
              <w:ind w:firstLine="420" w:firstLineChars="200"/>
              <w:rPr>
                <w:rFonts w:ascii="宋体" w:hAnsi="宋体" w:cs="Times New Roman"/>
                <w:szCs w:val="21"/>
              </w:rPr>
            </w:pPr>
            <w:r>
              <w:rPr>
                <w:rFonts w:ascii="宋体" w:hAnsi="宋体" w:cs="Times New Roman"/>
                <w:szCs w:val="21"/>
              </w:rPr>
              <w:t>4</w:t>
            </w:r>
          </w:p>
        </w:tc>
        <w:tc>
          <w:tcPr>
            <w:tcW w:w="2728" w:type="dxa"/>
            <w:vAlign w:val="top"/>
          </w:tcPr>
          <w:p w14:paraId="7FA570CD">
            <w:pPr>
              <w:ind w:firstLine="420" w:firstLineChars="200"/>
              <w:rPr>
                <w:rFonts w:ascii="宋体" w:hAnsi="宋体" w:cs="Times New Roman"/>
                <w:szCs w:val="21"/>
              </w:rPr>
            </w:pPr>
            <w:r>
              <w:rPr>
                <w:rFonts w:ascii="宋体" w:hAnsi="宋体" w:cs="Times New Roman"/>
                <w:szCs w:val="21"/>
              </w:rPr>
              <w:t>参加性能验收试验</w:t>
            </w:r>
          </w:p>
        </w:tc>
        <w:tc>
          <w:tcPr>
            <w:tcW w:w="2538" w:type="dxa"/>
            <w:vAlign w:val="center"/>
          </w:tcPr>
          <w:p w14:paraId="72546A93">
            <w:pPr>
              <w:ind w:firstLine="420" w:firstLineChars="200"/>
              <w:rPr>
                <w:rFonts w:ascii="宋体" w:hAnsi="宋体" w:cs="Times New Roman"/>
                <w:szCs w:val="21"/>
              </w:rPr>
            </w:pPr>
            <w:r>
              <w:rPr>
                <w:rFonts w:ascii="宋体" w:hAnsi="宋体" w:cs="Times New Roman"/>
                <w:szCs w:val="21"/>
              </w:rPr>
              <w:t>2</w:t>
            </w:r>
          </w:p>
        </w:tc>
        <w:tc>
          <w:tcPr>
            <w:tcW w:w="2017" w:type="dxa"/>
            <w:vAlign w:val="center"/>
          </w:tcPr>
          <w:p w14:paraId="25F30BC2">
            <w:pPr>
              <w:ind w:firstLine="420" w:firstLineChars="200"/>
              <w:rPr>
                <w:rFonts w:ascii="宋体" w:hAnsi="宋体" w:cs="Times New Roman"/>
                <w:szCs w:val="21"/>
              </w:rPr>
            </w:pPr>
            <w:r>
              <w:rPr>
                <w:rFonts w:ascii="宋体" w:hAnsi="宋体" w:cs="Times New Roman"/>
                <w:szCs w:val="21"/>
              </w:rPr>
              <w:t>1</w:t>
            </w:r>
          </w:p>
        </w:tc>
        <w:tc>
          <w:tcPr>
            <w:tcW w:w="751" w:type="dxa"/>
            <w:vAlign w:val="top"/>
          </w:tcPr>
          <w:p w14:paraId="6D50AFEA">
            <w:pPr>
              <w:ind w:firstLine="420" w:firstLineChars="200"/>
              <w:rPr>
                <w:rFonts w:ascii="宋体" w:hAnsi="宋体" w:cs="Times New Roman"/>
                <w:szCs w:val="21"/>
              </w:rPr>
            </w:pPr>
          </w:p>
        </w:tc>
      </w:tr>
    </w:tbl>
    <w:p w14:paraId="1365F2AA">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     备注：现场服务应满足现场需求。 </w:t>
      </w:r>
    </w:p>
    <w:p w14:paraId="78F2A3A1">
      <w:pPr>
        <w:ind w:firstLine="420" w:firstLineChars="200"/>
        <w:rPr>
          <w:rFonts w:hint="default" w:ascii="宋体" w:hAnsi="宋体" w:cs="Times New Roman"/>
          <w:szCs w:val="21"/>
          <w:lang w:val="en-US" w:eastAsia="zh-CN"/>
        </w:rPr>
      </w:pPr>
    </w:p>
    <w:p w14:paraId="5D3BAB2F">
      <w:pPr>
        <w:ind w:firstLine="420" w:firstLineChars="200"/>
        <w:rPr>
          <w:rFonts w:hint="eastAsia" w:ascii="宋体" w:hAnsi="宋体" w:cs="Times New Roman"/>
          <w:szCs w:val="21"/>
        </w:rPr>
      </w:pPr>
      <w:r>
        <w:rPr>
          <w:rFonts w:hint="eastAsia" w:ascii="宋体" w:hAnsi="宋体" w:cs="Times New Roman"/>
          <w:szCs w:val="21"/>
        </w:rPr>
        <w:t>2.技术服务人员要求</w:t>
      </w:r>
    </w:p>
    <w:p w14:paraId="153CFAF0">
      <w:pPr>
        <w:ind w:firstLine="420" w:firstLineChars="200"/>
        <w:rPr>
          <w:rFonts w:hint="eastAsia" w:ascii="宋体" w:hAnsi="宋体" w:cs="Times New Roman"/>
          <w:szCs w:val="21"/>
        </w:rPr>
      </w:pPr>
      <w:r>
        <w:rPr>
          <w:rFonts w:hint="eastAsia" w:ascii="宋体" w:hAnsi="宋体" w:cs="Times New Roman"/>
          <w:szCs w:val="21"/>
        </w:rPr>
        <w:t>2. 1  遵守法纪，遵守现场的各项规章和制度;</w:t>
      </w:r>
    </w:p>
    <w:p w14:paraId="1E120F37">
      <w:pPr>
        <w:ind w:firstLine="420" w:firstLineChars="200"/>
        <w:rPr>
          <w:rFonts w:hint="eastAsia" w:ascii="宋体" w:hAnsi="宋体" w:cs="Times New Roman"/>
          <w:szCs w:val="21"/>
        </w:rPr>
      </w:pPr>
      <w:r>
        <w:rPr>
          <w:rFonts w:hint="eastAsia" w:ascii="宋体" w:hAnsi="宋体" w:cs="Times New Roman"/>
          <w:szCs w:val="21"/>
        </w:rPr>
        <w:t>2.2  有较强的责任感和事业心，按时到位;</w:t>
      </w:r>
    </w:p>
    <w:p w14:paraId="60766429">
      <w:pPr>
        <w:ind w:firstLine="420" w:firstLineChars="200"/>
        <w:rPr>
          <w:rFonts w:hint="eastAsia" w:ascii="宋体" w:hAnsi="宋体" w:cs="Times New Roman"/>
          <w:szCs w:val="21"/>
        </w:rPr>
      </w:pPr>
      <w:r>
        <w:rPr>
          <w:rFonts w:hint="eastAsia" w:ascii="宋体" w:hAnsi="宋体" w:cs="Times New Roman"/>
          <w:szCs w:val="21"/>
        </w:rPr>
        <w:t>2.3  了解合同设备的设计，熟悉其结构，有相同或相近机组的现场工作经验，能够正确地进行现场指导;</w:t>
      </w:r>
    </w:p>
    <w:p w14:paraId="7EF23EE7">
      <w:pPr>
        <w:ind w:firstLine="420" w:firstLineChars="200"/>
        <w:rPr>
          <w:rFonts w:hint="eastAsia" w:ascii="宋体" w:hAnsi="宋体" w:cs="Times New Roman"/>
          <w:szCs w:val="21"/>
        </w:rPr>
      </w:pPr>
      <w:r>
        <w:rPr>
          <w:rFonts w:hint="eastAsia" w:ascii="宋体" w:hAnsi="宋体" w:cs="Times New Roman"/>
          <w:szCs w:val="21"/>
        </w:rPr>
        <w:t>2.4  身体健康，适应现场工作的条件。</w:t>
      </w:r>
    </w:p>
    <w:p w14:paraId="61A7948A">
      <w:pPr>
        <w:ind w:firstLine="420" w:firstLineChars="200"/>
        <w:rPr>
          <w:rFonts w:hint="eastAsia" w:ascii="宋体" w:hAnsi="宋体" w:cs="Times New Roman"/>
          <w:szCs w:val="21"/>
        </w:rPr>
      </w:pPr>
      <w:r>
        <w:rPr>
          <w:rFonts w:hint="eastAsia" w:ascii="宋体" w:hAnsi="宋体" w:cs="Times New Roman"/>
          <w:szCs w:val="21"/>
        </w:rPr>
        <w:t xml:space="preserve">2.5 </w:t>
      </w:r>
      <w:r>
        <w:rPr>
          <w:rFonts w:hint="eastAsia" w:ascii="宋体" w:hAnsi="宋体" w:cs="Times New Roman"/>
          <w:szCs w:val="21"/>
          <w:lang w:eastAsia="zh-CN"/>
        </w:rPr>
        <w:t>投标人</w:t>
      </w:r>
      <w:r>
        <w:rPr>
          <w:rFonts w:hint="eastAsia" w:ascii="宋体" w:hAnsi="宋体" w:cs="Times New Roman"/>
          <w:szCs w:val="21"/>
        </w:rPr>
        <w:t>要向</w:t>
      </w:r>
      <w:r>
        <w:rPr>
          <w:rFonts w:hint="eastAsia" w:ascii="宋体" w:hAnsi="宋体" w:cs="Times New Roman"/>
          <w:szCs w:val="21"/>
          <w:lang w:eastAsia="zh-CN"/>
        </w:rPr>
        <w:t>采购人</w:t>
      </w:r>
      <w:r>
        <w:rPr>
          <w:rFonts w:hint="eastAsia" w:ascii="宋体" w:hAnsi="宋体" w:cs="Times New Roman"/>
          <w:szCs w:val="21"/>
        </w:rPr>
        <w:t>提供服务人员情况表。</w:t>
      </w:r>
      <w:r>
        <w:rPr>
          <w:rFonts w:hint="eastAsia" w:ascii="宋体" w:hAnsi="宋体" w:cs="Times New Roman"/>
          <w:szCs w:val="21"/>
          <w:lang w:eastAsia="zh-CN"/>
        </w:rPr>
        <w:t>投标人</w:t>
      </w:r>
      <w:r>
        <w:rPr>
          <w:rFonts w:hint="eastAsia" w:ascii="宋体" w:hAnsi="宋体" w:cs="Times New Roman"/>
          <w:szCs w:val="21"/>
        </w:rPr>
        <w:t>须更换</w:t>
      </w:r>
      <w:r>
        <w:rPr>
          <w:rFonts w:hint="eastAsia" w:ascii="宋体" w:hAnsi="宋体" w:cs="Times New Roman"/>
          <w:szCs w:val="21"/>
          <w:lang w:eastAsia="zh-CN"/>
        </w:rPr>
        <w:t>采购人</w:t>
      </w:r>
      <w:r>
        <w:rPr>
          <w:rFonts w:hint="eastAsia" w:ascii="宋体" w:hAnsi="宋体" w:cs="Times New Roman"/>
          <w:szCs w:val="21"/>
        </w:rPr>
        <w:t>认为不合格的</w:t>
      </w:r>
      <w:r>
        <w:rPr>
          <w:rFonts w:hint="eastAsia" w:ascii="宋体" w:hAnsi="宋体" w:cs="Times New Roman"/>
          <w:szCs w:val="21"/>
          <w:lang w:eastAsia="zh-CN"/>
        </w:rPr>
        <w:t>投标人</w:t>
      </w:r>
      <w:r>
        <w:rPr>
          <w:rFonts w:hint="eastAsia" w:ascii="宋体" w:hAnsi="宋体" w:cs="Times New Roman"/>
          <w:szCs w:val="21"/>
        </w:rPr>
        <w:t>现场服务 人员。</w:t>
      </w:r>
    </w:p>
    <w:p w14:paraId="0145E151">
      <w:pPr>
        <w:ind w:firstLine="420" w:firstLineChars="200"/>
        <w:rPr>
          <w:rFonts w:hint="eastAsia" w:ascii="宋体" w:hAnsi="宋体" w:cs="Times New Roman"/>
          <w:szCs w:val="21"/>
        </w:rPr>
      </w:pPr>
      <w:r>
        <w:rPr>
          <w:rFonts w:hint="eastAsia" w:ascii="宋体" w:hAnsi="宋体" w:cs="Times New Roman"/>
          <w:szCs w:val="21"/>
        </w:rPr>
        <w:t>3.</w:t>
      </w:r>
      <w:r>
        <w:rPr>
          <w:rFonts w:hint="eastAsia" w:ascii="宋体" w:hAnsi="宋体" w:cs="Times New Roman"/>
          <w:szCs w:val="21"/>
          <w:lang w:eastAsia="zh-CN"/>
        </w:rPr>
        <w:t>投标人</w:t>
      </w:r>
      <w:r>
        <w:rPr>
          <w:rFonts w:hint="eastAsia" w:ascii="宋体" w:hAnsi="宋体" w:cs="Times New Roman"/>
          <w:szCs w:val="21"/>
        </w:rPr>
        <w:t>现场服务人员的职责</w:t>
      </w:r>
    </w:p>
    <w:p w14:paraId="47C659A0">
      <w:pPr>
        <w:ind w:firstLine="420" w:firstLineChars="200"/>
        <w:rPr>
          <w:rFonts w:hint="eastAsia" w:ascii="宋体" w:hAnsi="宋体" w:cs="Times New Roman"/>
          <w:szCs w:val="21"/>
        </w:rPr>
      </w:pPr>
      <w:r>
        <w:rPr>
          <w:rFonts w:hint="eastAsia" w:ascii="宋体" w:hAnsi="宋体" w:cs="Times New Roman"/>
          <w:szCs w:val="21"/>
        </w:rPr>
        <w:t xml:space="preserve">3. 1  </w:t>
      </w:r>
      <w:r>
        <w:rPr>
          <w:rFonts w:hint="eastAsia" w:ascii="宋体" w:hAnsi="宋体" w:cs="Times New Roman"/>
          <w:szCs w:val="21"/>
          <w:lang w:eastAsia="zh-CN"/>
        </w:rPr>
        <w:t>投标人</w:t>
      </w:r>
      <w:r>
        <w:rPr>
          <w:rFonts w:hint="eastAsia" w:ascii="宋体" w:hAnsi="宋体" w:cs="Times New Roman"/>
          <w:szCs w:val="21"/>
        </w:rPr>
        <w:t>现场服务人员的任务主要包括催化剂的开箱检验、催化剂质量问题的处理、安装和配合调试、参加试运和性能验收试验。</w:t>
      </w:r>
    </w:p>
    <w:p w14:paraId="4C33F1BC">
      <w:pPr>
        <w:ind w:firstLine="420" w:firstLineChars="200"/>
        <w:rPr>
          <w:rFonts w:hint="eastAsia" w:ascii="宋体" w:hAnsi="宋体" w:cs="Times New Roman"/>
          <w:szCs w:val="21"/>
        </w:rPr>
      </w:pPr>
    </w:p>
    <w:p w14:paraId="3C19E752">
      <w:pPr>
        <w:ind w:firstLine="420" w:firstLineChars="200"/>
        <w:rPr>
          <w:rFonts w:hint="eastAsia" w:ascii="宋体" w:hAnsi="宋体" w:cs="Times New Roman"/>
          <w:szCs w:val="21"/>
        </w:rPr>
      </w:pPr>
      <w:r>
        <w:rPr>
          <w:rFonts w:hint="eastAsia" w:ascii="宋体" w:hAnsi="宋体" w:cs="Times New Roman"/>
          <w:szCs w:val="21"/>
        </w:rPr>
        <w:t xml:space="preserve">10 </w:t>
      </w:r>
      <w:r>
        <w:rPr>
          <w:rFonts w:hint="eastAsia" w:ascii="宋体" w:hAnsi="宋体" w:cs="Times New Roman"/>
          <w:szCs w:val="21"/>
          <w:lang w:val="en-US" w:eastAsia="zh-CN"/>
        </w:rPr>
        <w:t>服务期</w:t>
      </w:r>
      <w:r>
        <w:rPr>
          <w:rFonts w:hint="eastAsia" w:ascii="宋体" w:hAnsi="宋体" w:cs="Times New Roman"/>
          <w:szCs w:val="21"/>
        </w:rPr>
        <w:t>性能考核试验</w:t>
      </w:r>
    </w:p>
    <w:p w14:paraId="49CC3D81">
      <w:pPr>
        <w:ind w:firstLine="420" w:firstLineChars="200"/>
        <w:rPr>
          <w:rFonts w:hint="eastAsia" w:ascii="宋体" w:hAnsi="宋体" w:cs="Times New Roman"/>
          <w:szCs w:val="21"/>
        </w:rPr>
      </w:pPr>
      <w:r>
        <w:rPr>
          <w:rFonts w:hint="eastAsia" w:ascii="宋体" w:hAnsi="宋体" w:cs="Times New Roman"/>
          <w:szCs w:val="21"/>
        </w:rPr>
        <w:t>10.1总则</w:t>
      </w:r>
    </w:p>
    <w:p w14:paraId="5F4C83F9">
      <w:pPr>
        <w:ind w:firstLine="420" w:firstLineChars="200"/>
        <w:rPr>
          <w:rFonts w:hint="eastAsia" w:ascii="宋体" w:hAnsi="宋体" w:cs="Times New Roman"/>
          <w:szCs w:val="21"/>
        </w:rPr>
      </w:pPr>
      <w:r>
        <w:rPr>
          <w:rFonts w:hint="eastAsia" w:ascii="宋体" w:hAnsi="宋体" w:cs="Times New Roman"/>
          <w:szCs w:val="21"/>
        </w:rPr>
        <w:t>10.1.1本文提到的考核指标，将作为本合同功能考核的保证值。</w:t>
      </w:r>
    </w:p>
    <w:p w14:paraId="4A875E04">
      <w:pPr>
        <w:ind w:firstLine="420" w:firstLineChars="200"/>
        <w:rPr>
          <w:rFonts w:hint="eastAsia" w:ascii="宋体" w:hAnsi="宋体" w:cs="Times New Roman"/>
          <w:szCs w:val="21"/>
        </w:rPr>
      </w:pPr>
      <w:r>
        <w:rPr>
          <w:rFonts w:hint="eastAsia" w:ascii="宋体" w:hAnsi="宋体" w:cs="Times New Roman"/>
          <w:szCs w:val="21"/>
        </w:rPr>
        <w:t>10.1.2保证值测试要求连续测定，测定时间及频次见附表。</w:t>
      </w:r>
    </w:p>
    <w:p w14:paraId="6C364668">
      <w:pPr>
        <w:ind w:firstLine="420" w:firstLineChars="200"/>
        <w:rPr>
          <w:rFonts w:hint="eastAsia" w:ascii="宋体" w:hAnsi="宋体" w:cs="Times New Roman"/>
          <w:szCs w:val="21"/>
        </w:rPr>
      </w:pPr>
      <w:r>
        <w:rPr>
          <w:rFonts w:hint="eastAsia" w:ascii="宋体" w:hAnsi="宋体" w:cs="Times New Roman"/>
          <w:szCs w:val="21"/>
        </w:rPr>
        <w:t>10.1.3测试过程中使用的所有仪表、设备校正、校核应由</w:t>
      </w:r>
      <w:r>
        <w:rPr>
          <w:rFonts w:hint="eastAsia" w:ascii="宋体" w:hAnsi="宋体" w:cs="Times New Roman"/>
          <w:szCs w:val="21"/>
          <w:lang w:val="en-US" w:eastAsia="zh-CN"/>
        </w:rPr>
        <w:t>采购人</w:t>
      </w:r>
      <w:r>
        <w:rPr>
          <w:rFonts w:hint="eastAsia" w:ascii="宋体" w:hAnsi="宋体" w:cs="Times New Roman"/>
          <w:szCs w:val="21"/>
        </w:rPr>
        <w:t>、</w:t>
      </w:r>
      <w:r>
        <w:rPr>
          <w:rFonts w:hint="eastAsia" w:ascii="宋体" w:hAnsi="宋体" w:cs="Times New Roman"/>
          <w:szCs w:val="21"/>
          <w:lang w:val="en-US" w:eastAsia="zh-CN"/>
        </w:rPr>
        <w:t>投标人</w:t>
      </w:r>
      <w:r>
        <w:rPr>
          <w:rFonts w:hint="eastAsia" w:ascii="宋体" w:hAnsi="宋体" w:cs="Times New Roman"/>
          <w:szCs w:val="21"/>
        </w:rPr>
        <w:t>代表在测试前共同确认。</w:t>
      </w:r>
    </w:p>
    <w:p w14:paraId="4732C935">
      <w:pPr>
        <w:ind w:firstLine="420" w:firstLineChars="200"/>
        <w:rPr>
          <w:rFonts w:hint="eastAsia" w:ascii="宋体" w:hAnsi="宋体" w:cs="Times New Roman"/>
          <w:szCs w:val="21"/>
        </w:rPr>
      </w:pPr>
      <w:r>
        <w:rPr>
          <w:rFonts w:hint="eastAsia" w:ascii="宋体" w:hAnsi="宋体" w:cs="Times New Roman"/>
          <w:szCs w:val="21"/>
        </w:rPr>
        <w:t>10.1.4以固定污染源烟气在线监测结果作为验收数据，考核前如</w:t>
      </w:r>
      <w:r>
        <w:rPr>
          <w:rFonts w:hint="eastAsia" w:ascii="宋体" w:hAnsi="宋体" w:cs="Times New Roman"/>
          <w:szCs w:val="21"/>
          <w:lang w:val="en-US" w:eastAsia="zh-CN"/>
        </w:rPr>
        <w:t>采购人</w:t>
      </w:r>
      <w:r>
        <w:rPr>
          <w:rFonts w:hint="eastAsia" w:ascii="宋体" w:hAnsi="宋体" w:cs="Times New Roman"/>
          <w:szCs w:val="21"/>
        </w:rPr>
        <w:t>认为有必要对在线监测仪器进行校检的，校检费用由</w:t>
      </w:r>
      <w:r>
        <w:rPr>
          <w:rFonts w:hint="eastAsia" w:ascii="宋体" w:hAnsi="宋体" w:cs="Times New Roman"/>
          <w:szCs w:val="21"/>
          <w:lang w:eastAsia="zh-CN"/>
        </w:rPr>
        <w:t>投标人</w:t>
      </w:r>
      <w:r>
        <w:rPr>
          <w:rFonts w:hint="eastAsia" w:ascii="宋体" w:hAnsi="宋体" w:cs="Times New Roman"/>
          <w:szCs w:val="21"/>
        </w:rPr>
        <w:t xml:space="preserve">承担。 </w:t>
      </w:r>
    </w:p>
    <w:p w14:paraId="3D132A8E">
      <w:pPr>
        <w:ind w:firstLine="420" w:firstLineChars="200"/>
        <w:rPr>
          <w:rFonts w:hint="eastAsia" w:ascii="宋体" w:hAnsi="宋体" w:cs="Times New Roman"/>
          <w:szCs w:val="21"/>
        </w:rPr>
      </w:pPr>
      <w:r>
        <w:rPr>
          <w:rFonts w:hint="eastAsia" w:ascii="宋体" w:hAnsi="宋体" w:cs="Times New Roman"/>
          <w:szCs w:val="21"/>
        </w:rPr>
        <w:t>10.1.5自项目安装投运之日起三年</w:t>
      </w:r>
      <w:r>
        <w:rPr>
          <w:rFonts w:hint="eastAsia" w:ascii="宋体" w:hAnsi="宋体" w:cs="Times New Roman"/>
          <w:szCs w:val="21"/>
          <w:lang w:val="en-US" w:eastAsia="zh-CN"/>
        </w:rPr>
        <w:t>为服务</w:t>
      </w:r>
      <w:r>
        <w:rPr>
          <w:rFonts w:hint="eastAsia" w:ascii="宋体" w:hAnsi="宋体" w:cs="Times New Roman"/>
          <w:szCs w:val="21"/>
          <w:lang w:eastAsia="zh-CN"/>
        </w:rPr>
        <w:t>期（</w:t>
      </w:r>
      <w:r>
        <w:rPr>
          <w:rFonts w:hint="eastAsia" w:ascii="宋体" w:hAnsi="宋体" w:cs="Times New Roman"/>
          <w:szCs w:val="21"/>
          <w:lang w:val="en-US" w:eastAsia="zh-CN"/>
        </w:rPr>
        <w:t>包含性能验收期</w:t>
      </w:r>
      <w:r>
        <w:rPr>
          <w:rFonts w:hint="eastAsia" w:ascii="宋体" w:hAnsi="宋体" w:cs="Times New Roman"/>
          <w:szCs w:val="21"/>
          <w:lang w:eastAsia="zh-CN"/>
        </w:rPr>
        <w:t>）</w:t>
      </w:r>
      <w:r>
        <w:rPr>
          <w:rFonts w:hint="eastAsia" w:ascii="宋体" w:hAnsi="宋体" w:cs="Times New Roman"/>
          <w:szCs w:val="21"/>
        </w:rPr>
        <w:t>，</w:t>
      </w:r>
      <w:r>
        <w:rPr>
          <w:rFonts w:hint="eastAsia" w:ascii="宋体" w:hAnsi="宋体" w:cs="Times New Roman"/>
          <w:szCs w:val="21"/>
          <w:lang w:val="en-US" w:eastAsia="zh-CN"/>
        </w:rPr>
        <w:t>服务期内</w:t>
      </w:r>
      <w:r>
        <w:rPr>
          <w:rFonts w:hint="eastAsia" w:ascii="宋体" w:hAnsi="宋体" w:cs="Times New Roman"/>
          <w:szCs w:val="21"/>
        </w:rPr>
        <w:t>在线监测仪器发生故障，如更换检测元件，需重新比对监测合格，检测费用由</w:t>
      </w:r>
      <w:r>
        <w:rPr>
          <w:rFonts w:hint="eastAsia" w:ascii="宋体" w:hAnsi="宋体" w:cs="Times New Roman"/>
          <w:szCs w:val="21"/>
          <w:lang w:eastAsia="zh-CN"/>
        </w:rPr>
        <w:t>采购人</w:t>
      </w:r>
      <w:r>
        <w:rPr>
          <w:rFonts w:hint="eastAsia" w:ascii="宋体" w:hAnsi="宋体" w:cs="Times New Roman"/>
          <w:szCs w:val="21"/>
        </w:rPr>
        <w:t>承担。</w:t>
      </w:r>
    </w:p>
    <w:p w14:paraId="270732E9">
      <w:pPr>
        <w:ind w:firstLine="420" w:firstLineChars="200"/>
        <w:rPr>
          <w:rFonts w:hint="eastAsia" w:ascii="宋体" w:hAnsi="宋体" w:cs="Times New Roman"/>
          <w:szCs w:val="21"/>
        </w:rPr>
      </w:pPr>
      <w:r>
        <w:rPr>
          <w:rFonts w:hint="eastAsia" w:ascii="宋体" w:hAnsi="宋体" w:cs="Times New Roman"/>
          <w:szCs w:val="21"/>
        </w:rPr>
        <w:t>10.1.6对双方共同确认项目的测试结果，双方均要接受。</w:t>
      </w:r>
    </w:p>
    <w:p w14:paraId="49D8C444">
      <w:pPr>
        <w:ind w:firstLine="420" w:firstLineChars="200"/>
        <w:rPr>
          <w:rFonts w:hint="eastAsia" w:ascii="宋体" w:hAnsi="宋体" w:cs="Times New Roman"/>
          <w:szCs w:val="21"/>
        </w:rPr>
      </w:pPr>
      <w:r>
        <w:rPr>
          <w:rFonts w:hint="eastAsia" w:ascii="宋体" w:hAnsi="宋体" w:cs="Times New Roman"/>
          <w:szCs w:val="21"/>
        </w:rPr>
        <w:t>10.1.7在</w:t>
      </w:r>
      <w:r>
        <w:rPr>
          <w:rFonts w:hint="eastAsia" w:ascii="宋体" w:hAnsi="宋体" w:cs="Times New Roman"/>
          <w:szCs w:val="21"/>
          <w:lang w:val="en-US" w:eastAsia="zh-CN"/>
        </w:rPr>
        <w:t>服务</w:t>
      </w:r>
      <w:r>
        <w:rPr>
          <w:rFonts w:hint="eastAsia" w:ascii="宋体" w:hAnsi="宋体" w:cs="Times New Roman"/>
          <w:szCs w:val="21"/>
          <w:lang w:eastAsia="zh-CN"/>
        </w:rPr>
        <w:t>期</w:t>
      </w:r>
      <w:r>
        <w:rPr>
          <w:rFonts w:hint="eastAsia" w:ascii="宋体" w:hAnsi="宋体" w:cs="Times New Roman"/>
          <w:szCs w:val="21"/>
        </w:rPr>
        <w:t>间，</w:t>
      </w:r>
      <w:r>
        <w:rPr>
          <w:rFonts w:hint="eastAsia" w:ascii="宋体" w:hAnsi="宋体" w:cs="Times New Roman"/>
          <w:szCs w:val="21"/>
          <w:lang w:eastAsia="zh-CN"/>
        </w:rPr>
        <w:t>采购人</w:t>
      </w:r>
      <w:r>
        <w:rPr>
          <w:rFonts w:hint="eastAsia" w:ascii="宋体" w:hAnsi="宋体" w:cs="Times New Roman"/>
          <w:szCs w:val="21"/>
        </w:rPr>
        <w:t>须保证系统原料和能源介质条件，保证烟气入口指标达到设计要求。</w:t>
      </w:r>
    </w:p>
    <w:p w14:paraId="097EE979">
      <w:pPr>
        <w:ind w:firstLine="420" w:firstLineChars="200"/>
        <w:rPr>
          <w:rFonts w:hint="eastAsia" w:ascii="宋体" w:hAnsi="宋体" w:cs="Times New Roman"/>
          <w:szCs w:val="21"/>
        </w:rPr>
      </w:pPr>
      <w:r>
        <w:rPr>
          <w:rFonts w:hint="eastAsia" w:ascii="宋体" w:hAnsi="宋体" w:cs="Times New Roman"/>
          <w:szCs w:val="21"/>
        </w:rPr>
        <w:t>10.1.8如果</w:t>
      </w:r>
      <w:r>
        <w:rPr>
          <w:rFonts w:hint="eastAsia" w:ascii="宋体" w:hAnsi="宋体" w:cs="Times New Roman"/>
          <w:szCs w:val="21"/>
          <w:lang w:eastAsia="zh-CN"/>
        </w:rPr>
        <w:t>投标人</w:t>
      </w:r>
      <w:r>
        <w:rPr>
          <w:rFonts w:hint="eastAsia" w:ascii="宋体" w:hAnsi="宋体" w:cs="Times New Roman"/>
          <w:szCs w:val="21"/>
        </w:rPr>
        <w:t>在保证值测试未达到规定要求，</w:t>
      </w:r>
      <w:r>
        <w:rPr>
          <w:rFonts w:hint="eastAsia" w:ascii="宋体" w:hAnsi="宋体" w:cs="Times New Roman"/>
          <w:szCs w:val="21"/>
          <w:lang w:eastAsia="zh-CN"/>
        </w:rPr>
        <w:t>投标人</w:t>
      </w:r>
      <w:r>
        <w:rPr>
          <w:rFonts w:hint="eastAsia" w:ascii="宋体" w:hAnsi="宋体" w:cs="Times New Roman"/>
          <w:szCs w:val="21"/>
        </w:rPr>
        <w:t>可以对未达到要求的指标在第一次测试后1个月内进行第二次保证值测试，如果仍未达到保证值要求</w:t>
      </w:r>
      <w:r>
        <w:rPr>
          <w:rFonts w:hint="eastAsia" w:ascii="宋体" w:hAnsi="宋体" w:cs="Times New Roman"/>
          <w:szCs w:val="21"/>
          <w:lang w:val="en-US" w:eastAsia="zh-CN"/>
        </w:rPr>
        <w:t>的</w:t>
      </w:r>
      <w:r>
        <w:rPr>
          <w:rFonts w:hint="eastAsia" w:ascii="宋体" w:hAnsi="宋体" w:cs="Times New Roman"/>
          <w:szCs w:val="21"/>
        </w:rPr>
        <w:t>，</w:t>
      </w:r>
      <w:r>
        <w:rPr>
          <w:rFonts w:hint="eastAsia" w:ascii="宋体" w:hAnsi="宋体" w:cs="Times New Roman"/>
          <w:szCs w:val="21"/>
          <w:lang w:val="en-US" w:eastAsia="zh-CN"/>
        </w:rPr>
        <w:t>采购人有权终止合同</w:t>
      </w:r>
      <w:r>
        <w:rPr>
          <w:rFonts w:hint="eastAsia" w:ascii="宋体" w:hAnsi="宋体" w:cs="Times New Roman"/>
          <w:szCs w:val="21"/>
        </w:rPr>
        <w:t>。</w:t>
      </w:r>
    </w:p>
    <w:p w14:paraId="7F369938">
      <w:pPr>
        <w:ind w:firstLine="420" w:firstLineChars="200"/>
        <w:rPr>
          <w:rFonts w:hint="eastAsia" w:ascii="宋体" w:hAnsi="宋体" w:cs="Times New Roman"/>
          <w:szCs w:val="21"/>
        </w:rPr>
      </w:pPr>
      <w:r>
        <w:rPr>
          <w:rFonts w:hint="eastAsia" w:ascii="宋体" w:hAnsi="宋体" w:cs="Times New Roman"/>
          <w:szCs w:val="21"/>
        </w:rPr>
        <w:t>10.1.9</w:t>
      </w:r>
      <w:r>
        <w:rPr>
          <w:rFonts w:hint="eastAsia" w:ascii="宋体" w:hAnsi="宋体" w:cs="Times New Roman"/>
          <w:szCs w:val="21"/>
          <w:lang w:eastAsia="zh-CN"/>
        </w:rPr>
        <w:t>投标人</w:t>
      </w:r>
      <w:r>
        <w:rPr>
          <w:rFonts w:hint="eastAsia" w:ascii="宋体" w:hAnsi="宋体" w:cs="Times New Roman"/>
          <w:szCs w:val="21"/>
        </w:rPr>
        <w:t>在</w:t>
      </w:r>
      <w:r>
        <w:rPr>
          <w:rFonts w:hint="eastAsia" w:ascii="宋体" w:hAnsi="宋体" w:cs="Times New Roman"/>
          <w:szCs w:val="21"/>
          <w:lang w:val="en-US" w:eastAsia="zh-CN"/>
        </w:rPr>
        <w:t>服务期</w:t>
      </w:r>
      <w:r>
        <w:rPr>
          <w:rFonts w:hint="eastAsia" w:ascii="宋体" w:hAnsi="宋体" w:cs="Times New Roman"/>
          <w:szCs w:val="21"/>
        </w:rPr>
        <w:t>内对催化剂质量引起的任何缺陷、故障、损坏负责，并对质量可靠性担保。</w:t>
      </w:r>
    </w:p>
    <w:p w14:paraId="7D8EA377">
      <w:pPr>
        <w:ind w:firstLine="420" w:firstLineChars="200"/>
        <w:rPr>
          <w:rFonts w:hint="eastAsia" w:ascii="宋体" w:hAnsi="宋体" w:cs="Times New Roman"/>
          <w:szCs w:val="21"/>
        </w:rPr>
      </w:pPr>
      <w:r>
        <w:rPr>
          <w:rFonts w:hint="eastAsia" w:ascii="宋体" w:hAnsi="宋体" w:cs="Times New Roman"/>
          <w:szCs w:val="21"/>
        </w:rPr>
        <w:t>10.2保证值及考核办法</w:t>
      </w:r>
    </w:p>
    <w:p w14:paraId="5EA4A912">
      <w:pPr>
        <w:ind w:firstLine="420" w:firstLineChars="200"/>
        <w:rPr>
          <w:rFonts w:hint="eastAsia" w:ascii="宋体" w:hAnsi="宋体" w:cs="Times New Roman"/>
          <w:szCs w:val="21"/>
        </w:rPr>
      </w:pPr>
      <w:r>
        <w:rPr>
          <w:rFonts w:hint="eastAsia" w:ascii="宋体" w:hAnsi="宋体" w:cs="Times New Roman"/>
          <w:szCs w:val="21"/>
        </w:rPr>
        <w:t>10.2.1本项目保证值及考核办法见下表</w:t>
      </w:r>
    </w:p>
    <w:p w14:paraId="3FE3E4DD">
      <w:pPr>
        <w:ind w:firstLine="420" w:firstLineChars="200"/>
        <w:rPr>
          <w:rFonts w:ascii="宋体" w:hAnsi="宋体" w:cs="Times New Roman"/>
          <w:szCs w:val="21"/>
        </w:rPr>
      </w:pPr>
      <w:r>
        <w:rPr>
          <w:rFonts w:hint="eastAsia" w:ascii="宋体" w:hAnsi="宋体" w:cs="Times New Roman"/>
          <w:szCs w:val="21"/>
        </w:rPr>
        <w:t xml:space="preserve">                        保证值及考核办法表</w:t>
      </w:r>
    </w:p>
    <w:tbl>
      <w:tblPr>
        <w:tblStyle w:val="3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569"/>
        <w:gridCol w:w="1500"/>
        <w:gridCol w:w="3250"/>
        <w:gridCol w:w="1067"/>
        <w:gridCol w:w="1152"/>
      </w:tblGrid>
      <w:tr w14:paraId="5AC9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vAlign w:val="center"/>
          </w:tcPr>
          <w:p w14:paraId="51C953F4">
            <w:pPr>
              <w:ind w:firstLine="420" w:firstLineChars="200"/>
              <w:rPr>
                <w:rFonts w:ascii="宋体" w:hAnsi="宋体" w:cs="Times New Roman"/>
                <w:szCs w:val="21"/>
              </w:rPr>
            </w:pPr>
            <w:r>
              <w:rPr>
                <w:rFonts w:hint="eastAsia" w:ascii="宋体" w:hAnsi="宋体" w:cs="Times New Roman"/>
                <w:szCs w:val="21"/>
              </w:rPr>
              <w:t>序</w:t>
            </w:r>
            <w:r>
              <w:rPr>
                <w:rFonts w:hint="eastAsia" w:ascii="宋体" w:hAnsi="宋体" w:cs="Times New Roman"/>
                <w:szCs w:val="21"/>
                <w:lang w:val="en-US" w:eastAsia="zh-CN"/>
              </w:rPr>
              <w:t>序</w:t>
            </w:r>
            <w:r>
              <w:rPr>
                <w:rFonts w:hint="eastAsia" w:ascii="宋体" w:hAnsi="宋体" w:cs="Times New Roman"/>
                <w:szCs w:val="21"/>
              </w:rPr>
              <w:t>号</w:t>
            </w:r>
          </w:p>
        </w:tc>
        <w:tc>
          <w:tcPr>
            <w:tcW w:w="1569" w:type="dxa"/>
            <w:vAlign w:val="center"/>
          </w:tcPr>
          <w:p w14:paraId="3271DB37">
            <w:pPr>
              <w:ind w:firstLine="420" w:firstLineChars="200"/>
              <w:rPr>
                <w:rFonts w:ascii="宋体" w:hAnsi="宋体" w:cs="Times New Roman"/>
                <w:szCs w:val="21"/>
              </w:rPr>
            </w:pPr>
            <w:r>
              <w:rPr>
                <w:rFonts w:hint="eastAsia" w:ascii="宋体" w:hAnsi="宋体" w:cs="Times New Roman"/>
                <w:szCs w:val="21"/>
              </w:rPr>
              <w:t>考核指标</w:t>
            </w:r>
          </w:p>
        </w:tc>
        <w:tc>
          <w:tcPr>
            <w:tcW w:w="1500" w:type="dxa"/>
            <w:vAlign w:val="center"/>
          </w:tcPr>
          <w:p w14:paraId="45E89E96">
            <w:pPr>
              <w:ind w:firstLine="420" w:firstLineChars="200"/>
              <w:rPr>
                <w:rFonts w:ascii="宋体" w:hAnsi="宋体" w:cs="Times New Roman"/>
                <w:szCs w:val="21"/>
              </w:rPr>
            </w:pPr>
            <w:r>
              <w:rPr>
                <w:rFonts w:hint="eastAsia" w:ascii="宋体" w:hAnsi="宋体" w:cs="Times New Roman"/>
                <w:szCs w:val="21"/>
              </w:rPr>
              <w:t>保证值</w:t>
            </w:r>
          </w:p>
        </w:tc>
        <w:tc>
          <w:tcPr>
            <w:tcW w:w="3250" w:type="dxa"/>
            <w:vAlign w:val="center"/>
          </w:tcPr>
          <w:p w14:paraId="62CDF10E">
            <w:pPr>
              <w:ind w:firstLine="420" w:firstLineChars="200"/>
              <w:rPr>
                <w:rFonts w:ascii="宋体" w:hAnsi="宋体" w:cs="Times New Roman"/>
                <w:szCs w:val="21"/>
              </w:rPr>
            </w:pPr>
            <w:r>
              <w:rPr>
                <w:rFonts w:hint="eastAsia" w:ascii="宋体" w:hAnsi="宋体" w:cs="Times New Roman"/>
                <w:szCs w:val="21"/>
              </w:rPr>
              <w:t>检验方法</w:t>
            </w:r>
          </w:p>
        </w:tc>
        <w:tc>
          <w:tcPr>
            <w:tcW w:w="1067" w:type="dxa"/>
            <w:vAlign w:val="center"/>
          </w:tcPr>
          <w:p w14:paraId="1E17E1B9">
            <w:pPr>
              <w:ind w:firstLine="0" w:firstLineChars="0"/>
              <w:rPr>
                <w:rFonts w:hint="eastAsia" w:ascii="宋体" w:hAnsi="宋体" w:cs="Times New Roman"/>
                <w:szCs w:val="21"/>
                <w:lang w:eastAsia="zh-CN"/>
              </w:rPr>
            </w:pPr>
            <w:r>
              <w:rPr>
                <w:rFonts w:hint="eastAsia" w:ascii="宋体" w:hAnsi="宋体" w:cs="Times New Roman"/>
                <w:szCs w:val="21"/>
                <w:lang w:val="en-US" w:eastAsia="zh-CN"/>
              </w:rPr>
              <w:t>服务</w:t>
            </w:r>
            <w:r>
              <w:rPr>
                <w:rFonts w:hint="eastAsia" w:ascii="宋体" w:hAnsi="宋体" w:cs="Times New Roman"/>
                <w:szCs w:val="21"/>
                <w:lang w:eastAsia="zh-CN"/>
              </w:rPr>
              <w:t>期</w:t>
            </w:r>
          </w:p>
        </w:tc>
        <w:tc>
          <w:tcPr>
            <w:tcW w:w="1152" w:type="dxa"/>
            <w:vAlign w:val="center"/>
          </w:tcPr>
          <w:p w14:paraId="3B28259F">
            <w:pPr>
              <w:ind w:firstLine="420" w:firstLineChars="200"/>
              <w:rPr>
                <w:rFonts w:ascii="宋体" w:hAnsi="宋体" w:cs="Times New Roman"/>
                <w:szCs w:val="21"/>
              </w:rPr>
            </w:pPr>
            <w:r>
              <w:rPr>
                <w:rFonts w:hint="eastAsia" w:ascii="宋体" w:hAnsi="宋体" w:cs="Times New Roman"/>
                <w:szCs w:val="21"/>
              </w:rPr>
              <w:t>备注</w:t>
            </w:r>
          </w:p>
        </w:tc>
      </w:tr>
      <w:tr w14:paraId="1FDC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522" w:type="dxa"/>
            <w:vAlign w:val="center"/>
          </w:tcPr>
          <w:p w14:paraId="0540ED72">
            <w:pPr>
              <w:ind w:firstLine="420" w:firstLineChars="200"/>
              <w:rPr>
                <w:rFonts w:ascii="宋体" w:hAnsi="宋体" w:cs="Times New Roman"/>
                <w:szCs w:val="21"/>
              </w:rPr>
            </w:pPr>
            <w:r>
              <w:rPr>
                <w:rFonts w:hint="eastAsia" w:ascii="宋体" w:hAnsi="宋体" w:cs="Times New Roman"/>
                <w:szCs w:val="21"/>
              </w:rPr>
              <w:t>1</w:t>
            </w:r>
          </w:p>
        </w:tc>
        <w:tc>
          <w:tcPr>
            <w:tcW w:w="1569" w:type="dxa"/>
            <w:vAlign w:val="center"/>
          </w:tcPr>
          <w:p w14:paraId="0E4FD3EC">
            <w:pPr>
              <w:ind w:firstLine="0" w:firstLineChars="0"/>
              <w:rPr>
                <w:rFonts w:hint="eastAsia" w:ascii="宋体" w:hAnsi="宋体" w:cs="Times New Roman"/>
                <w:szCs w:val="21"/>
                <w:lang w:val="en-US" w:eastAsia="zh-CN"/>
              </w:rPr>
            </w:pPr>
            <w:r>
              <w:rPr>
                <w:rFonts w:hint="eastAsia" w:ascii="宋体" w:hAnsi="宋体" w:cs="Times New Roman"/>
                <w:szCs w:val="21"/>
                <w:lang w:val="en-US" w:eastAsia="zh-CN"/>
              </w:rPr>
              <w:t>烟气脱硝装置出口烟气含NOx</w:t>
            </w:r>
          </w:p>
        </w:tc>
        <w:tc>
          <w:tcPr>
            <w:tcW w:w="1500" w:type="dxa"/>
            <w:vAlign w:val="center"/>
          </w:tcPr>
          <w:p w14:paraId="70524E0F">
            <w:pPr>
              <w:ind w:firstLine="420" w:firstLineChars="200"/>
              <w:rPr>
                <w:rFonts w:ascii="宋体" w:hAnsi="宋体" w:cs="Times New Roman"/>
                <w:szCs w:val="21"/>
              </w:rPr>
            </w:pPr>
            <w:r>
              <w:rPr>
                <w:rFonts w:hint="eastAsia" w:ascii="宋体" w:hAnsi="宋体" w:cs="Times New Roman"/>
                <w:szCs w:val="21"/>
              </w:rPr>
              <w:t>≤</w:t>
            </w:r>
            <w:r>
              <w:rPr>
                <w:rFonts w:hint="eastAsia" w:ascii="宋体" w:hAnsi="宋体" w:cs="Times New Roman"/>
                <w:szCs w:val="21"/>
                <w:lang w:val="en-US" w:eastAsia="zh-CN"/>
              </w:rPr>
              <w:t>40</w:t>
            </w:r>
            <w:r>
              <w:rPr>
                <w:rFonts w:ascii="宋体" w:hAnsi="宋体" w:cs="Times New Roman"/>
                <w:szCs w:val="21"/>
              </w:rPr>
              <w:t xml:space="preserve"> mg/Nm3</w:t>
            </w:r>
          </w:p>
        </w:tc>
        <w:tc>
          <w:tcPr>
            <w:tcW w:w="3250" w:type="dxa"/>
            <w:vMerge w:val="restart"/>
            <w:vAlign w:val="center"/>
          </w:tcPr>
          <w:p w14:paraId="4FB603CE">
            <w:pPr>
              <w:ind w:firstLine="420" w:firstLineChars="200"/>
              <w:rPr>
                <w:rFonts w:ascii="宋体" w:hAnsi="宋体" w:cs="Times New Roman"/>
                <w:szCs w:val="21"/>
              </w:rPr>
            </w:pPr>
            <w:r>
              <w:rPr>
                <w:rFonts w:hint="eastAsia" w:ascii="宋体" w:hAnsi="宋体" w:cs="Times New Roman"/>
                <w:szCs w:val="21"/>
              </w:rPr>
              <w:t>1、以业主烟囱出口固定污染源烟气排放连续监测系统（CEMS）的报表中的小时均值作为考核值。</w:t>
            </w:r>
          </w:p>
          <w:p w14:paraId="0E8446C8">
            <w:pPr>
              <w:ind w:firstLine="420" w:firstLineChars="200"/>
              <w:rPr>
                <w:rFonts w:hint="eastAsia" w:ascii="宋体" w:hAnsi="宋体" w:cs="Times New Roman"/>
                <w:szCs w:val="21"/>
              </w:rPr>
            </w:pPr>
            <w:r>
              <w:rPr>
                <w:rFonts w:hint="eastAsia" w:ascii="宋体" w:hAnsi="宋体" w:cs="Times New Roman"/>
                <w:szCs w:val="21"/>
              </w:rPr>
              <w:t>2、小时均值都要达到保证值，基准氧含量</w:t>
            </w:r>
            <w:r>
              <w:rPr>
                <w:rFonts w:hint="eastAsia" w:ascii="宋体" w:hAnsi="宋体" w:cs="Times New Roman"/>
                <w:szCs w:val="21"/>
                <w:lang w:val="en-US" w:eastAsia="zh-CN"/>
              </w:rPr>
              <w:t>11</w:t>
            </w:r>
            <w:r>
              <w:rPr>
                <w:rFonts w:hint="eastAsia" w:ascii="宋体" w:hAnsi="宋体" w:cs="Times New Roman"/>
                <w:szCs w:val="21"/>
              </w:rPr>
              <w:t>%。</w:t>
            </w:r>
          </w:p>
          <w:p w14:paraId="13754724">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3、SCR反应温度</w:t>
            </w:r>
            <w:r>
              <w:rPr>
                <w:rFonts w:hint="default" w:ascii="宋体" w:hAnsi="宋体" w:cs="Times New Roman"/>
                <w:szCs w:val="21"/>
                <w:lang w:val="en-US" w:eastAsia="zh-CN"/>
              </w:rPr>
              <w:t>≤</w:t>
            </w:r>
            <w:r>
              <w:rPr>
                <w:rFonts w:hint="eastAsia" w:ascii="宋体" w:hAnsi="宋体" w:cs="Times New Roman"/>
                <w:szCs w:val="21"/>
                <w:lang w:val="en-US" w:eastAsia="zh-CN"/>
              </w:rPr>
              <w:t>155℃（投标人承诺）</w:t>
            </w:r>
          </w:p>
        </w:tc>
        <w:tc>
          <w:tcPr>
            <w:tcW w:w="1067" w:type="dxa"/>
            <w:vMerge w:val="restart"/>
          </w:tcPr>
          <w:p w14:paraId="3F1A12A7">
            <w:pPr>
              <w:ind w:firstLine="0" w:firstLineChars="0"/>
              <w:rPr>
                <w:rFonts w:hint="default" w:ascii="宋体" w:hAnsi="宋体" w:cs="Times New Roman"/>
                <w:szCs w:val="21"/>
                <w:lang w:val="en-US" w:eastAsia="zh-CN"/>
              </w:rPr>
            </w:pPr>
            <w:r>
              <w:rPr>
                <w:rFonts w:hint="eastAsia" w:ascii="宋体" w:hAnsi="宋体" w:cs="Times New Roman"/>
                <w:szCs w:val="21"/>
                <w:lang w:val="en-US" w:eastAsia="zh-CN"/>
              </w:rPr>
              <w:t>整体完成安装投运后，采购人在服务期内进行随机检测，投标人均需满足此项指标。</w:t>
            </w:r>
          </w:p>
        </w:tc>
        <w:tc>
          <w:tcPr>
            <w:tcW w:w="1152" w:type="dxa"/>
            <w:vMerge w:val="restart"/>
            <w:vAlign w:val="center"/>
          </w:tcPr>
          <w:p w14:paraId="6BF587D3">
            <w:pPr>
              <w:ind w:firstLine="0" w:firstLineChars="0"/>
              <w:rPr>
                <w:rFonts w:hint="default" w:ascii="宋体" w:hAnsi="宋体" w:cs="Times New Roman"/>
                <w:szCs w:val="21"/>
                <w:lang w:val="en-US" w:eastAsia="zh-CN"/>
              </w:rPr>
            </w:pPr>
            <w:r>
              <w:rPr>
                <w:rFonts w:hint="eastAsia" w:ascii="宋体" w:hAnsi="宋体" w:cs="Times New Roman"/>
                <w:szCs w:val="21"/>
                <w:lang w:val="en-US" w:eastAsia="zh-CN"/>
              </w:rPr>
              <w:t>测试不合格，视投标人为虚假应标，扣除其履约保证金</w:t>
            </w:r>
          </w:p>
        </w:tc>
      </w:tr>
      <w:tr w14:paraId="1931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22" w:type="dxa"/>
            <w:vAlign w:val="center"/>
          </w:tcPr>
          <w:p w14:paraId="0A8D2E97">
            <w:pPr>
              <w:ind w:firstLine="420" w:firstLineChars="200"/>
              <w:rPr>
                <w:rFonts w:ascii="宋体" w:hAnsi="宋体" w:cs="Times New Roman"/>
                <w:szCs w:val="21"/>
              </w:rPr>
            </w:pPr>
            <w:r>
              <w:rPr>
                <w:rFonts w:hint="eastAsia" w:ascii="宋体" w:hAnsi="宋体" w:cs="Times New Roman"/>
                <w:szCs w:val="21"/>
              </w:rPr>
              <w:t>2</w:t>
            </w:r>
          </w:p>
        </w:tc>
        <w:tc>
          <w:tcPr>
            <w:tcW w:w="1569" w:type="dxa"/>
            <w:vAlign w:val="center"/>
          </w:tcPr>
          <w:p w14:paraId="5589FFB3">
            <w:pPr>
              <w:ind w:firstLine="0" w:firstLineChars="0"/>
              <w:rPr>
                <w:rFonts w:hint="eastAsia" w:ascii="宋体" w:hAnsi="宋体" w:cs="Times New Roman"/>
                <w:szCs w:val="21"/>
                <w:lang w:val="en-US" w:eastAsia="zh-CN"/>
              </w:rPr>
            </w:pPr>
            <w:r>
              <w:rPr>
                <w:rFonts w:hint="eastAsia" w:ascii="宋体" w:hAnsi="宋体" w:cs="Times New Roman"/>
                <w:szCs w:val="21"/>
                <w:lang w:val="en-US" w:eastAsia="zh-CN"/>
              </w:rPr>
              <w:t>烟气脱硝装置出口烟气氨逃逸率</w:t>
            </w:r>
          </w:p>
        </w:tc>
        <w:tc>
          <w:tcPr>
            <w:tcW w:w="1500" w:type="dxa"/>
            <w:vAlign w:val="center"/>
          </w:tcPr>
          <w:p w14:paraId="0A3CCECD">
            <w:pPr>
              <w:ind w:firstLine="420" w:firstLineChars="200"/>
              <w:rPr>
                <w:rFonts w:ascii="宋体" w:hAnsi="宋体" w:cs="Times New Roman"/>
                <w:szCs w:val="21"/>
              </w:rPr>
            </w:pPr>
            <w:r>
              <w:rPr>
                <w:rFonts w:hint="eastAsia" w:ascii="宋体" w:hAnsi="宋体" w:cs="Times New Roman"/>
                <w:szCs w:val="21"/>
              </w:rPr>
              <w:t>≤8mg/m3</w:t>
            </w:r>
          </w:p>
        </w:tc>
        <w:tc>
          <w:tcPr>
            <w:tcW w:w="3250" w:type="dxa"/>
            <w:vMerge w:val="continue"/>
            <w:vAlign w:val="center"/>
          </w:tcPr>
          <w:p w14:paraId="1B223F6B">
            <w:pPr>
              <w:ind w:firstLine="420" w:firstLineChars="200"/>
              <w:rPr>
                <w:rFonts w:ascii="宋体" w:hAnsi="宋体" w:cs="Times New Roman"/>
                <w:szCs w:val="21"/>
              </w:rPr>
            </w:pPr>
          </w:p>
        </w:tc>
        <w:tc>
          <w:tcPr>
            <w:tcW w:w="1067" w:type="dxa"/>
            <w:vMerge w:val="continue"/>
          </w:tcPr>
          <w:p w14:paraId="3539F8BB">
            <w:pPr>
              <w:ind w:firstLine="420" w:firstLineChars="200"/>
              <w:rPr>
                <w:rFonts w:hint="eastAsia" w:ascii="宋体" w:hAnsi="宋体" w:cs="Times New Roman"/>
                <w:szCs w:val="21"/>
                <w:lang w:val="en-US" w:eastAsia="zh-CN"/>
              </w:rPr>
            </w:pPr>
          </w:p>
        </w:tc>
        <w:tc>
          <w:tcPr>
            <w:tcW w:w="1152" w:type="dxa"/>
            <w:vMerge w:val="continue"/>
            <w:vAlign w:val="center"/>
          </w:tcPr>
          <w:p w14:paraId="5D910945">
            <w:pPr>
              <w:ind w:firstLine="420" w:firstLineChars="200"/>
              <w:rPr>
                <w:rFonts w:ascii="宋体" w:hAnsi="宋体" w:cs="Times New Roman"/>
                <w:szCs w:val="21"/>
              </w:rPr>
            </w:pPr>
          </w:p>
        </w:tc>
      </w:tr>
      <w:tr w14:paraId="3E7C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22" w:type="dxa"/>
            <w:vAlign w:val="center"/>
          </w:tcPr>
          <w:p w14:paraId="06803AFC">
            <w:pPr>
              <w:tabs>
                <w:tab w:val="center" w:pos="153"/>
              </w:tabs>
              <w:ind w:firstLine="420" w:firstLineChars="200"/>
              <w:rPr>
                <w:rFonts w:hint="eastAsia" w:ascii="宋体" w:hAnsi="宋体" w:cs="Times New Roman"/>
                <w:szCs w:val="21"/>
                <w:lang w:eastAsia="zh-CN"/>
              </w:rPr>
            </w:pPr>
            <w:r>
              <w:rPr>
                <w:rFonts w:hint="eastAsia" w:ascii="宋体" w:hAnsi="宋体" w:cs="Times New Roman"/>
                <w:szCs w:val="21"/>
                <w:lang w:val="en-US" w:eastAsia="zh-CN"/>
              </w:rPr>
              <w:tab/>
            </w:r>
            <w:r>
              <w:rPr>
                <w:rFonts w:hint="eastAsia" w:ascii="宋体" w:hAnsi="宋体" w:cs="Times New Roman"/>
                <w:szCs w:val="21"/>
                <w:lang w:val="en-US" w:eastAsia="zh-CN"/>
              </w:rPr>
              <w:t>3</w:t>
            </w:r>
          </w:p>
        </w:tc>
        <w:tc>
          <w:tcPr>
            <w:tcW w:w="1569" w:type="dxa"/>
            <w:vAlign w:val="center"/>
          </w:tcPr>
          <w:p w14:paraId="48C131F1">
            <w:pPr>
              <w:ind w:firstLine="0" w:firstLineChars="0"/>
              <w:rPr>
                <w:rFonts w:hint="eastAsia" w:ascii="宋体" w:hAnsi="宋体" w:cs="Times New Roman"/>
                <w:szCs w:val="21"/>
                <w:lang w:val="en-US" w:eastAsia="zh-CN"/>
              </w:rPr>
            </w:pPr>
            <w:r>
              <w:rPr>
                <w:rFonts w:hint="eastAsia" w:ascii="宋体" w:hAnsi="宋体" w:cs="Times New Roman"/>
                <w:szCs w:val="21"/>
                <w:lang w:val="en-US" w:eastAsia="zh-CN"/>
              </w:rPr>
              <w:t>脱硝段催化剂阻力</w:t>
            </w:r>
          </w:p>
        </w:tc>
        <w:tc>
          <w:tcPr>
            <w:tcW w:w="1500" w:type="dxa"/>
            <w:vAlign w:val="center"/>
          </w:tcPr>
          <w:p w14:paraId="767FC3F1">
            <w:pPr>
              <w:ind w:firstLine="420" w:firstLineChars="200"/>
              <w:rPr>
                <w:rFonts w:ascii="宋体" w:hAnsi="宋体" w:cs="Times New Roman"/>
                <w:szCs w:val="21"/>
              </w:rPr>
            </w:pPr>
            <w:r>
              <w:rPr>
                <w:rFonts w:hint="eastAsia" w:ascii="宋体" w:hAnsi="宋体" w:cs="Times New Roman"/>
                <w:szCs w:val="21"/>
              </w:rPr>
              <w:t>≤</w:t>
            </w:r>
            <w:r>
              <w:rPr>
                <w:rFonts w:hint="eastAsia" w:ascii="宋体" w:hAnsi="宋体" w:cs="Times New Roman"/>
                <w:szCs w:val="21"/>
                <w:lang w:val="en-US" w:eastAsia="zh-CN"/>
              </w:rPr>
              <w:t>80</w:t>
            </w:r>
            <w:r>
              <w:rPr>
                <w:rFonts w:hint="eastAsia" w:ascii="宋体" w:hAnsi="宋体" w:cs="Times New Roman"/>
                <w:szCs w:val="21"/>
              </w:rPr>
              <w:t>0Pa</w:t>
            </w:r>
          </w:p>
        </w:tc>
        <w:tc>
          <w:tcPr>
            <w:tcW w:w="3250" w:type="dxa"/>
            <w:vAlign w:val="center"/>
          </w:tcPr>
          <w:p w14:paraId="633183CC">
            <w:pPr>
              <w:ind w:firstLine="0" w:firstLineChars="0"/>
              <w:rPr>
                <w:rFonts w:ascii="宋体" w:hAnsi="宋体" w:cs="Times New Roman"/>
                <w:szCs w:val="21"/>
              </w:rPr>
            </w:pPr>
            <w:r>
              <w:rPr>
                <w:rFonts w:hint="eastAsia" w:ascii="宋体" w:hAnsi="宋体" w:cs="Times New Roman"/>
                <w:szCs w:val="21"/>
              </w:rPr>
              <w:t>1、</w:t>
            </w:r>
            <w:r>
              <w:rPr>
                <w:rFonts w:hint="eastAsia" w:ascii="宋体" w:hAnsi="宋体" w:cs="Times New Roman"/>
                <w:szCs w:val="21"/>
                <w:lang w:eastAsia="zh-CN"/>
              </w:rPr>
              <w:t>在催化剂层入口、出口检测孔的人工</w:t>
            </w:r>
            <w:r>
              <w:rPr>
                <w:rFonts w:hint="eastAsia" w:ascii="宋体" w:hAnsi="宋体" w:cs="Times New Roman"/>
                <w:szCs w:val="21"/>
              </w:rPr>
              <w:t>检测数据为准；</w:t>
            </w:r>
          </w:p>
          <w:p w14:paraId="60D3EEB7">
            <w:pPr>
              <w:ind w:firstLine="0" w:firstLineChars="0"/>
              <w:rPr>
                <w:rFonts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、阻力=入口压力-出口压力；</w:t>
            </w:r>
          </w:p>
          <w:p w14:paraId="59AD5059">
            <w:pPr>
              <w:ind w:firstLine="420" w:firstLineChars="200"/>
              <w:rPr>
                <w:rFonts w:ascii="宋体" w:hAnsi="宋体" w:cs="Times New Roman"/>
                <w:szCs w:val="21"/>
              </w:rPr>
            </w:pPr>
          </w:p>
        </w:tc>
        <w:tc>
          <w:tcPr>
            <w:tcW w:w="1067" w:type="dxa"/>
          </w:tcPr>
          <w:p w14:paraId="23CA2F2D">
            <w:pPr>
              <w:ind w:firstLine="0" w:firstLineChars="0"/>
              <w:rPr>
                <w:rFonts w:hint="eastAsia" w:ascii="宋体" w:hAnsi="宋体" w:cs="Times New Roman"/>
                <w:szCs w:val="21"/>
                <w:lang w:val="en-US" w:eastAsia="zh-CN"/>
              </w:rPr>
            </w:pPr>
            <w:r>
              <w:rPr>
                <w:rFonts w:hint="eastAsia" w:ascii="宋体" w:hAnsi="宋体" w:cs="Times New Roman"/>
                <w:szCs w:val="21"/>
                <w:lang w:val="en-US" w:eastAsia="zh-CN"/>
              </w:rPr>
              <w:t>投标人均需满足此项指标。</w:t>
            </w:r>
          </w:p>
        </w:tc>
        <w:tc>
          <w:tcPr>
            <w:tcW w:w="1152" w:type="dxa"/>
            <w:vAlign w:val="center"/>
          </w:tcPr>
          <w:p w14:paraId="43EF9806">
            <w:pPr>
              <w:ind w:firstLine="420" w:firstLineChars="200"/>
              <w:rPr>
                <w:rFonts w:ascii="宋体" w:hAnsi="宋体" w:cs="Times New Roman"/>
                <w:szCs w:val="21"/>
              </w:rPr>
            </w:pPr>
          </w:p>
        </w:tc>
      </w:tr>
    </w:tbl>
    <w:p w14:paraId="7AEE4814">
      <w:pPr>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备注：性能考核期间的烟气量尽量以设计值为基准，但受实际工况影响时，可按实际生产工况的流量进行性能测试或考核。</w:t>
      </w:r>
    </w:p>
    <w:p w14:paraId="47C0560F">
      <w:pPr>
        <w:ind w:firstLine="420" w:firstLineChars="200"/>
        <w:rPr>
          <w:rFonts w:hint="default" w:ascii="宋体" w:hAnsi="宋体" w:cs="Times New Roman"/>
          <w:szCs w:val="21"/>
          <w:lang w:val="en-US" w:eastAsia="zh-CN"/>
        </w:rPr>
      </w:pPr>
    </w:p>
    <w:p w14:paraId="3F86BA6F">
      <w:pPr>
        <w:ind w:firstLine="420" w:firstLineChars="200"/>
        <w:rPr>
          <w:rFonts w:hint="eastAsia" w:ascii="宋体" w:hAnsi="宋体" w:cs="Times New Roman"/>
          <w:szCs w:val="21"/>
        </w:rPr>
      </w:pPr>
      <w:r>
        <w:rPr>
          <w:rFonts w:hint="eastAsia" w:ascii="宋体" w:hAnsi="宋体" w:cs="Times New Roman"/>
          <w:szCs w:val="21"/>
        </w:rPr>
        <w:t>11 综合进度</w:t>
      </w:r>
    </w:p>
    <w:p w14:paraId="1EBD930D">
      <w:pPr>
        <w:ind w:firstLine="420" w:firstLineChars="200"/>
        <w:rPr>
          <w:rFonts w:hint="eastAsia" w:ascii="宋体" w:hAnsi="宋体" w:cs="Times New Roman"/>
          <w:szCs w:val="21"/>
        </w:rPr>
      </w:pPr>
      <w:r>
        <w:rPr>
          <w:rFonts w:hint="eastAsia" w:ascii="宋体" w:hAnsi="宋体" w:cs="Times New Roman"/>
          <w:szCs w:val="21"/>
          <w:lang w:eastAsia="zh-CN"/>
        </w:rPr>
        <w:t>投标人</w:t>
      </w:r>
      <w:r>
        <w:rPr>
          <w:rFonts w:hint="eastAsia" w:ascii="宋体" w:hAnsi="宋体" w:cs="Times New Roman"/>
          <w:szCs w:val="21"/>
        </w:rPr>
        <w:t>制订合理的设备设计、制造、交付、安装及调试的进度表提供给</w:t>
      </w:r>
      <w:r>
        <w:rPr>
          <w:rFonts w:hint="eastAsia" w:ascii="宋体" w:hAnsi="宋体" w:cs="Times New Roman"/>
          <w:szCs w:val="21"/>
          <w:lang w:eastAsia="zh-CN"/>
        </w:rPr>
        <w:t>采购人</w:t>
      </w:r>
      <w:r>
        <w:rPr>
          <w:rFonts w:hint="eastAsia" w:ascii="宋体" w:hAnsi="宋体" w:cs="Times New Roman"/>
          <w:szCs w:val="21"/>
        </w:rPr>
        <w:t>。</w:t>
      </w:r>
    </w:p>
    <w:p w14:paraId="44AAE962">
      <w:pPr>
        <w:ind w:firstLine="420" w:firstLineChars="200"/>
        <w:rPr>
          <w:rFonts w:hint="eastAsia" w:ascii="宋体" w:hAnsi="宋体" w:cs="Times New Roman"/>
          <w:szCs w:val="21"/>
        </w:rPr>
      </w:pPr>
    </w:p>
    <w:p w14:paraId="5DB5AB72">
      <w:pPr>
        <w:ind w:firstLine="420" w:firstLineChars="200"/>
        <w:rPr>
          <w:rFonts w:hint="eastAsia" w:ascii="宋体" w:hAnsi="宋体" w:cs="Times New Roman"/>
          <w:szCs w:val="21"/>
        </w:rPr>
      </w:pPr>
    </w:p>
    <w:p w14:paraId="6A7C7BAA">
      <w:pPr>
        <w:ind w:firstLine="420" w:firstLineChars="200"/>
        <w:rPr>
          <w:rFonts w:hint="eastAsia" w:ascii="宋体" w:hAnsi="宋体" w:cs="Times New Roman"/>
          <w:szCs w:val="21"/>
        </w:rPr>
      </w:pPr>
    </w:p>
    <w:p w14:paraId="0D2F0F37">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附件：</w:t>
      </w:r>
    </w:p>
    <w:p w14:paraId="1261013B">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海心沙环保热电厂SCR设备图</w:t>
      </w:r>
    </w:p>
    <w:p w14:paraId="28844DDC">
      <w:pPr>
        <w:ind w:firstLine="420" w:firstLineChars="200"/>
        <w:rPr>
          <w:rFonts w:ascii="宋体" w:hAnsi="宋体" w:cs="Times New Roman"/>
          <w:szCs w:val="21"/>
        </w:rPr>
      </w:pPr>
      <w:r>
        <w:rPr>
          <w:rFonts w:hint="eastAsia" w:ascii="宋体" w:hAnsi="宋体" w:cs="Times New Roman"/>
          <w:szCs w:val="21"/>
          <w:lang w:val="en-US" w:eastAsia="zh-CN"/>
        </w:rPr>
        <w:t>海心沙环保热电厂项目原催化剂参数表（仅供参考）</w:t>
      </w:r>
    </w:p>
    <w:p w14:paraId="2E09901A">
      <w:pPr>
        <w:rPr>
          <w:rFonts w:ascii="宋体" w:hAnsi="宋体" w:cs="宋体"/>
        </w:rPr>
      </w:pPr>
    </w:p>
    <w:p w14:paraId="712986D4">
      <w:pPr>
        <w:rPr>
          <w:rFonts w:ascii="宋体" w:hAnsi="宋体" w:cs="宋体"/>
        </w:rPr>
      </w:pPr>
    </w:p>
    <w:p w14:paraId="1D99548A">
      <w:pPr>
        <w:pStyle w:val="2"/>
        <w:ind w:left="0"/>
        <w:rPr>
          <w:lang w:val="en-US"/>
        </w:rPr>
      </w:pPr>
    </w:p>
    <w:p w14:paraId="2521A85C">
      <w:pPr>
        <w:ind w:firstLine="420" w:firstLineChars="200"/>
        <w:rPr>
          <w:rFonts w:ascii="宋体" w:hAnsi="宋体" w:cs="Times New Roman"/>
          <w:szCs w:val="21"/>
        </w:rPr>
      </w:pPr>
    </w:p>
    <w:p w14:paraId="76327327">
      <w:pPr>
        <w:ind w:firstLine="420" w:firstLineChars="200"/>
        <w:rPr>
          <w:rFonts w:ascii="宋体" w:hAnsi="宋体" w:cs="Times New Roman"/>
          <w:szCs w:val="21"/>
        </w:rPr>
      </w:pPr>
    </w:p>
    <w:p w14:paraId="1EDB5327">
      <w:pPr>
        <w:ind w:firstLine="420" w:firstLineChars="200"/>
        <w:rPr>
          <w:rFonts w:ascii="宋体" w:hAnsi="宋体" w:cs="Times New Roman"/>
          <w:szCs w:val="21"/>
        </w:rPr>
      </w:pPr>
    </w:p>
    <w:p w14:paraId="3ED276B2">
      <w:pPr>
        <w:ind w:firstLine="420" w:firstLineChars="200"/>
        <w:rPr>
          <w:rFonts w:ascii="宋体" w:hAnsi="宋体" w:cs="Times New Roman"/>
          <w:szCs w:val="21"/>
        </w:rPr>
      </w:pPr>
    </w:p>
    <w:p w14:paraId="0E132821">
      <w:pPr>
        <w:ind w:firstLine="420" w:firstLineChars="200"/>
        <w:rPr>
          <w:rFonts w:ascii="宋体" w:hAnsi="宋体" w:cs="Times New Roman"/>
          <w:szCs w:val="21"/>
        </w:rPr>
      </w:pPr>
    </w:p>
    <w:p w14:paraId="61277855"/>
    <w:bookmarkEnd w:id="8"/>
    <w:bookmarkEnd w:id="9"/>
    <w:bookmarkEnd w:id="10"/>
    <w:bookmarkEnd w:id="11"/>
    <w:p w14:paraId="51F525CE">
      <w:pPr>
        <w:rPr>
          <w:sz w:val="28"/>
          <w:szCs w:val="28"/>
        </w:rPr>
      </w:pPr>
      <w:r>
        <w:rPr>
          <w:rFonts w:hint="eastAsia"/>
          <w:sz w:val="28"/>
          <w:szCs w:val="28"/>
        </w:rPr>
        <w:br w:type="page"/>
      </w:r>
    </w:p>
    <w:p w14:paraId="6769587A">
      <w:pPr>
        <w:pStyle w:val="4"/>
        <w:spacing w:before="0" w:after="0" w:line="240" w:lineRule="auto"/>
        <w:rPr>
          <w:sz w:val="24"/>
          <w:szCs w:val="24"/>
        </w:rPr>
      </w:pPr>
      <w:bookmarkStart w:id="14" w:name="_Toc31595"/>
      <w:r>
        <w:rPr>
          <w:rFonts w:hint="eastAsia"/>
          <w:sz w:val="28"/>
          <w:szCs w:val="28"/>
        </w:rPr>
        <w:t>第四部分投标人须知</w:t>
      </w:r>
      <w:bookmarkEnd w:id="14"/>
    </w:p>
    <w:p w14:paraId="20E58208">
      <w:pPr>
        <w:pStyle w:val="5"/>
        <w:numPr>
          <w:ilvl w:val="0"/>
          <w:numId w:val="1"/>
        </w:numPr>
        <w:spacing w:before="0" w:after="0" w:line="480" w:lineRule="auto"/>
        <w:jc w:val="center"/>
        <w:rPr>
          <w:rFonts w:ascii="宋体" w:hAnsi="宋体"/>
        </w:rPr>
      </w:pPr>
      <w:bookmarkStart w:id="15" w:name="_Toc25201"/>
      <w:r>
        <w:rPr>
          <w:rFonts w:hint="eastAsia" w:ascii="宋体" w:hAnsi="宋体"/>
        </w:rPr>
        <w:t>说明</w:t>
      </w:r>
      <w:bookmarkEnd w:id="15"/>
    </w:p>
    <w:p w14:paraId="1644B210">
      <w:pPr>
        <w:pStyle w:val="6"/>
        <w:widowControl w:val="0"/>
        <w:numPr>
          <w:ilvl w:val="0"/>
          <w:numId w:val="2"/>
        </w:numPr>
        <w:overflowPunct w:val="0"/>
        <w:rPr>
          <w:rFonts w:ascii="宋体" w:hAnsi="宋体" w:cs="宋体"/>
          <w:sz w:val="21"/>
          <w:szCs w:val="21"/>
        </w:rPr>
      </w:pPr>
      <w:bookmarkStart w:id="16" w:name="_Toc3534"/>
      <w:bookmarkStart w:id="17" w:name="_Toc18690"/>
      <w:r>
        <w:rPr>
          <w:rFonts w:hint="eastAsia" w:ascii="宋体" w:hAnsi="宋体" w:cs="宋体"/>
          <w:sz w:val="21"/>
          <w:szCs w:val="21"/>
        </w:rPr>
        <w:t>适用范围</w:t>
      </w:r>
      <w:bookmarkEnd w:id="16"/>
      <w:bookmarkEnd w:id="17"/>
    </w:p>
    <w:p w14:paraId="24040425">
      <w:pPr>
        <w:widowControl w:val="0"/>
        <w:numPr>
          <w:ilvl w:val="1"/>
          <w:numId w:val="2"/>
        </w:numPr>
        <w:overflowPunct w:val="0"/>
        <w:rPr>
          <w:rFonts w:ascii="宋体" w:hAnsi="宋体" w:cs="宋体"/>
          <w:szCs w:val="21"/>
        </w:rPr>
      </w:pPr>
      <w:r>
        <w:rPr>
          <w:rFonts w:hint="eastAsia" w:ascii="宋体" w:hAnsi="宋体" w:cs="宋体"/>
          <w:szCs w:val="21"/>
        </w:rPr>
        <w:t>采购范围：见本文件《用户需求书》</w:t>
      </w:r>
    </w:p>
    <w:p w14:paraId="47E21533">
      <w:pPr>
        <w:rPr>
          <w:rFonts w:ascii="宋体" w:hAnsi="宋体" w:cs="宋体"/>
        </w:rPr>
      </w:pPr>
    </w:p>
    <w:p w14:paraId="1F9F657D">
      <w:pPr>
        <w:pStyle w:val="6"/>
        <w:widowControl w:val="0"/>
        <w:numPr>
          <w:ilvl w:val="0"/>
          <w:numId w:val="2"/>
        </w:numPr>
        <w:overflowPunct w:val="0"/>
        <w:rPr>
          <w:rFonts w:ascii="宋体" w:hAnsi="宋体" w:cs="宋体"/>
          <w:sz w:val="21"/>
          <w:szCs w:val="21"/>
        </w:rPr>
      </w:pPr>
      <w:bookmarkStart w:id="18" w:name="_Toc298847174"/>
      <w:bookmarkStart w:id="19" w:name="_Toc20286"/>
      <w:bookmarkStart w:id="20" w:name="_Toc303084246"/>
      <w:bookmarkStart w:id="21" w:name="_Toc382049092"/>
      <w:bookmarkStart w:id="22" w:name="_Toc28435"/>
      <w:bookmarkStart w:id="23" w:name="_Toc1530"/>
      <w:r>
        <w:rPr>
          <w:rFonts w:hint="eastAsia" w:ascii="宋体" w:hAnsi="宋体" w:cs="宋体"/>
          <w:sz w:val="21"/>
          <w:szCs w:val="21"/>
        </w:rPr>
        <w:t>定义</w:t>
      </w:r>
      <w:bookmarkEnd w:id="18"/>
      <w:bookmarkEnd w:id="19"/>
      <w:bookmarkEnd w:id="20"/>
      <w:bookmarkEnd w:id="21"/>
      <w:bookmarkEnd w:id="22"/>
      <w:bookmarkEnd w:id="23"/>
    </w:p>
    <w:p w14:paraId="29E6A5EE">
      <w:pPr>
        <w:pStyle w:val="42"/>
        <w:widowControl w:val="0"/>
        <w:adjustRightInd/>
        <w:snapToGrid/>
        <w:ind w:left="425" w:hanging="425" w:firstLineChars="0"/>
        <w:jc w:val="both"/>
        <w:rPr>
          <w:rFonts w:ascii="宋体" w:hAnsi="宋体" w:cs="宋体"/>
          <w:vanish/>
          <w:szCs w:val="21"/>
        </w:rPr>
      </w:pPr>
    </w:p>
    <w:p w14:paraId="3B16D812">
      <w:pPr>
        <w:widowControl w:val="0"/>
        <w:numPr>
          <w:ilvl w:val="1"/>
          <w:numId w:val="2"/>
        </w:numPr>
        <w:overflowPunct w:val="0"/>
        <w:rPr>
          <w:rFonts w:ascii="宋体" w:hAnsi="宋体" w:cs="宋体"/>
          <w:szCs w:val="21"/>
        </w:rPr>
      </w:pPr>
      <w:r>
        <w:rPr>
          <w:rFonts w:hint="eastAsia" w:ascii="宋体" w:hAnsi="宋体" w:cs="宋体"/>
          <w:szCs w:val="21"/>
        </w:rPr>
        <w:t>采购人：见投标邀请书。</w:t>
      </w:r>
    </w:p>
    <w:p w14:paraId="49981F95">
      <w:pPr>
        <w:widowControl w:val="0"/>
        <w:numPr>
          <w:ilvl w:val="1"/>
          <w:numId w:val="2"/>
        </w:numPr>
        <w:overflowPunct w:val="0"/>
        <w:rPr>
          <w:rFonts w:ascii="宋体" w:hAnsi="宋体" w:cs="宋体"/>
          <w:szCs w:val="21"/>
        </w:rPr>
      </w:pPr>
      <w:r>
        <w:rPr>
          <w:rFonts w:hint="eastAsia" w:ascii="宋体" w:hAnsi="宋体" w:cs="宋体"/>
          <w:szCs w:val="21"/>
        </w:rPr>
        <w:t>投标人：响应采购并且符合采购文件规定资格条件和参加投标竞争的法人、其他组织或者自然人。</w:t>
      </w:r>
    </w:p>
    <w:p w14:paraId="3BC08D26">
      <w:pPr>
        <w:widowControl w:val="0"/>
        <w:numPr>
          <w:ilvl w:val="1"/>
          <w:numId w:val="2"/>
        </w:numPr>
        <w:overflowPunct w:val="0"/>
        <w:rPr>
          <w:rFonts w:ascii="宋体" w:hAnsi="宋体" w:cs="宋体"/>
          <w:szCs w:val="21"/>
        </w:rPr>
      </w:pPr>
      <w:r>
        <w:rPr>
          <w:rFonts w:hint="eastAsia" w:ascii="宋体" w:hAnsi="宋体" w:cs="宋体"/>
          <w:szCs w:val="21"/>
        </w:rPr>
        <w:t>法人：法人是依法在国内进行注册并具有民事权利能力和民事行为能力，依法独立享有民事权利和承担民事义务的组织。</w:t>
      </w:r>
    </w:p>
    <w:p w14:paraId="2ED2DA16">
      <w:pPr>
        <w:widowControl w:val="0"/>
        <w:numPr>
          <w:ilvl w:val="1"/>
          <w:numId w:val="2"/>
        </w:numPr>
        <w:overflowPunct w:val="0"/>
        <w:rPr>
          <w:rFonts w:ascii="宋体" w:hAnsi="宋体" w:cs="宋体"/>
          <w:szCs w:val="21"/>
        </w:rPr>
      </w:pPr>
      <w:r>
        <w:rPr>
          <w:rFonts w:hint="eastAsia" w:ascii="宋体" w:hAnsi="宋体" w:cs="宋体"/>
          <w:szCs w:val="21"/>
        </w:rPr>
        <w:t>中标人：指经评标委员会评审推荐、采购人确认的获得本项目中标资格的投标人。</w:t>
      </w:r>
    </w:p>
    <w:p w14:paraId="0A731D0C">
      <w:pPr>
        <w:widowControl w:val="0"/>
        <w:numPr>
          <w:ilvl w:val="1"/>
          <w:numId w:val="2"/>
        </w:numPr>
        <w:overflowPunct w:val="0"/>
        <w:rPr>
          <w:rFonts w:ascii="宋体" w:hAnsi="宋体" w:cs="宋体"/>
          <w:szCs w:val="21"/>
        </w:rPr>
      </w:pPr>
      <w:r>
        <w:rPr>
          <w:rFonts w:hint="eastAsia" w:ascii="宋体" w:hAnsi="宋体" w:cs="宋体"/>
          <w:szCs w:val="21"/>
        </w:rPr>
        <w:t>评标委员会：评标委员会是依据相关规定组建的专门负责本次采购其评标工作的临时性机构。</w:t>
      </w:r>
    </w:p>
    <w:p w14:paraId="4FE08733">
      <w:pPr>
        <w:widowControl w:val="0"/>
        <w:numPr>
          <w:ilvl w:val="1"/>
          <w:numId w:val="2"/>
        </w:numPr>
        <w:overflowPunct w:val="0"/>
        <w:rPr>
          <w:rFonts w:ascii="宋体" w:hAnsi="宋体" w:cs="宋体"/>
          <w:szCs w:val="21"/>
        </w:rPr>
      </w:pPr>
      <w:r>
        <w:rPr>
          <w:rFonts w:hint="eastAsia" w:ascii="宋体" w:hAnsi="宋体" w:cs="宋体"/>
          <w:szCs w:val="21"/>
        </w:rPr>
        <w:t>合同：指由本次采购所产生的合同或合约文件。</w:t>
      </w:r>
    </w:p>
    <w:p w14:paraId="7810F75E">
      <w:pPr>
        <w:widowControl w:val="0"/>
        <w:numPr>
          <w:ilvl w:val="1"/>
          <w:numId w:val="2"/>
        </w:numPr>
        <w:overflowPunct w:val="0"/>
        <w:rPr>
          <w:rFonts w:ascii="宋体" w:hAnsi="宋体" w:cs="宋体"/>
          <w:szCs w:val="21"/>
        </w:rPr>
      </w:pPr>
      <w:r>
        <w:rPr>
          <w:rFonts w:hint="eastAsia" w:ascii="宋体" w:hAnsi="宋体" w:cs="宋体"/>
          <w:szCs w:val="21"/>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779CB988">
      <w:pPr>
        <w:widowControl w:val="0"/>
        <w:numPr>
          <w:ilvl w:val="1"/>
          <w:numId w:val="2"/>
        </w:numPr>
        <w:overflowPunct w:val="0"/>
        <w:rPr>
          <w:rFonts w:ascii="宋体" w:hAnsi="宋体" w:cs="宋体"/>
          <w:szCs w:val="21"/>
        </w:rPr>
      </w:pPr>
      <w:r>
        <w:rPr>
          <w:rFonts w:hint="eastAsia" w:ascii="宋体" w:hAnsi="宋体" w:cs="宋体"/>
          <w:szCs w:val="21"/>
        </w:rPr>
        <w:t>时间：本文件规定按日计算期间的，开始当天不计入，从次日开始计算。期限的最后一日是国家法定节假日的，顺延到节假日后的次日为期限的最后一日。</w:t>
      </w:r>
    </w:p>
    <w:p w14:paraId="27AC960C">
      <w:pPr>
        <w:rPr>
          <w:rFonts w:ascii="宋体" w:hAnsi="宋体" w:cs="宋体"/>
        </w:rPr>
      </w:pPr>
    </w:p>
    <w:p w14:paraId="364A683C">
      <w:pPr>
        <w:pStyle w:val="6"/>
        <w:widowControl w:val="0"/>
        <w:numPr>
          <w:ilvl w:val="0"/>
          <w:numId w:val="2"/>
        </w:numPr>
        <w:overflowPunct w:val="0"/>
        <w:rPr>
          <w:rFonts w:ascii="宋体" w:hAnsi="宋体" w:cs="宋体"/>
          <w:sz w:val="21"/>
          <w:szCs w:val="21"/>
        </w:rPr>
      </w:pPr>
      <w:bookmarkStart w:id="24" w:name="_Toc11624"/>
      <w:bookmarkStart w:id="25" w:name="_Toc10625"/>
      <w:r>
        <w:rPr>
          <w:rFonts w:hint="eastAsia" w:ascii="宋体" w:hAnsi="宋体" w:cs="宋体"/>
          <w:sz w:val="21"/>
          <w:szCs w:val="21"/>
        </w:rPr>
        <w:t>货物和服务</w:t>
      </w:r>
      <w:bookmarkEnd w:id="24"/>
      <w:bookmarkEnd w:id="25"/>
    </w:p>
    <w:p w14:paraId="48AAD709">
      <w:pPr>
        <w:pStyle w:val="42"/>
        <w:widowControl w:val="0"/>
        <w:adjustRightInd/>
        <w:snapToGrid/>
        <w:ind w:left="425" w:hanging="425" w:firstLineChars="0"/>
        <w:jc w:val="both"/>
        <w:rPr>
          <w:rFonts w:ascii="宋体" w:hAnsi="宋体" w:cs="宋体"/>
          <w:vanish/>
          <w:szCs w:val="21"/>
        </w:rPr>
      </w:pPr>
    </w:p>
    <w:p w14:paraId="05BF23AA">
      <w:pPr>
        <w:widowControl w:val="0"/>
        <w:numPr>
          <w:ilvl w:val="1"/>
          <w:numId w:val="2"/>
        </w:numPr>
        <w:overflowPunct w:val="0"/>
        <w:rPr>
          <w:rFonts w:ascii="宋体" w:hAnsi="宋体" w:cs="宋体"/>
          <w:szCs w:val="21"/>
        </w:rPr>
      </w:pPr>
      <w:r>
        <w:rPr>
          <w:rFonts w:hint="eastAsia" w:ascii="宋体" w:hAnsi="宋体" w:cs="宋体"/>
          <w:szCs w:val="21"/>
        </w:rPr>
        <w:t>货物是指各种形态和种类的物品，包括原材料、燃料、设备、产品等。</w:t>
      </w:r>
    </w:p>
    <w:p w14:paraId="7842199F">
      <w:pPr>
        <w:widowControl w:val="0"/>
        <w:numPr>
          <w:ilvl w:val="1"/>
          <w:numId w:val="2"/>
        </w:numPr>
        <w:overflowPunct w:val="0"/>
        <w:rPr>
          <w:rFonts w:ascii="宋体" w:hAnsi="宋体" w:cs="宋体"/>
          <w:szCs w:val="21"/>
        </w:rPr>
      </w:pPr>
      <w:r>
        <w:rPr>
          <w:rFonts w:hint="eastAsia" w:ascii="宋体" w:hAnsi="宋体" w:cs="宋体"/>
          <w:szCs w:val="21"/>
        </w:rPr>
        <w:t>服务是指除货物和工程以外的其他采购对象。</w:t>
      </w:r>
    </w:p>
    <w:p w14:paraId="541F4E18">
      <w:pPr>
        <w:rPr>
          <w:rFonts w:ascii="宋体" w:hAnsi="宋体" w:cs="宋体"/>
        </w:rPr>
      </w:pPr>
    </w:p>
    <w:p w14:paraId="20F1F1C6">
      <w:pPr>
        <w:pStyle w:val="6"/>
        <w:widowControl w:val="0"/>
        <w:numPr>
          <w:ilvl w:val="0"/>
          <w:numId w:val="2"/>
        </w:numPr>
        <w:overflowPunct w:val="0"/>
        <w:rPr>
          <w:rFonts w:ascii="宋体" w:hAnsi="宋体" w:cs="宋体"/>
          <w:sz w:val="21"/>
          <w:szCs w:val="21"/>
        </w:rPr>
      </w:pPr>
      <w:bookmarkStart w:id="26" w:name="_Toc15719"/>
      <w:bookmarkStart w:id="27" w:name="_Toc1673"/>
      <w:r>
        <w:rPr>
          <w:rFonts w:hint="eastAsia" w:ascii="宋体" w:hAnsi="宋体" w:cs="宋体"/>
          <w:sz w:val="21"/>
          <w:szCs w:val="21"/>
        </w:rPr>
        <w:t>投标费用</w:t>
      </w:r>
      <w:bookmarkEnd w:id="26"/>
      <w:bookmarkEnd w:id="27"/>
    </w:p>
    <w:p w14:paraId="4ECD0712">
      <w:pPr>
        <w:pStyle w:val="42"/>
        <w:widowControl w:val="0"/>
        <w:adjustRightInd/>
        <w:snapToGrid/>
        <w:ind w:left="425" w:hanging="425" w:firstLineChars="0"/>
        <w:jc w:val="both"/>
        <w:rPr>
          <w:rFonts w:ascii="宋体" w:hAnsi="宋体" w:cs="宋体"/>
          <w:vanish/>
          <w:szCs w:val="21"/>
        </w:rPr>
      </w:pPr>
    </w:p>
    <w:p w14:paraId="554AB456">
      <w:pPr>
        <w:widowControl w:val="0"/>
        <w:numPr>
          <w:ilvl w:val="1"/>
          <w:numId w:val="2"/>
        </w:numPr>
        <w:overflowPunct w:val="0"/>
        <w:rPr>
          <w:rFonts w:ascii="宋体" w:hAnsi="宋体" w:cs="宋体"/>
          <w:szCs w:val="21"/>
        </w:rPr>
      </w:pPr>
      <w:r>
        <w:rPr>
          <w:rFonts w:hint="eastAsia" w:ascii="宋体" w:hAnsi="宋体" w:cs="宋体"/>
          <w:szCs w:val="21"/>
        </w:rPr>
        <w:t>投标人应承担所有与编写投标文件和参加投标有关的自身的所有费用，不论投标的结果如何，采购人在任何情况下均无义务和责任承担这些费用。</w:t>
      </w:r>
    </w:p>
    <w:p w14:paraId="65AB265F">
      <w:pPr>
        <w:widowControl w:val="0"/>
        <w:adjustRightInd/>
        <w:snapToGrid/>
        <w:jc w:val="both"/>
        <w:rPr>
          <w:rFonts w:ascii="宋体" w:hAnsi="宋体" w:cs="宋体"/>
          <w:szCs w:val="21"/>
        </w:rPr>
      </w:pPr>
    </w:p>
    <w:p w14:paraId="53A42803">
      <w:pPr>
        <w:pStyle w:val="6"/>
        <w:widowControl w:val="0"/>
        <w:numPr>
          <w:ilvl w:val="0"/>
          <w:numId w:val="2"/>
        </w:numPr>
        <w:overflowPunct w:val="0"/>
        <w:rPr>
          <w:rFonts w:ascii="宋体" w:hAnsi="宋体" w:cs="宋体"/>
          <w:sz w:val="21"/>
          <w:szCs w:val="21"/>
        </w:rPr>
      </w:pPr>
      <w:bookmarkStart w:id="28" w:name="_Toc6180"/>
      <w:bookmarkStart w:id="29" w:name="_Toc21477"/>
      <w:r>
        <w:rPr>
          <w:rFonts w:hint="eastAsia" w:ascii="宋体" w:hAnsi="宋体" w:cs="宋体"/>
          <w:sz w:val="21"/>
          <w:szCs w:val="21"/>
        </w:rPr>
        <w:t>知识产权</w:t>
      </w:r>
      <w:bookmarkEnd w:id="28"/>
      <w:bookmarkEnd w:id="29"/>
    </w:p>
    <w:p w14:paraId="19F37DA4">
      <w:pPr>
        <w:pStyle w:val="42"/>
        <w:widowControl w:val="0"/>
        <w:adjustRightInd/>
        <w:snapToGrid/>
        <w:ind w:left="425" w:hanging="425" w:firstLineChars="0"/>
        <w:jc w:val="both"/>
        <w:rPr>
          <w:rFonts w:ascii="宋体" w:hAnsi="宋体" w:cs="宋体"/>
          <w:vanish/>
          <w:szCs w:val="21"/>
        </w:rPr>
      </w:pPr>
    </w:p>
    <w:p w14:paraId="35891D30">
      <w:pPr>
        <w:widowControl w:val="0"/>
        <w:numPr>
          <w:ilvl w:val="1"/>
          <w:numId w:val="2"/>
        </w:numPr>
        <w:overflowPunct w:val="0"/>
        <w:rPr>
          <w:rFonts w:ascii="宋体" w:hAnsi="宋体" w:cs="宋体"/>
          <w:szCs w:val="21"/>
        </w:rPr>
      </w:pPr>
      <w:r>
        <w:rPr>
          <w:rFonts w:hint="eastAsia" w:ascii="宋体" w:hAnsi="宋体" w:cs="宋体"/>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7BEB12CC">
      <w:pPr>
        <w:widowControl w:val="0"/>
        <w:numPr>
          <w:ilvl w:val="1"/>
          <w:numId w:val="2"/>
        </w:numPr>
        <w:overflowPunct w:val="0"/>
        <w:rPr>
          <w:rFonts w:ascii="宋体" w:hAnsi="宋体" w:cs="宋体"/>
          <w:szCs w:val="21"/>
        </w:rPr>
      </w:pPr>
      <w:r>
        <w:rPr>
          <w:rFonts w:hint="eastAsia" w:ascii="宋体" w:hAnsi="宋体" w:cs="宋体"/>
          <w:szCs w:val="21"/>
        </w:rPr>
        <w:t>采购人享有本项目实施过程中产生的知识成果及知识产权。</w:t>
      </w:r>
    </w:p>
    <w:p w14:paraId="7517E442">
      <w:pPr>
        <w:widowControl w:val="0"/>
        <w:numPr>
          <w:ilvl w:val="1"/>
          <w:numId w:val="2"/>
        </w:numPr>
        <w:overflowPunct w:val="0"/>
        <w:rPr>
          <w:rFonts w:ascii="宋体" w:hAnsi="宋体" w:cs="宋体"/>
          <w:szCs w:val="21"/>
        </w:rPr>
      </w:pPr>
      <w:r>
        <w:rPr>
          <w:rFonts w:hint="eastAsia" w:ascii="宋体" w:hAnsi="宋体" w:cs="宋体"/>
          <w:szCs w:val="21"/>
        </w:rPr>
        <w:t>投标人如欲在项目实施过程中采用自有知识成果，需在投标文件中声明，并提供相关知识产权证明文件。使用该知识成果后，投标人需提供开发接口和开发手册等技术文档。</w:t>
      </w:r>
    </w:p>
    <w:p w14:paraId="577A054B">
      <w:pPr>
        <w:widowControl w:val="0"/>
        <w:numPr>
          <w:ilvl w:val="1"/>
          <w:numId w:val="2"/>
        </w:numPr>
        <w:overflowPunct w:val="0"/>
        <w:rPr>
          <w:rFonts w:ascii="宋体" w:hAnsi="宋体" w:cs="宋体"/>
          <w:szCs w:val="21"/>
        </w:rPr>
      </w:pPr>
      <w:r>
        <w:rPr>
          <w:rFonts w:hint="eastAsia" w:ascii="宋体" w:hAnsi="宋体" w:cs="宋体"/>
          <w:szCs w:val="21"/>
        </w:rPr>
        <w:t>采购货物为计算机办公设备时，投标人提供的产品必须是预装正版操作系统软件的计算机产品。</w:t>
      </w:r>
    </w:p>
    <w:p w14:paraId="2AD012A7">
      <w:pPr>
        <w:widowControl w:val="0"/>
        <w:adjustRightInd/>
        <w:snapToGrid/>
        <w:ind w:left="567"/>
        <w:jc w:val="both"/>
        <w:rPr>
          <w:rFonts w:ascii="宋体" w:hAnsi="宋体" w:cs="宋体"/>
          <w:szCs w:val="21"/>
        </w:rPr>
      </w:pPr>
    </w:p>
    <w:p w14:paraId="528B91B6">
      <w:pPr>
        <w:pStyle w:val="6"/>
        <w:widowControl w:val="0"/>
        <w:numPr>
          <w:ilvl w:val="0"/>
          <w:numId w:val="2"/>
        </w:numPr>
        <w:overflowPunct w:val="0"/>
        <w:rPr>
          <w:rFonts w:ascii="宋体" w:hAnsi="宋体" w:cs="宋体"/>
          <w:sz w:val="21"/>
          <w:szCs w:val="21"/>
        </w:rPr>
      </w:pPr>
      <w:bookmarkStart w:id="30" w:name="_Toc10603"/>
      <w:bookmarkStart w:id="31" w:name="_Toc3572"/>
      <w:r>
        <w:rPr>
          <w:rFonts w:hint="eastAsia" w:ascii="宋体" w:hAnsi="宋体" w:cs="宋体"/>
          <w:sz w:val="21"/>
          <w:szCs w:val="21"/>
        </w:rPr>
        <w:t>关于分支机构投标</w:t>
      </w:r>
      <w:bookmarkEnd w:id="30"/>
      <w:bookmarkEnd w:id="31"/>
    </w:p>
    <w:p w14:paraId="3EEDB29B">
      <w:pPr>
        <w:pStyle w:val="42"/>
        <w:widowControl w:val="0"/>
        <w:adjustRightInd/>
        <w:snapToGrid/>
        <w:ind w:left="425" w:hanging="425" w:firstLineChars="0"/>
        <w:jc w:val="both"/>
        <w:rPr>
          <w:rFonts w:ascii="宋体" w:hAnsi="宋体" w:cs="宋体"/>
          <w:vanish/>
          <w:szCs w:val="21"/>
        </w:rPr>
      </w:pPr>
      <w:bookmarkStart w:id="32" w:name="EB389f116341dd4693875bc7987e7327f3"/>
    </w:p>
    <w:p w14:paraId="0EEE85C0">
      <w:pPr>
        <w:widowControl w:val="0"/>
        <w:numPr>
          <w:ilvl w:val="1"/>
          <w:numId w:val="2"/>
        </w:numPr>
        <w:overflowPunct w:val="0"/>
        <w:rPr>
          <w:rFonts w:ascii="宋体" w:hAnsi="宋体" w:cs="宋体"/>
          <w:szCs w:val="21"/>
        </w:rPr>
      </w:pPr>
      <w:r>
        <w:rPr>
          <w:rFonts w:hint="eastAsia" w:ascii="宋体" w:hAnsi="宋体" w:cs="宋体"/>
          <w:szCs w:val="21"/>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2"/>
    </w:p>
    <w:p w14:paraId="5351F20C">
      <w:pPr>
        <w:widowControl w:val="0"/>
        <w:adjustRightInd/>
        <w:snapToGrid/>
        <w:ind w:left="567"/>
        <w:jc w:val="both"/>
        <w:rPr>
          <w:rFonts w:ascii="宋体" w:hAnsi="宋体" w:cs="宋体"/>
          <w:szCs w:val="21"/>
        </w:rPr>
      </w:pPr>
    </w:p>
    <w:p w14:paraId="70AD55A2">
      <w:pPr>
        <w:pStyle w:val="6"/>
        <w:widowControl w:val="0"/>
        <w:numPr>
          <w:ilvl w:val="0"/>
          <w:numId w:val="2"/>
        </w:numPr>
        <w:overflowPunct w:val="0"/>
        <w:rPr>
          <w:rFonts w:ascii="宋体" w:hAnsi="宋体" w:cs="宋体"/>
          <w:sz w:val="21"/>
          <w:szCs w:val="21"/>
        </w:rPr>
      </w:pPr>
      <w:bookmarkStart w:id="33" w:name="_Toc16068"/>
      <w:r>
        <w:rPr>
          <w:rFonts w:hint="eastAsia" w:ascii="宋体" w:hAnsi="宋体" w:cs="宋体"/>
          <w:sz w:val="21"/>
          <w:szCs w:val="21"/>
        </w:rPr>
        <w:t>踏勘现场</w:t>
      </w:r>
      <w:bookmarkEnd w:id="33"/>
    </w:p>
    <w:p w14:paraId="4E7A6C2F">
      <w:pPr>
        <w:widowControl w:val="0"/>
        <w:numPr>
          <w:ilvl w:val="1"/>
          <w:numId w:val="2"/>
        </w:numPr>
        <w:overflowPunct w:val="0"/>
        <w:rPr>
          <w:rFonts w:ascii="宋体" w:hAnsi="宋体" w:cs="宋体"/>
          <w:szCs w:val="21"/>
        </w:rPr>
      </w:pPr>
      <w:r>
        <w:rPr>
          <w:rFonts w:hint="eastAsia" w:ascii="宋体" w:hAnsi="宋体" w:cs="宋体"/>
          <w:szCs w:val="21"/>
        </w:rPr>
        <w:t>《投标资料表》规定组织踏勘现场的，采购人按《投标资料表》规定的时间、地点组织</w:t>
      </w:r>
      <w:r>
        <w:rPr>
          <w:rFonts w:hint="eastAsia" w:ascii="宋体" w:hAnsi="宋体" w:cs="宋体"/>
          <w:szCs w:val="21"/>
          <w:lang w:eastAsia="zh-CN"/>
        </w:rPr>
        <w:t>投标人</w:t>
      </w:r>
      <w:r>
        <w:rPr>
          <w:rFonts w:hint="eastAsia" w:ascii="宋体" w:hAnsi="宋体" w:cs="宋体"/>
          <w:szCs w:val="21"/>
        </w:rPr>
        <w:t>踏勘项目现场；</w:t>
      </w:r>
    </w:p>
    <w:p w14:paraId="59CC8A54">
      <w:pPr>
        <w:widowControl w:val="0"/>
        <w:numPr>
          <w:ilvl w:val="1"/>
          <w:numId w:val="2"/>
        </w:numPr>
        <w:overflowPunct w:val="0"/>
        <w:rPr>
          <w:rFonts w:ascii="宋体" w:hAnsi="宋体" w:cs="宋体"/>
          <w:szCs w:val="21"/>
        </w:rPr>
      </w:pPr>
      <w:r>
        <w:rPr>
          <w:rFonts w:hint="eastAsia" w:ascii="宋体" w:hAnsi="宋体" w:cs="宋体"/>
          <w:szCs w:val="21"/>
          <w:lang w:eastAsia="zh-CN"/>
        </w:rPr>
        <w:t>如采购人未组织集中踏勘的，投标人有义务自行到项目现场进行踏勘，如因投标人未到现场踏勘造成投标报价失误或合同履行费用增加的，相应责任由投标人自行承担。投标人</w:t>
      </w:r>
      <w:r>
        <w:rPr>
          <w:rFonts w:hint="eastAsia" w:ascii="宋体" w:hAnsi="宋体" w:cs="宋体"/>
          <w:szCs w:val="21"/>
        </w:rPr>
        <w:t>踏勘现场发生的费用自理；</w:t>
      </w:r>
    </w:p>
    <w:p w14:paraId="68047C48">
      <w:pPr>
        <w:widowControl w:val="0"/>
        <w:numPr>
          <w:ilvl w:val="1"/>
          <w:numId w:val="2"/>
        </w:numPr>
        <w:overflowPunct w:val="0"/>
        <w:rPr>
          <w:rFonts w:ascii="宋体" w:hAnsi="宋体" w:cs="宋体"/>
          <w:szCs w:val="21"/>
        </w:rPr>
      </w:pPr>
      <w:r>
        <w:rPr>
          <w:rFonts w:hint="eastAsia" w:ascii="宋体" w:hAnsi="宋体" w:cs="宋体"/>
          <w:szCs w:val="21"/>
        </w:rPr>
        <w:t>除采购人的原因外，</w:t>
      </w:r>
      <w:r>
        <w:rPr>
          <w:rFonts w:hint="eastAsia" w:ascii="宋体" w:hAnsi="宋体" w:cs="宋体"/>
          <w:szCs w:val="21"/>
          <w:lang w:eastAsia="zh-CN"/>
        </w:rPr>
        <w:t>投标人</w:t>
      </w:r>
      <w:r>
        <w:rPr>
          <w:rFonts w:hint="eastAsia" w:ascii="宋体" w:hAnsi="宋体" w:cs="宋体"/>
          <w:szCs w:val="21"/>
        </w:rPr>
        <w:t>自行负责在踏勘现场中所发生的人员伤亡和财产损失；</w:t>
      </w:r>
    </w:p>
    <w:p w14:paraId="7DC8192B">
      <w:pPr>
        <w:widowControl w:val="0"/>
        <w:numPr>
          <w:ilvl w:val="1"/>
          <w:numId w:val="2"/>
        </w:numPr>
        <w:overflowPunct w:val="0"/>
        <w:rPr>
          <w:rFonts w:ascii="宋体" w:hAnsi="宋体" w:cs="宋体"/>
          <w:szCs w:val="21"/>
        </w:rPr>
      </w:pPr>
      <w:r>
        <w:rPr>
          <w:rFonts w:hint="eastAsia" w:ascii="宋体" w:hAnsi="宋体" w:cs="宋体"/>
          <w:szCs w:val="21"/>
        </w:rPr>
        <w:t>采购人在踏勘现场中介绍的实施地点和相关的周边环境情况，供</w:t>
      </w:r>
      <w:r>
        <w:rPr>
          <w:rFonts w:hint="eastAsia" w:ascii="宋体" w:hAnsi="宋体" w:cs="宋体"/>
          <w:szCs w:val="21"/>
          <w:lang w:eastAsia="zh-CN"/>
        </w:rPr>
        <w:t>投标人</w:t>
      </w:r>
      <w:r>
        <w:rPr>
          <w:rFonts w:hint="eastAsia" w:ascii="宋体" w:hAnsi="宋体" w:cs="宋体"/>
          <w:szCs w:val="21"/>
        </w:rPr>
        <w:t>在编制响应文件时参考，采购人不对</w:t>
      </w:r>
      <w:r>
        <w:rPr>
          <w:rFonts w:hint="eastAsia" w:ascii="宋体" w:hAnsi="宋体" w:cs="宋体"/>
          <w:szCs w:val="21"/>
          <w:lang w:eastAsia="zh-CN"/>
        </w:rPr>
        <w:t>投标人</w:t>
      </w:r>
      <w:r>
        <w:rPr>
          <w:rFonts w:hint="eastAsia" w:ascii="宋体" w:hAnsi="宋体" w:cs="宋体"/>
          <w:szCs w:val="21"/>
        </w:rPr>
        <w:t>据此作出的判断和决策负责；</w:t>
      </w:r>
    </w:p>
    <w:p w14:paraId="0F491030">
      <w:pPr>
        <w:rPr>
          <w:rFonts w:ascii="宋体" w:hAnsi="宋体" w:cs="宋体"/>
        </w:rPr>
      </w:pPr>
    </w:p>
    <w:p w14:paraId="6C67AB30">
      <w:pPr>
        <w:pStyle w:val="5"/>
        <w:numPr>
          <w:ilvl w:val="0"/>
          <w:numId w:val="1"/>
        </w:numPr>
        <w:spacing w:before="0" w:after="0" w:line="360" w:lineRule="auto"/>
        <w:jc w:val="center"/>
        <w:rPr>
          <w:rFonts w:ascii="宋体" w:hAnsi="宋体" w:cs="宋体"/>
        </w:rPr>
      </w:pPr>
      <w:bookmarkStart w:id="34" w:name="_Toc14732"/>
      <w:bookmarkStart w:id="35" w:name="_Toc9444"/>
      <w:r>
        <w:rPr>
          <w:rFonts w:hint="eastAsia" w:ascii="宋体" w:hAnsi="宋体" w:cs="宋体"/>
        </w:rPr>
        <w:t>采购文件</w:t>
      </w:r>
      <w:bookmarkEnd w:id="34"/>
      <w:bookmarkEnd w:id="35"/>
    </w:p>
    <w:p w14:paraId="5FEC1D46">
      <w:pPr>
        <w:pStyle w:val="6"/>
        <w:widowControl w:val="0"/>
        <w:numPr>
          <w:ilvl w:val="0"/>
          <w:numId w:val="2"/>
        </w:numPr>
        <w:overflowPunct w:val="0"/>
        <w:rPr>
          <w:rFonts w:ascii="宋体" w:hAnsi="宋体" w:cs="宋体"/>
          <w:sz w:val="21"/>
          <w:szCs w:val="21"/>
        </w:rPr>
      </w:pPr>
      <w:bookmarkStart w:id="36" w:name="_Toc10638"/>
      <w:bookmarkStart w:id="37" w:name="_Toc25451"/>
      <w:r>
        <w:rPr>
          <w:rFonts w:hint="eastAsia" w:ascii="宋体" w:hAnsi="宋体" w:cs="宋体"/>
          <w:sz w:val="21"/>
          <w:szCs w:val="21"/>
        </w:rPr>
        <w:t>采购文件的组成</w:t>
      </w:r>
      <w:bookmarkEnd w:id="36"/>
      <w:bookmarkEnd w:id="37"/>
    </w:p>
    <w:p w14:paraId="3CC3CA9B">
      <w:pPr>
        <w:pStyle w:val="42"/>
        <w:widowControl w:val="0"/>
        <w:numPr>
          <w:ilvl w:val="0"/>
          <w:numId w:val="3"/>
        </w:numPr>
        <w:adjustRightInd/>
        <w:snapToGrid/>
        <w:ind w:firstLineChars="0"/>
        <w:jc w:val="both"/>
        <w:rPr>
          <w:rFonts w:ascii="宋体" w:hAnsi="宋体" w:cs="宋体"/>
          <w:vanish/>
          <w:szCs w:val="21"/>
        </w:rPr>
      </w:pPr>
    </w:p>
    <w:p w14:paraId="7C225F46">
      <w:pPr>
        <w:widowControl w:val="0"/>
        <w:numPr>
          <w:ilvl w:val="1"/>
          <w:numId w:val="2"/>
        </w:numPr>
        <w:overflowPunct w:val="0"/>
        <w:rPr>
          <w:rFonts w:ascii="宋体" w:hAnsi="宋体" w:cs="宋体"/>
          <w:szCs w:val="21"/>
        </w:rPr>
      </w:pPr>
      <w:r>
        <w:rPr>
          <w:rFonts w:hint="eastAsia" w:ascii="宋体" w:hAnsi="宋体" w:cs="宋体"/>
          <w:szCs w:val="21"/>
        </w:rPr>
        <w:t>采购文件包括：</w:t>
      </w:r>
    </w:p>
    <w:p w14:paraId="5211331A">
      <w:pPr>
        <w:widowControl w:val="0"/>
        <w:adjustRightInd/>
        <w:snapToGrid/>
        <w:jc w:val="both"/>
        <w:rPr>
          <w:rFonts w:ascii="宋体" w:hAnsi="宋体" w:cs="宋体"/>
          <w:szCs w:val="21"/>
        </w:rPr>
      </w:pPr>
      <w:r>
        <w:rPr>
          <w:rFonts w:hint="eastAsia" w:ascii="宋体" w:hAnsi="宋体" w:cs="宋体"/>
          <w:szCs w:val="21"/>
        </w:rPr>
        <w:t>（1）投标邀请书；</w:t>
      </w:r>
    </w:p>
    <w:p w14:paraId="65757527">
      <w:pPr>
        <w:widowControl w:val="0"/>
        <w:adjustRightInd/>
        <w:snapToGrid/>
        <w:jc w:val="both"/>
        <w:rPr>
          <w:rFonts w:ascii="宋体" w:hAnsi="宋体" w:cs="宋体"/>
          <w:szCs w:val="21"/>
        </w:rPr>
      </w:pPr>
      <w:r>
        <w:rPr>
          <w:rFonts w:hint="eastAsia" w:ascii="宋体" w:hAnsi="宋体" w:cs="宋体"/>
          <w:szCs w:val="21"/>
        </w:rPr>
        <w:t>（2）投标资料表；</w:t>
      </w:r>
    </w:p>
    <w:p w14:paraId="5B02BB6C">
      <w:pPr>
        <w:widowControl w:val="0"/>
        <w:adjustRightInd/>
        <w:snapToGrid/>
        <w:jc w:val="both"/>
        <w:rPr>
          <w:rFonts w:ascii="宋体" w:hAnsi="宋体" w:cs="宋体"/>
          <w:szCs w:val="21"/>
        </w:rPr>
      </w:pPr>
      <w:r>
        <w:rPr>
          <w:rFonts w:hint="eastAsia" w:ascii="宋体" w:hAnsi="宋体" w:cs="宋体"/>
          <w:szCs w:val="21"/>
        </w:rPr>
        <w:t>（3）用户需求书；</w:t>
      </w:r>
    </w:p>
    <w:p w14:paraId="38E43831">
      <w:pPr>
        <w:widowControl w:val="0"/>
        <w:adjustRightInd/>
        <w:snapToGrid/>
        <w:jc w:val="both"/>
        <w:rPr>
          <w:rFonts w:ascii="宋体" w:hAnsi="宋体" w:cs="宋体"/>
          <w:szCs w:val="21"/>
        </w:rPr>
      </w:pPr>
      <w:r>
        <w:rPr>
          <w:rFonts w:hint="eastAsia" w:ascii="宋体" w:hAnsi="宋体" w:cs="宋体"/>
          <w:szCs w:val="21"/>
        </w:rPr>
        <w:t>（4）投标人须知；</w:t>
      </w:r>
    </w:p>
    <w:p w14:paraId="4DF24EAB">
      <w:pPr>
        <w:widowControl w:val="0"/>
        <w:adjustRightInd/>
        <w:snapToGrid/>
        <w:jc w:val="both"/>
        <w:rPr>
          <w:rFonts w:ascii="宋体" w:hAnsi="宋体" w:cs="宋体"/>
          <w:szCs w:val="21"/>
        </w:rPr>
      </w:pPr>
      <w:r>
        <w:rPr>
          <w:rFonts w:hint="eastAsia" w:ascii="宋体" w:hAnsi="宋体" w:cs="宋体"/>
          <w:szCs w:val="21"/>
        </w:rPr>
        <w:t>（5）拟签订的合同文本；</w:t>
      </w:r>
    </w:p>
    <w:p w14:paraId="2C85EDDF">
      <w:pPr>
        <w:widowControl w:val="0"/>
        <w:adjustRightInd/>
        <w:snapToGrid/>
        <w:jc w:val="both"/>
        <w:rPr>
          <w:rFonts w:ascii="宋体" w:hAnsi="宋体" w:cs="宋体"/>
          <w:szCs w:val="21"/>
        </w:rPr>
      </w:pPr>
      <w:r>
        <w:rPr>
          <w:rFonts w:hint="eastAsia" w:ascii="宋体" w:hAnsi="宋体" w:cs="宋体"/>
          <w:szCs w:val="21"/>
        </w:rPr>
        <w:t>（6）投标文件格式；</w:t>
      </w:r>
    </w:p>
    <w:p w14:paraId="512BF417">
      <w:pPr>
        <w:widowControl w:val="0"/>
        <w:adjustRightInd/>
        <w:snapToGrid/>
        <w:jc w:val="both"/>
        <w:rPr>
          <w:rFonts w:ascii="宋体" w:hAnsi="宋体" w:cs="宋体"/>
          <w:szCs w:val="21"/>
        </w:rPr>
      </w:pPr>
      <w:r>
        <w:rPr>
          <w:rFonts w:hint="eastAsia" w:ascii="宋体" w:hAnsi="宋体" w:cs="宋体"/>
          <w:szCs w:val="21"/>
        </w:rPr>
        <w:t>（7）在采购过程中由</w:t>
      </w:r>
      <w:r>
        <w:rPr>
          <w:rFonts w:hint="eastAsia" w:ascii="宋体" w:hAnsi="宋体" w:cs="宋体"/>
          <w:szCs w:val="21"/>
          <w:lang w:eastAsia="zh-CN"/>
        </w:rPr>
        <w:t>采购人</w:t>
      </w:r>
      <w:r>
        <w:rPr>
          <w:rFonts w:hint="eastAsia" w:ascii="宋体" w:hAnsi="宋体" w:cs="宋体"/>
          <w:szCs w:val="21"/>
        </w:rPr>
        <w:t>发出的澄清更正文件等。</w:t>
      </w:r>
    </w:p>
    <w:p w14:paraId="1290EFFD">
      <w:pPr>
        <w:rPr>
          <w:rFonts w:ascii="宋体" w:hAnsi="宋体" w:cs="宋体"/>
        </w:rPr>
      </w:pPr>
    </w:p>
    <w:p w14:paraId="196F2200">
      <w:pPr>
        <w:pStyle w:val="6"/>
        <w:widowControl w:val="0"/>
        <w:numPr>
          <w:ilvl w:val="0"/>
          <w:numId w:val="2"/>
        </w:numPr>
        <w:overflowPunct w:val="0"/>
        <w:rPr>
          <w:rFonts w:ascii="宋体" w:hAnsi="宋体" w:cs="宋体"/>
          <w:sz w:val="21"/>
          <w:szCs w:val="21"/>
        </w:rPr>
      </w:pPr>
      <w:bookmarkStart w:id="38" w:name="_Toc21392"/>
      <w:bookmarkStart w:id="39" w:name="_Toc30490"/>
      <w:r>
        <w:rPr>
          <w:rFonts w:hint="eastAsia" w:ascii="宋体" w:hAnsi="宋体" w:cs="宋体"/>
          <w:sz w:val="21"/>
          <w:szCs w:val="21"/>
        </w:rPr>
        <w:t>采购文件的澄清或修改</w:t>
      </w:r>
      <w:bookmarkEnd w:id="38"/>
      <w:bookmarkEnd w:id="39"/>
    </w:p>
    <w:p w14:paraId="5D5EFD43">
      <w:pPr>
        <w:pStyle w:val="42"/>
        <w:widowControl w:val="0"/>
        <w:numPr>
          <w:ilvl w:val="0"/>
          <w:numId w:val="3"/>
        </w:numPr>
        <w:adjustRightInd/>
        <w:snapToGrid/>
        <w:ind w:firstLineChars="0"/>
        <w:jc w:val="both"/>
        <w:rPr>
          <w:rFonts w:ascii="宋体" w:hAnsi="宋体" w:cs="宋体"/>
          <w:vanish/>
          <w:szCs w:val="21"/>
        </w:rPr>
      </w:pPr>
    </w:p>
    <w:p w14:paraId="0A3C6791">
      <w:pPr>
        <w:widowControl w:val="0"/>
        <w:numPr>
          <w:ilvl w:val="1"/>
          <w:numId w:val="2"/>
        </w:numPr>
        <w:overflowPunct w:val="0"/>
        <w:rPr>
          <w:rFonts w:ascii="宋体" w:hAnsi="宋体" w:cs="宋体"/>
          <w:szCs w:val="21"/>
        </w:rPr>
      </w:pPr>
      <w:r>
        <w:rPr>
          <w:rFonts w:hint="eastAsia" w:ascii="宋体" w:hAnsi="宋体" w:cs="宋体"/>
          <w:szCs w:val="21"/>
        </w:rPr>
        <w:t>采购人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r>
        <w:rPr>
          <w:rFonts w:hint="eastAsia" w:ascii="宋体" w:hAnsi="宋体" w:cs="宋体"/>
          <w:szCs w:val="21"/>
          <w:lang w:val="en-US" w:eastAsia="zh-CN"/>
        </w:rPr>
        <w:t>投标</w:t>
      </w:r>
      <w:r>
        <w:rPr>
          <w:rFonts w:hint="eastAsia" w:ascii="宋体" w:hAnsi="宋体" w:cs="宋体"/>
          <w:szCs w:val="21"/>
        </w:rPr>
        <w:t>人应对本采购文件全文进行仔细阅读，如对采购文件有异议，需在投标截止前向采购人提出澄清要求，如投标人未及时提出异议，视为投标人对采购文件的全部内容无异议。</w:t>
      </w:r>
    </w:p>
    <w:p w14:paraId="3763832B">
      <w:pPr>
        <w:widowControl w:val="0"/>
        <w:numPr>
          <w:ilvl w:val="1"/>
          <w:numId w:val="2"/>
        </w:numPr>
        <w:overflowPunct w:val="0"/>
        <w:rPr>
          <w:rFonts w:ascii="宋体" w:hAnsi="宋体" w:cs="宋体"/>
          <w:b/>
          <w:bCs/>
          <w:szCs w:val="21"/>
        </w:rPr>
      </w:pPr>
      <w:r>
        <w:rPr>
          <w:rFonts w:hint="eastAsia" w:ascii="宋体" w:hAnsi="宋体" w:cs="宋体"/>
          <w:b/>
          <w:bCs/>
          <w:szCs w:val="21"/>
        </w:rPr>
        <w:t>采购期间，投标人有义务上网查看，公告一经上网发布，即视为送达。因投标人未及时上网查看而造成的所有后果，由投标人自行承担。</w:t>
      </w:r>
    </w:p>
    <w:p w14:paraId="6D4958BD">
      <w:pPr>
        <w:widowControl w:val="0"/>
        <w:adjustRightInd/>
        <w:snapToGrid/>
        <w:ind w:left="567"/>
        <w:jc w:val="both"/>
        <w:rPr>
          <w:rFonts w:ascii="宋体" w:hAnsi="宋体" w:cs="宋体"/>
          <w:szCs w:val="21"/>
        </w:rPr>
      </w:pPr>
    </w:p>
    <w:p w14:paraId="4BEA7A80">
      <w:pPr>
        <w:pStyle w:val="5"/>
        <w:numPr>
          <w:ilvl w:val="0"/>
          <w:numId w:val="1"/>
        </w:numPr>
        <w:spacing w:before="0" w:after="0" w:line="360" w:lineRule="auto"/>
        <w:jc w:val="center"/>
        <w:rPr>
          <w:rFonts w:ascii="宋体" w:hAnsi="宋体" w:cs="宋体"/>
        </w:rPr>
      </w:pPr>
      <w:bookmarkStart w:id="40" w:name="_Toc12343"/>
      <w:bookmarkStart w:id="41" w:name="_Toc10333"/>
      <w:r>
        <w:rPr>
          <w:rFonts w:hint="eastAsia" w:ascii="宋体" w:hAnsi="宋体" w:cs="宋体"/>
        </w:rPr>
        <w:t>投标文件的编制</w:t>
      </w:r>
      <w:bookmarkEnd w:id="40"/>
      <w:bookmarkEnd w:id="41"/>
    </w:p>
    <w:p w14:paraId="3D3C6C9B">
      <w:pPr>
        <w:pStyle w:val="6"/>
        <w:widowControl w:val="0"/>
        <w:numPr>
          <w:ilvl w:val="0"/>
          <w:numId w:val="2"/>
        </w:numPr>
        <w:overflowPunct w:val="0"/>
        <w:rPr>
          <w:rFonts w:ascii="宋体" w:hAnsi="宋体" w:cs="宋体"/>
          <w:sz w:val="21"/>
          <w:szCs w:val="21"/>
        </w:rPr>
      </w:pPr>
      <w:bookmarkStart w:id="42" w:name="_Toc16938"/>
      <w:bookmarkStart w:id="43" w:name="_Toc12048"/>
      <w:r>
        <w:rPr>
          <w:rFonts w:hint="eastAsia" w:ascii="宋体" w:hAnsi="宋体" w:cs="宋体"/>
          <w:sz w:val="21"/>
          <w:szCs w:val="21"/>
        </w:rPr>
        <w:t>投标文件的语言及度量衡单位</w:t>
      </w:r>
      <w:bookmarkEnd w:id="42"/>
      <w:bookmarkEnd w:id="43"/>
    </w:p>
    <w:p w14:paraId="0E1F8289">
      <w:pPr>
        <w:pStyle w:val="42"/>
        <w:widowControl w:val="0"/>
        <w:numPr>
          <w:ilvl w:val="0"/>
          <w:numId w:val="3"/>
        </w:numPr>
        <w:adjustRightInd/>
        <w:snapToGrid/>
        <w:ind w:firstLineChars="0"/>
        <w:jc w:val="both"/>
        <w:rPr>
          <w:rFonts w:ascii="宋体" w:hAnsi="宋体" w:cs="宋体"/>
          <w:vanish/>
          <w:szCs w:val="21"/>
        </w:rPr>
      </w:pPr>
    </w:p>
    <w:p w14:paraId="5DECD277">
      <w:pPr>
        <w:widowControl w:val="0"/>
        <w:numPr>
          <w:ilvl w:val="1"/>
          <w:numId w:val="2"/>
        </w:numPr>
        <w:overflowPunct w:val="0"/>
        <w:rPr>
          <w:rFonts w:ascii="宋体" w:hAnsi="宋体" w:cs="宋体"/>
          <w:szCs w:val="21"/>
        </w:rPr>
      </w:pPr>
      <w:r>
        <w:rPr>
          <w:rFonts w:hint="eastAsia" w:ascii="宋体" w:hAnsi="宋体" w:cs="宋体"/>
          <w:szCs w:val="21"/>
        </w:rPr>
        <w:t>投标人提交的投标文件以及投标人与</w:t>
      </w:r>
      <w:r>
        <w:rPr>
          <w:rFonts w:hint="eastAsia" w:ascii="宋体" w:hAnsi="宋体" w:cs="宋体"/>
          <w:szCs w:val="21"/>
          <w:lang w:eastAsia="zh-CN"/>
        </w:rPr>
        <w:t>采购人</w:t>
      </w:r>
      <w:r>
        <w:rPr>
          <w:rFonts w:hint="eastAsia" w:ascii="宋体" w:hAnsi="宋体" w:cs="宋体"/>
          <w:szCs w:val="21"/>
        </w:rPr>
        <w:t>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30083108">
      <w:pPr>
        <w:widowControl w:val="0"/>
        <w:numPr>
          <w:ilvl w:val="1"/>
          <w:numId w:val="2"/>
        </w:numPr>
        <w:overflowPunct w:val="0"/>
        <w:rPr>
          <w:rFonts w:ascii="宋体" w:hAnsi="宋体" w:cs="宋体"/>
          <w:szCs w:val="21"/>
        </w:rPr>
      </w:pPr>
      <w:r>
        <w:rPr>
          <w:rFonts w:hint="eastAsia" w:ascii="宋体" w:hAnsi="宋体" w:cs="宋体"/>
          <w:szCs w:val="21"/>
        </w:rPr>
        <w:t>除非采购文件在技术规格中另有规定，投标人在投标文件中及其与</w:t>
      </w:r>
      <w:r>
        <w:rPr>
          <w:rFonts w:hint="eastAsia" w:ascii="宋体" w:hAnsi="宋体" w:cs="宋体"/>
          <w:szCs w:val="21"/>
          <w:lang w:eastAsia="zh-CN"/>
        </w:rPr>
        <w:t>采购人</w:t>
      </w:r>
      <w:r>
        <w:rPr>
          <w:rFonts w:hint="eastAsia" w:ascii="宋体" w:hAnsi="宋体" w:cs="宋体"/>
          <w:szCs w:val="21"/>
        </w:rPr>
        <w:t>所有往来文件中的所有计量单位均应采用中华人民共和国法定计量单位。</w:t>
      </w:r>
    </w:p>
    <w:p w14:paraId="31409794">
      <w:pPr>
        <w:widowControl w:val="0"/>
        <w:adjustRightInd/>
        <w:snapToGrid/>
        <w:ind w:left="567"/>
        <w:jc w:val="both"/>
        <w:rPr>
          <w:rFonts w:ascii="宋体" w:hAnsi="宋体" w:cs="宋体"/>
          <w:szCs w:val="21"/>
        </w:rPr>
      </w:pPr>
    </w:p>
    <w:p w14:paraId="1E14341C">
      <w:pPr>
        <w:pStyle w:val="6"/>
        <w:widowControl w:val="0"/>
        <w:numPr>
          <w:ilvl w:val="0"/>
          <w:numId w:val="2"/>
        </w:numPr>
        <w:overflowPunct w:val="0"/>
        <w:rPr>
          <w:rFonts w:ascii="宋体" w:hAnsi="宋体" w:cs="宋体"/>
          <w:sz w:val="21"/>
          <w:szCs w:val="21"/>
        </w:rPr>
      </w:pPr>
      <w:bookmarkStart w:id="44" w:name="_Toc27953"/>
      <w:bookmarkStart w:id="45" w:name="_Toc382049103"/>
      <w:bookmarkStart w:id="46" w:name="_Toc28866"/>
      <w:bookmarkStart w:id="47" w:name="_Toc307934854"/>
      <w:bookmarkStart w:id="48" w:name="_Toc11466"/>
      <w:bookmarkStart w:id="49" w:name="_Toc303084256"/>
      <w:r>
        <w:rPr>
          <w:rFonts w:hint="eastAsia" w:ascii="宋体" w:hAnsi="宋体" w:cs="宋体"/>
          <w:sz w:val="21"/>
          <w:szCs w:val="21"/>
        </w:rPr>
        <w:t>投标文件的组成</w:t>
      </w:r>
      <w:bookmarkEnd w:id="44"/>
      <w:bookmarkEnd w:id="45"/>
      <w:bookmarkEnd w:id="46"/>
      <w:bookmarkEnd w:id="47"/>
      <w:bookmarkEnd w:id="48"/>
      <w:bookmarkEnd w:id="49"/>
    </w:p>
    <w:p w14:paraId="2AABE449">
      <w:pPr>
        <w:pStyle w:val="42"/>
        <w:widowControl w:val="0"/>
        <w:numPr>
          <w:ilvl w:val="0"/>
          <w:numId w:val="3"/>
        </w:numPr>
        <w:adjustRightInd/>
        <w:snapToGrid/>
        <w:ind w:firstLineChars="0"/>
        <w:jc w:val="both"/>
        <w:rPr>
          <w:rFonts w:ascii="宋体" w:hAnsi="宋体" w:cs="宋体"/>
          <w:vanish/>
          <w:szCs w:val="21"/>
        </w:rPr>
      </w:pPr>
    </w:p>
    <w:p w14:paraId="0489A9F8">
      <w:pPr>
        <w:widowControl w:val="0"/>
        <w:numPr>
          <w:ilvl w:val="1"/>
          <w:numId w:val="2"/>
        </w:numPr>
        <w:overflowPunct w:val="0"/>
        <w:rPr>
          <w:rFonts w:ascii="宋体" w:hAnsi="宋体" w:cs="宋体"/>
          <w:szCs w:val="21"/>
        </w:rPr>
      </w:pPr>
      <w:r>
        <w:rPr>
          <w:rFonts w:hint="eastAsia" w:ascii="宋体" w:hAnsi="宋体" w:cs="宋体"/>
          <w:szCs w:val="21"/>
        </w:rPr>
        <w:t>包括但不限于采购文件附件格式中要求提供的表格。</w:t>
      </w:r>
    </w:p>
    <w:p w14:paraId="47A9DB29">
      <w:pPr>
        <w:widowControl w:val="0"/>
        <w:numPr>
          <w:ilvl w:val="1"/>
          <w:numId w:val="2"/>
        </w:numPr>
        <w:overflowPunct w:val="0"/>
        <w:rPr>
          <w:rFonts w:ascii="宋体" w:hAnsi="宋体" w:cs="宋体"/>
          <w:szCs w:val="21"/>
        </w:rPr>
      </w:pPr>
      <w:r>
        <w:rPr>
          <w:rFonts w:hint="eastAsia" w:ascii="宋体" w:hAnsi="宋体" w:cs="宋体"/>
          <w:szCs w:val="21"/>
        </w:rPr>
        <w:t>上述文件须按顺序装订成册，并编制投标文件目录。除上述文件资料外投标人还须按投标人须知的要求制作“唱标信封”。“唱标信封”作为投标文件的一部分，但须单独密封。</w:t>
      </w:r>
    </w:p>
    <w:p w14:paraId="381CE110">
      <w:pPr>
        <w:rPr>
          <w:rFonts w:ascii="宋体" w:hAnsi="宋体" w:cs="宋体"/>
        </w:rPr>
      </w:pPr>
    </w:p>
    <w:p w14:paraId="4AF1F830">
      <w:pPr>
        <w:pStyle w:val="6"/>
        <w:widowControl w:val="0"/>
        <w:numPr>
          <w:ilvl w:val="0"/>
          <w:numId w:val="2"/>
        </w:numPr>
        <w:overflowPunct w:val="0"/>
        <w:rPr>
          <w:rFonts w:ascii="宋体" w:hAnsi="宋体" w:cs="宋体"/>
          <w:sz w:val="21"/>
          <w:szCs w:val="21"/>
        </w:rPr>
      </w:pPr>
      <w:bookmarkStart w:id="50" w:name="_Toc5904"/>
      <w:bookmarkStart w:id="51" w:name="_Toc755"/>
      <w:r>
        <w:rPr>
          <w:rFonts w:hint="eastAsia" w:ascii="宋体" w:hAnsi="宋体" w:cs="宋体"/>
          <w:sz w:val="21"/>
          <w:szCs w:val="21"/>
        </w:rPr>
        <w:t>投标文件编制</w:t>
      </w:r>
      <w:bookmarkEnd w:id="50"/>
      <w:bookmarkEnd w:id="51"/>
    </w:p>
    <w:p w14:paraId="1B382BDC">
      <w:pPr>
        <w:pStyle w:val="42"/>
        <w:widowControl w:val="0"/>
        <w:numPr>
          <w:ilvl w:val="0"/>
          <w:numId w:val="3"/>
        </w:numPr>
        <w:adjustRightInd/>
        <w:snapToGrid/>
        <w:ind w:firstLineChars="0"/>
        <w:jc w:val="both"/>
        <w:rPr>
          <w:rFonts w:ascii="宋体" w:hAnsi="宋体" w:cs="宋体"/>
          <w:vanish/>
          <w:szCs w:val="21"/>
        </w:rPr>
      </w:pPr>
      <w:bookmarkStart w:id="52" w:name="_Toc303084258"/>
    </w:p>
    <w:p w14:paraId="100C2740">
      <w:pPr>
        <w:widowControl w:val="0"/>
        <w:numPr>
          <w:ilvl w:val="1"/>
          <w:numId w:val="2"/>
        </w:numPr>
        <w:overflowPunct w:val="0"/>
        <w:rPr>
          <w:rFonts w:ascii="宋体" w:hAnsi="宋体" w:cs="宋体"/>
          <w:szCs w:val="21"/>
        </w:rPr>
      </w:pPr>
      <w:r>
        <w:rPr>
          <w:rFonts w:hint="eastAsia" w:ascii="宋体" w:hAnsi="宋体" w:cs="宋体"/>
          <w:szCs w:val="21"/>
        </w:rPr>
        <w:t>投标人应按采购文件的规定以及附件要求的内容和格式完整地填写（表格可以按同样格式扩展）和提供资料，投标人必须对投标文件所提供的全部材料的真实性承担法律责任，并无条件接受采购人对其中任何资料进行核实的要求。</w:t>
      </w:r>
    </w:p>
    <w:p w14:paraId="72677DFF">
      <w:pPr>
        <w:widowControl w:val="0"/>
        <w:numPr>
          <w:ilvl w:val="1"/>
          <w:numId w:val="2"/>
        </w:numPr>
        <w:overflowPunct w:val="0"/>
        <w:rPr>
          <w:rFonts w:ascii="宋体" w:hAnsi="宋体" w:cs="宋体"/>
          <w:szCs w:val="21"/>
        </w:rPr>
      </w:pPr>
      <w:r>
        <w:rPr>
          <w:rFonts w:hint="eastAsia" w:ascii="宋体" w:hAnsi="宋体" w:cs="宋体"/>
          <w:szCs w:val="21"/>
        </w:rPr>
        <w:t>因投标文件编制存在歧义对投标人产生负面影响的，投标人自行承担后果。</w:t>
      </w:r>
    </w:p>
    <w:p w14:paraId="2855203B">
      <w:pPr>
        <w:widowControl w:val="0"/>
        <w:numPr>
          <w:ilvl w:val="1"/>
          <w:numId w:val="2"/>
        </w:numPr>
        <w:overflowPunct w:val="0"/>
        <w:rPr>
          <w:rFonts w:ascii="宋体" w:hAnsi="宋体" w:cs="宋体"/>
          <w:szCs w:val="21"/>
        </w:rPr>
      </w:pPr>
      <w:r>
        <w:rPr>
          <w:rFonts w:hint="eastAsia" w:ascii="宋体" w:hAnsi="宋体" w:cs="宋体"/>
          <w:szCs w:val="21"/>
        </w:rPr>
        <w:t>投标单位名称与投标人公章不一致，若投标单位名称已进行变更，应在投标文件中提供相应的证明材料并加盖公章，否则投标文件无效。</w:t>
      </w:r>
    </w:p>
    <w:p w14:paraId="220D415E">
      <w:pPr>
        <w:widowControl w:val="0"/>
        <w:numPr>
          <w:ilvl w:val="1"/>
          <w:numId w:val="2"/>
        </w:numPr>
        <w:overflowPunct w:val="0"/>
        <w:rPr>
          <w:rFonts w:ascii="宋体" w:hAnsi="宋体" w:cs="宋体"/>
          <w:szCs w:val="21"/>
        </w:rPr>
      </w:pPr>
      <w:r>
        <w:rPr>
          <w:rFonts w:hint="eastAsia" w:ascii="宋体" w:hAnsi="宋体" w:cs="宋体"/>
          <w:szCs w:val="21"/>
        </w:rPr>
        <w:t>投标文件密封、标记及内容与本项目采购信息不符，导致无法分辨所投项目为本项目的，投标文件无效。</w:t>
      </w:r>
    </w:p>
    <w:p w14:paraId="05579FB4">
      <w:pPr>
        <w:widowControl w:val="0"/>
        <w:numPr>
          <w:ilvl w:val="1"/>
          <w:numId w:val="2"/>
        </w:numPr>
        <w:overflowPunct w:val="0"/>
        <w:rPr>
          <w:rFonts w:ascii="宋体" w:hAnsi="宋体" w:cs="宋体"/>
          <w:szCs w:val="21"/>
        </w:rPr>
      </w:pPr>
      <w:r>
        <w:rPr>
          <w:rFonts w:hint="eastAsia" w:ascii="宋体" w:hAnsi="宋体" w:cs="宋体"/>
          <w:szCs w:val="21"/>
        </w:rPr>
        <w:t>投标人须客观撰写投标人简介（格式自理，并提供相关证明）以及所投的产品或服务说明。</w:t>
      </w:r>
    </w:p>
    <w:p w14:paraId="3E9954A2">
      <w:pPr>
        <w:widowControl w:val="0"/>
        <w:numPr>
          <w:ilvl w:val="1"/>
          <w:numId w:val="2"/>
        </w:numPr>
        <w:overflowPunct w:val="0"/>
        <w:rPr>
          <w:rFonts w:ascii="宋体" w:hAnsi="宋体" w:cs="宋体"/>
          <w:szCs w:val="21"/>
        </w:rPr>
      </w:pPr>
      <w:r>
        <w:rPr>
          <w:rFonts w:hint="eastAsia" w:ascii="宋体" w:hAnsi="宋体" w:cs="宋体"/>
          <w:szCs w:val="21"/>
        </w:rPr>
        <w:t>投标文件若出现以下内容，经评标委员会认定有可能间接影响评审秩序，作废标处理。</w:t>
      </w:r>
    </w:p>
    <w:p w14:paraId="7FD76BE6">
      <w:pPr>
        <w:pStyle w:val="42"/>
        <w:widowControl w:val="0"/>
        <w:numPr>
          <w:ilvl w:val="0"/>
          <w:numId w:val="4"/>
        </w:numPr>
        <w:adjustRightInd/>
        <w:snapToGrid/>
        <w:ind w:firstLineChars="0"/>
        <w:jc w:val="both"/>
        <w:rPr>
          <w:rFonts w:ascii="宋体" w:hAnsi="宋体" w:cs="宋体"/>
          <w:szCs w:val="21"/>
        </w:rPr>
      </w:pPr>
      <w:r>
        <w:rPr>
          <w:rFonts w:hint="eastAsia" w:ascii="宋体" w:hAnsi="宋体" w:cs="宋体"/>
          <w:szCs w:val="21"/>
        </w:rPr>
        <w:t>投标文件内出现无官方证明文件的行业地域排名或使用“国家级”、“最高级”、“最佳”等用语字眼的。</w:t>
      </w:r>
    </w:p>
    <w:p w14:paraId="08CC697B">
      <w:pPr>
        <w:pStyle w:val="42"/>
        <w:widowControl w:val="0"/>
        <w:numPr>
          <w:ilvl w:val="0"/>
          <w:numId w:val="4"/>
        </w:numPr>
        <w:adjustRightInd/>
        <w:snapToGrid/>
        <w:ind w:firstLineChars="0"/>
        <w:jc w:val="both"/>
        <w:rPr>
          <w:rFonts w:ascii="宋体" w:hAnsi="宋体" w:cs="宋体"/>
          <w:szCs w:val="21"/>
        </w:rPr>
      </w:pPr>
      <w:r>
        <w:rPr>
          <w:rFonts w:hint="eastAsia" w:ascii="宋体" w:hAnsi="宋体" w:cs="宋体"/>
          <w:szCs w:val="21"/>
        </w:rPr>
        <w:t>投标文件内出现恶意诋毁、贬低其他生产经营者的商品或者服务的内容。</w:t>
      </w:r>
    </w:p>
    <w:p w14:paraId="083F765B">
      <w:pPr>
        <w:widowControl w:val="0"/>
        <w:numPr>
          <w:ilvl w:val="1"/>
          <w:numId w:val="2"/>
        </w:numPr>
        <w:overflowPunct w:val="0"/>
        <w:rPr>
          <w:rFonts w:ascii="宋体" w:hAnsi="宋体" w:cs="宋体"/>
          <w:szCs w:val="21"/>
        </w:rPr>
      </w:pPr>
      <w:r>
        <w:rPr>
          <w:rFonts w:hint="eastAsia" w:ascii="宋体" w:hAnsi="宋体" w:cs="宋体"/>
          <w:szCs w:val="21"/>
        </w:rPr>
        <w:t>有下列情形之一的，视为投标人串通投标，其投标无效并将被纳入采购人供应商黑名单：</w:t>
      </w:r>
    </w:p>
    <w:p w14:paraId="11F8D6D9">
      <w:pPr>
        <w:widowControl w:val="0"/>
        <w:adjustRightInd/>
        <w:snapToGrid/>
        <w:ind w:firstLine="420" w:firstLineChars="200"/>
        <w:jc w:val="both"/>
        <w:rPr>
          <w:rFonts w:ascii="宋体" w:hAnsi="宋体" w:cs="宋体"/>
          <w:szCs w:val="21"/>
        </w:rPr>
      </w:pPr>
      <w:r>
        <w:rPr>
          <w:rFonts w:hint="eastAsia" w:ascii="宋体" w:hAnsi="宋体" w:cs="宋体"/>
          <w:szCs w:val="21"/>
        </w:rPr>
        <w:t>（1）不同投标人的投标文件由同一单位或者个人编制；</w:t>
      </w:r>
    </w:p>
    <w:p w14:paraId="0400E9F1">
      <w:pPr>
        <w:widowControl w:val="0"/>
        <w:adjustRightInd/>
        <w:snapToGrid/>
        <w:ind w:firstLine="420" w:firstLineChars="200"/>
        <w:jc w:val="both"/>
        <w:rPr>
          <w:rFonts w:ascii="宋体" w:hAnsi="宋体" w:cs="宋体"/>
          <w:szCs w:val="21"/>
        </w:rPr>
      </w:pPr>
      <w:r>
        <w:rPr>
          <w:rFonts w:hint="eastAsia" w:ascii="宋体" w:hAnsi="宋体" w:cs="宋体"/>
          <w:szCs w:val="21"/>
        </w:rPr>
        <w:t>（2）不同投标人委托同一单位或者个人办理投标事宜；</w:t>
      </w:r>
    </w:p>
    <w:p w14:paraId="5ED0563A">
      <w:pPr>
        <w:widowControl w:val="0"/>
        <w:adjustRightInd/>
        <w:snapToGrid/>
        <w:ind w:firstLine="420" w:firstLineChars="200"/>
        <w:jc w:val="both"/>
        <w:rPr>
          <w:rFonts w:ascii="宋体" w:hAnsi="宋体" w:cs="宋体"/>
          <w:szCs w:val="21"/>
        </w:rPr>
      </w:pPr>
      <w:r>
        <w:rPr>
          <w:rFonts w:hint="eastAsia" w:ascii="宋体" w:hAnsi="宋体" w:cs="宋体"/>
          <w:szCs w:val="21"/>
        </w:rPr>
        <w:t>（3）不同投标人的投标文件载明的项目管理成员或者联系人员为同一人；</w:t>
      </w:r>
    </w:p>
    <w:p w14:paraId="0F241905">
      <w:pPr>
        <w:widowControl w:val="0"/>
        <w:adjustRightInd/>
        <w:snapToGrid/>
        <w:ind w:firstLine="420" w:firstLineChars="200"/>
        <w:jc w:val="both"/>
        <w:rPr>
          <w:rFonts w:ascii="宋体" w:hAnsi="宋体" w:cs="宋体"/>
          <w:szCs w:val="21"/>
        </w:rPr>
      </w:pPr>
      <w:r>
        <w:rPr>
          <w:rFonts w:hint="eastAsia" w:ascii="宋体" w:hAnsi="宋体" w:cs="宋体"/>
          <w:szCs w:val="21"/>
        </w:rPr>
        <w:t>（4）不同投标人的投标文件异常一致或者投标报价呈规律性差异；</w:t>
      </w:r>
    </w:p>
    <w:p w14:paraId="3031FE47">
      <w:pPr>
        <w:widowControl w:val="0"/>
        <w:adjustRightInd/>
        <w:snapToGrid/>
        <w:ind w:firstLine="420" w:firstLineChars="200"/>
        <w:jc w:val="both"/>
        <w:rPr>
          <w:rFonts w:ascii="宋体" w:hAnsi="宋体" w:cs="宋体"/>
          <w:szCs w:val="21"/>
        </w:rPr>
      </w:pPr>
      <w:r>
        <w:rPr>
          <w:rFonts w:hint="eastAsia" w:ascii="宋体" w:hAnsi="宋体" w:cs="宋体"/>
          <w:szCs w:val="21"/>
        </w:rPr>
        <w:t>（5）不同投标人的投标文件相互混装；</w:t>
      </w:r>
    </w:p>
    <w:p w14:paraId="213B648B">
      <w:pPr>
        <w:widowControl w:val="0"/>
        <w:adjustRightInd/>
        <w:snapToGrid/>
        <w:ind w:firstLine="420" w:firstLineChars="200"/>
        <w:jc w:val="both"/>
        <w:rPr>
          <w:rFonts w:ascii="宋体" w:hAnsi="宋体" w:cs="宋体"/>
          <w:szCs w:val="21"/>
        </w:rPr>
      </w:pPr>
      <w:r>
        <w:rPr>
          <w:rFonts w:hint="eastAsia" w:ascii="宋体" w:hAnsi="宋体" w:cs="宋体"/>
          <w:szCs w:val="21"/>
        </w:rPr>
        <w:t>（6）不同投标人的投标保证金从同一单位或者个人的账户转出。</w:t>
      </w:r>
    </w:p>
    <w:bookmarkEnd w:id="52"/>
    <w:p w14:paraId="6BD2165D">
      <w:pPr>
        <w:rPr>
          <w:rFonts w:ascii="宋体" w:hAnsi="宋体" w:cs="宋体"/>
        </w:rPr>
      </w:pPr>
    </w:p>
    <w:p w14:paraId="6C77B5FD">
      <w:pPr>
        <w:pStyle w:val="6"/>
        <w:widowControl w:val="0"/>
        <w:numPr>
          <w:ilvl w:val="0"/>
          <w:numId w:val="2"/>
        </w:numPr>
        <w:overflowPunct w:val="0"/>
        <w:rPr>
          <w:rFonts w:ascii="宋体" w:hAnsi="宋体" w:cs="宋体"/>
          <w:sz w:val="21"/>
          <w:szCs w:val="21"/>
        </w:rPr>
      </w:pPr>
      <w:bookmarkStart w:id="53" w:name="_Toc6154"/>
      <w:bookmarkStart w:id="54" w:name="_Toc7134"/>
      <w:r>
        <w:rPr>
          <w:rFonts w:hint="eastAsia" w:ascii="宋体" w:hAnsi="宋体" w:cs="宋体"/>
          <w:sz w:val="21"/>
          <w:szCs w:val="21"/>
        </w:rPr>
        <w:t>投标报价说明</w:t>
      </w:r>
      <w:bookmarkEnd w:id="53"/>
      <w:bookmarkEnd w:id="54"/>
    </w:p>
    <w:p w14:paraId="6EDD66D5">
      <w:pPr>
        <w:pStyle w:val="42"/>
        <w:widowControl w:val="0"/>
        <w:numPr>
          <w:ilvl w:val="0"/>
          <w:numId w:val="3"/>
        </w:numPr>
        <w:adjustRightInd/>
        <w:snapToGrid/>
        <w:ind w:firstLineChars="0"/>
        <w:jc w:val="both"/>
        <w:rPr>
          <w:rFonts w:ascii="宋体" w:hAnsi="宋体" w:cs="宋体"/>
          <w:vanish/>
          <w:szCs w:val="21"/>
        </w:rPr>
      </w:pPr>
    </w:p>
    <w:p w14:paraId="5193774F">
      <w:pPr>
        <w:widowControl w:val="0"/>
        <w:numPr>
          <w:ilvl w:val="1"/>
          <w:numId w:val="2"/>
        </w:numPr>
        <w:overflowPunct w:val="0"/>
        <w:rPr>
          <w:rFonts w:ascii="宋体" w:hAnsi="宋体" w:cs="宋体"/>
          <w:szCs w:val="21"/>
        </w:rPr>
      </w:pPr>
      <w:r>
        <w:rPr>
          <w:rFonts w:hint="eastAsia" w:ascii="宋体" w:hAnsi="宋体" w:cs="宋体"/>
          <w:szCs w:val="21"/>
        </w:rPr>
        <w:t>本次采购，投标人应按用户需求中的要求进行投标报价，少报无效。</w:t>
      </w:r>
    </w:p>
    <w:p w14:paraId="18B0896F">
      <w:pPr>
        <w:widowControl w:val="0"/>
        <w:numPr>
          <w:ilvl w:val="1"/>
          <w:numId w:val="2"/>
        </w:numPr>
        <w:overflowPunct w:val="0"/>
        <w:rPr>
          <w:rFonts w:ascii="宋体" w:hAnsi="宋体" w:cs="宋体"/>
          <w:szCs w:val="21"/>
        </w:rPr>
      </w:pPr>
      <w:r>
        <w:rPr>
          <w:rFonts w:hint="eastAsia" w:ascii="宋体" w:hAnsi="宋体" w:cs="宋体"/>
          <w:szCs w:val="21"/>
        </w:rPr>
        <w:t>投标人所提供的货物或服务均以人民币（或相关费率）报价。</w:t>
      </w:r>
    </w:p>
    <w:p w14:paraId="2F8A7806">
      <w:pPr>
        <w:widowControl w:val="0"/>
        <w:numPr>
          <w:ilvl w:val="1"/>
          <w:numId w:val="2"/>
        </w:numPr>
        <w:overflowPunct w:val="0"/>
        <w:rPr>
          <w:rFonts w:ascii="宋体" w:hAnsi="宋体" w:cs="宋体"/>
          <w:szCs w:val="21"/>
        </w:rPr>
      </w:pPr>
      <w:r>
        <w:rPr>
          <w:rFonts w:hint="eastAsia" w:ascii="宋体" w:hAnsi="宋体" w:cs="宋体"/>
          <w:szCs w:val="21"/>
        </w:rPr>
        <w:t>投标报价应包含完成本次采购所有服务内容的费用，包含各种税务费及合同实施过程中的全部费用和售后服务费等。</w:t>
      </w:r>
    </w:p>
    <w:p w14:paraId="6ED1CABB">
      <w:pPr>
        <w:widowControl w:val="0"/>
        <w:numPr>
          <w:ilvl w:val="1"/>
          <w:numId w:val="2"/>
        </w:numPr>
        <w:overflowPunct w:val="0"/>
        <w:rPr>
          <w:rFonts w:ascii="宋体" w:hAnsi="宋体" w:cs="宋体"/>
          <w:szCs w:val="21"/>
        </w:rPr>
      </w:pP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97C04C">
      <w:pPr>
        <w:widowControl w:val="0"/>
        <w:numPr>
          <w:ilvl w:val="1"/>
          <w:numId w:val="2"/>
        </w:numPr>
        <w:overflowPunct w:val="0"/>
        <w:rPr>
          <w:rFonts w:ascii="宋体" w:hAnsi="宋体" w:cs="宋体"/>
          <w:szCs w:val="21"/>
        </w:rPr>
      </w:pPr>
      <w:r>
        <w:rPr>
          <w:rFonts w:hint="eastAsia" w:ascii="宋体" w:hAnsi="宋体" w:cs="宋体"/>
          <w:szCs w:val="21"/>
        </w:rPr>
        <w:t>中标后开出的所有发票必须与中标人的名称一致。</w:t>
      </w:r>
    </w:p>
    <w:p w14:paraId="5E3CDFE8">
      <w:pPr>
        <w:rPr>
          <w:rFonts w:ascii="宋体" w:hAnsi="宋体" w:cs="宋体"/>
        </w:rPr>
      </w:pPr>
    </w:p>
    <w:p w14:paraId="6BA90B17">
      <w:pPr>
        <w:pStyle w:val="6"/>
        <w:widowControl w:val="0"/>
        <w:numPr>
          <w:ilvl w:val="0"/>
          <w:numId w:val="2"/>
        </w:numPr>
        <w:overflowPunct w:val="0"/>
        <w:rPr>
          <w:rFonts w:ascii="宋体" w:hAnsi="宋体" w:cs="宋体"/>
          <w:sz w:val="21"/>
          <w:szCs w:val="21"/>
        </w:rPr>
      </w:pPr>
      <w:bookmarkStart w:id="55" w:name="_Toc14501"/>
      <w:bookmarkStart w:id="56" w:name="_Toc17669"/>
      <w:r>
        <w:rPr>
          <w:rFonts w:hint="eastAsia" w:ascii="宋体" w:hAnsi="宋体" w:cs="宋体"/>
          <w:sz w:val="21"/>
          <w:szCs w:val="21"/>
        </w:rPr>
        <w:t>投标人所提供的服务或货物的证明文件</w:t>
      </w:r>
      <w:bookmarkEnd w:id="55"/>
      <w:bookmarkEnd w:id="56"/>
    </w:p>
    <w:p w14:paraId="55DA452A">
      <w:pPr>
        <w:pStyle w:val="42"/>
        <w:widowControl w:val="0"/>
        <w:numPr>
          <w:ilvl w:val="0"/>
          <w:numId w:val="3"/>
        </w:numPr>
        <w:adjustRightInd/>
        <w:snapToGrid/>
        <w:ind w:firstLineChars="0"/>
        <w:jc w:val="both"/>
        <w:rPr>
          <w:rFonts w:ascii="宋体" w:hAnsi="宋体" w:cs="宋体"/>
          <w:vanish/>
          <w:szCs w:val="21"/>
        </w:rPr>
      </w:pPr>
    </w:p>
    <w:p w14:paraId="6734CE00">
      <w:pPr>
        <w:widowControl w:val="0"/>
        <w:numPr>
          <w:ilvl w:val="1"/>
          <w:numId w:val="2"/>
        </w:numPr>
        <w:overflowPunct w:val="0"/>
        <w:rPr>
          <w:rFonts w:ascii="宋体" w:hAnsi="宋体" w:cs="宋体"/>
          <w:szCs w:val="21"/>
        </w:rPr>
      </w:pPr>
      <w:bookmarkStart w:id="57" w:name="_Hlt107925638"/>
      <w:bookmarkEnd w:id="57"/>
      <w:bookmarkStart w:id="58" w:name="_Hlt107925668"/>
      <w:bookmarkEnd w:id="58"/>
      <w:r>
        <w:rPr>
          <w:rFonts w:hint="eastAsia" w:ascii="宋体" w:hAnsi="宋体" w:cs="宋体"/>
          <w:szCs w:val="21"/>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2591E436">
      <w:pPr>
        <w:widowControl w:val="0"/>
        <w:numPr>
          <w:ilvl w:val="1"/>
          <w:numId w:val="2"/>
        </w:numPr>
        <w:overflowPunct w:val="0"/>
        <w:rPr>
          <w:rFonts w:hint="eastAsia" w:ascii="宋体" w:hAnsi="宋体" w:cs="宋体"/>
          <w:szCs w:val="21"/>
        </w:rPr>
      </w:pPr>
      <w:r>
        <w:rPr>
          <w:rFonts w:hint="eastAsia" w:ascii="宋体" w:hAnsi="宋体" w:cs="宋体"/>
          <w:szCs w:val="21"/>
        </w:rPr>
        <w:t>有下列情形之一的，视为投标人弄虚作假，其投标无效：</w:t>
      </w:r>
    </w:p>
    <w:p w14:paraId="421953C9">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1、使用通过受让或者租借等方式获取的资格、资质证书投标的，属于以他人名义投标。</w:t>
      </w:r>
    </w:p>
    <w:p w14:paraId="5C696D3D">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2、投标人有下列情形之一的，属于以其他方式弄虚作假的行为：</w:t>
      </w:r>
    </w:p>
    <w:p w14:paraId="073E5054">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（1）使用伪造、变造的许可证件；</w:t>
      </w:r>
    </w:p>
    <w:p w14:paraId="357FEBC1">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（2）提供虚假的财务状况或者业绩；</w:t>
      </w:r>
    </w:p>
    <w:p w14:paraId="77D02932">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（3）提供虚假的项目负责人或者主要技术人员简历、劳动关系证明；</w:t>
      </w:r>
    </w:p>
    <w:p w14:paraId="37F8A53D">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（4）提供虚假的信用状况；</w:t>
      </w:r>
    </w:p>
    <w:p w14:paraId="414F823D">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（5）其他弄虚作假的行为。</w:t>
      </w:r>
    </w:p>
    <w:p w14:paraId="2B43D21A">
      <w:pPr>
        <w:pStyle w:val="2"/>
        <w:rPr>
          <w:rFonts w:hint="eastAsia"/>
        </w:rPr>
      </w:pPr>
    </w:p>
    <w:p w14:paraId="12DA755F">
      <w:pPr>
        <w:pStyle w:val="6"/>
        <w:widowControl w:val="0"/>
        <w:numPr>
          <w:ilvl w:val="0"/>
          <w:numId w:val="2"/>
        </w:numPr>
        <w:overflowPunct w:val="0"/>
        <w:rPr>
          <w:rFonts w:ascii="宋体" w:hAnsi="宋体" w:cs="宋体"/>
          <w:sz w:val="21"/>
          <w:szCs w:val="21"/>
        </w:rPr>
      </w:pPr>
      <w:bookmarkStart w:id="59" w:name="_Toc8324"/>
      <w:bookmarkStart w:id="60" w:name="_Toc2409"/>
      <w:r>
        <w:rPr>
          <w:rFonts w:hint="eastAsia" w:ascii="宋体" w:hAnsi="宋体" w:cs="宋体"/>
          <w:sz w:val="21"/>
          <w:szCs w:val="21"/>
        </w:rPr>
        <w:t>投标有效期</w:t>
      </w:r>
      <w:bookmarkEnd w:id="59"/>
      <w:bookmarkEnd w:id="60"/>
    </w:p>
    <w:p w14:paraId="3F47329E">
      <w:pPr>
        <w:pStyle w:val="42"/>
        <w:widowControl w:val="0"/>
        <w:numPr>
          <w:ilvl w:val="0"/>
          <w:numId w:val="3"/>
        </w:numPr>
        <w:adjustRightInd/>
        <w:snapToGrid/>
        <w:ind w:firstLineChars="0"/>
        <w:jc w:val="both"/>
        <w:rPr>
          <w:rFonts w:ascii="宋体" w:hAnsi="宋体" w:cs="宋体"/>
          <w:vanish/>
          <w:szCs w:val="21"/>
        </w:rPr>
      </w:pPr>
    </w:p>
    <w:p w14:paraId="70DDD685">
      <w:pPr>
        <w:widowControl w:val="0"/>
        <w:numPr>
          <w:ilvl w:val="1"/>
          <w:numId w:val="2"/>
        </w:numPr>
        <w:overflowPunct w:val="0"/>
        <w:rPr>
          <w:rFonts w:ascii="宋体" w:hAnsi="宋体" w:cs="宋体"/>
          <w:szCs w:val="21"/>
        </w:rPr>
      </w:pPr>
      <w:r>
        <w:rPr>
          <w:rFonts w:hint="eastAsia" w:ascii="宋体" w:hAnsi="宋体" w:cs="宋体"/>
          <w:szCs w:val="21"/>
        </w:rPr>
        <w:t>投标文件应根据投标人须知的规定在投标截止日后的90天内保持有效。</w:t>
      </w:r>
    </w:p>
    <w:p w14:paraId="49FD525B">
      <w:pPr>
        <w:widowControl w:val="0"/>
        <w:adjustRightInd/>
        <w:snapToGrid/>
        <w:ind w:left="567"/>
        <w:jc w:val="both"/>
        <w:rPr>
          <w:rFonts w:ascii="宋体" w:hAnsi="宋体" w:cs="宋体"/>
        </w:rPr>
      </w:pPr>
    </w:p>
    <w:p w14:paraId="3D550F72">
      <w:pPr>
        <w:pStyle w:val="6"/>
        <w:widowControl w:val="0"/>
        <w:numPr>
          <w:ilvl w:val="0"/>
          <w:numId w:val="2"/>
        </w:numPr>
        <w:overflowPunct w:val="0"/>
        <w:rPr>
          <w:rFonts w:ascii="宋体" w:hAnsi="宋体" w:cs="宋体"/>
          <w:sz w:val="21"/>
          <w:szCs w:val="21"/>
        </w:rPr>
      </w:pPr>
      <w:bookmarkStart w:id="61" w:name="_Toc26564"/>
      <w:bookmarkStart w:id="62" w:name="_Toc12582"/>
      <w:r>
        <w:rPr>
          <w:rFonts w:hint="eastAsia" w:ascii="宋体" w:hAnsi="宋体" w:cs="宋体"/>
          <w:sz w:val="21"/>
          <w:szCs w:val="21"/>
        </w:rPr>
        <w:t>投标保证金</w:t>
      </w:r>
      <w:bookmarkEnd w:id="61"/>
      <w:bookmarkEnd w:id="62"/>
    </w:p>
    <w:p w14:paraId="0D901450">
      <w:pPr>
        <w:pStyle w:val="42"/>
        <w:widowControl w:val="0"/>
        <w:numPr>
          <w:ilvl w:val="0"/>
          <w:numId w:val="3"/>
        </w:numPr>
        <w:adjustRightInd/>
        <w:snapToGrid/>
        <w:ind w:firstLineChars="0"/>
        <w:jc w:val="both"/>
        <w:rPr>
          <w:rFonts w:ascii="宋体" w:hAnsi="宋体" w:cs="宋体"/>
          <w:vanish/>
          <w:szCs w:val="21"/>
        </w:rPr>
      </w:pPr>
      <w:bookmarkStart w:id="63" w:name="_Ref179619405"/>
    </w:p>
    <w:p w14:paraId="673D51F3">
      <w:pPr>
        <w:widowControl w:val="0"/>
        <w:numPr>
          <w:ilvl w:val="1"/>
          <w:numId w:val="2"/>
        </w:numPr>
        <w:overflowPunct w:val="0"/>
        <w:rPr>
          <w:rFonts w:ascii="宋体" w:hAnsi="宋体" w:cs="宋体"/>
          <w:szCs w:val="21"/>
        </w:rPr>
      </w:pPr>
      <w:r>
        <w:rPr>
          <w:rFonts w:hint="eastAsia" w:ascii="宋体" w:hAnsi="宋体" w:cs="宋体"/>
          <w:szCs w:val="21"/>
        </w:rPr>
        <w:t>投标人应在投标文件递交截止前提交相应的投标保证金，并作为其投标的一部分。</w:t>
      </w:r>
      <w:bookmarkEnd w:id="63"/>
    </w:p>
    <w:p w14:paraId="6200E5D0">
      <w:pPr>
        <w:widowControl w:val="0"/>
        <w:numPr>
          <w:ilvl w:val="1"/>
          <w:numId w:val="2"/>
        </w:numPr>
        <w:overflowPunct w:val="0"/>
        <w:rPr>
          <w:rFonts w:ascii="宋体" w:hAnsi="宋体" w:cs="宋体"/>
          <w:szCs w:val="21"/>
        </w:rPr>
      </w:pPr>
      <w:r>
        <w:rPr>
          <w:rFonts w:hint="eastAsia" w:ascii="宋体" w:hAnsi="宋体" w:cs="宋体"/>
          <w:szCs w:val="21"/>
        </w:rPr>
        <w:t>投标保证金是为了保护采购人免遭因投标人的行为而蒙受的损失。采购人在因投标人的行为受到损害时可根据本须知（17.7）的规定没收投标人的投标保证金。</w:t>
      </w:r>
    </w:p>
    <w:p w14:paraId="24584027">
      <w:pPr>
        <w:widowControl w:val="0"/>
        <w:numPr>
          <w:ilvl w:val="1"/>
          <w:numId w:val="2"/>
        </w:numPr>
        <w:overflowPunct w:val="0"/>
        <w:rPr>
          <w:rFonts w:ascii="宋体" w:hAnsi="宋体" w:cs="宋体"/>
          <w:szCs w:val="21"/>
        </w:rPr>
      </w:pPr>
      <w:r>
        <w:rPr>
          <w:rFonts w:hint="eastAsia" w:ascii="宋体" w:hAnsi="宋体" w:cs="宋体"/>
          <w:szCs w:val="21"/>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2EAB7062">
      <w:pPr>
        <w:widowControl w:val="0"/>
        <w:numPr>
          <w:ilvl w:val="1"/>
          <w:numId w:val="2"/>
        </w:numPr>
        <w:overflowPunct w:val="0"/>
        <w:rPr>
          <w:rFonts w:ascii="宋体" w:hAnsi="宋体" w:cs="宋体"/>
          <w:szCs w:val="21"/>
        </w:rPr>
      </w:pPr>
      <w:r>
        <w:rPr>
          <w:rFonts w:hint="eastAsia" w:ascii="宋体" w:hAnsi="宋体" w:cs="宋体"/>
          <w:szCs w:val="21"/>
        </w:rPr>
        <w:t>凡没有根据本须知（17.1和17.3）的规定随附有效的投标保证金的投标，将被视为非响应性投标予以拒绝。</w:t>
      </w:r>
    </w:p>
    <w:p w14:paraId="705D4DB6">
      <w:pPr>
        <w:widowControl w:val="0"/>
        <w:numPr>
          <w:ilvl w:val="1"/>
          <w:numId w:val="2"/>
        </w:numPr>
        <w:overflowPunct w:val="0"/>
        <w:rPr>
          <w:rFonts w:ascii="宋体" w:hAnsi="宋体" w:cs="宋体"/>
          <w:szCs w:val="21"/>
        </w:rPr>
      </w:pPr>
      <w:r>
        <w:rPr>
          <w:rFonts w:hint="eastAsia" w:ascii="宋体" w:hAnsi="宋体" w:cs="宋体"/>
          <w:szCs w:val="21"/>
        </w:rPr>
        <w:t>投标保证金有效期应当与投标有效期一致。采购人如果按照采购文件另外规定延长了投标文件有效期，则投标担保的有效期也相应延长。</w:t>
      </w:r>
    </w:p>
    <w:p w14:paraId="4FBD0600">
      <w:pPr>
        <w:widowControl w:val="0"/>
        <w:numPr>
          <w:ilvl w:val="1"/>
          <w:numId w:val="2"/>
        </w:numPr>
        <w:overflowPunct w:val="0"/>
        <w:rPr>
          <w:rFonts w:ascii="宋体" w:hAnsi="宋体" w:cs="宋体"/>
          <w:szCs w:val="21"/>
        </w:rPr>
      </w:pPr>
      <w:r>
        <w:rPr>
          <w:rFonts w:hint="eastAsia" w:ascii="宋体" w:hAnsi="宋体" w:cs="宋体"/>
          <w:szCs w:val="21"/>
        </w:rPr>
        <w:t>中标人在签订采购合同并按采购文件第（33）条规定提交履约担保金后，携带退保证金声明函、投标保证金汇款单复印件（加盖公章）和合同正本到采购人处办理投标保证金（无息）退回手续。</w:t>
      </w:r>
    </w:p>
    <w:p w14:paraId="60F59B0C">
      <w:pPr>
        <w:widowControl w:val="0"/>
        <w:numPr>
          <w:ilvl w:val="1"/>
          <w:numId w:val="2"/>
        </w:numPr>
        <w:overflowPunct w:val="0"/>
        <w:rPr>
          <w:rFonts w:ascii="宋体" w:hAnsi="宋体" w:cs="宋体"/>
          <w:szCs w:val="21"/>
        </w:rPr>
      </w:pPr>
      <w:r>
        <w:rPr>
          <w:rFonts w:hint="eastAsia" w:ascii="宋体" w:hAnsi="宋体" w:cs="宋体"/>
          <w:szCs w:val="21"/>
        </w:rPr>
        <w:t>下列任何情况发生时，投标保证金将不予退还：</w:t>
      </w:r>
    </w:p>
    <w:p w14:paraId="364DF082">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（1）投标人在采购文件中规定的投标有效期内撤回其投标；</w:t>
      </w:r>
    </w:p>
    <w:p w14:paraId="0247FC7B">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（2）中标人无正当理由不与采购人订立合同，在签订合同时向采购人提出附加条件，或者不按照采购文件要求提交履约保证金的；</w:t>
      </w:r>
    </w:p>
    <w:p w14:paraId="4B744565">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（3）中标人将本项目转让给他人，或者在投标文件中未说明，且未经采购人同意，将中标项目分包给他人的；</w:t>
      </w:r>
    </w:p>
    <w:p w14:paraId="1BD9D972">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（4）投标人提供虚假投标文件或虚假补充文件的。</w:t>
      </w:r>
    </w:p>
    <w:p w14:paraId="6020FB08">
      <w:pPr>
        <w:widowControl w:val="0"/>
        <w:numPr>
          <w:ilvl w:val="1"/>
          <w:numId w:val="2"/>
        </w:numPr>
        <w:overflowPunct w:val="0"/>
        <w:rPr>
          <w:rFonts w:ascii="宋体" w:hAnsi="宋体" w:cs="宋体"/>
          <w:szCs w:val="21"/>
        </w:rPr>
      </w:pPr>
      <w:r>
        <w:rPr>
          <w:rFonts w:hint="eastAsia" w:ascii="宋体" w:hAnsi="宋体" w:cs="宋体"/>
          <w:szCs w:val="21"/>
        </w:rPr>
        <w:t>在中标通知书发出后，未中标投标人的投标保证金，由采购人自行返还至投标人的原转出账户。</w:t>
      </w:r>
    </w:p>
    <w:p w14:paraId="7B97844E">
      <w:pPr>
        <w:rPr>
          <w:rFonts w:ascii="宋体" w:hAnsi="宋体" w:cs="宋体"/>
        </w:rPr>
      </w:pPr>
    </w:p>
    <w:p w14:paraId="4856587E">
      <w:pPr>
        <w:pStyle w:val="5"/>
        <w:numPr>
          <w:ilvl w:val="0"/>
          <w:numId w:val="1"/>
        </w:numPr>
        <w:spacing w:before="0" w:after="0" w:line="360" w:lineRule="auto"/>
        <w:jc w:val="center"/>
        <w:rPr>
          <w:rFonts w:ascii="宋体" w:hAnsi="宋体" w:cs="宋体"/>
          <w:highlight w:val="none"/>
        </w:rPr>
      </w:pPr>
      <w:bookmarkStart w:id="64" w:name="_Toc30352"/>
      <w:bookmarkStart w:id="65" w:name="_Toc18672"/>
      <w:r>
        <w:rPr>
          <w:rFonts w:hint="eastAsia" w:ascii="宋体" w:hAnsi="宋体" w:cs="宋体"/>
          <w:highlight w:val="none"/>
        </w:rPr>
        <w:t>投标文件的递交</w:t>
      </w:r>
      <w:bookmarkEnd w:id="64"/>
      <w:bookmarkEnd w:id="65"/>
    </w:p>
    <w:p w14:paraId="3DE55966">
      <w:pPr>
        <w:pStyle w:val="6"/>
        <w:widowControl w:val="0"/>
        <w:numPr>
          <w:ilvl w:val="0"/>
          <w:numId w:val="2"/>
        </w:numPr>
        <w:overflowPunct w:val="0"/>
        <w:rPr>
          <w:rFonts w:ascii="宋体" w:hAnsi="宋体" w:cs="宋体"/>
          <w:sz w:val="21"/>
          <w:szCs w:val="21"/>
          <w:highlight w:val="none"/>
        </w:rPr>
      </w:pPr>
      <w:bookmarkStart w:id="66" w:name="_Toc382049111"/>
      <w:bookmarkStart w:id="67" w:name="_Toc24997"/>
      <w:bookmarkStart w:id="68" w:name="_Toc9759"/>
      <w:bookmarkStart w:id="69" w:name="_Toc303084264"/>
      <w:bookmarkStart w:id="70" w:name="_Toc24150"/>
      <w:r>
        <w:rPr>
          <w:rFonts w:hint="eastAsia" w:ascii="宋体" w:hAnsi="宋体" w:cs="宋体"/>
          <w:sz w:val="21"/>
          <w:szCs w:val="21"/>
          <w:highlight w:val="none"/>
        </w:rPr>
        <w:t>投标文件的装订，签署，密封和标记</w:t>
      </w:r>
      <w:bookmarkEnd w:id="66"/>
      <w:bookmarkEnd w:id="67"/>
      <w:bookmarkEnd w:id="68"/>
      <w:bookmarkEnd w:id="69"/>
      <w:bookmarkEnd w:id="70"/>
    </w:p>
    <w:p w14:paraId="5A35D12C">
      <w:pPr>
        <w:pStyle w:val="42"/>
        <w:widowControl w:val="0"/>
        <w:numPr>
          <w:ilvl w:val="0"/>
          <w:numId w:val="3"/>
        </w:numPr>
        <w:adjustRightInd/>
        <w:snapToGrid/>
        <w:ind w:firstLineChars="0"/>
        <w:jc w:val="both"/>
        <w:rPr>
          <w:rFonts w:ascii="宋体" w:hAnsi="宋体" w:cs="宋体"/>
          <w:vanish/>
          <w:szCs w:val="21"/>
          <w:highlight w:val="none"/>
        </w:rPr>
      </w:pPr>
    </w:p>
    <w:p w14:paraId="77F2CC80">
      <w:pPr>
        <w:widowControl w:val="0"/>
        <w:numPr>
          <w:ilvl w:val="1"/>
          <w:numId w:val="2"/>
        </w:numPr>
        <w:overflowPunct w:val="0"/>
        <w:rPr>
          <w:rFonts w:ascii="宋体" w:hAnsi="宋体" w:cs="宋体"/>
          <w:szCs w:val="21"/>
          <w:highlight w:val="none"/>
        </w:rPr>
      </w:pPr>
      <w:r>
        <w:rPr>
          <w:rFonts w:hint="eastAsia" w:ascii="宋体" w:hAnsi="宋体"/>
          <w:szCs w:val="21"/>
          <w:highlight w:val="none"/>
        </w:rPr>
        <w:t>投标人应按《投标资料表》的份数准备价格文件、商务文件、技术文件、唱标信封和电子文件（</w:t>
      </w:r>
      <w:r>
        <w:rPr>
          <w:rFonts w:hint="eastAsia" w:ascii="宋体" w:hAnsi="宋体"/>
          <w:b/>
          <w:szCs w:val="21"/>
          <w:highlight w:val="none"/>
        </w:rPr>
        <w:t>价格文件、商务文件、技术文件分别单独装订成册</w:t>
      </w:r>
      <w:r>
        <w:rPr>
          <w:rFonts w:hint="eastAsia" w:ascii="宋体" w:hAnsi="宋体"/>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szCs w:val="21"/>
          <w:highlight w:val="none"/>
        </w:rPr>
        <w:t>。</w:t>
      </w:r>
    </w:p>
    <w:p w14:paraId="667B417B">
      <w:pPr>
        <w:widowControl w:val="0"/>
        <w:numPr>
          <w:ilvl w:val="1"/>
          <w:numId w:val="2"/>
        </w:numPr>
        <w:overflowPunct w:val="0"/>
        <w:rPr>
          <w:rFonts w:ascii="宋体" w:hAnsi="宋体" w:cs="宋体"/>
          <w:szCs w:val="21"/>
        </w:rPr>
      </w:pPr>
      <w:r>
        <w:rPr>
          <w:rFonts w:hint="eastAsia" w:ascii="宋体" w:hAnsi="宋体" w:cs="宋体"/>
          <w:szCs w:val="21"/>
          <w:highlight w:val="none"/>
        </w:rPr>
        <w:t>投标文件正本均须用不褪色墨水书写或打印。投标文件的副本可采用投标文件的正本复印件，每套投标文件应当标明“正本”、“副本”的字样。投标文件的</w:t>
      </w:r>
      <w:r>
        <w:rPr>
          <w:rFonts w:hint="eastAsia" w:ascii="宋体" w:hAnsi="宋体" w:cs="宋体"/>
          <w:szCs w:val="21"/>
        </w:rPr>
        <w:t>【正本】及所有【副本】的封面及骑缝均须加盖投标人公章（文件每页盖章等同于盖骑缝章）。若正本与副本不符，以正本为准。</w:t>
      </w:r>
    </w:p>
    <w:p w14:paraId="425C878B">
      <w:pPr>
        <w:widowControl w:val="0"/>
        <w:numPr>
          <w:ilvl w:val="1"/>
          <w:numId w:val="2"/>
        </w:numPr>
        <w:overflowPunct w:val="0"/>
        <w:rPr>
          <w:rFonts w:ascii="宋体" w:hAnsi="宋体" w:cs="宋体"/>
          <w:szCs w:val="21"/>
        </w:rPr>
      </w:pPr>
      <w:r>
        <w:rPr>
          <w:rFonts w:hint="eastAsia" w:ascii="宋体" w:hAnsi="宋体" w:cs="宋体"/>
          <w:szCs w:val="21"/>
        </w:rPr>
        <w:t>联合体投标文件的【正本】及【副本】的封面及骑缝均须加盖所有联合体组成成员的公章。（文件每页盖章等同于盖骑缝章）</w:t>
      </w:r>
    </w:p>
    <w:p w14:paraId="1AB37961">
      <w:pPr>
        <w:widowControl w:val="0"/>
        <w:numPr>
          <w:ilvl w:val="1"/>
          <w:numId w:val="2"/>
        </w:numPr>
        <w:overflowPunct w:val="0"/>
        <w:rPr>
          <w:rFonts w:ascii="宋体" w:hAnsi="宋体" w:cs="宋体"/>
          <w:szCs w:val="21"/>
        </w:rPr>
      </w:pPr>
      <w:r>
        <w:rPr>
          <w:rFonts w:hint="eastAsia" w:ascii="宋体" w:hAnsi="宋体" w:cs="宋体"/>
          <w:szCs w:val="21"/>
        </w:rPr>
        <w:t>电子文件内容包括：由投标人自行制作的与正本文件一致的所有文件。电子文件由光盘或U盘储存，并注明投标人名称及项目名称、采购项目编号，随投标文件一同密封提交。</w:t>
      </w:r>
    </w:p>
    <w:p w14:paraId="387941FA">
      <w:pPr>
        <w:widowControl w:val="0"/>
        <w:numPr>
          <w:ilvl w:val="1"/>
          <w:numId w:val="2"/>
        </w:numPr>
        <w:overflowPunct w:val="0"/>
        <w:rPr>
          <w:rFonts w:ascii="宋体" w:hAnsi="宋体" w:cs="宋体"/>
          <w:szCs w:val="21"/>
        </w:rPr>
      </w:pPr>
      <w:r>
        <w:rPr>
          <w:rFonts w:hint="eastAsia" w:ascii="宋体" w:hAnsi="宋体" w:cs="宋体"/>
          <w:szCs w:val="21"/>
        </w:rPr>
        <w:t>除投标人对错误处修改外，全套投标文件应无涂改或行间插字和增删。如有修改，修改处须由法定代表人或其正式授权代表在旁边签字及盖章。</w:t>
      </w:r>
    </w:p>
    <w:p w14:paraId="36AF921A">
      <w:pPr>
        <w:widowControl w:val="0"/>
        <w:numPr>
          <w:ilvl w:val="1"/>
          <w:numId w:val="2"/>
        </w:numPr>
        <w:overflowPunct w:val="0"/>
        <w:rPr>
          <w:rFonts w:ascii="宋体" w:hAnsi="宋体" w:cs="宋体"/>
          <w:szCs w:val="21"/>
        </w:rPr>
      </w:pPr>
      <w:r>
        <w:rPr>
          <w:rFonts w:hint="eastAsia" w:ascii="宋体" w:hAnsi="宋体" w:cs="宋体"/>
          <w:szCs w:val="21"/>
        </w:rPr>
        <w:t>投标人应将投标文件进行非透明的封装，以防止投标文件内容的泄露。</w:t>
      </w:r>
      <w:r>
        <w:rPr>
          <w:rFonts w:hint="eastAsia" w:ascii="宋体" w:hAnsi="宋体" w:cs="宋体"/>
          <w:szCs w:val="21"/>
          <w:lang w:eastAsia="zh-CN"/>
        </w:rPr>
        <w:t>采购人</w:t>
      </w:r>
      <w:r>
        <w:rPr>
          <w:rFonts w:hint="eastAsia" w:ascii="宋体" w:hAnsi="宋体" w:cs="宋体"/>
          <w:szCs w:val="21"/>
        </w:rPr>
        <w:t>将拒绝接收采用透明包装进行密封的投标文件。</w:t>
      </w:r>
    </w:p>
    <w:p w14:paraId="5BEAF3C2">
      <w:pPr>
        <w:widowControl w:val="0"/>
        <w:numPr>
          <w:ilvl w:val="1"/>
          <w:numId w:val="2"/>
        </w:numPr>
        <w:overflowPunct w:val="0"/>
        <w:rPr>
          <w:rFonts w:ascii="宋体" w:hAnsi="宋体" w:cs="宋体"/>
          <w:szCs w:val="21"/>
        </w:rPr>
      </w:pPr>
      <w:r>
        <w:rPr>
          <w:rFonts w:hint="eastAsia" w:ascii="宋体" w:hAnsi="宋体" w:cs="宋体"/>
          <w:szCs w:val="21"/>
        </w:rPr>
        <w:t>密封破损导致投标文件内容直接或间接泄露的投标文件，</w:t>
      </w:r>
      <w:r>
        <w:rPr>
          <w:rFonts w:hint="eastAsia" w:ascii="宋体" w:hAnsi="宋体" w:cs="宋体"/>
          <w:szCs w:val="21"/>
          <w:lang w:eastAsia="zh-CN"/>
        </w:rPr>
        <w:t>采购人</w:t>
      </w:r>
      <w:r>
        <w:rPr>
          <w:rFonts w:hint="eastAsia" w:ascii="宋体" w:hAnsi="宋体" w:cs="宋体"/>
          <w:szCs w:val="21"/>
        </w:rPr>
        <w:t>将拒绝接收。</w:t>
      </w:r>
    </w:p>
    <w:p w14:paraId="2AB6888A">
      <w:pPr>
        <w:widowControl w:val="0"/>
        <w:numPr>
          <w:ilvl w:val="1"/>
          <w:numId w:val="2"/>
        </w:numPr>
        <w:overflowPunct w:val="0"/>
        <w:rPr>
          <w:rFonts w:ascii="宋体" w:hAnsi="宋体" w:cs="宋体"/>
          <w:szCs w:val="21"/>
        </w:rPr>
      </w:pPr>
      <w:r>
        <w:rPr>
          <w:rFonts w:hint="eastAsia" w:ascii="宋体" w:hAnsi="宋体" w:cs="宋体"/>
          <w:szCs w:val="21"/>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11187CDE">
      <w:pPr>
        <w:widowControl w:val="0"/>
        <w:numPr>
          <w:ilvl w:val="1"/>
          <w:numId w:val="2"/>
        </w:numPr>
        <w:overflowPunct w:val="0"/>
        <w:rPr>
          <w:rFonts w:ascii="宋体" w:hAnsi="宋体" w:cs="宋体"/>
          <w:b/>
          <w:bCs/>
          <w:szCs w:val="21"/>
        </w:rPr>
      </w:pPr>
      <w:r>
        <w:rPr>
          <w:rFonts w:hint="eastAsia" w:ascii="宋体" w:hAnsi="宋体" w:cs="宋体"/>
          <w:b/>
          <w:bCs/>
          <w:szCs w:val="21"/>
        </w:rPr>
        <w:t>未单独提交唱标信封的投标人投标文件不进行唱标，投标文件作无效处理。</w:t>
      </w:r>
    </w:p>
    <w:p w14:paraId="3E26DC0A">
      <w:pPr>
        <w:widowControl w:val="0"/>
        <w:numPr>
          <w:ilvl w:val="1"/>
          <w:numId w:val="2"/>
        </w:numPr>
        <w:overflowPunct w:val="0"/>
        <w:rPr>
          <w:rFonts w:ascii="宋体" w:hAnsi="宋体" w:cs="宋体"/>
          <w:szCs w:val="21"/>
        </w:rPr>
      </w:pPr>
      <w:r>
        <w:rPr>
          <w:rFonts w:hint="eastAsia" w:ascii="宋体" w:hAnsi="宋体" w:cs="宋体"/>
          <w:szCs w:val="21"/>
        </w:rPr>
        <w:t xml:space="preserve">所有的信封均应注明： </w:t>
      </w:r>
    </w:p>
    <w:p w14:paraId="3BF2874C">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 xml:space="preserve">收件人： </w:t>
      </w:r>
    </w:p>
    <w:p w14:paraId="7B9BDFBE">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投标单位名称：</w:t>
      </w:r>
    </w:p>
    <w:p w14:paraId="6BB89F32">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项目名称：</w:t>
      </w:r>
    </w:p>
    <w:p w14:paraId="0361E680">
      <w:pPr>
        <w:widowControl w:val="0"/>
        <w:numPr>
          <w:ilvl w:val="0"/>
          <w:numId w:val="0"/>
        </w:numPr>
        <w:overflowPunct w:val="0"/>
        <w:ind w:leftChars="0" w:firstLine="420" w:firstLineChars="200"/>
        <w:rPr>
          <w:rFonts w:hint="eastAsia" w:ascii="宋体" w:hAnsi="宋体" w:cs="宋体"/>
          <w:szCs w:val="21"/>
        </w:rPr>
      </w:pPr>
      <w:r>
        <w:rPr>
          <w:rFonts w:hint="eastAsia" w:ascii="宋体" w:hAnsi="宋体" w:cs="宋体"/>
          <w:szCs w:val="21"/>
        </w:rPr>
        <w:t>项目采购项目编号：</w:t>
      </w:r>
    </w:p>
    <w:p w14:paraId="3E562CC7">
      <w:pPr>
        <w:widowControl w:val="0"/>
        <w:numPr>
          <w:ilvl w:val="1"/>
          <w:numId w:val="2"/>
        </w:numPr>
        <w:overflowPunct w:val="0"/>
        <w:rPr>
          <w:rFonts w:ascii="宋体" w:hAnsi="宋体" w:cs="宋体"/>
          <w:szCs w:val="21"/>
        </w:rPr>
      </w:pPr>
      <w:r>
        <w:rPr>
          <w:rFonts w:hint="eastAsia" w:ascii="宋体" w:hAnsi="宋体" w:cs="宋体"/>
          <w:szCs w:val="21"/>
        </w:rPr>
        <w:t>密封信封上的项目编号错误或项目名称出现严重歧义的（包括采购内容不符），</w:t>
      </w:r>
      <w:r>
        <w:rPr>
          <w:rFonts w:hint="eastAsia" w:ascii="宋体" w:hAnsi="宋体" w:cs="宋体"/>
          <w:szCs w:val="21"/>
          <w:lang w:eastAsia="zh-CN"/>
        </w:rPr>
        <w:t>采购人</w:t>
      </w:r>
      <w:r>
        <w:rPr>
          <w:rFonts w:hint="eastAsia" w:ascii="宋体" w:hAnsi="宋体" w:cs="宋体"/>
          <w:szCs w:val="21"/>
        </w:rPr>
        <w:t>将拒绝接收。</w:t>
      </w:r>
    </w:p>
    <w:p w14:paraId="11DABDC8">
      <w:pPr>
        <w:widowControl w:val="0"/>
        <w:numPr>
          <w:ilvl w:val="1"/>
          <w:numId w:val="2"/>
        </w:numPr>
        <w:overflowPunct w:val="0"/>
        <w:rPr>
          <w:rFonts w:ascii="宋体" w:hAnsi="宋体" w:cs="宋体"/>
          <w:szCs w:val="21"/>
        </w:rPr>
      </w:pPr>
      <w:r>
        <w:rPr>
          <w:rFonts w:hint="eastAsia" w:ascii="宋体" w:hAnsi="宋体" w:cs="宋体"/>
          <w:szCs w:val="21"/>
          <w:lang w:eastAsia="zh-CN"/>
        </w:rPr>
        <w:t>采购人</w:t>
      </w:r>
      <w:r>
        <w:rPr>
          <w:rFonts w:hint="eastAsia" w:ascii="宋体" w:hAnsi="宋体" w:cs="宋体"/>
          <w:szCs w:val="21"/>
        </w:rPr>
        <w:t>对所有投标文件的误投或提前启封概不负责。</w:t>
      </w:r>
    </w:p>
    <w:p w14:paraId="278EFF10">
      <w:pPr>
        <w:widowControl w:val="0"/>
        <w:numPr>
          <w:ilvl w:val="1"/>
          <w:numId w:val="2"/>
        </w:numPr>
        <w:overflowPunct w:val="0"/>
        <w:rPr>
          <w:rFonts w:ascii="宋体" w:hAnsi="宋体" w:cs="宋体"/>
          <w:szCs w:val="21"/>
        </w:rPr>
      </w:pPr>
      <w:r>
        <w:rPr>
          <w:rFonts w:hint="eastAsia" w:ascii="宋体" w:hAnsi="宋体" w:cs="宋体"/>
          <w:szCs w:val="21"/>
        </w:rPr>
        <w:t>投标人同时参加几个包投标时必须按采购文件要求按包号分别制作投标文件，分别密封递交。</w:t>
      </w:r>
    </w:p>
    <w:p w14:paraId="328F7C95">
      <w:pPr>
        <w:widowControl w:val="0"/>
        <w:numPr>
          <w:ilvl w:val="1"/>
          <w:numId w:val="2"/>
        </w:numPr>
        <w:overflowPunct w:val="0"/>
        <w:rPr>
          <w:rFonts w:ascii="宋体" w:hAnsi="宋体" w:cs="宋体"/>
          <w:szCs w:val="21"/>
        </w:rPr>
      </w:pPr>
      <w:r>
        <w:rPr>
          <w:rFonts w:hint="eastAsia" w:ascii="宋体" w:hAnsi="宋体" w:cs="宋体"/>
          <w:szCs w:val="21"/>
        </w:rPr>
        <w:t>传真、电传的投标文件将被拒绝。</w:t>
      </w:r>
    </w:p>
    <w:p w14:paraId="302F88C5">
      <w:pPr>
        <w:widowControl w:val="0"/>
        <w:numPr>
          <w:ilvl w:val="1"/>
          <w:numId w:val="2"/>
        </w:numPr>
        <w:overflowPunct w:val="0"/>
        <w:rPr>
          <w:rFonts w:ascii="宋体" w:hAnsi="宋体" w:cs="宋体"/>
          <w:szCs w:val="21"/>
        </w:rPr>
      </w:pPr>
      <w:r>
        <w:rPr>
          <w:rFonts w:hint="eastAsia" w:ascii="宋体" w:hAnsi="宋体" w:cs="宋体"/>
          <w:szCs w:val="21"/>
        </w:rPr>
        <w:t>递交的投标文件中所提供的通讯方式应保持联络畅通，因联系不上而导致的所有后果由投标人自行承担。</w:t>
      </w:r>
    </w:p>
    <w:p w14:paraId="571BD9A5">
      <w:pPr>
        <w:rPr>
          <w:rFonts w:ascii="宋体" w:hAnsi="宋体" w:cs="宋体"/>
        </w:rPr>
      </w:pPr>
    </w:p>
    <w:p w14:paraId="61DEB82D">
      <w:pPr>
        <w:pStyle w:val="6"/>
        <w:widowControl w:val="0"/>
        <w:numPr>
          <w:ilvl w:val="0"/>
          <w:numId w:val="2"/>
        </w:numPr>
        <w:overflowPunct w:val="0"/>
        <w:rPr>
          <w:rFonts w:ascii="宋体" w:hAnsi="宋体" w:cs="宋体"/>
          <w:sz w:val="21"/>
          <w:szCs w:val="21"/>
        </w:rPr>
      </w:pPr>
      <w:bookmarkStart w:id="71" w:name="_Toc27686"/>
      <w:bookmarkStart w:id="72" w:name="_Toc25895"/>
      <w:r>
        <w:rPr>
          <w:rFonts w:hint="eastAsia" w:ascii="宋体" w:hAnsi="宋体" w:cs="宋体"/>
          <w:sz w:val="21"/>
          <w:szCs w:val="21"/>
        </w:rPr>
        <w:t>迟交的投标文件</w:t>
      </w:r>
      <w:bookmarkEnd w:id="71"/>
      <w:bookmarkEnd w:id="72"/>
    </w:p>
    <w:p w14:paraId="1EF173E9">
      <w:pPr>
        <w:pStyle w:val="42"/>
        <w:widowControl w:val="0"/>
        <w:numPr>
          <w:ilvl w:val="0"/>
          <w:numId w:val="3"/>
        </w:numPr>
        <w:adjustRightInd/>
        <w:snapToGrid/>
        <w:ind w:firstLineChars="0"/>
        <w:jc w:val="both"/>
        <w:rPr>
          <w:rFonts w:ascii="宋体" w:hAnsi="宋体" w:cs="宋体"/>
          <w:vanish/>
          <w:szCs w:val="21"/>
        </w:rPr>
      </w:pPr>
    </w:p>
    <w:p w14:paraId="585399A5">
      <w:pPr>
        <w:widowControl w:val="0"/>
        <w:numPr>
          <w:ilvl w:val="1"/>
          <w:numId w:val="2"/>
        </w:numPr>
        <w:overflowPunct w:val="0"/>
        <w:rPr>
          <w:rFonts w:ascii="宋体" w:hAnsi="宋体" w:cs="宋体"/>
          <w:szCs w:val="21"/>
        </w:rPr>
      </w:pPr>
      <w:r>
        <w:rPr>
          <w:rFonts w:hint="eastAsia" w:ascii="宋体" w:hAnsi="宋体" w:cs="宋体"/>
          <w:szCs w:val="21"/>
        </w:rPr>
        <w:t>投标人在投标截止时间之后提交的投标文件，</w:t>
      </w:r>
      <w:r>
        <w:rPr>
          <w:rFonts w:hint="eastAsia" w:ascii="宋体" w:hAnsi="宋体" w:cs="宋体"/>
          <w:szCs w:val="21"/>
          <w:lang w:eastAsia="zh-CN"/>
        </w:rPr>
        <w:t>采购人</w:t>
      </w:r>
      <w:r>
        <w:rPr>
          <w:rFonts w:hint="eastAsia" w:ascii="宋体" w:hAnsi="宋体" w:cs="宋体"/>
          <w:szCs w:val="21"/>
        </w:rPr>
        <w:t>将拒绝接收。</w:t>
      </w:r>
    </w:p>
    <w:p w14:paraId="774ED6F3">
      <w:pPr>
        <w:widowControl w:val="0"/>
        <w:numPr>
          <w:ilvl w:val="1"/>
          <w:numId w:val="2"/>
        </w:numPr>
        <w:overflowPunct w:val="0"/>
        <w:rPr>
          <w:rFonts w:ascii="宋体" w:hAnsi="宋体" w:cs="宋体"/>
          <w:szCs w:val="21"/>
        </w:rPr>
      </w:pPr>
      <w:r>
        <w:rPr>
          <w:rFonts w:hint="eastAsia" w:ascii="宋体" w:hAnsi="宋体" w:cs="宋体"/>
          <w:szCs w:val="21"/>
        </w:rPr>
        <w:t>有违反其他法律规定情形的，</w:t>
      </w:r>
      <w:r>
        <w:rPr>
          <w:rFonts w:hint="eastAsia" w:ascii="宋体" w:hAnsi="宋体" w:cs="宋体"/>
          <w:szCs w:val="21"/>
          <w:lang w:eastAsia="zh-CN"/>
        </w:rPr>
        <w:t>采购人</w:t>
      </w:r>
      <w:r>
        <w:rPr>
          <w:rFonts w:hint="eastAsia" w:ascii="宋体" w:hAnsi="宋体" w:cs="宋体"/>
          <w:szCs w:val="21"/>
        </w:rPr>
        <w:t>将拒绝接收。</w:t>
      </w:r>
    </w:p>
    <w:p w14:paraId="51B806AD">
      <w:pPr>
        <w:rPr>
          <w:rFonts w:ascii="宋体" w:hAnsi="宋体" w:cs="宋体"/>
        </w:rPr>
      </w:pPr>
    </w:p>
    <w:p w14:paraId="3E88C6B7">
      <w:pPr>
        <w:pStyle w:val="6"/>
        <w:widowControl w:val="0"/>
        <w:numPr>
          <w:ilvl w:val="0"/>
          <w:numId w:val="2"/>
        </w:numPr>
        <w:overflowPunct w:val="0"/>
        <w:rPr>
          <w:rFonts w:ascii="宋体" w:hAnsi="宋体" w:cs="宋体"/>
          <w:sz w:val="21"/>
          <w:szCs w:val="21"/>
        </w:rPr>
      </w:pPr>
      <w:bookmarkStart w:id="73" w:name="_Toc9143"/>
      <w:bookmarkStart w:id="74" w:name="_Toc8776"/>
      <w:r>
        <w:rPr>
          <w:rFonts w:hint="eastAsia" w:ascii="宋体" w:hAnsi="宋体" w:cs="宋体"/>
          <w:sz w:val="21"/>
          <w:szCs w:val="21"/>
        </w:rPr>
        <w:t>投标样品（如需提交）</w:t>
      </w:r>
      <w:bookmarkEnd w:id="73"/>
      <w:bookmarkEnd w:id="74"/>
    </w:p>
    <w:p w14:paraId="36EB052C">
      <w:pPr>
        <w:pStyle w:val="42"/>
        <w:widowControl w:val="0"/>
        <w:numPr>
          <w:ilvl w:val="0"/>
          <w:numId w:val="3"/>
        </w:numPr>
        <w:adjustRightInd/>
        <w:snapToGrid/>
        <w:ind w:firstLineChars="0"/>
        <w:jc w:val="both"/>
        <w:rPr>
          <w:rFonts w:ascii="宋体" w:hAnsi="宋体" w:cs="宋体"/>
          <w:vanish/>
          <w:szCs w:val="21"/>
        </w:rPr>
      </w:pPr>
    </w:p>
    <w:p w14:paraId="0AC96CD1">
      <w:pPr>
        <w:widowControl w:val="0"/>
        <w:numPr>
          <w:ilvl w:val="1"/>
          <w:numId w:val="2"/>
        </w:numPr>
        <w:overflowPunct w:val="0"/>
        <w:rPr>
          <w:rFonts w:ascii="宋体" w:hAnsi="宋体" w:cs="宋体"/>
          <w:szCs w:val="21"/>
        </w:rPr>
      </w:pPr>
      <w:r>
        <w:rPr>
          <w:rFonts w:hint="eastAsia" w:ascii="宋体" w:hAnsi="宋体" w:cs="宋体"/>
          <w:szCs w:val="21"/>
        </w:rPr>
        <w:t>如有必要，</w:t>
      </w:r>
      <w:r>
        <w:rPr>
          <w:rFonts w:hint="eastAsia" w:ascii="宋体" w:hAnsi="宋体" w:cs="宋体"/>
          <w:szCs w:val="21"/>
          <w:lang w:eastAsia="zh-CN"/>
        </w:rPr>
        <w:t>采购人</w:t>
      </w:r>
      <w:r>
        <w:rPr>
          <w:rFonts w:hint="eastAsia" w:ascii="宋体" w:hAnsi="宋体" w:cs="宋体"/>
          <w:szCs w:val="21"/>
        </w:rPr>
        <w:t>可以要求投标人提供本服务项目涉及的部分设备或产品样品，投标人在投标时应提交《样品清单》。</w:t>
      </w:r>
    </w:p>
    <w:p w14:paraId="4E789F01">
      <w:pPr>
        <w:widowControl w:val="0"/>
        <w:numPr>
          <w:ilvl w:val="1"/>
          <w:numId w:val="2"/>
        </w:numPr>
        <w:overflowPunct w:val="0"/>
        <w:rPr>
          <w:rFonts w:ascii="宋体" w:hAnsi="宋体" w:cs="宋体"/>
          <w:szCs w:val="21"/>
        </w:rPr>
      </w:pPr>
      <w:r>
        <w:rPr>
          <w:rFonts w:hint="eastAsia" w:ascii="宋体" w:hAnsi="宋体" w:cs="宋体"/>
          <w:szCs w:val="21"/>
        </w:rPr>
        <w:t>为方便评标，投标人在提供样品时，应在所提供的样品表面显著位置标注投标人的名称、包号、样品名称、采购文件规定的服务或货物编号。</w:t>
      </w:r>
    </w:p>
    <w:p w14:paraId="681BB7FA">
      <w:pPr>
        <w:widowControl w:val="0"/>
        <w:numPr>
          <w:ilvl w:val="1"/>
          <w:numId w:val="2"/>
        </w:numPr>
        <w:overflowPunct w:val="0"/>
        <w:rPr>
          <w:rFonts w:ascii="宋体" w:hAnsi="宋体" w:cs="宋体"/>
          <w:szCs w:val="21"/>
        </w:rPr>
      </w:pPr>
      <w:r>
        <w:rPr>
          <w:rFonts w:hint="eastAsia" w:ascii="宋体" w:hAnsi="宋体" w:cs="宋体"/>
          <w:szCs w:val="21"/>
        </w:rPr>
        <w:t>样品作为投标文件的一部分，除非另有说明，中标单位的样品将作为履约验收标准的参考不再退还，未中标单位须在中标公告发布后五个工作日内，前往</w:t>
      </w:r>
      <w:r>
        <w:rPr>
          <w:rFonts w:hint="eastAsia" w:ascii="宋体" w:hAnsi="宋体" w:cs="宋体"/>
          <w:szCs w:val="21"/>
          <w:lang w:eastAsia="zh-CN"/>
        </w:rPr>
        <w:t>采购人</w:t>
      </w:r>
      <w:r>
        <w:rPr>
          <w:rFonts w:hint="eastAsia" w:ascii="宋体" w:hAnsi="宋体" w:cs="宋体"/>
          <w:szCs w:val="21"/>
        </w:rPr>
        <w:t>领取投标样品，逾期不领，</w:t>
      </w:r>
      <w:r>
        <w:rPr>
          <w:rFonts w:hint="eastAsia" w:ascii="宋体" w:hAnsi="宋体" w:cs="宋体"/>
          <w:szCs w:val="21"/>
          <w:lang w:eastAsia="zh-CN"/>
        </w:rPr>
        <w:t>采购人</w:t>
      </w:r>
      <w:r>
        <w:rPr>
          <w:rFonts w:hint="eastAsia" w:ascii="宋体" w:hAnsi="宋体" w:cs="宋体"/>
          <w:szCs w:val="21"/>
        </w:rPr>
        <w:t>将不承担样品的保管责任，由此引发的样品丢失、毁损，</w:t>
      </w:r>
      <w:r>
        <w:rPr>
          <w:rFonts w:hint="eastAsia" w:ascii="宋体" w:hAnsi="宋体" w:cs="宋体"/>
          <w:szCs w:val="21"/>
          <w:lang w:eastAsia="zh-CN"/>
        </w:rPr>
        <w:t>采购人</w:t>
      </w:r>
      <w:r>
        <w:rPr>
          <w:rFonts w:hint="eastAsia" w:ascii="宋体" w:hAnsi="宋体" w:cs="宋体"/>
          <w:szCs w:val="21"/>
        </w:rPr>
        <w:t>不予负责。</w:t>
      </w:r>
    </w:p>
    <w:p w14:paraId="046DF948">
      <w:pPr>
        <w:rPr>
          <w:rFonts w:ascii="宋体" w:hAnsi="宋体" w:cs="宋体"/>
        </w:rPr>
      </w:pPr>
    </w:p>
    <w:p w14:paraId="6E994852">
      <w:pPr>
        <w:pStyle w:val="6"/>
        <w:widowControl w:val="0"/>
        <w:numPr>
          <w:ilvl w:val="0"/>
          <w:numId w:val="2"/>
        </w:numPr>
        <w:overflowPunct w:val="0"/>
        <w:rPr>
          <w:rFonts w:ascii="宋体" w:hAnsi="宋体" w:cs="宋体"/>
          <w:sz w:val="21"/>
          <w:szCs w:val="21"/>
        </w:rPr>
      </w:pPr>
      <w:bookmarkStart w:id="75" w:name="_Toc17522"/>
      <w:bookmarkStart w:id="76" w:name="_Toc303084265"/>
      <w:bookmarkStart w:id="77" w:name="_Toc382049112"/>
      <w:bookmarkStart w:id="78" w:name="_Toc1712"/>
      <w:bookmarkStart w:id="79" w:name="_Toc9777"/>
      <w:r>
        <w:rPr>
          <w:rFonts w:hint="eastAsia" w:ascii="宋体" w:hAnsi="宋体" w:cs="宋体"/>
          <w:sz w:val="21"/>
          <w:szCs w:val="21"/>
        </w:rPr>
        <w:t>投标截止期</w:t>
      </w:r>
      <w:bookmarkEnd w:id="75"/>
      <w:bookmarkEnd w:id="76"/>
      <w:bookmarkEnd w:id="77"/>
      <w:bookmarkEnd w:id="78"/>
      <w:bookmarkEnd w:id="79"/>
    </w:p>
    <w:p w14:paraId="1DC7D0F9">
      <w:pPr>
        <w:pStyle w:val="42"/>
        <w:widowControl w:val="0"/>
        <w:numPr>
          <w:ilvl w:val="0"/>
          <w:numId w:val="3"/>
        </w:numPr>
        <w:adjustRightInd/>
        <w:snapToGrid/>
        <w:ind w:firstLineChars="0"/>
        <w:jc w:val="both"/>
        <w:rPr>
          <w:rFonts w:ascii="宋体" w:hAnsi="宋体" w:cs="宋体"/>
          <w:vanish/>
          <w:szCs w:val="21"/>
        </w:rPr>
      </w:pPr>
    </w:p>
    <w:p w14:paraId="464812DC">
      <w:pPr>
        <w:widowControl w:val="0"/>
        <w:numPr>
          <w:ilvl w:val="1"/>
          <w:numId w:val="2"/>
        </w:numPr>
        <w:overflowPunct w:val="0"/>
        <w:rPr>
          <w:rFonts w:ascii="宋体" w:hAnsi="宋体" w:cs="宋体"/>
          <w:szCs w:val="21"/>
        </w:rPr>
      </w:pPr>
      <w:r>
        <w:rPr>
          <w:rFonts w:hint="eastAsia" w:ascii="宋体" w:hAnsi="宋体" w:cs="宋体"/>
          <w:szCs w:val="21"/>
        </w:rPr>
        <w:t>投标人应在采购文件规定的截止日期和时间内，将投标文件送达到指定地点。</w:t>
      </w:r>
    </w:p>
    <w:p w14:paraId="640872CA">
      <w:pPr>
        <w:widowControl w:val="0"/>
        <w:numPr>
          <w:ilvl w:val="1"/>
          <w:numId w:val="2"/>
        </w:numPr>
        <w:overflowPunct w:val="0"/>
        <w:rPr>
          <w:rFonts w:ascii="宋体" w:hAnsi="宋体" w:cs="宋体"/>
          <w:szCs w:val="21"/>
        </w:rPr>
      </w:pPr>
      <w:r>
        <w:rPr>
          <w:rFonts w:hint="eastAsia" w:ascii="宋体" w:hAnsi="宋体" w:cs="宋体"/>
          <w:szCs w:val="21"/>
          <w:lang w:eastAsia="zh-CN"/>
        </w:rPr>
        <w:t>采购人</w:t>
      </w:r>
      <w:r>
        <w:rPr>
          <w:rFonts w:hint="eastAsia" w:ascii="宋体" w:hAnsi="宋体" w:cs="宋体"/>
          <w:szCs w:val="21"/>
        </w:rPr>
        <w:t>可按本须知规定以澄清或修改通知的方式，酌情延长递交投标文件的截止时间。在此情况下，投标人的所有权利和义务以及投标人受制约的截止时间，均以延长后新的投标截止时间为准。</w:t>
      </w:r>
    </w:p>
    <w:p w14:paraId="450EB0A2">
      <w:pPr>
        <w:rPr>
          <w:rFonts w:ascii="宋体" w:hAnsi="宋体" w:cs="宋体"/>
        </w:rPr>
      </w:pPr>
    </w:p>
    <w:p w14:paraId="56A3BD30">
      <w:pPr>
        <w:pStyle w:val="6"/>
        <w:widowControl w:val="0"/>
        <w:numPr>
          <w:ilvl w:val="0"/>
          <w:numId w:val="2"/>
        </w:numPr>
        <w:overflowPunct w:val="0"/>
        <w:rPr>
          <w:rFonts w:ascii="宋体" w:hAnsi="宋体" w:cs="宋体"/>
          <w:sz w:val="21"/>
          <w:szCs w:val="21"/>
        </w:rPr>
      </w:pPr>
      <w:bookmarkStart w:id="80" w:name="_Toc14518"/>
      <w:bookmarkStart w:id="81" w:name="_Toc31417"/>
      <w:r>
        <w:rPr>
          <w:rFonts w:hint="eastAsia" w:ascii="宋体" w:hAnsi="宋体" w:cs="宋体"/>
          <w:sz w:val="21"/>
          <w:szCs w:val="21"/>
        </w:rPr>
        <w:t>投标文件的补充、修改与撤回</w:t>
      </w:r>
      <w:bookmarkEnd w:id="80"/>
      <w:bookmarkEnd w:id="81"/>
    </w:p>
    <w:p w14:paraId="308A960B">
      <w:pPr>
        <w:pStyle w:val="42"/>
        <w:widowControl w:val="0"/>
        <w:numPr>
          <w:ilvl w:val="0"/>
          <w:numId w:val="3"/>
        </w:numPr>
        <w:adjustRightInd/>
        <w:snapToGrid/>
        <w:ind w:firstLineChars="0"/>
        <w:jc w:val="both"/>
        <w:rPr>
          <w:rFonts w:ascii="宋体" w:hAnsi="宋体" w:cs="宋体"/>
          <w:vanish/>
          <w:szCs w:val="21"/>
        </w:rPr>
      </w:pPr>
    </w:p>
    <w:p w14:paraId="13936C2A">
      <w:pPr>
        <w:widowControl w:val="0"/>
        <w:numPr>
          <w:ilvl w:val="1"/>
          <w:numId w:val="2"/>
        </w:numPr>
        <w:overflowPunct w:val="0"/>
        <w:rPr>
          <w:rFonts w:ascii="宋体" w:hAnsi="宋体" w:cs="宋体"/>
          <w:szCs w:val="21"/>
        </w:rPr>
      </w:pPr>
      <w:r>
        <w:rPr>
          <w:rFonts w:hint="eastAsia" w:ascii="宋体" w:hAnsi="宋体" w:cs="宋体"/>
          <w:szCs w:val="21"/>
        </w:rPr>
        <w:t>投标人在提交投标文件截止时间前，可以对所提交的投标文件进行补充、修改或撤回，并以纸质版形式通知</w:t>
      </w:r>
      <w:r>
        <w:rPr>
          <w:rFonts w:hint="eastAsia" w:ascii="宋体" w:hAnsi="宋体" w:cs="宋体"/>
          <w:szCs w:val="21"/>
          <w:lang w:eastAsia="zh-CN"/>
        </w:rPr>
        <w:t>采购人</w:t>
      </w:r>
      <w:r>
        <w:rPr>
          <w:rFonts w:hint="eastAsia" w:ascii="宋体" w:hAnsi="宋体" w:cs="宋体"/>
          <w:szCs w:val="21"/>
        </w:rPr>
        <w:t>。在提交投标文件截止时间之后，投标人不得对其投标文件做出任何的补充和修改。</w:t>
      </w:r>
    </w:p>
    <w:p w14:paraId="55B2FCAA">
      <w:pPr>
        <w:widowControl w:val="0"/>
        <w:numPr>
          <w:ilvl w:val="1"/>
          <w:numId w:val="2"/>
        </w:numPr>
        <w:overflowPunct w:val="0"/>
        <w:rPr>
          <w:rFonts w:ascii="宋体" w:hAnsi="宋体" w:cs="宋体"/>
          <w:szCs w:val="21"/>
        </w:rPr>
      </w:pPr>
      <w:r>
        <w:rPr>
          <w:rFonts w:hint="eastAsia" w:ascii="宋体" w:hAnsi="宋体" w:cs="宋体"/>
          <w:szCs w:val="21"/>
        </w:rPr>
        <w:t>投标人对投标文件的补充、修改的内容应当按采购文件要求的签署、盖章、密封后，作为投标文件的组成部分。并按照采购文件规定密封和标记的要求提交，并在投标文件密封袋上标明“补充、修改”字样。</w:t>
      </w:r>
    </w:p>
    <w:p w14:paraId="19578741">
      <w:pPr>
        <w:widowControl w:val="0"/>
        <w:numPr>
          <w:ilvl w:val="1"/>
          <w:numId w:val="2"/>
        </w:numPr>
        <w:overflowPunct w:val="0"/>
        <w:rPr>
          <w:rFonts w:ascii="宋体" w:hAnsi="宋体" w:cs="宋体"/>
          <w:szCs w:val="21"/>
        </w:rPr>
      </w:pPr>
      <w:r>
        <w:rPr>
          <w:rFonts w:hint="eastAsia" w:ascii="宋体" w:hAnsi="宋体" w:cs="宋体"/>
          <w:szCs w:val="21"/>
        </w:rPr>
        <w:t>投标文件一经递交不予退还。</w:t>
      </w:r>
    </w:p>
    <w:p w14:paraId="3C0E8AFA">
      <w:pPr>
        <w:widowControl w:val="0"/>
        <w:numPr>
          <w:ilvl w:val="1"/>
          <w:numId w:val="2"/>
        </w:numPr>
        <w:overflowPunct w:val="0"/>
        <w:rPr>
          <w:rFonts w:ascii="宋体" w:hAnsi="宋体" w:cs="宋体"/>
          <w:szCs w:val="21"/>
        </w:rPr>
      </w:pPr>
      <w:r>
        <w:rPr>
          <w:rFonts w:hint="eastAsia" w:ascii="宋体" w:hAnsi="宋体" w:cs="宋体"/>
          <w:szCs w:val="21"/>
        </w:rPr>
        <w:t>在提交投标文件截止时间至投标有效期满之前，投标人不得撤回其投标，否则其投标保证金将不予退还。</w:t>
      </w:r>
    </w:p>
    <w:p w14:paraId="730521AF">
      <w:pPr>
        <w:pStyle w:val="2"/>
      </w:pPr>
    </w:p>
    <w:p w14:paraId="300D135B">
      <w:pPr>
        <w:pStyle w:val="5"/>
        <w:numPr>
          <w:ilvl w:val="0"/>
          <w:numId w:val="1"/>
        </w:numPr>
        <w:spacing w:before="0" w:after="0" w:line="360" w:lineRule="auto"/>
        <w:jc w:val="center"/>
        <w:rPr>
          <w:rFonts w:ascii="宋体" w:hAnsi="宋体" w:cs="宋体"/>
        </w:rPr>
      </w:pPr>
      <w:bookmarkStart w:id="82" w:name="_Toc4693"/>
      <w:bookmarkStart w:id="83" w:name="_Toc7410"/>
      <w:r>
        <w:rPr>
          <w:rFonts w:hint="eastAsia" w:ascii="宋体" w:hAnsi="宋体" w:cs="宋体"/>
        </w:rPr>
        <w:t>开标与评标</w:t>
      </w:r>
      <w:bookmarkEnd w:id="82"/>
      <w:bookmarkEnd w:id="83"/>
    </w:p>
    <w:p w14:paraId="5EF9461E">
      <w:pPr>
        <w:pStyle w:val="6"/>
        <w:widowControl w:val="0"/>
        <w:numPr>
          <w:ilvl w:val="0"/>
          <w:numId w:val="2"/>
        </w:numPr>
        <w:overflowPunct w:val="0"/>
        <w:rPr>
          <w:rFonts w:ascii="宋体" w:hAnsi="宋体" w:cs="宋体"/>
          <w:sz w:val="21"/>
          <w:szCs w:val="21"/>
        </w:rPr>
      </w:pPr>
      <w:bookmarkStart w:id="84" w:name="_Toc20009"/>
      <w:bookmarkStart w:id="85" w:name="_Toc31671"/>
      <w:r>
        <w:rPr>
          <w:rFonts w:hint="eastAsia" w:ascii="宋体" w:hAnsi="宋体" w:cs="宋体"/>
          <w:sz w:val="21"/>
          <w:szCs w:val="21"/>
        </w:rPr>
        <w:t>开标</w:t>
      </w:r>
      <w:bookmarkEnd w:id="84"/>
      <w:bookmarkEnd w:id="85"/>
    </w:p>
    <w:p w14:paraId="3B5D57C5">
      <w:pPr>
        <w:pStyle w:val="42"/>
        <w:widowControl w:val="0"/>
        <w:numPr>
          <w:ilvl w:val="0"/>
          <w:numId w:val="3"/>
        </w:numPr>
        <w:adjustRightInd/>
        <w:snapToGrid/>
        <w:ind w:firstLineChars="0"/>
        <w:jc w:val="both"/>
        <w:rPr>
          <w:rFonts w:ascii="宋体" w:hAnsi="宋体" w:cs="宋体"/>
          <w:vanish/>
          <w:szCs w:val="21"/>
        </w:rPr>
      </w:pPr>
    </w:p>
    <w:p w14:paraId="7F8C8B9A">
      <w:pPr>
        <w:widowControl w:val="0"/>
        <w:numPr>
          <w:ilvl w:val="1"/>
          <w:numId w:val="2"/>
        </w:numPr>
        <w:overflowPunct w:val="0"/>
        <w:rPr>
          <w:rFonts w:ascii="宋体" w:hAnsi="宋体" w:cs="宋体"/>
          <w:szCs w:val="21"/>
        </w:rPr>
      </w:pPr>
      <w:r>
        <w:rPr>
          <w:rFonts w:hint="eastAsia" w:ascii="宋体" w:hAnsi="宋体" w:cs="宋体"/>
          <w:szCs w:val="21"/>
          <w:lang w:eastAsia="zh-CN"/>
        </w:rPr>
        <w:t>采购人</w:t>
      </w:r>
      <w:r>
        <w:rPr>
          <w:rFonts w:hint="eastAsia" w:ascii="宋体" w:hAnsi="宋体" w:cs="宋体"/>
          <w:szCs w:val="21"/>
        </w:rPr>
        <w:t>按本采购文件所规定的时间和地点公开开标，并邀请所有投标人代表参加。</w:t>
      </w:r>
    </w:p>
    <w:p w14:paraId="7FB51C1F">
      <w:pPr>
        <w:widowControl w:val="0"/>
        <w:numPr>
          <w:ilvl w:val="1"/>
          <w:numId w:val="2"/>
        </w:numPr>
        <w:overflowPunct w:val="0"/>
        <w:rPr>
          <w:rFonts w:ascii="宋体" w:hAnsi="宋体" w:cs="宋体"/>
          <w:szCs w:val="21"/>
        </w:rPr>
      </w:pPr>
      <w:r>
        <w:rPr>
          <w:rFonts w:hint="eastAsia" w:ascii="宋体" w:hAnsi="宋体" w:cs="宋体"/>
          <w:szCs w:val="21"/>
        </w:rPr>
        <w:t>开标程序：</w:t>
      </w:r>
    </w:p>
    <w:p w14:paraId="40A4E31A">
      <w:pPr>
        <w:widowControl w:val="0"/>
        <w:numPr>
          <w:ilvl w:val="1"/>
          <w:numId w:val="2"/>
        </w:numPr>
        <w:overflowPunct w:val="0"/>
        <w:rPr>
          <w:rFonts w:ascii="宋体" w:hAnsi="宋体" w:cs="宋体"/>
          <w:szCs w:val="21"/>
        </w:rPr>
      </w:pPr>
      <w:r>
        <w:rPr>
          <w:rFonts w:hint="eastAsia" w:ascii="宋体" w:hAnsi="宋体" w:cs="宋体"/>
          <w:szCs w:val="21"/>
        </w:rPr>
        <w:t>开标会由</w:t>
      </w:r>
      <w:r>
        <w:rPr>
          <w:rFonts w:hint="eastAsia" w:ascii="宋体" w:hAnsi="宋体" w:cs="宋体"/>
          <w:szCs w:val="21"/>
          <w:lang w:eastAsia="zh-CN"/>
        </w:rPr>
        <w:t>采购人</w:t>
      </w:r>
      <w:r>
        <w:rPr>
          <w:rFonts w:hint="eastAsia" w:ascii="宋体" w:hAnsi="宋体" w:cs="宋体"/>
          <w:szCs w:val="21"/>
        </w:rPr>
        <w:t>主持，投标人的法定代表人或其授权代表携带有效身份证明准时参加开标会并签名报到。</w:t>
      </w:r>
    </w:p>
    <w:p w14:paraId="79CF2C6E">
      <w:pPr>
        <w:widowControl w:val="0"/>
        <w:numPr>
          <w:ilvl w:val="1"/>
          <w:numId w:val="2"/>
        </w:numPr>
        <w:overflowPunct w:val="0"/>
        <w:rPr>
          <w:rFonts w:ascii="宋体" w:hAnsi="宋体" w:cs="宋体"/>
          <w:szCs w:val="21"/>
        </w:rPr>
      </w:pPr>
      <w:r>
        <w:rPr>
          <w:rFonts w:hint="eastAsia" w:ascii="宋体" w:hAnsi="宋体" w:cs="宋体"/>
          <w:szCs w:val="21"/>
        </w:rPr>
        <w:t>开标时，由投标人或者其推选的代表检查投标文件的密封情况；经确认无误后，由采购人工作人员当众拆封，宣布投标人名称、投标价格和采购文件规定的需要宣布的其他内容；</w:t>
      </w:r>
    </w:p>
    <w:p w14:paraId="427BF5F1">
      <w:pPr>
        <w:widowControl w:val="0"/>
        <w:numPr>
          <w:ilvl w:val="1"/>
          <w:numId w:val="2"/>
        </w:numPr>
        <w:overflowPunct w:val="0"/>
        <w:rPr>
          <w:rFonts w:ascii="宋体" w:hAnsi="宋体" w:cs="宋体"/>
          <w:szCs w:val="21"/>
        </w:rPr>
      </w:pPr>
      <w:r>
        <w:rPr>
          <w:rFonts w:hint="eastAsia" w:ascii="宋体" w:hAnsi="宋体" w:cs="宋体"/>
          <w:szCs w:val="21"/>
        </w:rPr>
        <w:t>投标人代表对开标过程和开标记录有异议，以及认为采购人相关工作人员有需要回避的情形的，应当场提出询问或者回避申请。开标现场未提出异议的视为认同开标结果。开标结束后，投标人对开标过程和开标记录不得再提出异议。</w:t>
      </w:r>
    </w:p>
    <w:p w14:paraId="6E888EEA">
      <w:pPr>
        <w:widowControl w:val="0"/>
        <w:numPr>
          <w:ilvl w:val="1"/>
          <w:numId w:val="2"/>
        </w:numPr>
        <w:overflowPunct w:val="0"/>
        <w:rPr>
          <w:rFonts w:ascii="宋体" w:hAnsi="宋体" w:cs="宋体"/>
          <w:szCs w:val="21"/>
        </w:rPr>
      </w:pPr>
      <w:r>
        <w:rPr>
          <w:rFonts w:hint="eastAsia" w:ascii="宋体" w:hAnsi="宋体" w:cs="宋体"/>
          <w:szCs w:val="21"/>
        </w:rPr>
        <w:t>投标人未参加开标的，视同认可开标结果。</w:t>
      </w:r>
    </w:p>
    <w:p w14:paraId="44445BAB">
      <w:pPr>
        <w:widowControl w:val="0"/>
        <w:numPr>
          <w:ilvl w:val="1"/>
          <w:numId w:val="2"/>
        </w:numPr>
        <w:overflowPunct w:val="0"/>
        <w:rPr>
          <w:rFonts w:ascii="宋体" w:hAnsi="宋体" w:cs="宋体"/>
          <w:szCs w:val="21"/>
        </w:rPr>
      </w:pPr>
      <w:r>
        <w:rPr>
          <w:rFonts w:hint="eastAsia" w:ascii="宋体" w:hAnsi="宋体" w:cs="宋体"/>
          <w:szCs w:val="21"/>
        </w:rPr>
        <w:t>合格投标人不足3家的，不得开标；</w:t>
      </w:r>
    </w:p>
    <w:p w14:paraId="7BBBC8D6">
      <w:pPr>
        <w:widowControl w:val="0"/>
        <w:numPr>
          <w:ilvl w:val="1"/>
          <w:numId w:val="2"/>
        </w:numPr>
        <w:overflowPunct w:val="0"/>
        <w:rPr>
          <w:rFonts w:ascii="宋体" w:hAnsi="宋体" w:cs="宋体"/>
          <w:szCs w:val="21"/>
        </w:rPr>
      </w:pPr>
      <w:r>
        <w:rPr>
          <w:rFonts w:hint="eastAsia" w:ascii="宋体" w:hAnsi="宋体" w:cs="宋体"/>
          <w:szCs w:val="21"/>
        </w:rPr>
        <w:t>开标过程应当由采购人负责记录，由参加开标的各投标人代表和相关工作人员签字确认。</w:t>
      </w:r>
    </w:p>
    <w:p w14:paraId="12DBC43B">
      <w:pPr>
        <w:widowControl w:val="0"/>
        <w:adjustRightInd/>
        <w:snapToGrid/>
        <w:ind w:left="567"/>
        <w:jc w:val="both"/>
        <w:rPr>
          <w:rFonts w:ascii="宋体" w:hAnsi="宋体" w:cs="宋体"/>
        </w:rPr>
      </w:pPr>
    </w:p>
    <w:p w14:paraId="6C791602">
      <w:pPr>
        <w:pStyle w:val="6"/>
        <w:widowControl w:val="0"/>
        <w:numPr>
          <w:ilvl w:val="0"/>
          <w:numId w:val="2"/>
        </w:numPr>
        <w:overflowPunct w:val="0"/>
        <w:rPr>
          <w:rFonts w:ascii="宋体" w:hAnsi="宋体" w:cs="宋体"/>
          <w:sz w:val="21"/>
          <w:szCs w:val="21"/>
        </w:rPr>
      </w:pPr>
      <w:bookmarkStart w:id="86" w:name="_Toc3528"/>
      <w:bookmarkStart w:id="87" w:name="_Toc15560"/>
      <w:r>
        <w:rPr>
          <w:rFonts w:hint="eastAsia" w:ascii="宋体" w:hAnsi="宋体" w:cs="宋体"/>
          <w:sz w:val="21"/>
          <w:szCs w:val="21"/>
        </w:rPr>
        <w:t>评标委员会及评标方法</w:t>
      </w:r>
      <w:bookmarkEnd w:id="86"/>
      <w:bookmarkEnd w:id="87"/>
    </w:p>
    <w:p w14:paraId="411DBB97">
      <w:pPr>
        <w:pStyle w:val="42"/>
        <w:widowControl w:val="0"/>
        <w:numPr>
          <w:ilvl w:val="0"/>
          <w:numId w:val="3"/>
        </w:numPr>
        <w:adjustRightInd/>
        <w:snapToGrid/>
        <w:ind w:firstLineChars="0"/>
        <w:jc w:val="both"/>
        <w:rPr>
          <w:rFonts w:ascii="宋体" w:hAnsi="宋体" w:cs="宋体"/>
          <w:vanish/>
          <w:szCs w:val="21"/>
        </w:rPr>
      </w:pPr>
    </w:p>
    <w:p w14:paraId="284CEEDB">
      <w:pPr>
        <w:widowControl w:val="0"/>
        <w:numPr>
          <w:ilvl w:val="1"/>
          <w:numId w:val="2"/>
        </w:numPr>
        <w:overflowPunct w:val="0"/>
        <w:rPr>
          <w:rFonts w:ascii="宋体" w:hAnsi="宋体" w:cs="宋体"/>
          <w:szCs w:val="21"/>
        </w:rPr>
      </w:pPr>
      <w:r>
        <w:rPr>
          <w:rFonts w:hint="eastAsia" w:ascii="宋体" w:hAnsi="宋体" w:cs="宋体"/>
          <w:szCs w:val="21"/>
        </w:rPr>
        <w:t>依法组成评标委员会，评标委员会由采购人</w:t>
      </w:r>
      <w:r>
        <w:rPr>
          <w:rFonts w:hint="eastAsia" w:ascii="宋体" w:hAnsi="宋体" w:cs="宋体"/>
          <w:szCs w:val="21"/>
          <w:lang w:val="en-US" w:eastAsia="zh-CN"/>
        </w:rPr>
        <w:t>组建</w:t>
      </w:r>
      <w:r>
        <w:rPr>
          <w:rFonts w:hint="eastAsia" w:ascii="宋体" w:hAnsi="宋体" w:cs="宋体"/>
          <w:szCs w:val="21"/>
        </w:rPr>
        <w:t>，成员人数为五人或五人以上单数，并负责评标工作。</w:t>
      </w:r>
    </w:p>
    <w:p w14:paraId="41BA59B6">
      <w:pPr>
        <w:widowControl w:val="0"/>
        <w:numPr>
          <w:ilvl w:val="1"/>
          <w:numId w:val="2"/>
        </w:numPr>
        <w:overflowPunct w:val="0"/>
        <w:rPr>
          <w:rFonts w:ascii="宋体" w:hAnsi="宋体" w:cs="宋体"/>
          <w:szCs w:val="21"/>
        </w:rPr>
      </w:pPr>
      <w:r>
        <w:rPr>
          <w:rFonts w:hint="eastAsia" w:ascii="宋体" w:hAnsi="宋体" w:cs="宋体"/>
          <w:szCs w:val="21"/>
        </w:rPr>
        <w:t>评审方法：本次采购的评审方法采用最低评标价法。</w:t>
      </w:r>
    </w:p>
    <w:p w14:paraId="0A0A7940">
      <w:pPr>
        <w:widowControl w:val="0"/>
        <w:numPr>
          <w:ilvl w:val="1"/>
          <w:numId w:val="2"/>
        </w:numPr>
        <w:overflowPunct w:val="0"/>
        <w:rPr>
          <w:rFonts w:hint="eastAsia" w:ascii="宋体" w:hAnsi="宋体" w:cs="宋体"/>
          <w:szCs w:val="21"/>
        </w:rPr>
      </w:pPr>
      <w:r>
        <w:rPr>
          <w:rFonts w:hint="eastAsia" w:ascii="宋体" w:hAnsi="宋体" w:cs="宋体"/>
          <w:szCs w:val="21"/>
        </w:rPr>
        <w:t>定标原则：本项目按投标报价由低到高排序，推荐3名中标候选人，排名第一的中标候选人为中标人。</w:t>
      </w:r>
    </w:p>
    <w:p w14:paraId="7E3A30E3">
      <w:pPr>
        <w:widowControl w:val="0"/>
        <w:numPr>
          <w:ilvl w:val="1"/>
          <w:numId w:val="2"/>
        </w:numPr>
        <w:overflowPunct w:val="0"/>
        <w:rPr>
          <w:rFonts w:ascii="宋体" w:hAnsi="宋体" w:cs="宋体"/>
          <w:szCs w:val="21"/>
        </w:rPr>
      </w:pPr>
      <w:r>
        <w:rPr>
          <w:rFonts w:hint="eastAsia" w:ascii="宋体" w:hAnsi="宋体" w:cs="宋体"/>
          <w:szCs w:val="21"/>
        </w:rPr>
        <w:t>评标委员会对投标文件的评审内容，分为资格性和符合性审查和价格评议。评审流程包括符合性检查、澄清问题、推荐中标候选人或确定中标人、编写评标报告等步骤。</w:t>
      </w:r>
    </w:p>
    <w:p w14:paraId="692F1A24">
      <w:pPr>
        <w:widowControl w:val="0"/>
        <w:numPr>
          <w:ilvl w:val="1"/>
          <w:numId w:val="2"/>
        </w:numPr>
        <w:overflowPunct w:val="0"/>
        <w:rPr>
          <w:rFonts w:ascii="宋体" w:hAnsi="宋体" w:cs="宋体"/>
          <w:szCs w:val="21"/>
        </w:rPr>
      </w:pPr>
      <w:r>
        <w:rPr>
          <w:rFonts w:hint="eastAsia" w:ascii="宋体" w:hAnsi="宋体" w:cs="宋体"/>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5D182468">
      <w:pPr>
        <w:widowControl w:val="0"/>
        <w:numPr>
          <w:ilvl w:val="1"/>
          <w:numId w:val="2"/>
        </w:numPr>
        <w:overflowPunct w:val="0"/>
        <w:rPr>
          <w:rFonts w:ascii="宋体" w:hAnsi="宋体" w:cs="宋体"/>
          <w:szCs w:val="21"/>
        </w:rPr>
      </w:pPr>
      <w:r>
        <w:rPr>
          <w:rFonts w:hint="eastAsia" w:ascii="宋体" w:hAnsi="宋体" w:cs="宋体"/>
          <w:szCs w:val="21"/>
        </w:rPr>
        <w:t>评标委员会和采购人在评审过程中有权核对投标文件中相关材料的原件，投标人在接到通知后应在评标委员会规定的时间内提交原件核查。</w:t>
      </w:r>
    </w:p>
    <w:p w14:paraId="1CC83E79">
      <w:pPr>
        <w:rPr>
          <w:rFonts w:ascii="宋体" w:hAnsi="宋体" w:cs="宋体"/>
        </w:rPr>
      </w:pPr>
    </w:p>
    <w:p w14:paraId="177E71C3">
      <w:pPr>
        <w:pStyle w:val="6"/>
        <w:widowControl w:val="0"/>
        <w:numPr>
          <w:ilvl w:val="0"/>
          <w:numId w:val="2"/>
        </w:numPr>
        <w:overflowPunct w:val="0"/>
        <w:rPr>
          <w:rFonts w:ascii="宋体" w:hAnsi="宋体" w:cs="宋体"/>
          <w:sz w:val="21"/>
          <w:szCs w:val="21"/>
        </w:rPr>
      </w:pPr>
      <w:bookmarkStart w:id="88" w:name="_Toc22022"/>
      <w:bookmarkStart w:id="89" w:name="_Toc4198"/>
      <w:r>
        <w:rPr>
          <w:rFonts w:hint="eastAsia" w:ascii="宋体" w:hAnsi="宋体" w:cs="宋体"/>
          <w:sz w:val="21"/>
          <w:szCs w:val="21"/>
        </w:rPr>
        <w:t>评审原则及评标过程的保密</w:t>
      </w:r>
      <w:bookmarkEnd w:id="88"/>
      <w:bookmarkEnd w:id="89"/>
    </w:p>
    <w:p w14:paraId="6B84BEDC">
      <w:pPr>
        <w:pStyle w:val="42"/>
        <w:widowControl w:val="0"/>
        <w:numPr>
          <w:ilvl w:val="0"/>
          <w:numId w:val="3"/>
        </w:numPr>
        <w:adjustRightInd/>
        <w:snapToGrid/>
        <w:ind w:firstLineChars="0"/>
        <w:jc w:val="both"/>
        <w:rPr>
          <w:rFonts w:ascii="宋体" w:hAnsi="宋体" w:cs="宋体"/>
          <w:vanish/>
          <w:szCs w:val="21"/>
        </w:rPr>
      </w:pPr>
    </w:p>
    <w:p w14:paraId="46077C06">
      <w:pPr>
        <w:widowControl w:val="0"/>
        <w:numPr>
          <w:ilvl w:val="1"/>
          <w:numId w:val="2"/>
        </w:numPr>
        <w:overflowPunct w:val="0"/>
        <w:rPr>
          <w:rFonts w:ascii="宋体" w:hAnsi="宋体" w:cs="宋体"/>
          <w:szCs w:val="21"/>
        </w:rPr>
      </w:pPr>
      <w:r>
        <w:rPr>
          <w:rFonts w:hint="eastAsia" w:ascii="宋体" w:hAnsi="宋体" w:cs="宋体"/>
          <w:szCs w:val="21"/>
        </w:rPr>
        <w:t>评审的基本原则：评标委员会将依据采购文件的规定，遵循“公开、公平、公正、择优、信用”的原则进行评审工作。</w:t>
      </w:r>
    </w:p>
    <w:p w14:paraId="4CEC0FF2">
      <w:pPr>
        <w:widowControl w:val="0"/>
        <w:numPr>
          <w:ilvl w:val="1"/>
          <w:numId w:val="2"/>
        </w:numPr>
        <w:overflowPunct w:val="0"/>
        <w:rPr>
          <w:rFonts w:ascii="宋体" w:hAnsi="宋体" w:cs="宋体"/>
          <w:szCs w:val="21"/>
        </w:rPr>
      </w:pPr>
      <w:r>
        <w:rPr>
          <w:rFonts w:hint="eastAsia" w:ascii="宋体" w:hAnsi="宋体" w:cs="宋体"/>
          <w:szCs w:val="21"/>
        </w:rPr>
        <w:t>从公开开标到签订合同，凡与审查、澄清、评审和投标有关的资料以及定标意见相关的事项，均不得向投标人及与评标无关的其他人透露。</w:t>
      </w:r>
    </w:p>
    <w:p w14:paraId="26227208">
      <w:pPr>
        <w:widowControl w:val="0"/>
        <w:numPr>
          <w:ilvl w:val="1"/>
          <w:numId w:val="2"/>
        </w:numPr>
        <w:overflowPunct w:val="0"/>
        <w:rPr>
          <w:rFonts w:ascii="宋体" w:hAnsi="宋体" w:cs="宋体"/>
          <w:szCs w:val="21"/>
          <w:highlight w:val="none"/>
        </w:rPr>
      </w:pPr>
      <w:r>
        <w:rPr>
          <w:rFonts w:hint="eastAsia" w:ascii="宋体" w:hAnsi="宋体" w:cs="宋体"/>
          <w:szCs w:val="21"/>
          <w:highlight w:val="none"/>
        </w:rPr>
        <w:t>任何单位和个人不得非法干预、影响评标的过程和结果。</w:t>
      </w:r>
    </w:p>
    <w:p w14:paraId="2CC89699">
      <w:pPr>
        <w:rPr>
          <w:rFonts w:ascii="宋体" w:hAnsi="宋体" w:cs="宋体"/>
          <w:highlight w:val="none"/>
        </w:rPr>
      </w:pPr>
    </w:p>
    <w:p w14:paraId="40FA1E33">
      <w:pPr>
        <w:pStyle w:val="6"/>
        <w:widowControl w:val="0"/>
        <w:numPr>
          <w:ilvl w:val="0"/>
          <w:numId w:val="2"/>
        </w:numPr>
        <w:overflowPunct w:val="0"/>
        <w:rPr>
          <w:rFonts w:ascii="宋体" w:hAnsi="宋体" w:cs="宋体"/>
          <w:sz w:val="21"/>
          <w:szCs w:val="21"/>
          <w:highlight w:val="none"/>
        </w:rPr>
      </w:pPr>
      <w:bookmarkStart w:id="90" w:name="_Toc14506"/>
      <w:r>
        <w:rPr>
          <w:rFonts w:hint="eastAsia" w:ascii="宋体" w:hAnsi="宋体" w:cs="宋体"/>
          <w:sz w:val="21"/>
          <w:szCs w:val="21"/>
          <w:highlight w:val="none"/>
        </w:rPr>
        <w:t>评标程序</w:t>
      </w:r>
      <w:bookmarkEnd w:id="90"/>
    </w:p>
    <w:p w14:paraId="5AEDE3F4">
      <w:pPr>
        <w:widowControl w:val="0"/>
        <w:numPr>
          <w:ilvl w:val="1"/>
          <w:numId w:val="2"/>
        </w:numPr>
        <w:overflowPunct w:val="0"/>
        <w:rPr>
          <w:rFonts w:ascii="宋体" w:hAnsi="宋体" w:cs="宋体"/>
          <w:b/>
          <w:bCs/>
          <w:szCs w:val="21"/>
          <w:highlight w:val="none"/>
        </w:rPr>
      </w:pPr>
      <w:r>
        <w:rPr>
          <w:rFonts w:hint="eastAsia" w:ascii="宋体" w:hAnsi="宋体" w:cs="宋体"/>
          <w:b/>
          <w:bCs/>
          <w:szCs w:val="21"/>
          <w:highlight w:val="none"/>
        </w:rPr>
        <w:t>资格性、符合性审查</w:t>
      </w:r>
    </w:p>
    <w:p w14:paraId="1236FAC8">
      <w:pPr>
        <w:widowControl w:val="0"/>
        <w:overflowPunct w:val="0"/>
        <w:ind w:firstLine="420" w:firstLineChars="200"/>
        <w:rPr>
          <w:rFonts w:ascii="宋体" w:hAnsi="宋体" w:cs="宋体"/>
          <w:szCs w:val="21"/>
          <w:highlight w:val="none"/>
        </w:rPr>
      </w:pPr>
      <w:r>
        <w:rPr>
          <w:rFonts w:hint="eastAsia" w:ascii="宋体" w:hAnsi="宋体" w:cs="宋体"/>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szCs w:val="21"/>
          <w:highlight w:val="none"/>
        </w:rPr>
        <w:t>评标阶段</w:t>
      </w:r>
      <w:r>
        <w:rPr>
          <w:rFonts w:hint="eastAsia" w:ascii="宋体" w:hAnsi="宋体" w:cs="宋体"/>
          <w:szCs w:val="21"/>
          <w:highlight w:val="none"/>
        </w:rPr>
        <w:t>的评审。</w:t>
      </w:r>
    </w:p>
    <w:p w14:paraId="724034F9">
      <w:pPr>
        <w:jc w:val="center"/>
        <w:rPr>
          <w:b/>
          <w:bCs/>
          <w:highlight w:val="none"/>
        </w:rPr>
      </w:pPr>
      <w:r>
        <w:rPr>
          <w:b/>
          <w:bCs/>
          <w:highlight w:val="none"/>
        </w:rPr>
        <w:t>《资格性</w:t>
      </w:r>
      <w:r>
        <w:rPr>
          <w:rFonts w:hint="eastAsia"/>
          <w:b/>
          <w:bCs/>
          <w:highlight w:val="none"/>
        </w:rPr>
        <w:t>、符合性</w:t>
      </w:r>
      <w:r>
        <w:rPr>
          <w:b/>
          <w:bCs/>
          <w:highlight w:val="none"/>
        </w:rPr>
        <w:t>审查表》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9145"/>
      </w:tblGrid>
      <w:tr w14:paraId="6D6C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7C3E18F9">
            <w:pPr>
              <w:jc w:val="center"/>
              <w:rPr>
                <w:rFonts w:ascii="宋体" w:hAnsi="宋体" w:cs="宋体"/>
                <w:b/>
                <w:szCs w:val="21"/>
                <w:highlight w:val="none"/>
              </w:rPr>
            </w:pPr>
            <w:r>
              <w:rPr>
                <w:rFonts w:hint="eastAsia" w:ascii="宋体" w:hAnsi="宋体" w:cs="宋体"/>
                <w:b/>
                <w:szCs w:val="21"/>
                <w:highlight w:val="none"/>
              </w:rPr>
              <w:t>序号</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1780185C">
            <w:pPr>
              <w:jc w:val="center"/>
              <w:rPr>
                <w:rFonts w:ascii="宋体" w:hAnsi="宋体" w:cs="宋体"/>
                <w:b/>
                <w:szCs w:val="21"/>
                <w:highlight w:val="none"/>
              </w:rPr>
            </w:pPr>
            <w:r>
              <w:rPr>
                <w:rFonts w:hint="eastAsia" w:ascii="宋体" w:hAnsi="宋体" w:cs="宋体"/>
                <w:b/>
                <w:szCs w:val="21"/>
                <w:highlight w:val="none"/>
              </w:rPr>
              <w:t>评 审 内 容</w:t>
            </w:r>
          </w:p>
        </w:tc>
      </w:tr>
      <w:tr w14:paraId="0661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restart"/>
            <w:tcBorders>
              <w:top w:val="single" w:color="auto" w:sz="4" w:space="0"/>
              <w:left w:val="single" w:color="auto" w:sz="4" w:space="0"/>
              <w:right w:val="single" w:color="auto" w:sz="4" w:space="0"/>
              <w:tl2br w:val="nil"/>
              <w:tr2bl w:val="nil"/>
            </w:tcBorders>
            <w:vAlign w:val="center"/>
          </w:tcPr>
          <w:p w14:paraId="64950543">
            <w:pPr>
              <w:numPr>
                <w:ilvl w:val="0"/>
                <w:numId w:val="5"/>
              </w:numPr>
              <w:tabs>
                <w:tab w:val="left" w:pos="176"/>
                <w:tab w:val="left" w:pos="612"/>
              </w:tabs>
              <w:jc w:val="center"/>
              <w:rPr>
                <w:rFonts w:ascii="宋体" w:hAnsi="宋体" w:cs="宋体"/>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58A72FE6">
            <w:pPr>
              <w:tabs>
                <w:tab w:val="left" w:pos="612"/>
              </w:tabs>
              <w:rPr>
                <w:rFonts w:ascii="宋体" w:hAnsi="宋体" w:cs="宋体"/>
                <w:szCs w:val="21"/>
                <w:highlight w:val="none"/>
              </w:rPr>
            </w:pPr>
            <w:r>
              <w:rPr>
                <w:rFonts w:hint="eastAsia" w:ascii="宋体" w:hAnsi="宋体" w:cs="宋体"/>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177C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14AE88A7">
            <w:pPr>
              <w:tabs>
                <w:tab w:val="left" w:pos="176"/>
                <w:tab w:val="left" w:pos="420"/>
                <w:tab w:val="left" w:pos="612"/>
              </w:tabs>
              <w:jc w:val="center"/>
              <w:rPr>
                <w:rFonts w:ascii="宋体" w:hAnsi="宋体" w:cs="宋体"/>
                <w:szCs w:val="21"/>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5F32540F">
            <w:pPr>
              <w:tabs>
                <w:tab w:val="left" w:pos="612"/>
              </w:tabs>
              <w:rPr>
                <w:rFonts w:ascii="宋体" w:hAnsi="宋体" w:cs="宋体"/>
                <w:szCs w:val="21"/>
              </w:rPr>
            </w:pPr>
            <w:r>
              <w:rPr>
                <w:rFonts w:hint="eastAsia" w:ascii="宋体" w:hAnsi="宋体" w:cs="宋体"/>
                <w:szCs w:val="21"/>
              </w:rPr>
              <w:t>（2）参加采购活动前三年内，在经营活动中没有重大违法记录（须提供书面声明）；</w:t>
            </w:r>
          </w:p>
        </w:tc>
      </w:tr>
      <w:tr w14:paraId="11A6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1144E9A1">
            <w:pPr>
              <w:tabs>
                <w:tab w:val="left" w:pos="176"/>
                <w:tab w:val="left" w:pos="420"/>
                <w:tab w:val="left" w:pos="612"/>
              </w:tabs>
              <w:jc w:val="center"/>
              <w:rPr>
                <w:rFonts w:ascii="宋体" w:hAnsi="宋体" w:cs="宋体"/>
                <w:szCs w:val="21"/>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7DB0D561">
            <w:pPr>
              <w:tabs>
                <w:tab w:val="left" w:pos="612"/>
              </w:tabs>
              <w:rPr>
                <w:rFonts w:ascii="宋体" w:hAnsi="宋体" w:cs="宋体"/>
                <w:szCs w:val="21"/>
              </w:rPr>
            </w:pPr>
            <w:r>
              <w:rPr>
                <w:rFonts w:hint="eastAsia" w:ascii="宋体" w:hAnsi="宋体" w:cs="宋体"/>
                <w:szCs w:val="21"/>
              </w:rPr>
              <w:t>（3）投标人的单位负责人为同一人或者存在直接控股、管理关系的不同投标人，不得参加同一合同项下的采购活动；</w:t>
            </w:r>
          </w:p>
        </w:tc>
      </w:tr>
      <w:tr w14:paraId="7CD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1842A524">
            <w:pPr>
              <w:tabs>
                <w:tab w:val="left" w:pos="176"/>
                <w:tab w:val="left" w:pos="420"/>
                <w:tab w:val="left" w:pos="612"/>
              </w:tabs>
              <w:jc w:val="center"/>
              <w:rPr>
                <w:rFonts w:ascii="宋体" w:hAnsi="宋体" w:cs="宋体"/>
                <w:szCs w:val="21"/>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28EB0F52">
            <w:pPr>
              <w:tabs>
                <w:tab w:val="left" w:pos="612"/>
              </w:tabs>
              <w:rPr>
                <w:rFonts w:ascii="宋体" w:hAnsi="宋体" w:cs="宋体"/>
                <w:szCs w:val="21"/>
              </w:rPr>
            </w:pPr>
            <w:r>
              <w:rPr>
                <w:rFonts w:hint="eastAsia" w:ascii="宋体" w:hAnsi="宋体" w:cs="宋体"/>
                <w:szCs w:val="21"/>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742E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55CEF07F">
            <w:pPr>
              <w:tabs>
                <w:tab w:val="left" w:pos="176"/>
                <w:tab w:val="left" w:pos="420"/>
                <w:tab w:val="left" w:pos="612"/>
              </w:tabs>
              <w:jc w:val="center"/>
              <w:rPr>
                <w:rFonts w:ascii="宋体" w:hAnsi="宋体" w:cs="宋体"/>
                <w:szCs w:val="21"/>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7FAB9845">
            <w:pPr>
              <w:tabs>
                <w:tab w:val="left" w:pos="612"/>
              </w:tabs>
              <w:rPr>
                <w:rFonts w:hint="default"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5）投标人须提供投标截止日前6个月内任意1个月的：①依法缴纳税收证明材料、②无欠税的证明材料。如依法免税的，须提供相应证明材料。【提供证明材料须加盖公章】</w:t>
            </w:r>
          </w:p>
        </w:tc>
      </w:tr>
      <w:tr w14:paraId="6AE0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6A8FDE7F">
            <w:pPr>
              <w:tabs>
                <w:tab w:val="left" w:pos="176"/>
                <w:tab w:val="left" w:pos="420"/>
                <w:tab w:val="left" w:pos="612"/>
              </w:tabs>
              <w:jc w:val="center"/>
              <w:rPr>
                <w:rFonts w:ascii="宋体" w:hAnsi="宋体" w:cs="宋体"/>
                <w:szCs w:val="21"/>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1DF6A726">
            <w:pPr>
              <w:tabs>
                <w:tab w:val="left" w:pos="612"/>
              </w:tabs>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）投标人未被列入东实</w:t>
            </w:r>
            <w:r>
              <w:rPr>
                <w:rFonts w:hint="eastAsia" w:ascii="宋体" w:hAnsi="宋体" w:cs="宋体"/>
                <w:szCs w:val="21"/>
                <w:highlight w:val="none"/>
                <w:lang w:val="en-US" w:eastAsia="zh-CN"/>
              </w:rPr>
              <w:t>环境</w:t>
            </w:r>
            <w:r>
              <w:rPr>
                <w:rFonts w:hint="eastAsia" w:ascii="宋体" w:hAnsi="宋体" w:cs="宋体"/>
                <w:szCs w:val="21"/>
                <w:highlight w:val="none"/>
              </w:rPr>
              <w:t>及下属企业相关领域黑名单。</w:t>
            </w:r>
          </w:p>
        </w:tc>
      </w:tr>
      <w:tr w14:paraId="7DFF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bottom w:val="single" w:color="auto" w:sz="4" w:space="0"/>
              <w:right w:val="single" w:color="auto" w:sz="4" w:space="0"/>
              <w:tl2br w:val="nil"/>
              <w:tr2bl w:val="nil"/>
            </w:tcBorders>
            <w:vAlign w:val="center"/>
          </w:tcPr>
          <w:p w14:paraId="17BD9BD1">
            <w:pPr>
              <w:tabs>
                <w:tab w:val="left" w:pos="176"/>
                <w:tab w:val="left" w:pos="420"/>
                <w:tab w:val="left" w:pos="612"/>
              </w:tabs>
              <w:jc w:val="center"/>
              <w:rPr>
                <w:rFonts w:ascii="宋体" w:hAnsi="宋体" w:cs="宋体"/>
                <w:szCs w:val="21"/>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372B3348">
            <w:pPr>
              <w:tabs>
                <w:tab w:val="left" w:pos="612"/>
              </w:tabs>
              <w:rPr>
                <w:rFonts w:hint="eastAsia"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）投标人自2022年1月1日起至今具有低温SCR脱硝催化（155℃或以下）项目的业绩（服务、安装、运维或供货），业绩不少于1个</w:t>
            </w:r>
            <w:r>
              <w:rPr>
                <w:rFonts w:hint="eastAsia" w:ascii="宋体" w:hAnsi="宋体" w:cs="宋体"/>
                <w:szCs w:val="21"/>
                <w:lang w:eastAsia="zh-CN"/>
              </w:rPr>
              <w:t>。</w:t>
            </w:r>
          </w:p>
        </w:tc>
      </w:tr>
      <w:tr w14:paraId="5BBE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61B4DAB5">
            <w:pPr>
              <w:numPr>
                <w:ilvl w:val="0"/>
                <w:numId w:val="5"/>
              </w:numPr>
              <w:tabs>
                <w:tab w:val="left" w:pos="176"/>
                <w:tab w:val="left" w:pos="612"/>
              </w:tabs>
              <w:jc w:val="center"/>
              <w:rPr>
                <w:rFonts w:ascii="宋体" w:hAnsi="宋体" w:cs="宋体"/>
                <w:szCs w:val="21"/>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6AAA95AC">
            <w:pPr>
              <w:textAlignment w:val="center"/>
              <w:rPr>
                <w:rFonts w:ascii="宋体" w:hAnsi="宋体" w:cs="宋体"/>
                <w:szCs w:val="21"/>
                <w:lang w:bidi="ar"/>
              </w:rPr>
            </w:pPr>
            <w:r>
              <w:rPr>
                <w:rFonts w:hint="eastAsia" w:ascii="宋体" w:hAnsi="宋体" w:cs="宋体"/>
                <w:szCs w:val="21"/>
                <w:lang w:bidi="ar"/>
              </w:rPr>
              <w:t>投标人按照采购文件要求提交投标保证金；</w:t>
            </w:r>
          </w:p>
        </w:tc>
      </w:tr>
      <w:tr w14:paraId="284C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0F39C02C">
            <w:pPr>
              <w:numPr>
                <w:ilvl w:val="0"/>
                <w:numId w:val="5"/>
              </w:numPr>
              <w:tabs>
                <w:tab w:val="left" w:pos="176"/>
                <w:tab w:val="left" w:pos="612"/>
              </w:tabs>
              <w:jc w:val="center"/>
              <w:rPr>
                <w:rFonts w:ascii="宋体" w:hAnsi="宋体" w:cs="宋体"/>
                <w:szCs w:val="21"/>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3BADFFA5">
            <w:pPr>
              <w:textAlignment w:val="center"/>
              <w:rPr>
                <w:rFonts w:ascii="宋体" w:hAnsi="宋体" w:cs="宋体"/>
                <w:szCs w:val="21"/>
              </w:rPr>
            </w:pPr>
            <w:r>
              <w:rPr>
                <w:rFonts w:hint="eastAsia" w:ascii="宋体" w:hAnsi="宋体" w:cs="宋体"/>
                <w:szCs w:val="21"/>
                <w:lang w:bidi="ar"/>
              </w:rPr>
              <w:t>投标文件按照采购文件要求签署盖章；</w:t>
            </w:r>
          </w:p>
        </w:tc>
      </w:tr>
      <w:tr w14:paraId="2A72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77A3107D">
            <w:pPr>
              <w:numPr>
                <w:ilvl w:val="0"/>
                <w:numId w:val="5"/>
              </w:numPr>
              <w:tabs>
                <w:tab w:val="left" w:pos="176"/>
                <w:tab w:val="left" w:pos="612"/>
              </w:tabs>
              <w:jc w:val="center"/>
              <w:rPr>
                <w:rFonts w:ascii="宋体" w:hAnsi="宋体" w:cs="宋体"/>
                <w:szCs w:val="21"/>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50EA6AD2">
            <w:pPr>
              <w:textAlignment w:val="center"/>
              <w:rPr>
                <w:rFonts w:ascii="宋体" w:hAnsi="宋体" w:cs="宋体"/>
                <w:szCs w:val="21"/>
              </w:rPr>
            </w:pPr>
            <w:r>
              <w:rPr>
                <w:rFonts w:hint="eastAsia" w:ascii="宋体" w:hAnsi="宋体" w:cs="宋体"/>
                <w:szCs w:val="21"/>
                <w:lang w:bidi="ar"/>
              </w:rPr>
              <w:t>投标总价未超出采购预算或最高限价；</w:t>
            </w:r>
          </w:p>
        </w:tc>
      </w:tr>
      <w:tr w14:paraId="4FFE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42847617">
            <w:pPr>
              <w:tabs>
                <w:tab w:val="left" w:pos="176"/>
                <w:tab w:val="left" w:pos="612"/>
              </w:tabs>
              <w:ind w:firstLine="210" w:firstLineChars="100"/>
              <w:jc w:val="both"/>
              <w:rPr>
                <w:rFonts w:ascii="宋体" w:hAnsi="宋体" w:cs="宋体"/>
                <w:szCs w:val="21"/>
              </w:rPr>
            </w:pPr>
            <w:r>
              <w:rPr>
                <w:rFonts w:hint="eastAsia" w:ascii="宋体" w:hAnsi="宋体" w:cs="宋体"/>
                <w:szCs w:val="21"/>
              </w:rPr>
              <w:t>5</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05B6FA6C">
            <w:pPr>
              <w:textAlignment w:val="center"/>
              <w:rPr>
                <w:rFonts w:ascii="宋体" w:hAnsi="宋体" w:cs="宋体"/>
                <w:szCs w:val="21"/>
                <w:lang w:bidi="ar"/>
              </w:rPr>
            </w:pPr>
            <w:r>
              <w:rPr>
                <w:rFonts w:hint="eastAsia" w:ascii="宋体" w:hAnsi="宋体" w:cs="宋体"/>
                <w:szCs w:val="21"/>
                <w:lang w:bidi="ar"/>
              </w:rPr>
              <w:t>投标文件未含有采购人不能接受的附加条件；</w:t>
            </w:r>
          </w:p>
        </w:tc>
      </w:tr>
      <w:tr w14:paraId="0F13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39E87027">
            <w:pPr>
              <w:tabs>
                <w:tab w:val="left" w:pos="176"/>
                <w:tab w:val="left" w:pos="612"/>
              </w:tabs>
              <w:ind w:firstLine="210" w:firstLineChars="100"/>
              <w:jc w:val="both"/>
              <w:rPr>
                <w:rFonts w:ascii="宋体" w:hAnsi="宋体" w:cs="宋体"/>
                <w:szCs w:val="21"/>
              </w:rPr>
            </w:pPr>
            <w:r>
              <w:rPr>
                <w:rFonts w:hint="eastAsia" w:ascii="宋体" w:hAnsi="宋体" w:cs="宋体"/>
                <w:szCs w:val="21"/>
              </w:rPr>
              <w:t>6</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5134355E">
            <w:pPr>
              <w:textAlignment w:val="center"/>
              <w:rPr>
                <w:rFonts w:ascii="宋体" w:hAnsi="宋体" w:cs="宋体"/>
                <w:szCs w:val="21"/>
              </w:rPr>
            </w:pPr>
            <w:r>
              <w:rPr>
                <w:rFonts w:hint="eastAsia" w:ascii="宋体" w:hAnsi="宋体" w:cs="宋体"/>
                <w:szCs w:val="21"/>
                <w:lang w:bidi="ar"/>
              </w:rPr>
              <w:t>无负偏离标注“★”符号的条款。</w:t>
            </w:r>
          </w:p>
        </w:tc>
      </w:tr>
      <w:tr w14:paraId="21C3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730EF4F0">
            <w:pPr>
              <w:tabs>
                <w:tab w:val="left" w:pos="176"/>
                <w:tab w:val="left" w:pos="612"/>
              </w:tabs>
              <w:ind w:firstLine="210" w:firstLineChars="100"/>
              <w:jc w:val="both"/>
              <w:rPr>
                <w:rFonts w:ascii="宋体" w:hAnsi="宋体" w:cs="宋体"/>
                <w:szCs w:val="21"/>
              </w:rPr>
            </w:pPr>
            <w:r>
              <w:rPr>
                <w:rFonts w:hint="eastAsia" w:ascii="宋体" w:hAnsi="宋体" w:cs="宋体"/>
                <w:szCs w:val="21"/>
              </w:rPr>
              <w:t>7</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6E93386C">
            <w:pPr>
              <w:textAlignment w:val="center"/>
              <w:rPr>
                <w:rFonts w:ascii="宋体" w:hAnsi="宋体" w:cs="宋体"/>
                <w:szCs w:val="21"/>
                <w:lang w:bidi="ar"/>
              </w:rPr>
            </w:pPr>
            <w:r>
              <w:rPr>
                <w:rFonts w:hint="eastAsia" w:ascii="宋体" w:hAnsi="宋体" w:cs="宋体"/>
                <w:szCs w:val="21"/>
              </w:rPr>
              <w:t>未出现</w:t>
            </w:r>
            <w:r>
              <w:rPr>
                <w:rFonts w:hint="eastAsia" w:ascii="宋体" w:hAnsi="宋体" w:cs="宋体"/>
                <w:szCs w:val="21"/>
                <w:lang w:bidi="ar"/>
              </w:rPr>
              <w:t>法律、法规和</w:t>
            </w:r>
            <w:r>
              <w:rPr>
                <w:rFonts w:hint="eastAsia" w:ascii="宋体" w:hAnsi="宋体" w:cs="宋体"/>
                <w:szCs w:val="21"/>
                <w:lang w:val="en-US" w:eastAsia="zh-CN" w:bidi="ar"/>
              </w:rPr>
              <w:t>采购</w:t>
            </w:r>
            <w:r>
              <w:rPr>
                <w:rFonts w:hint="eastAsia" w:ascii="宋体" w:hAnsi="宋体" w:cs="宋体"/>
                <w:szCs w:val="21"/>
                <w:lang w:bidi="ar"/>
              </w:rPr>
              <w:t>文件规定的其他无效情形。</w:t>
            </w:r>
          </w:p>
        </w:tc>
      </w:tr>
    </w:tbl>
    <w:p w14:paraId="5432BDB3">
      <w:pPr>
        <w:widowControl w:val="0"/>
        <w:overflowPunct w:val="0"/>
        <w:ind w:firstLine="420" w:firstLineChars="200"/>
        <w:rPr>
          <w:rFonts w:hint="eastAsia" w:ascii="宋体" w:hAnsi="宋体" w:eastAsia="宋体"/>
          <w:szCs w:val="21"/>
          <w:lang w:eastAsia="zh-CN"/>
        </w:rPr>
      </w:pPr>
      <w:r>
        <w:rPr>
          <w:rFonts w:hint="eastAsia" w:ascii="宋体" w:hAnsi="宋体"/>
          <w:szCs w:val="21"/>
        </w:rPr>
        <w:t>以上资格性、符合性审查中带有不合格分项的投标文件，将作无效标处理。经评标委员会确认的无效投标文件，采购人将予以拒绝，并且不允许通过修正或撤消其不符合要求的差异，使之成为具有符合性的投标文件。经评标委员会资格性、符合性审查确认具有有效投标文件的投标人不足三家时将重新组织采购</w:t>
      </w:r>
      <w:r>
        <w:rPr>
          <w:rFonts w:hint="eastAsia" w:ascii="宋体" w:hAnsi="宋体"/>
          <w:szCs w:val="21"/>
          <w:lang w:eastAsia="zh-CN"/>
        </w:rPr>
        <w:t>。</w:t>
      </w:r>
    </w:p>
    <w:p w14:paraId="2B08C2CB">
      <w:pPr>
        <w:widowControl w:val="0"/>
        <w:numPr>
          <w:ilvl w:val="1"/>
          <w:numId w:val="2"/>
        </w:numPr>
        <w:overflowPunct w:val="0"/>
        <w:rPr>
          <w:rFonts w:ascii="宋体" w:hAnsi="宋体" w:cs="宋体"/>
          <w:b/>
          <w:bCs/>
          <w:szCs w:val="21"/>
        </w:rPr>
      </w:pPr>
      <w:r>
        <w:rPr>
          <w:rFonts w:hint="eastAsia" w:ascii="宋体" w:hAnsi="宋体" w:cs="宋体"/>
          <w:b/>
          <w:bCs/>
          <w:szCs w:val="21"/>
        </w:rPr>
        <w:t>投标文件报价出现前后不一致的，评标委员会按照下列规定修正：</w:t>
      </w:r>
    </w:p>
    <w:p w14:paraId="6A047DCE">
      <w:pPr>
        <w:widowControl w:val="0"/>
        <w:numPr>
          <w:ilvl w:val="0"/>
          <w:numId w:val="6"/>
        </w:numPr>
        <w:overflowPunct w:val="0"/>
        <w:rPr>
          <w:rFonts w:ascii="宋体" w:hAnsi="宋体" w:cs="宋体"/>
          <w:szCs w:val="21"/>
        </w:rPr>
      </w:pPr>
      <w:r>
        <w:rPr>
          <w:rFonts w:hint="eastAsia" w:ascii="宋体" w:hAnsi="宋体" w:cs="宋体"/>
          <w:szCs w:val="21"/>
        </w:rPr>
        <w:t>投标文件中开标一览表（报价表）内容与投标文件中相应内容不一致的，以开标一览表（报价表）为准；</w:t>
      </w:r>
    </w:p>
    <w:p w14:paraId="140BCD93">
      <w:pPr>
        <w:widowControl w:val="0"/>
        <w:numPr>
          <w:ilvl w:val="0"/>
          <w:numId w:val="6"/>
        </w:numPr>
        <w:overflowPunct w:val="0"/>
        <w:rPr>
          <w:rFonts w:ascii="宋体" w:hAnsi="宋体" w:cs="宋体"/>
          <w:szCs w:val="21"/>
        </w:rPr>
      </w:pPr>
      <w:r>
        <w:rPr>
          <w:rFonts w:hint="eastAsia" w:ascii="宋体" w:hAnsi="宋体" w:cs="宋体"/>
          <w:szCs w:val="21"/>
        </w:rPr>
        <w:t>大写金额和小写金额不一致的，以大写金额为准；</w:t>
      </w:r>
    </w:p>
    <w:p w14:paraId="25992C5D">
      <w:pPr>
        <w:widowControl w:val="0"/>
        <w:numPr>
          <w:ilvl w:val="0"/>
          <w:numId w:val="6"/>
        </w:numPr>
        <w:overflowPunct w:val="0"/>
        <w:rPr>
          <w:rFonts w:ascii="宋体" w:hAnsi="宋体" w:cs="宋体"/>
          <w:szCs w:val="21"/>
        </w:rPr>
      </w:pPr>
      <w:r>
        <w:rPr>
          <w:rFonts w:hint="eastAsia" w:ascii="宋体" w:hAnsi="宋体" w:cs="宋体"/>
          <w:szCs w:val="21"/>
        </w:rPr>
        <w:t>单价金额小数点或者百分比有明显错位的，以开标一览表的总价为准，并修改单价；</w:t>
      </w:r>
    </w:p>
    <w:p w14:paraId="5D6AAE88">
      <w:pPr>
        <w:widowControl w:val="0"/>
        <w:numPr>
          <w:ilvl w:val="0"/>
          <w:numId w:val="6"/>
        </w:numPr>
        <w:overflowPunct w:val="0"/>
        <w:rPr>
          <w:rFonts w:ascii="宋体" w:hAnsi="宋体" w:cs="宋体"/>
          <w:szCs w:val="21"/>
        </w:rPr>
      </w:pPr>
      <w:r>
        <w:rPr>
          <w:rFonts w:hint="eastAsia" w:ascii="宋体" w:hAnsi="宋体" w:cs="宋体"/>
          <w:szCs w:val="21"/>
        </w:rPr>
        <w:t>总价金额与按单价汇总金额不一致的，以单价金额计算结果为准。</w:t>
      </w:r>
    </w:p>
    <w:p w14:paraId="1EA36BD2">
      <w:pPr>
        <w:widowControl w:val="0"/>
        <w:numPr>
          <w:ilvl w:val="0"/>
          <w:numId w:val="6"/>
        </w:numPr>
        <w:overflowPunct w:val="0"/>
        <w:rPr>
          <w:rFonts w:ascii="宋体" w:hAnsi="宋体" w:cs="宋体"/>
          <w:szCs w:val="21"/>
        </w:rPr>
      </w:pPr>
      <w:r>
        <w:rPr>
          <w:rFonts w:hint="eastAsia" w:ascii="宋体" w:hAnsi="宋体" w:cs="宋体"/>
          <w:szCs w:val="21"/>
        </w:rPr>
        <w:t>同时出现两种以上不一致的，按照前款规定的顺序修正。修正后的报价按照经投标人确认后产生约束力，投标人不确认的，其投标无效。</w:t>
      </w:r>
    </w:p>
    <w:p w14:paraId="1BDC233B">
      <w:pPr>
        <w:widowControl w:val="0"/>
        <w:overflowPunct w:val="0"/>
        <w:ind w:left="630" w:hanging="630" w:hangingChars="300"/>
        <w:rPr>
          <w:rFonts w:ascii="宋体" w:hAnsi="宋体" w:cs="宋体"/>
          <w:szCs w:val="21"/>
        </w:rPr>
      </w:pPr>
      <w:r>
        <w:rPr>
          <w:rFonts w:hint="eastAsia" w:ascii="宋体" w:hAnsi="宋体" w:cs="宋体"/>
          <w:szCs w:val="21"/>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184E30D1">
      <w:pPr>
        <w:widowControl w:val="0"/>
        <w:overflowPunct w:val="0"/>
        <w:ind w:left="630" w:hanging="630" w:hangingChars="300"/>
        <w:rPr>
          <w:rFonts w:ascii="宋体" w:hAnsi="宋体" w:cs="宋体"/>
          <w:szCs w:val="21"/>
        </w:rPr>
      </w:pPr>
      <w:r>
        <w:rPr>
          <w:rFonts w:hint="eastAsia" w:ascii="宋体" w:hAnsi="宋体" w:cs="宋体"/>
          <w:szCs w:val="21"/>
        </w:rPr>
        <w:t>26.4  对于投标文件中不构成实质性偏差的不正规、不一致或不规则，评标委员会可以接受，但这种接受不能损害或影响任何投标人的相对排序。</w:t>
      </w:r>
    </w:p>
    <w:p w14:paraId="44E8A70E">
      <w:pPr>
        <w:widowControl w:val="0"/>
        <w:overflowPunct w:val="0"/>
        <w:ind w:left="630" w:hanging="630" w:hangingChars="300"/>
        <w:rPr>
          <w:rFonts w:ascii="宋体" w:hAnsi="宋体" w:cs="宋体"/>
          <w:szCs w:val="21"/>
        </w:rPr>
      </w:pPr>
      <w:r>
        <w:rPr>
          <w:rFonts w:hint="eastAsia" w:ascii="宋体" w:hAnsi="宋体" w:cs="宋体"/>
          <w:szCs w:val="21"/>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6F21367D">
      <w:pPr>
        <w:pStyle w:val="2"/>
      </w:pPr>
    </w:p>
    <w:p w14:paraId="5B1E3F6D">
      <w:pPr>
        <w:pStyle w:val="6"/>
        <w:widowControl w:val="0"/>
        <w:numPr>
          <w:ilvl w:val="0"/>
          <w:numId w:val="2"/>
        </w:numPr>
        <w:overflowPunct w:val="0"/>
        <w:rPr>
          <w:rFonts w:ascii="宋体" w:hAnsi="宋体" w:cs="宋体"/>
          <w:sz w:val="21"/>
          <w:szCs w:val="21"/>
        </w:rPr>
      </w:pPr>
      <w:bookmarkStart w:id="91" w:name="_Toc4799"/>
      <w:bookmarkStart w:id="92" w:name="_Toc11415"/>
      <w:r>
        <w:rPr>
          <w:rFonts w:hint="eastAsia" w:ascii="宋体" w:hAnsi="宋体" w:cs="宋体"/>
          <w:sz w:val="21"/>
          <w:szCs w:val="21"/>
          <w:highlight w:val="none"/>
        </w:rPr>
        <w:t>项目评审</w:t>
      </w:r>
      <w:r>
        <w:rPr>
          <w:rFonts w:hint="eastAsia" w:ascii="宋体" w:hAnsi="宋体" w:cs="宋体"/>
          <w:sz w:val="21"/>
          <w:szCs w:val="21"/>
        </w:rPr>
        <w:t>（具体评审项目详见投标资料表）</w:t>
      </w:r>
      <w:bookmarkEnd w:id="91"/>
      <w:bookmarkEnd w:id="92"/>
    </w:p>
    <w:p w14:paraId="60705F31">
      <w:pPr>
        <w:pStyle w:val="42"/>
        <w:widowControl w:val="0"/>
        <w:numPr>
          <w:ilvl w:val="0"/>
          <w:numId w:val="3"/>
        </w:numPr>
        <w:tabs>
          <w:tab w:val="left" w:pos="907"/>
        </w:tabs>
        <w:adjustRightInd/>
        <w:snapToGrid/>
        <w:ind w:firstLineChars="0"/>
        <w:jc w:val="both"/>
        <w:rPr>
          <w:rFonts w:ascii="宋体" w:hAnsi="宋体" w:cs="宋体"/>
          <w:vanish/>
          <w:szCs w:val="21"/>
        </w:rPr>
      </w:pPr>
    </w:p>
    <w:p w14:paraId="373C58BC">
      <w:pPr>
        <w:widowControl w:val="0"/>
        <w:numPr>
          <w:ilvl w:val="1"/>
          <w:numId w:val="2"/>
        </w:numPr>
        <w:overflowPunct w:val="0"/>
        <w:rPr>
          <w:rFonts w:ascii="宋体" w:hAnsi="宋体" w:cs="宋体"/>
          <w:szCs w:val="21"/>
        </w:rPr>
      </w:pPr>
      <w:r>
        <w:rPr>
          <w:rFonts w:hint="eastAsia" w:ascii="宋体" w:hAnsi="宋体" w:cs="宋体"/>
          <w:szCs w:val="21"/>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6CFF98D6">
      <w:pPr>
        <w:widowControl w:val="0"/>
        <w:numPr>
          <w:ilvl w:val="1"/>
          <w:numId w:val="2"/>
        </w:numPr>
        <w:overflowPunct w:val="0"/>
        <w:rPr>
          <w:rFonts w:ascii="宋体" w:hAnsi="宋体" w:cs="宋体"/>
          <w:szCs w:val="21"/>
          <w:highlight w:val="none"/>
        </w:rPr>
      </w:pPr>
      <w:r>
        <w:rPr>
          <w:rFonts w:hint="eastAsia" w:ascii="宋体" w:hAnsi="宋体" w:cs="宋体"/>
          <w:szCs w:val="21"/>
        </w:rPr>
        <w:t>评标委员会对通过资格性、符合性审查的投标文件进行详细评审。</w:t>
      </w:r>
      <w:r>
        <w:rPr>
          <w:rFonts w:hint="eastAsia" w:cs="宋体" w:asciiTheme="minorEastAsia" w:hAnsiTheme="minorEastAsia" w:eastAsiaTheme="minorEastAsia"/>
          <w:color w:val="auto"/>
          <w:szCs w:val="21"/>
          <w:highlight w:val="none"/>
        </w:rPr>
        <w:t>评标结果按投标报价由低到高顺序排列。投标报价相同的，按投标资料表执行</w:t>
      </w:r>
      <w:r>
        <w:rPr>
          <w:rFonts w:hint="eastAsia" w:ascii="宋体" w:hAnsi="宋体" w:cs="宋体"/>
          <w:szCs w:val="21"/>
          <w:highlight w:val="none"/>
        </w:rPr>
        <w:t>。</w:t>
      </w:r>
    </w:p>
    <w:p w14:paraId="042504F5">
      <w:pPr>
        <w:widowControl w:val="0"/>
        <w:tabs>
          <w:tab w:val="left" w:pos="907"/>
        </w:tabs>
        <w:adjustRightInd/>
        <w:snapToGrid/>
        <w:ind w:left="567"/>
        <w:jc w:val="both"/>
        <w:rPr>
          <w:rFonts w:ascii="宋体" w:hAnsi="宋体" w:cs="宋体"/>
          <w:szCs w:val="21"/>
          <w:highlight w:val="none"/>
        </w:rPr>
      </w:pPr>
    </w:p>
    <w:p w14:paraId="7A40E513">
      <w:pPr>
        <w:pStyle w:val="6"/>
        <w:widowControl w:val="0"/>
        <w:numPr>
          <w:ilvl w:val="0"/>
          <w:numId w:val="2"/>
        </w:numPr>
        <w:overflowPunct w:val="0"/>
        <w:rPr>
          <w:rFonts w:ascii="宋体" w:hAnsi="宋体" w:cs="宋体"/>
          <w:sz w:val="21"/>
          <w:szCs w:val="21"/>
          <w:highlight w:val="none"/>
        </w:rPr>
      </w:pPr>
      <w:bookmarkStart w:id="93" w:name="_Toc316375620"/>
      <w:bookmarkStart w:id="94" w:name="_Toc21663"/>
      <w:bookmarkStart w:id="95" w:name="_Toc18550"/>
      <w:bookmarkStart w:id="96" w:name="_Toc20328"/>
      <w:bookmarkStart w:id="97" w:name="_Toc382049120"/>
      <w:r>
        <w:rPr>
          <w:rFonts w:hint="eastAsia" w:ascii="宋体" w:hAnsi="宋体" w:cs="宋体"/>
          <w:sz w:val="21"/>
          <w:szCs w:val="21"/>
          <w:highlight w:val="none"/>
        </w:rPr>
        <w:t>纪律和保密</w:t>
      </w:r>
      <w:bookmarkEnd w:id="93"/>
      <w:r>
        <w:rPr>
          <w:rFonts w:hint="eastAsia" w:ascii="宋体" w:hAnsi="宋体" w:cs="宋体"/>
          <w:sz w:val="21"/>
          <w:szCs w:val="21"/>
          <w:highlight w:val="none"/>
        </w:rPr>
        <w:t>事项</w:t>
      </w:r>
      <w:bookmarkEnd w:id="94"/>
      <w:bookmarkEnd w:id="95"/>
      <w:bookmarkEnd w:id="96"/>
      <w:bookmarkEnd w:id="97"/>
    </w:p>
    <w:p w14:paraId="7BAA66A0">
      <w:pPr>
        <w:pStyle w:val="42"/>
        <w:widowControl w:val="0"/>
        <w:numPr>
          <w:ilvl w:val="0"/>
          <w:numId w:val="3"/>
        </w:numPr>
        <w:tabs>
          <w:tab w:val="left" w:pos="907"/>
        </w:tabs>
        <w:adjustRightInd/>
        <w:snapToGrid/>
        <w:ind w:firstLineChars="0"/>
        <w:jc w:val="both"/>
        <w:rPr>
          <w:rFonts w:ascii="宋体" w:hAnsi="宋体" w:cs="宋体"/>
          <w:vanish/>
          <w:szCs w:val="21"/>
          <w:highlight w:val="none"/>
        </w:rPr>
      </w:pPr>
    </w:p>
    <w:p w14:paraId="3FE1143C">
      <w:pPr>
        <w:widowControl w:val="0"/>
        <w:numPr>
          <w:ilvl w:val="1"/>
          <w:numId w:val="2"/>
        </w:numPr>
        <w:overflowPunct w:val="0"/>
        <w:rPr>
          <w:rFonts w:ascii="宋体" w:hAnsi="宋体" w:cs="宋体"/>
          <w:szCs w:val="21"/>
          <w:highlight w:val="none"/>
        </w:rPr>
      </w:pPr>
      <w:r>
        <w:rPr>
          <w:rFonts w:hint="eastAsia" w:ascii="宋体" w:hAnsi="宋体" w:cs="宋体"/>
          <w:szCs w:val="21"/>
          <w:highlight w:val="none"/>
        </w:rPr>
        <w:t>从开标之日起至授予合同期间，在投标文件的审查、澄清、比较和评价阶段，投标人试图对评标委员会和</w:t>
      </w:r>
      <w:r>
        <w:rPr>
          <w:rFonts w:hint="eastAsia" w:ascii="宋体" w:hAnsi="宋体" w:cs="宋体"/>
          <w:szCs w:val="21"/>
          <w:highlight w:val="none"/>
          <w:lang w:eastAsia="zh-CN"/>
        </w:rPr>
        <w:t>采购人</w:t>
      </w:r>
      <w:r>
        <w:rPr>
          <w:rFonts w:hint="eastAsia" w:ascii="宋体" w:hAnsi="宋体" w:cs="宋体"/>
          <w:szCs w:val="21"/>
          <w:highlight w:val="none"/>
        </w:rPr>
        <w:t>施加任何影响或对采购人的比较及授予合同的决定产生影响，都可能导致其投标文件被拒绝。</w:t>
      </w:r>
    </w:p>
    <w:p w14:paraId="4AD6D90F">
      <w:pPr>
        <w:widowControl w:val="0"/>
        <w:numPr>
          <w:ilvl w:val="1"/>
          <w:numId w:val="2"/>
        </w:numPr>
        <w:overflowPunct w:val="0"/>
        <w:rPr>
          <w:rFonts w:ascii="宋体" w:hAnsi="宋体" w:cs="宋体"/>
          <w:szCs w:val="21"/>
        </w:rPr>
      </w:pPr>
      <w:r>
        <w:rPr>
          <w:rFonts w:hint="eastAsia" w:ascii="宋体" w:hAnsi="宋体" w:cs="宋体"/>
          <w:szCs w:val="21"/>
        </w:rPr>
        <w:t>投标人不得串通作弊，以不正当的手段妨碍、排挤其他投标人，扰乱采购市场，破坏公平竞争原则。否则将按相关法律规定严肃处理。</w:t>
      </w:r>
    </w:p>
    <w:p w14:paraId="05DE9C3D">
      <w:pPr>
        <w:widowControl w:val="0"/>
        <w:numPr>
          <w:ilvl w:val="1"/>
          <w:numId w:val="2"/>
        </w:numPr>
        <w:overflowPunct w:val="0"/>
        <w:rPr>
          <w:rFonts w:ascii="宋体" w:hAnsi="宋体" w:cs="宋体"/>
          <w:szCs w:val="21"/>
        </w:rPr>
      </w:pPr>
      <w:r>
        <w:rPr>
          <w:rFonts w:hint="eastAsia" w:ascii="宋体" w:hAnsi="宋体" w:cs="宋体"/>
          <w:szCs w:val="21"/>
        </w:rPr>
        <w:t>获得本采购文件的投标人，应对文件进行保密，不得用作本次投标以外的任何用途。开标后，投标人应归还采购文件中要求保密的文件和资料。</w:t>
      </w:r>
    </w:p>
    <w:p w14:paraId="26D0D5D3">
      <w:pPr>
        <w:rPr>
          <w:rFonts w:ascii="宋体" w:hAnsi="宋体" w:cs="宋体"/>
        </w:rPr>
      </w:pPr>
    </w:p>
    <w:p w14:paraId="5D4A30A0">
      <w:pPr>
        <w:pStyle w:val="5"/>
        <w:numPr>
          <w:ilvl w:val="0"/>
          <w:numId w:val="1"/>
        </w:numPr>
        <w:spacing w:before="0" w:after="0" w:line="360" w:lineRule="auto"/>
        <w:jc w:val="center"/>
        <w:rPr>
          <w:rFonts w:ascii="宋体" w:hAnsi="宋体" w:cs="宋体"/>
        </w:rPr>
      </w:pPr>
      <w:bookmarkStart w:id="98" w:name="_Toc1109"/>
      <w:bookmarkStart w:id="99" w:name="_Toc27738"/>
      <w:r>
        <w:rPr>
          <w:rFonts w:hint="eastAsia" w:ascii="宋体" w:hAnsi="宋体" w:cs="宋体"/>
        </w:rPr>
        <w:t>授予合同</w:t>
      </w:r>
      <w:bookmarkEnd w:id="98"/>
      <w:bookmarkEnd w:id="99"/>
    </w:p>
    <w:p w14:paraId="1BB74EF5">
      <w:pPr>
        <w:pStyle w:val="6"/>
        <w:widowControl w:val="0"/>
        <w:numPr>
          <w:ilvl w:val="0"/>
          <w:numId w:val="2"/>
        </w:numPr>
        <w:overflowPunct w:val="0"/>
        <w:rPr>
          <w:rFonts w:ascii="宋体" w:hAnsi="宋体" w:cs="宋体"/>
          <w:sz w:val="21"/>
          <w:szCs w:val="21"/>
        </w:rPr>
      </w:pPr>
      <w:bookmarkStart w:id="100" w:name="_Toc508284011"/>
      <w:bookmarkStart w:id="101" w:name="_Toc16090"/>
      <w:bookmarkStart w:id="102" w:name="_Toc22623"/>
      <w:r>
        <w:rPr>
          <w:rFonts w:hint="eastAsia" w:ascii="宋体" w:hAnsi="宋体" w:cs="宋体"/>
          <w:sz w:val="21"/>
          <w:szCs w:val="21"/>
        </w:rPr>
        <w:t>合同授予标准</w:t>
      </w:r>
      <w:bookmarkEnd w:id="100"/>
      <w:bookmarkEnd w:id="101"/>
      <w:bookmarkEnd w:id="102"/>
    </w:p>
    <w:p w14:paraId="67B302EE">
      <w:pPr>
        <w:pStyle w:val="42"/>
        <w:widowControl w:val="0"/>
        <w:numPr>
          <w:ilvl w:val="0"/>
          <w:numId w:val="3"/>
        </w:numPr>
        <w:tabs>
          <w:tab w:val="left" w:pos="907"/>
        </w:tabs>
        <w:adjustRightInd/>
        <w:snapToGrid/>
        <w:ind w:firstLineChars="0"/>
        <w:jc w:val="both"/>
        <w:rPr>
          <w:rFonts w:ascii="宋体" w:hAnsi="宋体" w:cs="宋体"/>
          <w:vanish/>
          <w:szCs w:val="21"/>
        </w:rPr>
      </w:pPr>
    </w:p>
    <w:p w14:paraId="0A38A649">
      <w:pPr>
        <w:widowControl w:val="0"/>
        <w:numPr>
          <w:ilvl w:val="1"/>
          <w:numId w:val="2"/>
        </w:numPr>
        <w:overflowPunct w:val="0"/>
        <w:rPr>
          <w:rFonts w:ascii="宋体" w:hAnsi="宋体" w:cs="宋体"/>
          <w:szCs w:val="21"/>
        </w:rPr>
      </w:pPr>
      <w:r>
        <w:rPr>
          <w:rFonts w:hint="eastAsia" w:ascii="宋体" w:hAnsi="宋体" w:cs="宋体"/>
          <w:szCs w:val="21"/>
        </w:rPr>
        <w:t>根据评标委员会的评审结果，采购人按照评审报告推荐的中标候选人中按顺序依法确定中标人。</w:t>
      </w:r>
    </w:p>
    <w:p w14:paraId="13D13B2A">
      <w:pPr>
        <w:rPr>
          <w:rFonts w:ascii="宋体" w:hAnsi="宋体" w:cs="宋体"/>
        </w:rPr>
      </w:pPr>
    </w:p>
    <w:p w14:paraId="12C8D3AF">
      <w:pPr>
        <w:pStyle w:val="6"/>
        <w:widowControl w:val="0"/>
        <w:numPr>
          <w:ilvl w:val="0"/>
          <w:numId w:val="2"/>
        </w:numPr>
        <w:overflowPunct w:val="0"/>
        <w:rPr>
          <w:rFonts w:ascii="宋体" w:hAnsi="宋体" w:cs="宋体"/>
          <w:sz w:val="21"/>
          <w:szCs w:val="21"/>
        </w:rPr>
      </w:pPr>
      <w:bookmarkStart w:id="103" w:name="_Toc10545"/>
      <w:bookmarkStart w:id="104" w:name="_Toc24261"/>
      <w:bookmarkStart w:id="105" w:name="_Toc508284013"/>
      <w:r>
        <w:rPr>
          <w:rFonts w:hint="eastAsia" w:ascii="宋体" w:hAnsi="宋体" w:cs="宋体"/>
          <w:sz w:val="21"/>
          <w:szCs w:val="21"/>
        </w:rPr>
        <w:t>发布中标结果</w:t>
      </w:r>
      <w:bookmarkEnd w:id="103"/>
      <w:bookmarkEnd w:id="104"/>
      <w:bookmarkEnd w:id="105"/>
    </w:p>
    <w:p w14:paraId="01DD4E39">
      <w:pPr>
        <w:pStyle w:val="42"/>
        <w:widowControl w:val="0"/>
        <w:numPr>
          <w:ilvl w:val="0"/>
          <w:numId w:val="3"/>
        </w:numPr>
        <w:tabs>
          <w:tab w:val="left" w:pos="907"/>
        </w:tabs>
        <w:adjustRightInd/>
        <w:snapToGrid/>
        <w:ind w:firstLineChars="0"/>
        <w:jc w:val="both"/>
        <w:rPr>
          <w:rFonts w:ascii="宋体" w:hAnsi="宋体" w:cs="宋体"/>
          <w:vanish/>
          <w:szCs w:val="21"/>
        </w:rPr>
      </w:pPr>
    </w:p>
    <w:p w14:paraId="67787B86">
      <w:pPr>
        <w:widowControl w:val="0"/>
        <w:numPr>
          <w:ilvl w:val="1"/>
          <w:numId w:val="2"/>
        </w:numPr>
        <w:overflowPunct w:val="0"/>
        <w:rPr>
          <w:rFonts w:ascii="宋体" w:hAnsi="宋体" w:cs="宋体"/>
          <w:szCs w:val="21"/>
        </w:rPr>
      </w:pPr>
      <w:r>
        <w:rPr>
          <w:rFonts w:hint="eastAsia" w:ascii="宋体" w:hAnsi="宋体" w:cs="宋体"/>
          <w:szCs w:val="21"/>
        </w:rPr>
        <w:t>评标委员会提出评标书面报告和推荐中标意见报采购人确认后，采购</w:t>
      </w:r>
      <w:r>
        <w:rPr>
          <w:rFonts w:hint="eastAsia" w:ascii="宋体" w:hAnsi="宋体" w:cs="宋体"/>
          <w:szCs w:val="21"/>
          <w:lang w:val="en-US" w:eastAsia="zh-CN"/>
        </w:rPr>
        <w:t>人</w:t>
      </w:r>
      <w:r>
        <w:rPr>
          <w:rFonts w:hint="eastAsia" w:ascii="宋体" w:hAnsi="宋体" w:cs="宋体"/>
          <w:szCs w:val="21"/>
        </w:rPr>
        <w:t>将在指定的信息发布媒体上发布公告。</w:t>
      </w:r>
    </w:p>
    <w:p w14:paraId="72BAAA33">
      <w:pPr>
        <w:widowControl w:val="0"/>
        <w:numPr>
          <w:ilvl w:val="1"/>
          <w:numId w:val="2"/>
        </w:numPr>
        <w:overflowPunct w:val="0"/>
        <w:rPr>
          <w:rFonts w:ascii="宋体" w:hAnsi="宋体" w:cs="宋体"/>
          <w:szCs w:val="21"/>
        </w:rPr>
      </w:pPr>
      <w:r>
        <w:rPr>
          <w:rFonts w:hint="eastAsia" w:ascii="宋体" w:hAnsi="宋体" w:cs="宋体"/>
          <w:szCs w:val="21"/>
        </w:rPr>
        <w:t>中标公告期限为3个日历日。</w:t>
      </w:r>
    </w:p>
    <w:p w14:paraId="3DC38940">
      <w:pPr>
        <w:widowControl w:val="0"/>
        <w:numPr>
          <w:ilvl w:val="1"/>
          <w:numId w:val="2"/>
        </w:numPr>
        <w:overflowPunct w:val="0"/>
        <w:rPr>
          <w:rFonts w:ascii="宋体" w:hAnsi="宋体" w:cs="宋体"/>
          <w:szCs w:val="21"/>
        </w:rPr>
      </w:pPr>
      <w:r>
        <w:rPr>
          <w:rFonts w:hint="eastAsia" w:ascii="宋体" w:hAnsi="宋体" w:cs="宋体"/>
          <w:szCs w:val="21"/>
        </w:rPr>
        <w:t>《中标通知书》是合同的一个组成部分，《中标通知书》对采购人和中标人均具有同等法律效力。</w:t>
      </w:r>
    </w:p>
    <w:p w14:paraId="577BD6FF">
      <w:pPr>
        <w:widowControl w:val="0"/>
        <w:tabs>
          <w:tab w:val="left" w:pos="907"/>
        </w:tabs>
        <w:adjustRightInd/>
        <w:snapToGrid/>
        <w:jc w:val="both"/>
        <w:rPr>
          <w:rFonts w:ascii="宋体" w:hAnsi="宋体" w:cs="宋体"/>
          <w:szCs w:val="21"/>
        </w:rPr>
      </w:pPr>
    </w:p>
    <w:p w14:paraId="01B29FE4">
      <w:pPr>
        <w:pStyle w:val="6"/>
        <w:widowControl w:val="0"/>
        <w:numPr>
          <w:ilvl w:val="0"/>
          <w:numId w:val="2"/>
        </w:numPr>
        <w:overflowPunct w:val="0"/>
        <w:rPr>
          <w:rFonts w:ascii="宋体" w:hAnsi="宋体" w:cs="宋体"/>
          <w:sz w:val="21"/>
          <w:szCs w:val="21"/>
        </w:rPr>
      </w:pPr>
      <w:bookmarkStart w:id="106" w:name="_Toc11420"/>
      <w:bookmarkStart w:id="107" w:name="_Toc749"/>
      <w:r>
        <w:rPr>
          <w:rFonts w:hint="eastAsia" w:ascii="宋体" w:hAnsi="宋体" w:cs="宋体"/>
          <w:sz w:val="21"/>
          <w:szCs w:val="21"/>
        </w:rPr>
        <w:t>资格后审</w:t>
      </w:r>
      <w:bookmarkEnd w:id="106"/>
      <w:bookmarkEnd w:id="107"/>
    </w:p>
    <w:p w14:paraId="7CC01F36">
      <w:pPr>
        <w:pStyle w:val="42"/>
        <w:widowControl w:val="0"/>
        <w:numPr>
          <w:ilvl w:val="0"/>
          <w:numId w:val="3"/>
        </w:numPr>
        <w:tabs>
          <w:tab w:val="left" w:pos="567"/>
          <w:tab w:val="left" w:pos="907"/>
        </w:tabs>
        <w:adjustRightInd/>
        <w:snapToGrid/>
        <w:ind w:firstLineChars="0"/>
        <w:jc w:val="both"/>
        <w:rPr>
          <w:rFonts w:ascii="宋体" w:hAnsi="宋体" w:cs="宋体"/>
          <w:vanish/>
          <w:szCs w:val="21"/>
        </w:rPr>
      </w:pPr>
    </w:p>
    <w:p w14:paraId="2C1C1397">
      <w:pPr>
        <w:widowControl w:val="0"/>
        <w:numPr>
          <w:ilvl w:val="1"/>
          <w:numId w:val="2"/>
        </w:numPr>
        <w:overflowPunct w:val="0"/>
        <w:rPr>
          <w:rFonts w:ascii="宋体" w:hAnsi="宋体" w:cs="宋体"/>
          <w:szCs w:val="21"/>
        </w:rPr>
      </w:pPr>
      <w:r>
        <w:rPr>
          <w:rFonts w:hint="eastAsia" w:ascii="宋体" w:hAnsi="宋体" w:cs="宋体"/>
          <w:szCs w:val="21"/>
        </w:rPr>
        <w:t>采购人将有权根据本文件中的要求，对评委会推荐的中标候选人进行资格后审。</w:t>
      </w:r>
    </w:p>
    <w:p w14:paraId="1FFF9CEF">
      <w:pPr>
        <w:widowControl w:val="0"/>
        <w:numPr>
          <w:ilvl w:val="1"/>
          <w:numId w:val="2"/>
        </w:numPr>
        <w:overflowPunct w:val="0"/>
        <w:rPr>
          <w:rFonts w:ascii="宋体" w:hAnsi="宋体" w:cs="宋体"/>
          <w:szCs w:val="21"/>
        </w:rPr>
      </w:pPr>
      <w:r>
        <w:rPr>
          <w:rFonts w:hint="eastAsia" w:ascii="宋体" w:hAnsi="宋体" w:cs="宋体"/>
          <w:szCs w:val="21"/>
        </w:rPr>
        <w:t>中标候选人须无条件配合资格后审，否则采购人有权取消其中标资格，且投标保证金可不予退还。</w:t>
      </w:r>
    </w:p>
    <w:p w14:paraId="59886A66">
      <w:pPr>
        <w:widowControl w:val="0"/>
        <w:numPr>
          <w:ilvl w:val="1"/>
          <w:numId w:val="2"/>
        </w:numPr>
        <w:overflowPunct w:val="0"/>
        <w:rPr>
          <w:rFonts w:ascii="宋体" w:hAnsi="宋体" w:cs="宋体"/>
          <w:szCs w:val="21"/>
        </w:rPr>
      </w:pPr>
      <w:r>
        <w:rPr>
          <w:rFonts w:hint="eastAsia" w:ascii="宋体" w:hAnsi="宋体" w:cs="宋体"/>
          <w:szCs w:val="21"/>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5C8909B5">
      <w:pPr>
        <w:widowControl w:val="0"/>
        <w:numPr>
          <w:ilvl w:val="1"/>
          <w:numId w:val="2"/>
        </w:numPr>
        <w:overflowPunct w:val="0"/>
        <w:rPr>
          <w:rFonts w:ascii="宋体" w:hAnsi="宋体" w:cs="宋体"/>
          <w:szCs w:val="21"/>
        </w:rPr>
      </w:pPr>
      <w:r>
        <w:rPr>
          <w:rFonts w:hint="eastAsia" w:ascii="宋体" w:hAnsi="宋体" w:cs="宋体"/>
          <w:szCs w:val="21"/>
        </w:rPr>
        <w:t>如发现中标候选人以他人名义投标或者以其他方式弄虚作假，骗取中标的，采购人有权取消其中标资格，且投标保证金可不予退还；给采购人造成损失的，应依法承担赔偿责任。</w:t>
      </w:r>
    </w:p>
    <w:p w14:paraId="150CF6FD">
      <w:pPr>
        <w:widowControl w:val="0"/>
        <w:numPr>
          <w:ilvl w:val="1"/>
          <w:numId w:val="2"/>
        </w:numPr>
        <w:overflowPunct w:val="0"/>
        <w:rPr>
          <w:rFonts w:ascii="宋体" w:hAnsi="宋体" w:cs="宋体"/>
          <w:szCs w:val="21"/>
        </w:rPr>
      </w:pPr>
      <w:r>
        <w:rPr>
          <w:rFonts w:hint="eastAsia" w:ascii="宋体" w:hAnsi="宋体" w:cs="宋体"/>
          <w:szCs w:val="21"/>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375097D9">
      <w:pPr>
        <w:rPr>
          <w:rFonts w:ascii="宋体" w:hAnsi="宋体" w:cs="宋体"/>
        </w:rPr>
      </w:pPr>
    </w:p>
    <w:p w14:paraId="34AD435E">
      <w:pPr>
        <w:pStyle w:val="6"/>
        <w:widowControl w:val="0"/>
        <w:numPr>
          <w:ilvl w:val="0"/>
          <w:numId w:val="2"/>
        </w:numPr>
        <w:overflowPunct w:val="0"/>
        <w:rPr>
          <w:rFonts w:ascii="宋体" w:hAnsi="宋体" w:cs="宋体"/>
          <w:sz w:val="21"/>
          <w:szCs w:val="21"/>
        </w:rPr>
      </w:pPr>
      <w:bookmarkStart w:id="108" w:name="_Toc27302"/>
      <w:bookmarkStart w:id="109" w:name="_Toc27689"/>
      <w:r>
        <w:rPr>
          <w:rFonts w:hint="eastAsia" w:ascii="宋体" w:hAnsi="宋体" w:cs="宋体"/>
          <w:sz w:val="21"/>
          <w:szCs w:val="21"/>
        </w:rPr>
        <w:t>合同的签订与履行</w:t>
      </w:r>
      <w:bookmarkEnd w:id="108"/>
      <w:bookmarkEnd w:id="109"/>
    </w:p>
    <w:p w14:paraId="0F81EE42">
      <w:pPr>
        <w:pStyle w:val="42"/>
        <w:widowControl w:val="0"/>
        <w:numPr>
          <w:ilvl w:val="0"/>
          <w:numId w:val="3"/>
        </w:numPr>
        <w:tabs>
          <w:tab w:val="left" w:pos="907"/>
        </w:tabs>
        <w:adjustRightInd/>
        <w:snapToGrid/>
        <w:ind w:firstLineChars="0"/>
        <w:jc w:val="both"/>
        <w:rPr>
          <w:rFonts w:ascii="宋体" w:hAnsi="宋体" w:cs="宋体"/>
          <w:vanish/>
          <w:szCs w:val="21"/>
        </w:rPr>
      </w:pPr>
    </w:p>
    <w:p w14:paraId="667E8F71">
      <w:pPr>
        <w:widowControl w:val="0"/>
        <w:numPr>
          <w:ilvl w:val="1"/>
          <w:numId w:val="2"/>
        </w:numPr>
        <w:overflowPunct w:val="0"/>
        <w:rPr>
          <w:rFonts w:ascii="宋体" w:hAnsi="宋体" w:cs="宋体"/>
          <w:szCs w:val="21"/>
        </w:rPr>
      </w:pPr>
      <w:r>
        <w:rPr>
          <w:rFonts w:hint="eastAsia" w:ascii="宋体" w:hAnsi="宋体" w:cs="宋体"/>
          <w:szCs w:val="21"/>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403B108B">
      <w:pPr>
        <w:widowControl w:val="0"/>
        <w:numPr>
          <w:ilvl w:val="1"/>
          <w:numId w:val="2"/>
        </w:numPr>
        <w:overflowPunct w:val="0"/>
        <w:rPr>
          <w:rFonts w:ascii="宋体" w:hAnsi="宋体" w:cs="宋体"/>
          <w:szCs w:val="21"/>
        </w:rPr>
      </w:pPr>
      <w:r>
        <w:rPr>
          <w:rFonts w:hint="eastAsia" w:ascii="宋体" w:hAnsi="宋体" w:cs="宋体"/>
          <w:szCs w:val="21"/>
        </w:rPr>
        <w:t>采购人与中标人应当根据合同的约定依法履行合同义务。</w:t>
      </w:r>
    </w:p>
    <w:p w14:paraId="64F6EA61">
      <w:pPr>
        <w:widowControl w:val="0"/>
        <w:numPr>
          <w:ilvl w:val="1"/>
          <w:numId w:val="2"/>
        </w:numPr>
        <w:overflowPunct w:val="0"/>
        <w:rPr>
          <w:rFonts w:ascii="宋体" w:hAnsi="宋体" w:cs="宋体"/>
          <w:szCs w:val="21"/>
        </w:rPr>
      </w:pPr>
      <w:r>
        <w:rPr>
          <w:rFonts w:hint="eastAsia" w:ascii="宋体" w:hAnsi="宋体" w:cs="宋体"/>
          <w:szCs w:val="21"/>
        </w:rPr>
        <w:t>采购合同的履行、违约责任和解决争议的方法等适用《中华人民共和国民法典》。</w:t>
      </w:r>
    </w:p>
    <w:p w14:paraId="6D25D147">
      <w:pPr>
        <w:widowControl w:val="0"/>
        <w:numPr>
          <w:ilvl w:val="1"/>
          <w:numId w:val="2"/>
        </w:numPr>
        <w:overflowPunct w:val="0"/>
        <w:rPr>
          <w:rFonts w:ascii="宋体" w:hAnsi="宋体" w:cs="宋体"/>
          <w:szCs w:val="21"/>
        </w:rPr>
      </w:pPr>
      <w:r>
        <w:rPr>
          <w:rFonts w:hint="eastAsia" w:ascii="宋体" w:hAnsi="宋体" w:cs="宋体"/>
          <w:szCs w:val="21"/>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1A276D6A">
      <w:pPr>
        <w:widowControl w:val="0"/>
        <w:tabs>
          <w:tab w:val="left" w:pos="907"/>
        </w:tabs>
        <w:adjustRightInd/>
        <w:snapToGrid/>
        <w:jc w:val="both"/>
        <w:rPr>
          <w:rFonts w:ascii="宋体" w:hAnsi="宋体" w:cs="宋体"/>
        </w:rPr>
      </w:pPr>
    </w:p>
    <w:p w14:paraId="3C599864">
      <w:pPr>
        <w:pStyle w:val="6"/>
        <w:widowControl w:val="0"/>
        <w:numPr>
          <w:ilvl w:val="0"/>
          <w:numId w:val="2"/>
        </w:numPr>
        <w:overflowPunct w:val="0"/>
        <w:rPr>
          <w:rFonts w:ascii="宋体" w:hAnsi="宋体" w:cs="宋体"/>
          <w:sz w:val="21"/>
          <w:szCs w:val="21"/>
        </w:rPr>
      </w:pPr>
      <w:bookmarkStart w:id="110" w:name="_Toc303084277"/>
      <w:bookmarkStart w:id="111" w:name="_Toc382049124"/>
      <w:bookmarkStart w:id="112" w:name="_Toc29009"/>
      <w:bookmarkStart w:id="113" w:name="_Toc19211"/>
      <w:bookmarkStart w:id="114" w:name="_Toc6617"/>
      <w:r>
        <w:rPr>
          <w:rFonts w:hint="eastAsia" w:ascii="宋体" w:hAnsi="宋体" w:cs="宋体"/>
          <w:sz w:val="21"/>
          <w:szCs w:val="21"/>
        </w:rPr>
        <w:t>履约</w:t>
      </w:r>
      <w:bookmarkEnd w:id="110"/>
      <w:bookmarkEnd w:id="111"/>
      <w:bookmarkEnd w:id="112"/>
      <w:r>
        <w:rPr>
          <w:rFonts w:hint="eastAsia" w:ascii="宋体" w:hAnsi="宋体" w:cs="宋体"/>
          <w:sz w:val="21"/>
          <w:szCs w:val="21"/>
        </w:rPr>
        <w:t>担保</w:t>
      </w:r>
      <w:bookmarkEnd w:id="113"/>
      <w:bookmarkEnd w:id="114"/>
    </w:p>
    <w:p w14:paraId="6925C3E1">
      <w:pPr>
        <w:pStyle w:val="42"/>
        <w:widowControl w:val="0"/>
        <w:numPr>
          <w:ilvl w:val="0"/>
          <w:numId w:val="3"/>
        </w:numPr>
        <w:tabs>
          <w:tab w:val="left" w:pos="907"/>
        </w:tabs>
        <w:adjustRightInd/>
        <w:snapToGrid/>
        <w:ind w:firstLineChars="0"/>
        <w:jc w:val="both"/>
        <w:rPr>
          <w:rFonts w:ascii="宋体" w:hAnsi="宋体" w:cs="宋体"/>
          <w:vanish/>
          <w:szCs w:val="21"/>
        </w:rPr>
      </w:pPr>
    </w:p>
    <w:p w14:paraId="771F1698">
      <w:pPr>
        <w:widowControl w:val="0"/>
        <w:numPr>
          <w:ilvl w:val="1"/>
          <w:numId w:val="2"/>
        </w:numPr>
        <w:overflowPunct w:val="0"/>
        <w:rPr>
          <w:rFonts w:ascii="宋体" w:hAnsi="宋体" w:cs="宋体"/>
          <w:szCs w:val="21"/>
        </w:rPr>
      </w:pPr>
      <w:r>
        <w:rPr>
          <w:rFonts w:hint="eastAsia" w:ascii="宋体" w:hAnsi="宋体" w:cs="宋体"/>
          <w:szCs w:val="21"/>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47E56970">
      <w:pPr>
        <w:widowControl w:val="0"/>
        <w:numPr>
          <w:ilvl w:val="1"/>
          <w:numId w:val="2"/>
        </w:numPr>
        <w:overflowPunct w:val="0"/>
        <w:rPr>
          <w:rFonts w:ascii="宋体" w:hAnsi="宋体" w:cs="宋体"/>
          <w:szCs w:val="21"/>
        </w:rPr>
      </w:pPr>
      <w:r>
        <w:rPr>
          <w:rFonts w:hint="eastAsia" w:ascii="宋体" w:hAnsi="宋体" w:cs="宋体"/>
          <w:szCs w:val="21"/>
        </w:rPr>
        <w:t>履约担保期限从合同签订之日起至项目服务期结束验收合格并结算完毕后，经双方签字7天内保持有效。</w:t>
      </w:r>
    </w:p>
    <w:p w14:paraId="55BD7384">
      <w:pPr>
        <w:widowControl w:val="0"/>
        <w:numPr>
          <w:ilvl w:val="1"/>
          <w:numId w:val="2"/>
        </w:numPr>
        <w:overflowPunct w:val="0"/>
        <w:rPr>
          <w:rFonts w:ascii="宋体" w:hAnsi="宋体" w:cs="宋体"/>
          <w:szCs w:val="21"/>
        </w:rPr>
      </w:pPr>
      <w:r>
        <w:rPr>
          <w:rFonts w:hint="eastAsia" w:ascii="宋体" w:hAnsi="宋体" w:cs="宋体"/>
          <w:szCs w:val="21"/>
        </w:rPr>
        <w:t>履约担保可以采用下列任何一种形式：</w:t>
      </w:r>
    </w:p>
    <w:p w14:paraId="08221130">
      <w:pPr>
        <w:widowControl w:val="0"/>
        <w:numPr>
          <w:ilvl w:val="-1"/>
          <w:numId w:val="0"/>
        </w:numPr>
        <w:overflowPunct w:val="0"/>
        <w:ind w:left="0" w:firstLine="0"/>
        <w:rPr>
          <w:rFonts w:ascii="宋体" w:hAnsi="宋体" w:cs="宋体"/>
          <w:szCs w:val="21"/>
        </w:rPr>
      </w:pPr>
      <w:r>
        <w:rPr>
          <w:rFonts w:hint="eastAsia" w:ascii="宋体" w:hAnsi="宋体" w:cs="宋体"/>
          <w:szCs w:val="21"/>
        </w:rPr>
        <w:t>33.3.1</w:t>
      </w:r>
      <w:r>
        <w:rPr>
          <w:rFonts w:hint="eastAsia" w:ascii="宋体" w:hAnsi="宋体" w:cs="宋体"/>
          <w:szCs w:val="21"/>
          <w:lang w:val="en-US" w:eastAsia="zh-CN"/>
        </w:rPr>
        <w:t xml:space="preserve"> </w:t>
      </w:r>
      <w:r>
        <w:rPr>
          <w:rFonts w:hint="eastAsia" w:ascii="宋体" w:hAnsi="宋体" w:cs="宋体"/>
          <w:szCs w:val="21"/>
        </w:rPr>
        <w:t>（1）履约保函。如果中标人的履约担保是以银行保函形式提供的，则该银行保函应：</w:t>
      </w:r>
    </w:p>
    <w:p w14:paraId="7D548709">
      <w:pPr>
        <w:widowControl w:val="0"/>
        <w:numPr>
          <w:ilvl w:val="-1"/>
          <w:numId w:val="0"/>
        </w:numPr>
        <w:overflowPunct w:val="0"/>
        <w:ind w:left="0" w:firstLine="420" w:firstLineChars="200"/>
        <w:rPr>
          <w:rFonts w:ascii="宋体" w:hAnsi="宋体" w:cs="宋体"/>
          <w:szCs w:val="21"/>
        </w:rPr>
      </w:pPr>
      <w:r>
        <w:rPr>
          <w:rFonts w:hint="eastAsia" w:ascii="宋体" w:hAnsi="宋体" w:cs="宋体"/>
          <w:szCs w:val="21"/>
        </w:rPr>
        <w:t>①保函应由银行支行或以上银行机构开具。</w:t>
      </w:r>
    </w:p>
    <w:p w14:paraId="4DBF8DA3">
      <w:pPr>
        <w:widowControl w:val="0"/>
        <w:numPr>
          <w:ilvl w:val="-1"/>
          <w:numId w:val="0"/>
        </w:numPr>
        <w:overflowPunct w:val="0"/>
        <w:ind w:left="0" w:firstLine="420" w:firstLineChars="200"/>
        <w:rPr>
          <w:rFonts w:ascii="宋体" w:hAnsi="宋体" w:cs="宋体"/>
          <w:szCs w:val="21"/>
        </w:rPr>
      </w:pPr>
      <w:r>
        <w:rPr>
          <w:rFonts w:hint="eastAsia" w:ascii="宋体" w:hAnsi="宋体" w:cs="宋体"/>
          <w:szCs w:val="21"/>
        </w:rPr>
        <w:t>②保函的格式参考投标文件附件中提供的无条件不可撤销履约保函格式，保函担保期内若项目未能按期竣工，保函必须延期，办理延期手续时在银行方面所产生费用由中标人负责。</w:t>
      </w:r>
    </w:p>
    <w:p w14:paraId="65AC0061">
      <w:pPr>
        <w:widowControl w:val="0"/>
        <w:numPr>
          <w:ilvl w:val="-1"/>
          <w:numId w:val="0"/>
        </w:numPr>
        <w:overflowPunct w:val="0"/>
        <w:ind w:left="0" w:firstLine="420" w:firstLineChars="200"/>
        <w:rPr>
          <w:rFonts w:ascii="宋体" w:hAnsi="宋体" w:cs="宋体"/>
          <w:szCs w:val="21"/>
        </w:rPr>
      </w:pPr>
      <w:r>
        <w:rPr>
          <w:rFonts w:hint="eastAsia" w:ascii="宋体" w:hAnsi="宋体" w:cs="宋体"/>
          <w:szCs w:val="21"/>
        </w:rPr>
        <w:t>③履约保函必须打印，手写、涂改无效。</w:t>
      </w:r>
    </w:p>
    <w:p w14:paraId="2ED84BD7">
      <w:pPr>
        <w:widowControl w:val="0"/>
        <w:numPr>
          <w:ilvl w:val="-1"/>
          <w:numId w:val="0"/>
        </w:numPr>
        <w:overflowPunct w:val="0"/>
        <w:ind w:left="0" w:firstLine="0"/>
        <w:rPr>
          <w:rFonts w:ascii="宋体" w:hAnsi="宋体" w:cs="宋体"/>
          <w:szCs w:val="21"/>
        </w:rPr>
      </w:pPr>
      <w:r>
        <w:rPr>
          <w:rFonts w:hint="eastAsia" w:ascii="宋体" w:hAnsi="宋体" w:cs="宋体"/>
          <w:szCs w:val="21"/>
          <w:highlight w:val="none"/>
        </w:rPr>
        <w:t>33.3.</w:t>
      </w:r>
      <w:r>
        <w:rPr>
          <w:rFonts w:hint="eastAsia" w:ascii="宋体" w:hAnsi="宋体" w:cs="宋体"/>
          <w:szCs w:val="21"/>
          <w:highlight w:val="none"/>
          <w:lang w:val="en-US" w:eastAsia="zh-CN"/>
        </w:rPr>
        <w:t xml:space="preserve">2 </w:t>
      </w:r>
      <w:r>
        <w:rPr>
          <w:rFonts w:hint="eastAsia" w:ascii="宋体" w:hAnsi="宋体" w:cs="宋体"/>
          <w:szCs w:val="21"/>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3240866D">
      <w:pPr>
        <w:widowControl w:val="0"/>
        <w:numPr>
          <w:ilvl w:val="1"/>
          <w:numId w:val="2"/>
        </w:numPr>
        <w:overflowPunct w:val="0"/>
        <w:rPr>
          <w:rFonts w:ascii="宋体" w:hAnsi="宋体" w:cs="宋体"/>
          <w:szCs w:val="21"/>
        </w:rPr>
      </w:pPr>
      <w:r>
        <w:rPr>
          <w:rFonts w:hint="eastAsia" w:ascii="宋体" w:hAnsi="宋体" w:cs="宋体"/>
          <w:szCs w:val="21"/>
        </w:rPr>
        <w:t>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6CADEB8B">
      <w:pPr>
        <w:widowControl w:val="0"/>
        <w:numPr>
          <w:ilvl w:val="1"/>
          <w:numId w:val="2"/>
        </w:numPr>
        <w:overflowPunct w:val="0"/>
        <w:rPr>
          <w:rFonts w:ascii="宋体" w:hAnsi="宋体" w:cs="宋体"/>
          <w:szCs w:val="21"/>
        </w:rPr>
      </w:pPr>
      <w:r>
        <w:rPr>
          <w:rFonts w:hint="eastAsia" w:ascii="宋体" w:hAnsi="宋体" w:cs="宋体"/>
          <w:szCs w:val="21"/>
        </w:rPr>
        <w:t>为取得履约担保所需的费用，由中标人承担；若工期延误，履约担保时间延长，延长费用由中标人承担。</w:t>
      </w:r>
    </w:p>
    <w:p w14:paraId="372A93A5">
      <w:pPr>
        <w:widowControl w:val="0"/>
        <w:numPr>
          <w:ilvl w:val="1"/>
          <w:numId w:val="2"/>
        </w:numPr>
        <w:overflowPunct w:val="0"/>
        <w:rPr>
          <w:rFonts w:ascii="宋体" w:hAnsi="宋体" w:cs="宋体"/>
          <w:szCs w:val="21"/>
        </w:rPr>
      </w:pPr>
      <w:r>
        <w:rPr>
          <w:rFonts w:hint="eastAsia" w:ascii="宋体" w:hAnsi="宋体" w:cs="宋体"/>
          <w:szCs w:val="21"/>
        </w:rPr>
        <w:t>若中标人在合同履行过程中出现项目质量事故、工期拖延、欠付工人工资、欠付材料款等情况，采购人有权将履约保函金额转为现金存入履约保证金账户；中标人造成采购人损失的，采购人有权立即没收其履约担保，若造成损失超过履约担保的，还应当对超过部分予以赔偿。</w:t>
      </w:r>
    </w:p>
    <w:p w14:paraId="4113BBF6">
      <w:pPr>
        <w:widowControl w:val="0"/>
        <w:numPr>
          <w:ilvl w:val="1"/>
          <w:numId w:val="2"/>
        </w:numPr>
        <w:overflowPunct w:val="0"/>
        <w:rPr>
          <w:rFonts w:ascii="宋体" w:hAnsi="宋体" w:cs="宋体"/>
          <w:szCs w:val="21"/>
        </w:rPr>
      </w:pPr>
      <w:r>
        <w:rPr>
          <w:rFonts w:hint="eastAsia" w:ascii="宋体" w:hAnsi="宋体" w:cs="宋体"/>
          <w:szCs w:val="21"/>
        </w:rPr>
        <w:t>下列任何情况发生时，采购人有权行使享有的担保权利：</w:t>
      </w:r>
    </w:p>
    <w:p w14:paraId="37D57672">
      <w:pPr>
        <w:keepNext w:val="0"/>
        <w:keepLines w:val="0"/>
        <w:pageBreakBefore w:val="0"/>
        <w:widowControl w:val="0"/>
        <w:tabs>
          <w:tab w:val="left" w:pos="907"/>
        </w:tabs>
        <w:kinsoku/>
        <w:wordWrap/>
        <w:overflowPunct/>
        <w:topLinePunct w:val="0"/>
        <w:autoSpaceDE/>
        <w:autoSpaceDN/>
        <w:bidi w:val="0"/>
        <w:adjustRightInd/>
        <w:snapToGrid w:val="0"/>
        <w:ind w:left="567"/>
        <w:jc w:val="both"/>
        <w:textAlignment w:val="auto"/>
        <w:rPr>
          <w:rFonts w:ascii="宋体" w:hAnsi="宋体" w:cs="宋体"/>
          <w:szCs w:val="21"/>
        </w:rPr>
      </w:pPr>
      <w:r>
        <w:rPr>
          <w:rFonts w:hint="eastAsia" w:ascii="宋体" w:hAnsi="宋体" w:cs="宋体"/>
          <w:szCs w:val="21"/>
        </w:rPr>
        <w:t>（1）中标人将本项目转让给他人，或者在投标文件中未说明，且未经采购人同意，将中标项目分包给他人的；</w:t>
      </w:r>
    </w:p>
    <w:p w14:paraId="498A5FBD">
      <w:pPr>
        <w:keepNext w:val="0"/>
        <w:keepLines w:val="0"/>
        <w:pageBreakBefore w:val="0"/>
        <w:widowControl w:val="0"/>
        <w:tabs>
          <w:tab w:val="left" w:pos="907"/>
        </w:tabs>
        <w:kinsoku/>
        <w:wordWrap/>
        <w:overflowPunct/>
        <w:topLinePunct w:val="0"/>
        <w:autoSpaceDE/>
        <w:autoSpaceDN/>
        <w:bidi w:val="0"/>
        <w:adjustRightInd/>
        <w:snapToGrid w:val="0"/>
        <w:ind w:left="567"/>
        <w:jc w:val="both"/>
        <w:textAlignment w:val="auto"/>
        <w:rPr>
          <w:rFonts w:ascii="宋体" w:hAnsi="宋体" w:cs="宋体"/>
          <w:szCs w:val="21"/>
        </w:rPr>
      </w:pPr>
      <w:r>
        <w:rPr>
          <w:rFonts w:hint="eastAsia" w:ascii="宋体" w:hAnsi="宋体" w:cs="宋体"/>
          <w:szCs w:val="21"/>
        </w:rPr>
        <w:t>（2）中标人在履行采购合同期间，违反有关法律法规的规定及合同约定的条款，损害了采购人的利益。</w:t>
      </w:r>
    </w:p>
    <w:p w14:paraId="53036045">
      <w:pPr>
        <w:widowControl w:val="0"/>
        <w:numPr>
          <w:ilvl w:val="1"/>
          <w:numId w:val="2"/>
        </w:numPr>
        <w:overflowPunct w:val="0"/>
        <w:rPr>
          <w:rFonts w:ascii="宋体" w:hAnsi="宋体" w:cs="宋体"/>
          <w:szCs w:val="21"/>
        </w:rPr>
      </w:pPr>
      <w:r>
        <w:rPr>
          <w:rFonts w:hint="eastAsia" w:ascii="宋体" w:hAnsi="宋体" w:cs="宋体"/>
          <w:szCs w:val="21"/>
          <w:highlight w:val="none"/>
        </w:rPr>
        <w:t>在合同有效期满后，中标人向采购人提交退回履约担保的申请，若中标人无违约行为或虽有违约行为但已按采购人要求整改到位的，采购人扣除应当由中标人承担的违约金、赔偿金、罚款、检测检查费、委托第三方代履行费用等所有应付款项后对剩余的金额办理退还手续</w:t>
      </w:r>
      <w:r>
        <w:rPr>
          <w:rFonts w:hint="eastAsia" w:ascii="宋体" w:hAnsi="宋体" w:cs="宋体"/>
          <w:szCs w:val="21"/>
        </w:rPr>
        <w:t>。</w:t>
      </w:r>
    </w:p>
    <w:p w14:paraId="650BD5CF">
      <w:pPr>
        <w:rPr>
          <w:rFonts w:ascii="宋体" w:hAnsi="宋体" w:cs="宋体"/>
        </w:rPr>
      </w:pPr>
    </w:p>
    <w:p w14:paraId="383F46DA">
      <w:pPr>
        <w:pStyle w:val="5"/>
        <w:numPr>
          <w:ilvl w:val="0"/>
          <w:numId w:val="1"/>
        </w:numPr>
        <w:spacing w:before="0" w:after="0" w:line="360" w:lineRule="auto"/>
        <w:jc w:val="center"/>
        <w:rPr>
          <w:rFonts w:ascii="宋体" w:hAnsi="宋体" w:cs="宋体"/>
        </w:rPr>
      </w:pPr>
      <w:bookmarkStart w:id="115" w:name="_Toc21814"/>
      <w:bookmarkStart w:id="116" w:name="_Toc27556"/>
      <w:r>
        <w:rPr>
          <w:rFonts w:hint="eastAsia" w:ascii="宋体" w:hAnsi="宋体" w:cs="宋体"/>
        </w:rPr>
        <w:t>异议</w:t>
      </w:r>
      <w:bookmarkEnd w:id="115"/>
      <w:bookmarkEnd w:id="116"/>
    </w:p>
    <w:p w14:paraId="06326F0F">
      <w:pPr>
        <w:pStyle w:val="6"/>
        <w:widowControl w:val="0"/>
        <w:numPr>
          <w:ilvl w:val="0"/>
          <w:numId w:val="2"/>
        </w:numPr>
        <w:overflowPunct w:val="0"/>
        <w:rPr>
          <w:rFonts w:ascii="宋体" w:hAnsi="宋体" w:cs="宋体"/>
          <w:sz w:val="21"/>
          <w:szCs w:val="21"/>
        </w:rPr>
      </w:pPr>
      <w:bookmarkStart w:id="117" w:name="_Toc31457"/>
      <w:bookmarkStart w:id="118" w:name="_Toc9791"/>
      <w:r>
        <w:rPr>
          <w:rFonts w:hint="eastAsia" w:ascii="宋体" w:hAnsi="宋体" w:cs="宋体"/>
          <w:sz w:val="21"/>
          <w:szCs w:val="21"/>
        </w:rPr>
        <w:t>异议</w:t>
      </w:r>
      <w:bookmarkEnd w:id="117"/>
      <w:bookmarkEnd w:id="118"/>
    </w:p>
    <w:p w14:paraId="3221D6F8">
      <w:pPr>
        <w:pStyle w:val="42"/>
        <w:widowControl w:val="0"/>
        <w:numPr>
          <w:ilvl w:val="0"/>
          <w:numId w:val="3"/>
        </w:numPr>
        <w:tabs>
          <w:tab w:val="left" w:pos="907"/>
        </w:tabs>
        <w:adjustRightInd/>
        <w:snapToGrid/>
        <w:ind w:firstLineChars="0"/>
        <w:jc w:val="both"/>
        <w:rPr>
          <w:rFonts w:ascii="宋体" w:hAnsi="宋体" w:cs="宋体"/>
          <w:vanish/>
          <w:szCs w:val="21"/>
        </w:rPr>
      </w:pPr>
    </w:p>
    <w:p w14:paraId="2DB40D7E">
      <w:pPr>
        <w:widowControl w:val="0"/>
        <w:numPr>
          <w:ilvl w:val="1"/>
          <w:numId w:val="2"/>
        </w:numPr>
        <w:overflowPunct w:val="0"/>
        <w:rPr>
          <w:rFonts w:ascii="宋体" w:hAnsi="宋体" w:cs="宋体"/>
          <w:szCs w:val="21"/>
        </w:rPr>
      </w:pPr>
      <w:r>
        <w:rPr>
          <w:rFonts w:hint="eastAsia" w:ascii="宋体" w:hAnsi="宋体" w:cs="宋体"/>
          <w:szCs w:val="21"/>
          <w:lang w:val="zh-CN"/>
        </w:rPr>
        <w:t>采购文件的异议</w:t>
      </w:r>
      <w:r>
        <w:rPr>
          <w:rFonts w:hint="eastAsia" w:ascii="宋体" w:hAnsi="宋体" w:cs="宋体"/>
          <w:szCs w:val="21"/>
        </w:rPr>
        <w:t xml:space="preserve">  </w:t>
      </w:r>
    </w:p>
    <w:p w14:paraId="026227C7">
      <w:pPr>
        <w:keepNext w:val="0"/>
        <w:keepLines w:val="0"/>
        <w:pageBreakBefore w:val="0"/>
        <w:widowControl w:val="0"/>
        <w:tabs>
          <w:tab w:val="left" w:pos="907"/>
        </w:tabs>
        <w:kinsoku/>
        <w:wordWrap/>
        <w:overflowPunct/>
        <w:topLinePunct w:val="0"/>
        <w:autoSpaceDE/>
        <w:autoSpaceDN/>
        <w:bidi w:val="0"/>
        <w:adjustRightInd/>
        <w:snapToGrid w:val="0"/>
        <w:ind w:firstLine="420" w:firstLineChars="200"/>
        <w:jc w:val="both"/>
        <w:textAlignment w:val="auto"/>
        <w:rPr>
          <w:rFonts w:ascii="宋体" w:hAnsi="宋体" w:cs="宋体"/>
          <w:szCs w:val="21"/>
        </w:rPr>
      </w:pPr>
      <w:r>
        <w:rPr>
          <w:rFonts w:hint="eastAsia" w:ascii="宋体" w:hAnsi="宋体" w:cs="宋体"/>
          <w:bCs/>
          <w:kern w:val="2"/>
          <w:szCs w:val="21"/>
          <w:lang w:val="zh-CN"/>
        </w:rPr>
        <w:t>投标人或者其他利害关系人对采购文件有异议的，应当在投标截止时间10日前</w:t>
      </w:r>
      <w:r>
        <w:rPr>
          <w:rFonts w:hint="eastAsia" w:ascii="宋体" w:hAnsi="宋体" w:cs="宋体"/>
          <w:kern w:val="2"/>
          <w:szCs w:val="21"/>
          <w:lang w:val="zh-CN"/>
        </w:rPr>
        <w:t>以书面形式向采购</w:t>
      </w:r>
      <w:r>
        <w:rPr>
          <w:rFonts w:hint="eastAsia" w:ascii="宋体" w:hAnsi="宋体" w:cs="宋体"/>
          <w:kern w:val="2"/>
          <w:szCs w:val="21"/>
          <w:lang w:val="en-US" w:eastAsia="zh-CN"/>
        </w:rPr>
        <w:t>人</w:t>
      </w:r>
      <w:r>
        <w:rPr>
          <w:rFonts w:hint="eastAsia" w:ascii="宋体" w:hAnsi="宋体" w:cs="宋体"/>
          <w:kern w:val="2"/>
          <w:szCs w:val="21"/>
          <w:lang w:val="zh-CN"/>
        </w:rPr>
        <w:t>提出，并将材料原件送达采购</w:t>
      </w:r>
      <w:r>
        <w:rPr>
          <w:rFonts w:hint="eastAsia" w:ascii="宋体" w:hAnsi="宋体" w:cs="宋体"/>
          <w:kern w:val="2"/>
          <w:szCs w:val="21"/>
          <w:lang w:val="en-US" w:eastAsia="zh-CN"/>
        </w:rPr>
        <w:t>人</w:t>
      </w:r>
      <w:r>
        <w:rPr>
          <w:rFonts w:hint="eastAsia" w:ascii="宋体" w:hAnsi="宋体" w:cs="宋体"/>
          <w:kern w:val="2"/>
          <w:szCs w:val="21"/>
          <w:lang w:val="zh-CN"/>
        </w:rPr>
        <w:t>，逾期则视为对采购文件所有内容无异议。</w:t>
      </w:r>
      <w:r>
        <w:rPr>
          <w:rFonts w:hint="eastAsia" w:ascii="宋体" w:hAnsi="宋体" w:cs="宋体"/>
          <w:bCs/>
          <w:kern w:val="2"/>
          <w:szCs w:val="21"/>
          <w:lang w:val="zh-CN"/>
        </w:rPr>
        <w:t>异议</w:t>
      </w:r>
      <w:r>
        <w:rPr>
          <w:rFonts w:hint="eastAsia" w:ascii="宋体" w:hAnsi="宋体" w:cs="宋体"/>
          <w:kern w:val="2"/>
          <w:szCs w:val="21"/>
          <w:lang w:val="zh-CN"/>
        </w:rPr>
        <w:t>书面材料必须加盖投标人法人公章，并注明联系人、联系电话、联系地址。</w:t>
      </w:r>
      <w:r>
        <w:rPr>
          <w:rFonts w:hint="eastAsia" w:ascii="宋体" w:hAnsi="宋体" w:cs="宋体"/>
          <w:bCs/>
          <w:kern w:val="2"/>
          <w:szCs w:val="21"/>
          <w:lang w:val="zh-CN"/>
        </w:rPr>
        <w:t>超出</w:t>
      </w:r>
      <w:r>
        <w:rPr>
          <w:rFonts w:hint="eastAsia" w:ascii="宋体" w:hAnsi="宋体" w:cs="宋体"/>
          <w:kern w:val="2"/>
          <w:szCs w:val="21"/>
          <w:lang w:val="zh-CN"/>
        </w:rPr>
        <w:t>提交接收异议截止时间而</w:t>
      </w:r>
      <w:r>
        <w:rPr>
          <w:rFonts w:hint="eastAsia" w:ascii="宋体" w:hAnsi="宋体" w:cs="宋体"/>
          <w:bCs/>
          <w:kern w:val="2"/>
          <w:szCs w:val="21"/>
          <w:lang w:val="zh-CN"/>
        </w:rPr>
        <w:t>提出的任何疑问，</w:t>
      </w:r>
      <w:r>
        <w:rPr>
          <w:rFonts w:hint="eastAsia" w:ascii="宋体" w:hAnsi="宋体" w:cs="宋体"/>
          <w:bCs/>
          <w:kern w:val="2"/>
          <w:szCs w:val="21"/>
        </w:rPr>
        <w:t>采购人</w:t>
      </w:r>
      <w:r>
        <w:rPr>
          <w:rFonts w:hint="eastAsia" w:ascii="宋体" w:hAnsi="宋体" w:cs="宋体"/>
          <w:bCs/>
          <w:kern w:val="2"/>
          <w:szCs w:val="21"/>
          <w:lang w:val="zh-CN"/>
        </w:rPr>
        <w:t>可不予答复。</w:t>
      </w:r>
    </w:p>
    <w:p w14:paraId="377B0E77">
      <w:pPr>
        <w:widowControl w:val="0"/>
        <w:numPr>
          <w:ilvl w:val="1"/>
          <w:numId w:val="2"/>
        </w:numPr>
        <w:overflowPunct w:val="0"/>
        <w:rPr>
          <w:rFonts w:ascii="宋体" w:hAnsi="宋体" w:cs="宋体"/>
          <w:szCs w:val="21"/>
        </w:rPr>
      </w:pPr>
      <w:r>
        <w:rPr>
          <w:rFonts w:hint="eastAsia" w:ascii="宋体" w:hAnsi="宋体" w:cs="宋体"/>
          <w:szCs w:val="21"/>
          <w:lang w:val="zh-CN"/>
        </w:rPr>
        <w:t>评标结果异议</w:t>
      </w:r>
      <w:r>
        <w:rPr>
          <w:rFonts w:hint="eastAsia" w:ascii="宋体" w:hAnsi="宋体" w:cs="宋体"/>
          <w:szCs w:val="21"/>
        </w:rPr>
        <w:t xml:space="preserve">   </w:t>
      </w:r>
    </w:p>
    <w:p w14:paraId="1141DDF5">
      <w:pPr>
        <w:keepNext w:val="0"/>
        <w:keepLines w:val="0"/>
        <w:pageBreakBefore w:val="0"/>
        <w:widowControl w:val="0"/>
        <w:tabs>
          <w:tab w:val="left" w:pos="907"/>
        </w:tabs>
        <w:kinsoku/>
        <w:wordWrap/>
        <w:topLinePunct w:val="0"/>
        <w:autoSpaceDE/>
        <w:autoSpaceDN/>
        <w:bidi w:val="0"/>
        <w:adjustRightInd/>
        <w:snapToGrid w:val="0"/>
        <w:ind w:firstLine="420" w:firstLineChars="200"/>
        <w:jc w:val="both"/>
        <w:textAlignment w:val="auto"/>
        <w:rPr>
          <w:rFonts w:ascii="宋体" w:hAnsi="宋体" w:cs="宋体"/>
          <w:kern w:val="2"/>
          <w:szCs w:val="21"/>
          <w:lang w:val="zh-CN"/>
        </w:rPr>
      </w:pPr>
      <w:r>
        <w:rPr>
          <w:rFonts w:hint="eastAsia" w:ascii="宋体" w:hAnsi="宋体" w:cs="宋体"/>
          <w:kern w:val="2"/>
          <w:szCs w:val="21"/>
          <w:lang w:val="zh-CN"/>
        </w:rPr>
        <w:t>投标人或者其他利害关系人对评标结果有异议的，应当在中标候选人公示期间向采购</w:t>
      </w:r>
      <w:r>
        <w:rPr>
          <w:rFonts w:hint="eastAsia" w:ascii="宋体" w:hAnsi="宋体" w:cs="宋体"/>
          <w:kern w:val="2"/>
          <w:szCs w:val="21"/>
          <w:lang w:val="en-US" w:eastAsia="zh-CN"/>
        </w:rPr>
        <w:t>人</w:t>
      </w:r>
      <w:r>
        <w:rPr>
          <w:rFonts w:hint="eastAsia" w:ascii="宋体" w:hAnsi="宋体" w:cs="宋体"/>
          <w:kern w:val="2"/>
          <w:szCs w:val="21"/>
          <w:lang w:val="zh-CN"/>
        </w:rPr>
        <w:t>以书面的形式提出，并将完整的异议书面材料原件送达采购</w:t>
      </w:r>
      <w:r>
        <w:rPr>
          <w:rFonts w:hint="eastAsia" w:ascii="宋体" w:hAnsi="宋体" w:cs="宋体"/>
          <w:kern w:val="2"/>
          <w:szCs w:val="21"/>
          <w:lang w:val="en-US" w:eastAsia="zh-CN"/>
        </w:rPr>
        <w:t>人</w:t>
      </w:r>
      <w:r>
        <w:rPr>
          <w:rFonts w:hint="eastAsia" w:ascii="宋体" w:hAnsi="宋体" w:cs="宋体"/>
          <w:kern w:val="2"/>
          <w:szCs w:val="21"/>
          <w:lang w:val="zh-CN"/>
        </w:rPr>
        <w:t>，逾期则视为对评标结果无异议。超出提交异议截止时间而提出的任何疑问，采购</w:t>
      </w:r>
      <w:r>
        <w:rPr>
          <w:rFonts w:hint="eastAsia" w:ascii="宋体" w:hAnsi="宋体" w:cs="宋体"/>
          <w:kern w:val="2"/>
          <w:szCs w:val="21"/>
          <w:lang w:val="en-US" w:eastAsia="zh-CN"/>
        </w:rPr>
        <w:t>人</w:t>
      </w:r>
      <w:r>
        <w:rPr>
          <w:rFonts w:hint="eastAsia" w:ascii="宋体" w:hAnsi="宋体" w:cs="宋体"/>
          <w:kern w:val="2"/>
          <w:szCs w:val="21"/>
          <w:lang w:val="zh-CN"/>
        </w:rPr>
        <w:t>可不予答复。</w:t>
      </w:r>
    </w:p>
    <w:p w14:paraId="7A469945">
      <w:pPr>
        <w:keepNext w:val="0"/>
        <w:keepLines w:val="0"/>
        <w:pageBreakBefore w:val="0"/>
        <w:widowControl w:val="0"/>
        <w:tabs>
          <w:tab w:val="left" w:pos="907"/>
        </w:tabs>
        <w:kinsoku/>
        <w:wordWrap/>
        <w:topLinePunct w:val="0"/>
        <w:autoSpaceDE/>
        <w:autoSpaceDN/>
        <w:bidi w:val="0"/>
        <w:adjustRightInd/>
        <w:snapToGrid w:val="0"/>
        <w:ind w:firstLine="420" w:firstLineChars="200"/>
        <w:jc w:val="both"/>
        <w:textAlignment w:val="auto"/>
        <w:rPr>
          <w:rFonts w:ascii="宋体" w:hAnsi="宋体" w:cs="宋体"/>
          <w:kern w:val="2"/>
          <w:szCs w:val="21"/>
          <w:lang w:val="zh-CN"/>
        </w:rPr>
      </w:pPr>
      <w:r>
        <w:rPr>
          <w:rFonts w:hint="eastAsia" w:ascii="宋体" w:hAnsi="宋体" w:cs="宋体"/>
          <w:kern w:val="2"/>
          <w:szCs w:val="21"/>
          <w:lang w:val="zh-CN"/>
        </w:rPr>
        <w:t>采购人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35BD789B">
      <w:pPr>
        <w:keepNext w:val="0"/>
        <w:keepLines w:val="0"/>
        <w:pageBreakBefore w:val="0"/>
        <w:widowControl w:val="0"/>
        <w:numPr>
          <w:ilvl w:val="1"/>
          <w:numId w:val="2"/>
        </w:numPr>
        <w:kinsoku/>
        <w:wordWrap/>
        <w:overflowPunct w:val="0"/>
        <w:topLinePunct w:val="0"/>
        <w:autoSpaceDE/>
        <w:autoSpaceDN/>
        <w:bidi w:val="0"/>
        <w:snapToGrid w:val="0"/>
        <w:textAlignment w:val="auto"/>
        <w:rPr>
          <w:rFonts w:ascii="宋体" w:hAnsi="宋体" w:cs="宋体"/>
          <w:szCs w:val="21"/>
        </w:rPr>
      </w:pPr>
      <w:r>
        <w:rPr>
          <w:rFonts w:hint="eastAsia" w:ascii="宋体" w:hAnsi="宋体" w:cs="宋体"/>
          <w:szCs w:val="21"/>
        </w:rPr>
        <w:t>以联合体形式参加采购活动的，其异议应当由组成联合体的所有投标人共同提出。</w:t>
      </w:r>
    </w:p>
    <w:p w14:paraId="5DBB3DDB">
      <w:pPr>
        <w:rPr>
          <w:rFonts w:ascii="宋体" w:hAnsi="宋体" w:cs="宋体"/>
        </w:rPr>
      </w:pPr>
    </w:p>
    <w:p w14:paraId="0FF9C279">
      <w:pPr>
        <w:pStyle w:val="5"/>
        <w:numPr>
          <w:ilvl w:val="0"/>
          <w:numId w:val="1"/>
        </w:numPr>
        <w:spacing w:before="0" w:after="0" w:line="360" w:lineRule="auto"/>
        <w:jc w:val="center"/>
        <w:rPr>
          <w:rFonts w:ascii="宋体" w:hAnsi="宋体" w:cs="宋体"/>
        </w:rPr>
      </w:pPr>
      <w:bookmarkStart w:id="119" w:name="_Toc18965"/>
      <w:bookmarkStart w:id="120" w:name="_Toc16776"/>
      <w:r>
        <w:rPr>
          <w:rFonts w:hint="eastAsia" w:ascii="宋体" w:hAnsi="宋体" w:cs="宋体"/>
        </w:rPr>
        <w:t>其他</w:t>
      </w:r>
      <w:bookmarkEnd w:id="119"/>
      <w:bookmarkEnd w:id="120"/>
    </w:p>
    <w:p w14:paraId="092692E3">
      <w:pPr>
        <w:pStyle w:val="6"/>
        <w:widowControl w:val="0"/>
        <w:numPr>
          <w:ilvl w:val="0"/>
          <w:numId w:val="2"/>
        </w:numPr>
        <w:overflowPunct w:val="0"/>
        <w:rPr>
          <w:rFonts w:ascii="宋体" w:hAnsi="宋体" w:cs="宋体"/>
          <w:sz w:val="21"/>
          <w:szCs w:val="21"/>
        </w:rPr>
      </w:pPr>
      <w:bookmarkStart w:id="121" w:name="_Toc1587"/>
      <w:bookmarkStart w:id="122" w:name="_Toc2155"/>
      <w:r>
        <w:rPr>
          <w:rFonts w:hint="eastAsia" w:ascii="宋体" w:hAnsi="宋体" w:cs="宋体"/>
          <w:sz w:val="21"/>
          <w:szCs w:val="21"/>
        </w:rPr>
        <w:t>采购文件的解释权</w:t>
      </w:r>
      <w:bookmarkEnd w:id="121"/>
      <w:bookmarkEnd w:id="122"/>
    </w:p>
    <w:p w14:paraId="7F192980">
      <w:pPr>
        <w:pStyle w:val="42"/>
        <w:widowControl w:val="0"/>
        <w:numPr>
          <w:ilvl w:val="0"/>
          <w:numId w:val="3"/>
        </w:numPr>
        <w:tabs>
          <w:tab w:val="left" w:pos="907"/>
        </w:tabs>
        <w:adjustRightInd/>
        <w:snapToGrid/>
        <w:ind w:firstLineChars="0"/>
        <w:jc w:val="both"/>
        <w:rPr>
          <w:rFonts w:ascii="宋体" w:hAnsi="宋体" w:cs="宋体"/>
          <w:vanish/>
          <w:szCs w:val="21"/>
        </w:rPr>
      </w:pPr>
    </w:p>
    <w:p w14:paraId="6791A42B">
      <w:pPr>
        <w:widowControl w:val="0"/>
        <w:numPr>
          <w:ilvl w:val="1"/>
          <w:numId w:val="2"/>
        </w:numPr>
        <w:overflowPunct w:val="0"/>
        <w:rPr>
          <w:rFonts w:ascii="宋体" w:hAnsi="宋体" w:cs="宋体"/>
          <w:szCs w:val="21"/>
        </w:rPr>
      </w:pPr>
      <w:r>
        <w:rPr>
          <w:rFonts w:hint="eastAsia" w:ascii="宋体" w:hAnsi="宋体" w:cs="宋体"/>
          <w:szCs w:val="21"/>
        </w:rPr>
        <w:t>本采购文件是根据国家有关法律、法规以及采购管理有关规定和参照国际惯例编制，解释权属本</w:t>
      </w:r>
      <w:r>
        <w:rPr>
          <w:rFonts w:hint="eastAsia" w:ascii="宋体" w:hAnsi="宋体" w:cs="宋体"/>
          <w:szCs w:val="21"/>
          <w:lang w:eastAsia="zh-CN"/>
        </w:rPr>
        <w:t>采购人</w:t>
      </w:r>
      <w:r>
        <w:rPr>
          <w:rFonts w:hint="eastAsia" w:ascii="宋体" w:hAnsi="宋体" w:cs="宋体"/>
          <w:szCs w:val="21"/>
        </w:rPr>
        <w:t>。</w:t>
      </w:r>
    </w:p>
    <w:p w14:paraId="00E93FC2">
      <w:pPr>
        <w:widowControl w:val="0"/>
        <w:numPr>
          <w:ilvl w:val="1"/>
          <w:numId w:val="7"/>
        </w:numPr>
        <w:tabs>
          <w:tab w:val="left" w:pos="907"/>
        </w:tabs>
        <w:adjustRightInd/>
        <w:snapToGrid/>
        <w:spacing w:line="360" w:lineRule="exact"/>
        <w:jc w:val="both"/>
        <w:rPr>
          <w:rFonts w:ascii="宋体" w:hAnsi="宋体"/>
          <w:szCs w:val="21"/>
        </w:rPr>
      </w:pPr>
      <w:r>
        <w:rPr>
          <w:rFonts w:hint="eastAsia" w:ascii="宋体" w:hAnsi="宋体"/>
          <w:szCs w:val="21"/>
        </w:rPr>
        <w:br w:type="page"/>
      </w:r>
    </w:p>
    <w:p w14:paraId="4A01842E">
      <w:pPr>
        <w:pStyle w:val="4"/>
        <w:spacing w:before="0" w:after="0" w:line="240" w:lineRule="auto"/>
        <w:rPr>
          <w:sz w:val="28"/>
          <w:szCs w:val="28"/>
        </w:rPr>
      </w:pPr>
      <w:bookmarkStart w:id="123" w:name="_Toc15211"/>
      <w:r>
        <w:rPr>
          <w:rFonts w:hint="eastAsia"/>
          <w:sz w:val="28"/>
          <w:szCs w:val="28"/>
        </w:rPr>
        <w:t>第五部分  合同条款格式</w:t>
      </w:r>
      <w:bookmarkEnd w:id="123"/>
      <w:bookmarkStart w:id="124" w:name="_Toc15636"/>
    </w:p>
    <w:bookmarkEnd w:id="124"/>
    <w:p w14:paraId="03BFE685">
      <w:pPr>
        <w:rPr>
          <w:lang w:bidi="zh-CN"/>
        </w:rPr>
      </w:pPr>
      <w:bookmarkStart w:id="125" w:name="_Hlt109815959"/>
      <w:bookmarkEnd w:id="125"/>
    </w:p>
    <w:p w14:paraId="413BE4B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甲方合同编号：</w:t>
      </w:r>
      <w:r>
        <w:rPr>
          <w:sz w:val="24"/>
          <w:szCs w:val="24"/>
          <w:highlight w:val="none"/>
        </w:rPr>
        <w:t xml:space="preserve"> </w:t>
      </w:r>
    </w:p>
    <w:p w14:paraId="78F264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乙方合同编号：</w:t>
      </w:r>
    </w:p>
    <w:p w14:paraId="751859C8">
      <w:pPr>
        <w:keepNext w:val="0"/>
        <w:keepLines w:val="0"/>
        <w:pageBreakBefore w:val="0"/>
        <w:widowControl w:val="0"/>
        <w:kinsoku/>
        <w:wordWrap/>
        <w:overflowPunct/>
        <w:topLinePunct w:val="0"/>
        <w:autoSpaceDE/>
        <w:autoSpaceDN/>
        <w:bidi w:val="0"/>
        <w:adjustRightInd/>
        <w:snapToGrid w:val="0"/>
        <w:spacing w:line="360" w:lineRule="auto"/>
        <w:textAlignment w:val="auto"/>
        <w:rPr>
          <w:rFonts w:eastAsia="仿宋_GB2312"/>
          <w:b/>
          <w:sz w:val="32"/>
          <w:szCs w:val="32"/>
          <w:highlight w:val="none"/>
        </w:rPr>
      </w:pPr>
    </w:p>
    <w:p w14:paraId="724D177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b/>
          <w:sz w:val="32"/>
          <w:szCs w:val="32"/>
          <w:highlight w:val="none"/>
        </w:rPr>
      </w:pPr>
      <w:r>
        <w:rPr>
          <w:rFonts w:hint="eastAsia" w:eastAsia="仿宋_GB2312"/>
          <w:b/>
          <w:sz w:val="32"/>
          <w:szCs w:val="32"/>
          <w:highlight w:val="none"/>
          <w:lang w:eastAsia="zh-CN"/>
        </w:rPr>
        <w:t>东莞市海心沙资源综合利用中心环保热电厂3号线低温SCR脱硝催化技术服务采购项目</w:t>
      </w:r>
      <w:r>
        <w:rPr>
          <w:rFonts w:hint="eastAsia" w:eastAsia="仿宋_GB2312"/>
          <w:b/>
          <w:sz w:val="32"/>
          <w:szCs w:val="32"/>
          <w:highlight w:val="none"/>
        </w:rPr>
        <w:t>合同</w:t>
      </w:r>
    </w:p>
    <w:p w14:paraId="48D04B5E">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highlight w:val="none"/>
        </w:rPr>
      </w:pPr>
      <w:r>
        <w:rPr>
          <w:sz w:val="24"/>
          <w:szCs w:val="24"/>
          <w:highlight w:val="none"/>
        </w:rPr>
        <w:t xml:space="preserve">                                                             </w:t>
      </w:r>
    </w:p>
    <w:p w14:paraId="2FE1E4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Cs/>
          <w:kern w:val="0"/>
          <w:sz w:val="24"/>
          <w:szCs w:val="24"/>
          <w:highlight w:val="none"/>
        </w:rPr>
      </w:pPr>
      <w:r>
        <w:rPr>
          <w:rFonts w:hint="eastAsia"/>
          <w:bCs/>
          <w:kern w:val="0"/>
          <w:sz w:val="24"/>
          <w:szCs w:val="24"/>
          <w:highlight w:val="none"/>
        </w:rPr>
        <w:t>甲方：</w:t>
      </w:r>
      <w:r>
        <w:rPr>
          <w:bCs/>
          <w:kern w:val="0"/>
          <w:sz w:val="24"/>
          <w:szCs w:val="24"/>
          <w:highlight w:val="none"/>
        </w:rPr>
        <w:t xml:space="preserve"> </w:t>
      </w:r>
      <w:r>
        <w:rPr>
          <w:rFonts w:hint="eastAsia"/>
          <w:bCs/>
          <w:kern w:val="0"/>
          <w:sz w:val="24"/>
          <w:szCs w:val="24"/>
          <w:highlight w:val="none"/>
        </w:rPr>
        <w:t>东莞市新东元环保投资有限公司</w:t>
      </w:r>
      <w:r>
        <w:rPr>
          <w:bCs/>
          <w:kern w:val="0"/>
          <w:sz w:val="24"/>
          <w:szCs w:val="24"/>
          <w:highlight w:val="none"/>
        </w:rPr>
        <w:t xml:space="preserve"> </w:t>
      </w:r>
    </w:p>
    <w:p w14:paraId="065303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eastAsia="宋体"/>
          <w:bCs/>
          <w:kern w:val="0"/>
          <w:sz w:val="24"/>
          <w:szCs w:val="24"/>
          <w:highlight w:val="none"/>
          <w:lang w:eastAsia="zh-CN"/>
        </w:rPr>
      </w:pPr>
      <w:r>
        <w:rPr>
          <w:rFonts w:hint="eastAsia"/>
          <w:bCs/>
          <w:kern w:val="0"/>
          <w:sz w:val="24"/>
          <w:szCs w:val="24"/>
          <w:highlight w:val="none"/>
        </w:rPr>
        <w:t>乙方：</w:t>
      </w:r>
      <w:r>
        <w:rPr>
          <w:bCs/>
          <w:kern w:val="0"/>
          <w:sz w:val="24"/>
          <w:szCs w:val="24"/>
          <w:highlight w:val="none"/>
        </w:rPr>
        <w:t xml:space="preserve"> </w:t>
      </w:r>
      <w:r>
        <w:rPr>
          <w:rFonts w:hint="eastAsia"/>
          <w:bCs/>
          <w:kern w:val="0"/>
          <w:sz w:val="24"/>
          <w:szCs w:val="24"/>
          <w:highlight w:val="none"/>
          <w:lang w:eastAsia="zh-CN"/>
        </w:rPr>
        <w:t>XXXX有限公司</w:t>
      </w:r>
    </w:p>
    <w:p w14:paraId="15A8B3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sz w:val="24"/>
          <w:szCs w:val="24"/>
          <w:highlight w:val="none"/>
        </w:rPr>
        <w:t xml:space="preserve"> </w:t>
      </w:r>
    </w:p>
    <w:p w14:paraId="1EF6E3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根据《中华人民共和国民法典》及其他有关法律、法规，遵循平等、自愿、公平和诚实信用的原则，甲乙双方就</w:t>
      </w:r>
      <w:r>
        <w:rPr>
          <w:rFonts w:hint="eastAsia"/>
          <w:sz w:val="24"/>
          <w:szCs w:val="24"/>
          <w:highlight w:val="none"/>
          <w:lang w:eastAsia="zh-CN"/>
        </w:rPr>
        <w:t>东莞市海心沙资源综合利用中心环保热电厂3号线低温SCR脱硝催化技术服务采购项目</w:t>
      </w:r>
      <w:r>
        <w:rPr>
          <w:rFonts w:hint="eastAsia"/>
          <w:sz w:val="24"/>
          <w:szCs w:val="24"/>
          <w:highlight w:val="none"/>
        </w:rPr>
        <w:t>的相关服务（含材料供货、安装、调试、运维以及原材料的拆除）事宜协商一致，特订立本合同，由甲乙双方共同遵守履行。</w:t>
      </w:r>
    </w:p>
    <w:p w14:paraId="31191EF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sz w:val="24"/>
          <w:szCs w:val="24"/>
          <w:highlight w:val="none"/>
        </w:rPr>
      </w:pPr>
      <w:bookmarkStart w:id="126" w:name="_Toc16526_WPSOffice_Level1"/>
      <w:r>
        <w:rPr>
          <w:rFonts w:hint="eastAsia"/>
          <w:b/>
          <w:sz w:val="24"/>
          <w:szCs w:val="24"/>
          <w:highlight w:val="none"/>
        </w:rPr>
        <w:t>一、合同价款及要求</w:t>
      </w:r>
      <w:bookmarkEnd w:id="126"/>
    </w:p>
    <w:p w14:paraId="2462E3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本合同</w:t>
      </w:r>
      <w:r>
        <w:rPr>
          <w:rFonts w:hint="eastAsia"/>
          <w:sz w:val="24"/>
          <w:szCs w:val="24"/>
          <w:highlight w:val="none"/>
          <w:lang w:val="en-US" w:eastAsia="zh-CN"/>
        </w:rPr>
        <w:t>固定总价</w:t>
      </w:r>
      <w:r>
        <w:rPr>
          <w:rFonts w:hint="eastAsia"/>
          <w:sz w:val="24"/>
          <w:szCs w:val="24"/>
          <w:highlight w:val="none"/>
        </w:rPr>
        <w:t>包干，</w:t>
      </w:r>
      <w:r>
        <w:rPr>
          <w:rFonts w:hint="eastAsia"/>
          <w:sz w:val="24"/>
          <w:szCs w:val="24"/>
          <w:highlight w:val="none"/>
          <w:lang w:val="en-US" w:eastAsia="zh-CN"/>
        </w:rPr>
        <w:t>合同总服务费：￥    元，大写：人民币   元，费用明细详见附件</w:t>
      </w:r>
      <w:r>
        <w:rPr>
          <w:sz w:val="24"/>
          <w:szCs w:val="24"/>
          <w:highlight w:val="none"/>
        </w:rPr>
        <w:t>1</w:t>
      </w:r>
      <w:r>
        <w:rPr>
          <w:rFonts w:hint="eastAsia"/>
          <w:sz w:val="24"/>
          <w:szCs w:val="24"/>
          <w:highlight w:val="none"/>
        </w:rPr>
        <w:t>《报价清单》</w:t>
      </w:r>
      <w:r>
        <w:rPr>
          <w:rFonts w:hint="eastAsia"/>
          <w:sz w:val="24"/>
          <w:szCs w:val="24"/>
          <w:highlight w:val="none"/>
          <w:lang w:eastAsia="zh-CN"/>
        </w:rPr>
        <w:t>，</w:t>
      </w:r>
      <w:r>
        <w:rPr>
          <w:rFonts w:hint="eastAsia"/>
          <w:sz w:val="24"/>
          <w:szCs w:val="24"/>
          <w:highlight w:val="none"/>
        </w:rPr>
        <w:t>其中增值税税率为</w:t>
      </w:r>
      <w:r>
        <w:rPr>
          <w:rFonts w:hint="eastAsia"/>
          <w:sz w:val="24"/>
          <w:szCs w:val="24"/>
          <w:highlight w:val="none"/>
          <w:lang w:val="en-US" w:eastAsia="zh-CN"/>
        </w:rPr>
        <w:t xml:space="preserve">  </w:t>
      </w:r>
      <w:r>
        <w:rPr>
          <w:sz w:val="24"/>
          <w:szCs w:val="24"/>
          <w:highlight w:val="none"/>
        </w:rPr>
        <w:t>%</w:t>
      </w:r>
      <w:r>
        <w:rPr>
          <w:rFonts w:hint="eastAsia"/>
          <w:sz w:val="24"/>
          <w:szCs w:val="24"/>
          <w:highlight w:val="none"/>
        </w:rPr>
        <w:t>。合同</w:t>
      </w:r>
      <w:r>
        <w:rPr>
          <w:rFonts w:hint="eastAsia"/>
          <w:sz w:val="24"/>
          <w:szCs w:val="24"/>
          <w:highlight w:val="none"/>
          <w:lang w:val="en-US" w:eastAsia="zh-CN"/>
        </w:rPr>
        <w:t>价格</w:t>
      </w:r>
      <w:r>
        <w:rPr>
          <w:rFonts w:hint="eastAsia"/>
          <w:sz w:val="24"/>
          <w:szCs w:val="24"/>
          <w:highlight w:val="none"/>
        </w:rPr>
        <w:t>含</w:t>
      </w:r>
      <w:r>
        <w:rPr>
          <w:rFonts w:hint="eastAsia"/>
          <w:sz w:val="24"/>
          <w:szCs w:val="24"/>
          <w:highlight w:val="none"/>
          <w:lang w:val="en-US" w:eastAsia="zh-CN"/>
        </w:rPr>
        <w:t>材料</w:t>
      </w:r>
      <w:r>
        <w:rPr>
          <w:rFonts w:hint="eastAsia"/>
          <w:sz w:val="24"/>
          <w:szCs w:val="24"/>
          <w:highlight w:val="none"/>
        </w:rPr>
        <w:t>、</w:t>
      </w:r>
      <w:r>
        <w:rPr>
          <w:rFonts w:hint="eastAsia"/>
          <w:sz w:val="24"/>
          <w:szCs w:val="24"/>
          <w:highlight w:val="none"/>
          <w:lang w:val="en-US" w:eastAsia="zh-CN"/>
        </w:rPr>
        <w:t>安装费、调试费、原催化剂拆除费、配件费、</w:t>
      </w:r>
      <w:r>
        <w:rPr>
          <w:rFonts w:hint="eastAsia"/>
          <w:sz w:val="24"/>
          <w:szCs w:val="24"/>
          <w:highlight w:val="none"/>
        </w:rPr>
        <w:t>税费、运费、装卸、</w:t>
      </w:r>
      <w:r>
        <w:rPr>
          <w:rFonts w:hint="eastAsia"/>
          <w:sz w:val="24"/>
          <w:szCs w:val="24"/>
          <w:highlight w:val="none"/>
          <w:lang w:val="en-US" w:eastAsia="zh-CN"/>
        </w:rPr>
        <w:t>运维费、</w:t>
      </w:r>
      <w:r>
        <w:rPr>
          <w:rFonts w:hint="eastAsia"/>
          <w:sz w:val="24"/>
          <w:szCs w:val="24"/>
          <w:highlight w:val="none"/>
        </w:rPr>
        <w:t>人工费以及乙方履行本合同下的其他义务所应收取的全部费用</w:t>
      </w:r>
      <w:r>
        <w:rPr>
          <w:rFonts w:hint="eastAsia"/>
          <w:sz w:val="24"/>
          <w:szCs w:val="24"/>
          <w:highlight w:val="none"/>
          <w:lang w:eastAsia="zh-CN"/>
        </w:rPr>
        <w:t>，</w:t>
      </w:r>
      <w:r>
        <w:rPr>
          <w:rFonts w:hint="eastAsia"/>
          <w:sz w:val="24"/>
          <w:szCs w:val="24"/>
          <w:highlight w:val="none"/>
          <w:lang w:val="en-US" w:eastAsia="zh-CN"/>
        </w:rPr>
        <w:t>乙方无权要求甲方再支付任何费用</w:t>
      </w:r>
      <w:r>
        <w:rPr>
          <w:rFonts w:hint="eastAsia"/>
          <w:sz w:val="24"/>
          <w:szCs w:val="24"/>
          <w:highlight w:val="none"/>
        </w:rPr>
        <w:t>。具体要求详见合同附件</w:t>
      </w:r>
      <w:r>
        <w:rPr>
          <w:rFonts w:hint="eastAsia"/>
          <w:sz w:val="24"/>
          <w:szCs w:val="24"/>
          <w:highlight w:val="none"/>
          <w:lang w:val="en-US" w:eastAsia="zh-CN"/>
        </w:rPr>
        <w:t>2</w:t>
      </w:r>
      <w:r>
        <w:rPr>
          <w:rFonts w:hint="eastAsia"/>
          <w:sz w:val="24"/>
          <w:szCs w:val="24"/>
          <w:highlight w:val="none"/>
        </w:rPr>
        <w:t>《东莞市海心沙资源综合利用中心环保热电厂3号线低温SCR脱硝催化技术服务采购项目</w:t>
      </w:r>
      <w:r>
        <w:rPr>
          <w:rFonts w:hint="eastAsia"/>
          <w:sz w:val="24"/>
          <w:szCs w:val="24"/>
          <w:highlight w:val="none"/>
          <w:lang w:val="en-US" w:eastAsia="zh-CN"/>
        </w:rPr>
        <w:t>技术需求书</w:t>
      </w:r>
      <w:r>
        <w:rPr>
          <w:rFonts w:hint="eastAsia"/>
          <w:sz w:val="24"/>
          <w:szCs w:val="24"/>
          <w:highlight w:val="none"/>
        </w:rPr>
        <w:t>》。</w:t>
      </w:r>
    </w:p>
    <w:p w14:paraId="26249A1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sz w:val="24"/>
          <w:szCs w:val="24"/>
          <w:highlight w:val="none"/>
        </w:rPr>
      </w:pPr>
      <w:bookmarkStart w:id="127" w:name="_Toc30470_WPSOffice_Level1"/>
      <w:r>
        <w:rPr>
          <w:rFonts w:hint="eastAsia"/>
          <w:b/>
          <w:sz w:val="24"/>
          <w:szCs w:val="24"/>
          <w:highlight w:val="none"/>
        </w:rPr>
        <w:t>二、服务时间、地点</w:t>
      </w:r>
      <w:bookmarkEnd w:id="127"/>
    </w:p>
    <w:p w14:paraId="5E8167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eastAsia="宋体"/>
          <w:sz w:val="24"/>
          <w:szCs w:val="24"/>
          <w:highlight w:val="none"/>
          <w:lang w:val="en-US" w:eastAsia="zh-CN"/>
        </w:rPr>
      </w:pPr>
      <w:r>
        <w:rPr>
          <w:rFonts w:hint="eastAsia"/>
          <w:sz w:val="24"/>
          <w:szCs w:val="24"/>
          <w:highlight w:val="none"/>
        </w:rPr>
        <w:t>（一）</w:t>
      </w:r>
      <w:r>
        <w:rPr>
          <w:rFonts w:hint="eastAsia"/>
          <w:sz w:val="24"/>
          <w:szCs w:val="24"/>
          <w:highlight w:val="none"/>
          <w:lang w:val="en-US" w:eastAsia="zh-CN"/>
        </w:rPr>
        <w:t>乙方</w:t>
      </w:r>
      <w:r>
        <w:rPr>
          <w:rFonts w:hint="eastAsia"/>
          <w:sz w:val="24"/>
          <w:szCs w:val="24"/>
          <w:highlight w:val="none"/>
        </w:rPr>
        <w:t>在收到</w:t>
      </w:r>
      <w:r>
        <w:rPr>
          <w:rFonts w:hint="eastAsia"/>
          <w:sz w:val="24"/>
          <w:szCs w:val="24"/>
          <w:highlight w:val="none"/>
          <w:lang w:val="en-US" w:eastAsia="zh-CN"/>
        </w:rPr>
        <w:t>甲方</w:t>
      </w:r>
      <w:r>
        <w:rPr>
          <w:rFonts w:hint="eastAsia"/>
          <w:sz w:val="24"/>
          <w:szCs w:val="24"/>
          <w:highlight w:val="none"/>
        </w:rPr>
        <w:t>通知之日起，30个日历日内</w:t>
      </w:r>
      <w:r>
        <w:rPr>
          <w:rFonts w:hint="eastAsia"/>
          <w:sz w:val="24"/>
          <w:szCs w:val="24"/>
          <w:highlight w:val="none"/>
          <w:lang w:val="en-US" w:eastAsia="zh-CN"/>
        </w:rPr>
        <w:t>按本项目技术需求书要求</w:t>
      </w:r>
      <w:r>
        <w:rPr>
          <w:rFonts w:hint="eastAsia"/>
          <w:sz w:val="24"/>
          <w:szCs w:val="24"/>
          <w:highlight w:val="none"/>
        </w:rPr>
        <w:t>达到一套</w:t>
      </w:r>
      <w:r>
        <w:rPr>
          <w:rFonts w:hint="eastAsia"/>
          <w:sz w:val="24"/>
          <w:szCs w:val="24"/>
          <w:highlight w:val="none"/>
          <w:lang w:eastAsia="zh-CN"/>
        </w:rPr>
        <w:t>（3号线）</w:t>
      </w:r>
      <w:r>
        <w:rPr>
          <w:rFonts w:hint="eastAsia"/>
          <w:sz w:val="24"/>
          <w:szCs w:val="24"/>
          <w:highlight w:val="none"/>
        </w:rPr>
        <w:t>低温SCR脱硝催化服务及运维服务的服务标准现场条件</w:t>
      </w:r>
      <w:r>
        <w:rPr>
          <w:rFonts w:hint="eastAsia"/>
          <w:sz w:val="24"/>
          <w:szCs w:val="24"/>
          <w:highlight w:val="none"/>
          <w:lang w:eastAsia="zh-CN"/>
        </w:rPr>
        <w:t>。</w:t>
      </w:r>
    </w:p>
    <w:p w14:paraId="1A1B23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sz w:val="32"/>
          <w:szCs w:val="32"/>
          <w:highlight w:val="none"/>
        </w:rPr>
      </w:pPr>
      <w:r>
        <w:rPr>
          <w:rFonts w:hint="eastAsia"/>
          <w:sz w:val="24"/>
          <w:szCs w:val="24"/>
          <w:highlight w:val="none"/>
          <w:lang w:eastAsia="zh-CN"/>
        </w:rPr>
        <w:t>（</w:t>
      </w:r>
      <w:r>
        <w:rPr>
          <w:rFonts w:hint="eastAsia"/>
          <w:sz w:val="24"/>
          <w:szCs w:val="24"/>
          <w:highlight w:val="none"/>
          <w:lang w:val="en-US" w:eastAsia="zh-CN"/>
        </w:rPr>
        <w:t>二）</w:t>
      </w:r>
      <w:r>
        <w:rPr>
          <w:rFonts w:hint="eastAsia"/>
          <w:sz w:val="24"/>
          <w:szCs w:val="24"/>
          <w:highlight w:val="none"/>
        </w:rPr>
        <w:t>服务期：自项目达到运维服务标准的现场条件之日起为期三年（含</w:t>
      </w:r>
      <w:r>
        <w:rPr>
          <w:rFonts w:hint="eastAsia"/>
          <w:sz w:val="24"/>
          <w:szCs w:val="24"/>
          <w:highlight w:val="none"/>
          <w:lang w:eastAsia="zh-CN"/>
        </w:rPr>
        <w:t>性能测试服务期</w:t>
      </w:r>
      <w:r>
        <w:rPr>
          <w:rFonts w:hint="eastAsia"/>
          <w:sz w:val="24"/>
          <w:szCs w:val="24"/>
          <w:highlight w:val="none"/>
        </w:rPr>
        <w:t>）。其中：自项目达到运维服务标准的现场条件之日起进行6个月</w:t>
      </w:r>
      <w:r>
        <w:rPr>
          <w:rFonts w:hint="eastAsia"/>
          <w:sz w:val="24"/>
          <w:szCs w:val="24"/>
          <w:highlight w:val="none"/>
          <w:lang w:eastAsia="zh-CN"/>
        </w:rPr>
        <w:t>（</w:t>
      </w:r>
      <w:r>
        <w:rPr>
          <w:rFonts w:hint="eastAsia" w:eastAsia="宋体"/>
          <w:color w:val="auto"/>
          <w:sz w:val="24"/>
          <w:szCs w:val="24"/>
          <w:highlight w:val="none"/>
          <w:lang w:val="en-US" w:eastAsia="zh-CN"/>
        </w:rPr>
        <w:t>包含测试不通过给予的修复期限</w:t>
      </w:r>
      <w:r>
        <w:rPr>
          <w:rFonts w:hint="eastAsia" w:eastAsia="仿宋_GB2312"/>
          <w:color w:val="000000"/>
          <w:sz w:val="32"/>
          <w:szCs w:val="32"/>
          <w:highlight w:val="none"/>
          <w:lang w:val="en-US" w:eastAsia="zh-CN"/>
        </w:rPr>
        <w:t>）</w:t>
      </w:r>
      <w:r>
        <w:rPr>
          <w:rFonts w:hint="eastAsia"/>
          <w:sz w:val="24"/>
          <w:szCs w:val="24"/>
          <w:highlight w:val="none"/>
          <w:lang w:eastAsia="zh-CN"/>
        </w:rPr>
        <w:t>性能测试服务期</w:t>
      </w:r>
      <w:r>
        <w:rPr>
          <w:rFonts w:hint="eastAsia"/>
          <w:sz w:val="24"/>
          <w:szCs w:val="24"/>
          <w:highlight w:val="none"/>
        </w:rPr>
        <w:t>；</w:t>
      </w:r>
      <w:r>
        <w:rPr>
          <w:rFonts w:hint="eastAsia"/>
          <w:sz w:val="24"/>
          <w:szCs w:val="24"/>
          <w:highlight w:val="none"/>
          <w:lang w:eastAsia="zh-CN"/>
        </w:rPr>
        <w:t>性能测试服务期</w:t>
      </w:r>
      <w:r>
        <w:rPr>
          <w:rFonts w:hint="eastAsia"/>
          <w:sz w:val="24"/>
          <w:szCs w:val="24"/>
          <w:highlight w:val="none"/>
        </w:rPr>
        <w:t>合格后，进入为期30个月的运维期。</w:t>
      </w:r>
    </w:p>
    <w:p w14:paraId="09E4CE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w:t>
      </w:r>
      <w:r>
        <w:rPr>
          <w:rFonts w:hint="eastAsia"/>
          <w:sz w:val="24"/>
          <w:szCs w:val="24"/>
          <w:highlight w:val="none"/>
          <w:lang w:val="en-US" w:eastAsia="zh-CN"/>
        </w:rPr>
        <w:t>三</w:t>
      </w:r>
      <w:r>
        <w:rPr>
          <w:rFonts w:hint="eastAsia"/>
          <w:sz w:val="24"/>
          <w:szCs w:val="24"/>
          <w:highlight w:val="none"/>
        </w:rPr>
        <w:t>）服务地点：东莞市麻涌镇大步村海心沙岛。</w:t>
      </w:r>
    </w:p>
    <w:p w14:paraId="6B0B93C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sz w:val="24"/>
          <w:szCs w:val="24"/>
          <w:highlight w:val="none"/>
        </w:rPr>
      </w:pPr>
      <w:bookmarkStart w:id="128" w:name="_Toc28374_WPSOffice_Level1"/>
      <w:r>
        <w:rPr>
          <w:rFonts w:hint="eastAsia"/>
          <w:b/>
          <w:sz w:val="24"/>
          <w:szCs w:val="24"/>
          <w:highlight w:val="none"/>
        </w:rPr>
        <w:t>三、付款方式</w:t>
      </w:r>
      <w:bookmarkEnd w:id="128"/>
    </w:p>
    <w:p w14:paraId="603A39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bCs/>
          <w:sz w:val="24"/>
          <w:szCs w:val="24"/>
          <w:highlight w:val="none"/>
        </w:rPr>
      </w:pPr>
      <w:r>
        <w:rPr>
          <w:rFonts w:hint="eastAsia"/>
          <w:bCs/>
          <w:sz w:val="24"/>
          <w:szCs w:val="24"/>
          <w:highlight w:val="none"/>
        </w:rPr>
        <w:t>（一）甲方按项目进度分</w:t>
      </w:r>
      <w:r>
        <w:rPr>
          <w:rFonts w:hint="eastAsia"/>
          <w:bCs/>
          <w:sz w:val="24"/>
          <w:szCs w:val="24"/>
          <w:highlight w:val="none"/>
          <w:lang w:val="en-US" w:eastAsia="zh-CN"/>
        </w:rPr>
        <w:t>四</w:t>
      </w:r>
      <w:r>
        <w:rPr>
          <w:rFonts w:hint="eastAsia"/>
          <w:bCs/>
          <w:sz w:val="24"/>
          <w:szCs w:val="24"/>
          <w:highlight w:val="none"/>
        </w:rPr>
        <w:t>次向乙方付款，付款总比例100%，由甲方按时向乙方于本合同载明的收款账户支付对应款项，具体付款条件如下：</w:t>
      </w:r>
    </w:p>
    <w:p w14:paraId="617EC6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bCs/>
          <w:sz w:val="24"/>
          <w:szCs w:val="24"/>
          <w:highlight w:val="none"/>
        </w:rPr>
      </w:pPr>
      <w:r>
        <w:rPr>
          <w:rFonts w:hint="eastAsia"/>
          <w:bCs/>
          <w:sz w:val="24"/>
          <w:szCs w:val="24"/>
          <w:highlight w:val="none"/>
          <w:lang w:val="en-US" w:eastAsia="zh-CN"/>
        </w:rPr>
        <w:t>（1）合同签订后，乙方完成且达到一套（3号线）低温SCR脱硝催化服务及运维服务的现场标准条件，并在性能测试服务期满经甲方验收合格后</w:t>
      </w:r>
      <w:r>
        <w:rPr>
          <w:rFonts w:hint="eastAsia"/>
          <w:bCs/>
          <w:sz w:val="24"/>
          <w:szCs w:val="24"/>
          <w:highlight w:val="none"/>
        </w:rPr>
        <w:t>，</w:t>
      </w:r>
      <w:r>
        <w:rPr>
          <w:rFonts w:hint="eastAsia"/>
          <w:bCs/>
          <w:sz w:val="24"/>
          <w:szCs w:val="24"/>
          <w:highlight w:val="none"/>
          <w:lang w:val="en-US" w:eastAsia="zh-CN"/>
        </w:rPr>
        <w:t>乙方</w:t>
      </w:r>
      <w:r>
        <w:rPr>
          <w:rFonts w:hint="eastAsia"/>
          <w:bCs/>
          <w:sz w:val="24"/>
          <w:szCs w:val="24"/>
          <w:highlight w:val="none"/>
        </w:rPr>
        <w:t>递交合同</w:t>
      </w:r>
      <w:r>
        <w:rPr>
          <w:rFonts w:hint="eastAsia"/>
          <w:sz w:val="24"/>
          <w:szCs w:val="24"/>
          <w:highlight w:val="none"/>
          <w:lang w:val="en-US" w:eastAsia="zh-CN"/>
        </w:rPr>
        <w:t>总服务费</w:t>
      </w:r>
      <w:r>
        <w:rPr>
          <w:rFonts w:hint="eastAsia"/>
          <w:bCs/>
          <w:sz w:val="24"/>
          <w:szCs w:val="24"/>
          <w:highlight w:val="none"/>
          <w:lang w:val="en-US" w:eastAsia="zh-CN"/>
        </w:rPr>
        <w:t>4</w:t>
      </w:r>
      <w:r>
        <w:rPr>
          <w:rFonts w:hint="eastAsia"/>
          <w:bCs/>
          <w:sz w:val="24"/>
          <w:szCs w:val="24"/>
          <w:highlight w:val="none"/>
        </w:rPr>
        <w:t>0%的增值税专用发票及请款资料，</w:t>
      </w:r>
      <w:r>
        <w:rPr>
          <w:rFonts w:hint="eastAsia"/>
          <w:bCs/>
          <w:sz w:val="24"/>
          <w:szCs w:val="24"/>
          <w:highlight w:val="none"/>
          <w:lang w:val="en-US" w:eastAsia="zh-CN"/>
        </w:rPr>
        <w:t>甲方</w:t>
      </w:r>
      <w:r>
        <w:rPr>
          <w:rFonts w:hint="eastAsia"/>
          <w:bCs/>
          <w:sz w:val="24"/>
          <w:szCs w:val="24"/>
          <w:highlight w:val="none"/>
        </w:rPr>
        <w:t>在收到上述有效资料之日起20个工作日内向</w:t>
      </w:r>
      <w:r>
        <w:rPr>
          <w:rFonts w:hint="eastAsia"/>
          <w:bCs/>
          <w:sz w:val="24"/>
          <w:szCs w:val="24"/>
          <w:highlight w:val="none"/>
          <w:lang w:val="en-US" w:eastAsia="zh-CN"/>
        </w:rPr>
        <w:t>乙方</w:t>
      </w:r>
      <w:r>
        <w:rPr>
          <w:rFonts w:hint="eastAsia"/>
          <w:bCs/>
          <w:sz w:val="24"/>
          <w:szCs w:val="24"/>
          <w:highlight w:val="none"/>
        </w:rPr>
        <w:t>支付至合同</w:t>
      </w:r>
      <w:r>
        <w:rPr>
          <w:rFonts w:hint="eastAsia"/>
          <w:sz w:val="24"/>
          <w:szCs w:val="24"/>
          <w:highlight w:val="none"/>
          <w:lang w:val="en-US" w:eastAsia="zh-CN"/>
        </w:rPr>
        <w:t>总服务费</w:t>
      </w:r>
      <w:r>
        <w:rPr>
          <w:rFonts w:hint="eastAsia"/>
          <w:bCs/>
          <w:sz w:val="24"/>
          <w:szCs w:val="24"/>
          <w:highlight w:val="none"/>
        </w:rPr>
        <w:t>的</w:t>
      </w:r>
      <w:r>
        <w:rPr>
          <w:rFonts w:hint="eastAsia"/>
          <w:bCs/>
          <w:sz w:val="24"/>
          <w:szCs w:val="24"/>
          <w:highlight w:val="none"/>
          <w:lang w:val="en-US" w:eastAsia="zh-CN"/>
        </w:rPr>
        <w:t>4</w:t>
      </w:r>
      <w:r>
        <w:rPr>
          <w:rFonts w:hint="eastAsia"/>
          <w:bCs/>
          <w:sz w:val="24"/>
          <w:szCs w:val="24"/>
          <w:highlight w:val="none"/>
        </w:rPr>
        <w:t>0%；</w:t>
      </w:r>
    </w:p>
    <w:p w14:paraId="7CE707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bCs/>
          <w:sz w:val="24"/>
          <w:szCs w:val="24"/>
          <w:highlight w:val="none"/>
        </w:rPr>
      </w:pPr>
      <w:r>
        <w:rPr>
          <w:rFonts w:hint="eastAsia"/>
          <w:bCs/>
          <w:sz w:val="24"/>
          <w:szCs w:val="24"/>
          <w:highlight w:val="none"/>
          <w:lang w:eastAsia="zh-CN"/>
        </w:rPr>
        <w:t>（</w:t>
      </w:r>
      <w:r>
        <w:rPr>
          <w:rFonts w:hint="eastAsia"/>
          <w:bCs/>
          <w:sz w:val="24"/>
          <w:szCs w:val="24"/>
          <w:highlight w:val="none"/>
          <w:lang w:val="en-US" w:eastAsia="zh-CN"/>
        </w:rPr>
        <w:t>2）自性能测试服务期满并验收合格之日起运维服务期满6个月且期间项目相关性能指标满足技术要求</w:t>
      </w:r>
      <w:r>
        <w:rPr>
          <w:rFonts w:hint="eastAsia"/>
          <w:bCs/>
          <w:sz w:val="24"/>
          <w:szCs w:val="24"/>
          <w:highlight w:val="none"/>
        </w:rPr>
        <w:t>，</w:t>
      </w:r>
      <w:r>
        <w:rPr>
          <w:rFonts w:hint="eastAsia"/>
          <w:bCs/>
          <w:sz w:val="24"/>
          <w:szCs w:val="24"/>
          <w:highlight w:val="none"/>
          <w:lang w:val="en-US" w:eastAsia="zh-CN"/>
        </w:rPr>
        <w:t>乙方</w:t>
      </w:r>
      <w:r>
        <w:rPr>
          <w:rFonts w:hint="eastAsia"/>
          <w:bCs/>
          <w:sz w:val="24"/>
          <w:szCs w:val="24"/>
          <w:highlight w:val="none"/>
        </w:rPr>
        <w:t>递交至合同</w:t>
      </w:r>
      <w:r>
        <w:rPr>
          <w:rFonts w:hint="eastAsia"/>
          <w:sz w:val="24"/>
          <w:szCs w:val="24"/>
          <w:highlight w:val="none"/>
          <w:lang w:val="en-US" w:eastAsia="zh-CN"/>
        </w:rPr>
        <w:t>总服务费</w:t>
      </w:r>
      <w:r>
        <w:rPr>
          <w:rFonts w:hint="eastAsia"/>
          <w:bCs/>
          <w:sz w:val="24"/>
          <w:szCs w:val="24"/>
          <w:highlight w:val="none"/>
          <w:lang w:val="en-US" w:eastAsia="zh-CN"/>
        </w:rPr>
        <w:t>6</w:t>
      </w:r>
      <w:r>
        <w:rPr>
          <w:rFonts w:hint="eastAsia"/>
          <w:bCs/>
          <w:sz w:val="24"/>
          <w:szCs w:val="24"/>
          <w:highlight w:val="none"/>
        </w:rPr>
        <w:t>0%的增值税专用发票及请款资料，</w:t>
      </w:r>
      <w:r>
        <w:rPr>
          <w:rFonts w:hint="eastAsia"/>
          <w:bCs/>
          <w:sz w:val="24"/>
          <w:szCs w:val="24"/>
          <w:highlight w:val="none"/>
          <w:lang w:val="en-US" w:eastAsia="zh-CN"/>
        </w:rPr>
        <w:t>甲方</w:t>
      </w:r>
      <w:r>
        <w:rPr>
          <w:rFonts w:hint="eastAsia"/>
          <w:bCs/>
          <w:sz w:val="24"/>
          <w:szCs w:val="24"/>
          <w:highlight w:val="none"/>
        </w:rPr>
        <w:t>在收到上述有效资料之日起20个工作日内向</w:t>
      </w:r>
      <w:r>
        <w:rPr>
          <w:rFonts w:hint="eastAsia"/>
          <w:bCs/>
          <w:sz w:val="24"/>
          <w:szCs w:val="24"/>
          <w:highlight w:val="none"/>
          <w:lang w:val="en-US" w:eastAsia="zh-CN"/>
        </w:rPr>
        <w:t>乙方</w:t>
      </w:r>
      <w:r>
        <w:rPr>
          <w:rFonts w:hint="eastAsia"/>
          <w:bCs/>
          <w:sz w:val="24"/>
          <w:szCs w:val="24"/>
          <w:highlight w:val="none"/>
        </w:rPr>
        <w:t>支付至合同</w:t>
      </w:r>
      <w:r>
        <w:rPr>
          <w:rFonts w:hint="eastAsia"/>
          <w:sz w:val="24"/>
          <w:szCs w:val="24"/>
          <w:highlight w:val="none"/>
          <w:lang w:val="en-US" w:eastAsia="zh-CN"/>
        </w:rPr>
        <w:t>总服务费</w:t>
      </w:r>
      <w:r>
        <w:rPr>
          <w:rFonts w:hint="eastAsia"/>
          <w:bCs/>
          <w:sz w:val="24"/>
          <w:szCs w:val="24"/>
          <w:highlight w:val="none"/>
        </w:rPr>
        <w:t>的</w:t>
      </w:r>
      <w:r>
        <w:rPr>
          <w:rFonts w:hint="eastAsia"/>
          <w:bCs/>
          <w:sz w:val="24"/>
          <w:szCs w:val="24"/>
          <w:highlight w:val="none"/>
          <w:lang w:val="en-US" w:eastAsia="zh-CN"/>
        </w:rPr>
        <w:t>6</w:t>
      </w:r>
      <w:r>
        <w:rPr>
          <w:rFonts w:hint="eastAsia"/>
          <w:bCs/>
          <w:sz w:val="24"/>
          <w:szCs w:val="24"/>
          <w:highlight w:val="none"/>
        </w:rPr>
        <w:t>0%；</w:t>
      </w:r>
    </w:p>
    <w:p w14:paraId="7BF7F2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bCs/>
          <w:sz w:val="24"/>
          <w:szCs w:val="24"/>
          <w:highlight w:val="none"/>
          <w:lang w:val="en-US" w:eastAsia="zh-CN"/>
        </w:rPr>
      </w:pPr>
      <w:r>
        <w:rPr>
          <w:rFonts w:hint="eastAsia"/>
          <w:bCs/>
          <w:sz w:val="24"/>
          <w:szCs w:val="24"/>
          <w:highlight w:val="none"/>
          <w:lang w:val="en-US" w:eastAsia="zh-CN"/>
        </w:rPr>
        <w:t>（3）项目运维服务期满18个月且期间项目相关性能指标满足技术要求，乙方递交至合同总服务费80%的增值税专用发票及请款资料，甲方在收到上述有效资料之日起20个工作日内向乙方支付至合同总服务费的80%</w:t>
      </w:r>
      <w:r>
        <w:rPr>
          <w:rFonts w:hint="eastAsia"/>
          <w:bCs/>
          <w:sz w:val="24"/>
          <w:szCs w:val="24"/>
          <w:highlight w:val="none"/>
        </w:rPr>
        <w:t>；</w:t>
      </w:r>
    </w:p>
    <w:p w14:paraId="1A1F87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bCs/>
          <w:sz w:val="24"/>
          <w:szCs w:val="24"/>
          <w:highlight w:val="none"/>
        </w:rPr>
      </w:pPr>
      <w:r>
        <w:rPr>
          <w:rFonts w:hint="eastAsia"/>
          <w:bCs/>
          <w:sz w:val="24"/>
          <w:szCs w:val="24"/>
          <w:highlight w:val="none"/>
          <w:lang w:val="en-US" w:eastAsia="zh-CN"/>
        </w:rPr>
        <w:t>（4）项目服务期满</w:t>
      </w:r>
      <w:r>
        <w:rPr>
          <w:rFonts w:hint="eastAsia"/>
          <w:bCs/>
          <w:sz w:val="24"/>
          <w:szCs w:val="24"/>
          <w:highlight w:val="none"/>
        </w:rPr>
        <w:t>且期间</w:t>
      </w:r>
      <w:r>
        <w:rPr>
          <w:rFonts w:hint="eastAsia"/>
          <w:bCs/>
          <w:sz w:val="24"/>
          <w:szCs w:val="24"/>
          <w:highlight w:val="none"/>
          <w:lang w:val="en-US" w:eastAsia="zh-CN"/>
        </w:rPr>
        <w:t>项目</w:t>
      </w:r>
      <w:r>
        <w:rPr>
          <w:rFonts w:hint="eastAsia"/>
          <w:bCs/>
          <w:sz w:val="24"/>
          <w:szCs w:val="24"/>
          <w:highlight w:val="none"/>
        </w:rPr>
        <w:t>相关性能指标满足技术要求，</w:t>
      </w:r>
      <w:r>
        <w:rPr>
          <w:rFonts w:hint="eastAsia"/>
          <w:bCs/>
          <w:sz w:val="24"/>
          <w:szCs w:val="24"/>
          <w:highlight w:val="none"/>
          <w:lang w:val="en-US" w:eastAsia="zh-CN"/>
        </w:rPr>
        <w:t>乙方</w:t>
      </w:r>
      <w:r>
        <w:rPr>
          <w:rFonts w:hint="eastAsia"/>
          <w:bCs/>
          <w:sz w:val="24"/>
          <w:szCs w:val="24"/>
          <w:highlight w:val="none"/>
        </w:rPr>
        <w:t>递交至合同</w:t>
      </w:r>
      <w:r>
        <w:rPr>
          <w:rFonts w:hint="eastAsia"/>
          <w:sz w:val="24"/>
          <w:szCs w:val="24"/>
          <w:highlight w:val="none"/>
          <w:lang w:val="en-US" w:eastAsia="zh-CN"/>
        </w:rPr>
        <w:t>总服务费</w:t>
      </w:r>
      <w:r>
        <w:rPr>
          <w:rFonts w:hint="eastAsia"/>
          <w:bCs/>
          <w:sz w:val="24"/>
          <w:szCs w:val="24"/>
          <w:highlight w:val="none"/>
        </w:rPr>
        <w:t>100%的增值税专用发票及请款资料，</w:t>
      </w:r>
      <w:r>
        <w:rPr>
          <w:rFonts w:hint="eastAsia"/>
          <w:bCs/>
          <w:sz w:val="24"/>
          <w:szCs w:val="24"/>
          <w:highlight w:val="none"/>
          <w:lang w:val="en-US" w:eastAsia="zh-CN"/>
        </w:rPr>
        <w:t>甲方</w:t>
      </w:r>
      <w:r>
        <w:rPr>
          <w:rFonts w:hint="eastAsia"/>
          <w:bCs/>
          <w:sz w:val="24"/>
          <w:szCs w:val="24"/>
          <w:highlight w:val="none"/>
        </w:rPr>
        <w:t>在收到上述有效资料之日起20个工作日内向</w:t>
      </w:r>
      <w:r>
        <w:rPr>
          <w:rFonts w:hint="eastAsia"/>
          <w:bCs/>
          <w:sz w:val="24"/>
          <w:szCs w:val="24"/>
          <w:highlight w:val="none"/>
          <w:lang w:val="en-US" w:eastAsia="zh-CN"/>
        </w:rPr>
        <w:t>乙方</w:t>
      </w:r>
      <w:r>
        <w:rPr>
          <w:rFonts w:hint="eastAsia"/>
          <w:bCs/>
          <w:sz w:val="24"/>
          <w:szCs w:val="24"/>
          <w:highlight w:val="none"/>
        </w:rPr>
        <w:t>支付至合同</w:t>
      </w:r>
      <w:r>
        <w:rPr>
          <w:rFonts w:hint="eastAsia"/>
          <w:sz w:val="24"/>
          <w:szCs w:val="24"/>
          <w:highlight w:val="none"/>
          <w:lang w:val="en-US" w:eastAsia="zh-CN"/>
        </w:rPr>
        <w:t>总服务费</w:t>
      </w:r>
      <w:r>
        <w:rPr>
          <w:rFonts w:hint="eastAsia"/>
          <w:bCs/>
          <w:sz w:val="24"/>
          <w:szCs w:val="24"/>
          <w:highlight w:val="none"/>
        </w:rPr>
        <w:t>的100%。</w:t>
      </w:r>
    </w:p>
    <w:p w14:paraId="4A9630D8">
      <w:pPr>
        <w:snapToGrid w:val="0"/>
        <w:spacing w:line="360" w:lineRule="auto"/>
        <w:ind w:firstLine="480" w:firstLineChars="200"/>
        <w:outlineLvl w:val="1"/>
        <w:rPr>
          <w:rFonts w:hint="eastAsia" w:eastAsia="宋体"/>
          <w:lang w:val="en-US" w:eastAsia="zh-CN"/>
        </w:rPr>
      </w:pPr>
      <w:r>
        <w:rPr>
          <w:rFonts w:hint="eastAsia"/>
          <w:bCs/>
          <w:sz w:val="24"/>
          <w:szCs w:val="24"/>
          <w:highlight w:val="none"/>
          <w:lang w:eastAsia="zh-CN"/>
        </w:rPr>
        <w:t>（</w:t>
      </w:r>
      <w:r>
        <w:rPr>
          <w:rFonts w:hint="eastAsia"/>
          <w:bCs/>
          <w:sz w:val="24"/>
          <w:szCs w:val="24"/>
          <w:highlight w:val="none"/>
          <w:lang w:val="en-US" w:eastAsia="zh-CN"/>
        </w:rPr>
        <w:t>二）</w:t>
      </w:r>
      <w:r>
        <w:rPr>
          <w:rFonts w:hint="eastAsia"/>
          <w:bCs/>
          <w:sz w:val="24"/>
          <w:szCs w:val="24"/>
          <w:highlight w:val="none"/>
        </w:rPr>
        <w:t>服务期内（含</w:t>
      </w:r>
      <w:r>
        <w:rPr>
          <w:rFonts w:hint="eastAsia"/>
          <w:bCs/>
          <w:sz w:val="24"/>
          <w:szCs w:val="24"/>
          <w:highlight w:val="none"/>
          <w:lang w:eastAsia="zh-CN"/>
        </w:rPr>
        <w:t>性能测试服务期</w:t>
      </w:r>
      <w:r>
        <w:rPr>
          <w:rFonts w:hint="eastAsia"/>
          <w:bCs/>
          <w:sz w:val="24"/>
          <w:szCs w:val="24"/>
          <w:highlight w:val="none"/>
        </w:rPr>
        <w:t>）如项目相关性能指标出现不满足技术要求的情况，</w:t>
      </w:r>
      <w:r>
        <w:rPr>
          <w:rFonts w:hint="eastAsia"/>
          <w:bCs/>
          <w:sz w:val="24"/>
          <w:szCs w:val="24"/>
          <w:highlight w:val="none"/>
          <w:lang w:val="en-US" w:eastAsia="zh-CN"/>
        </w:rPr>
        <w:t>乙方可以在1个月内进行一次修复并进行保证值测试，如该次修复后仍未达到保证值要求或该次修复后再次出现项目相关性能指标出现不满足技术要求情况的，</w:t>
      </w:r>
      <w:r>
        <w:rPr>
          <w:rFonts w:hint="eastAsia" w:eastAsia="宋体"/>
          <w:bCs/>
          <w:color w:val="auto"/>
          <w:sz w:val="24"/>
          <w:szCs w:val="24"/>
          <w:highlight w:val="none"/>
          <w:lang w:val="en-US" w:eastAsia="zh-CN"/>
        </w:rPr>
        <w:t>甲方有权单方解除合同</w:t>
      </w:r>
      <w:r>
        <w:rPr>
          <w:rFonts w:hint="eastAsia"/>
          <w:bCs/>
          <w:sz w:val="24"/>
          <w:szCs w:val="24"/>
          <w:highlight w:val="none"/>
          <w:lang w:val="en-US" w:eastAsia="zh-CN"/>
        </w:rPr>
        <w:t>，甲方将终止支付合同款项并没收乙方缴纳的履约保证金，乙方需在甲方指定期限内将所供催化剂拆除、运离并完成现场清理，相关费用由乙方承担。如乙方未及时完成拆除搬迁工作，甲方有权自行进行拆除搬迁，由此造成的费用及后果由乙方自行承担。</w:t>
      </w:r>
      <w:r>
        <w:rPr>
          <w:rFonts w:hint="eastAsia"/>
          <w:lang w:val="en-US" w:eastAsia="zh-CN"/>
        </w:rPr>
        <w:t xml:space="preserve"> </w:t>
      </w:r>
    </w:p>
    <w:p w14:paraId="6B9028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eastAsia="宋体"/>
          <w:bCs/>
          <w:sz w:val="24"/>
          <w:szCs w:val="24"/>
          <w:highlight w:val="none"/>
          <w:lang w:val="en-US" w:eastAsia="zh-CN"/>
        </w:rPr>
      </w:pPr>
      <w:r>
        <w:rPr>
          <w:rFonts w:hint="eastAsia"/>
          <w:bCs/>
          <w:sz w:val="24"/>
          <w:szCs w:val="24"/>
          <w:highlight w:val="none"/>
        </w:rPr>
        <w:t>（</w:t>
      </w:r>
      <w:r>
        <w:rPr>
          <w:rFonts w:hint="eastAsia"/>
          <w:bCs/>
          <w:sz w:val="24"/>
          <w:szCs w:val="24"/>
          <w:highlight w:val="none"/>
          <w:lang w:val="en-US" w:eastAsia="zh-CN"/>
        </w:rPr>
        <w:t>三</w:t>
      </w:r>
      <w:r>
        <w:rPr>
          <w:rFonts w:hint="eastAsia"/>
          <w:bCs/>
          <w:sz w:val="24"/>
          <w:szCs w:val="24"/>
          <w:highlight w:val="none"/>
        </w:rPr>
        <w:t>）</w:t>
      </w:r>
      <w:r>
        <w:rPr>
          <w:rFonts w:hint="eastAsia"/>
          <w:bCs/>
          <w:sz w:val="24"/>
          <w:szCs w:val="24"/>
          <w:highlight w:val="none"/>
          <w:lang w:val="en-US" w:eastAsia="zh-CN"/>
        </w:rPr>
        <w:t>乙方</w:t>
      </w:r>
      <w:r>
        <w:rPr>
          <w:rFonts w:hint="eastAsia"/>
          <w:bCs/>
          <w:sz w:val="24"/>
          <w:szCs w:val="24"/>
          <w:highlight w:val="none"/>
        </w:rPr>
        <w:t>在合同签订之日起7天内，向</w:t>
      </w:r>
      <w:r>
        <w:rPr>
          <w:rFonts w:hint="eastAsia"/>
          <w:bCs/>
          <w:sz w:val="24"/>
          <w:szCs w:val="24"/>
          <w:highlight w:val="none"/>
          <w:lang w:val="en-US" w:eastAsia="zh-CN"/>
        </w:rPr>
        <w:t>甲方</w:t>
      </w:r>
      <w:r>
        <w:rPr>
          <w:rFonts w:hint="eastAsia"/>
          <w:bCs/>
          <w:sz w:val="24"/>
          <w:szCs w:val="24"/>
          <w:highlight w:val="none"/>
        </w:rPr>
        <w:t>提交金额为本合同总价10%的不可撤销银行保函或履约保证金作为履行合同的担保，履约担保期限从合同签订之日起至</w:t>
      </w:r>
      <w:r>
        <w:rPr>
          <w:rFonts w:hint="eastAsia"/>
          <w:bCs/>
          <w:sz w:val="24"/>
          <w:szCs w:val="24"/>
          <w:highlight w:val="none"/>
          <w:lang w:val="en-US" w:eastAsia="zh-CN"/>
        </w:rPr>
        <w:t>项目服务期满</w:t>
      </w:r>
      <w:r>
        <w:rPr>
          <w:rFonts w:hint="eastAsia"/>
          <w:bCs/>
          <w:sz w:val="24"/>
          <w:szCs w:val="24"/>
          <w:highlight w:val="none"/>
        </w:rPr>
        <w:t>，双方签字确认之日起7天内保持有效；若本合同因</w:t>
      </w:r>
      <w:r>
        <w:rPr>
          <w:rFonts w:hint="eastAsia"/>
          <w:bCs/>
          <w:sz w:val="24"/>
          <w:szCs w:val="24"/>
          <w:highlight w:val="none"/>
          <w:lang w:val="en-US" w:eastAsia="zh-CN"/>
        </w:rPr>
        <w:t>乙方</w:t>
      </w:r>
      <w:r>
        <w:rPr>
          <w:rFonts w:hint="eastAsia"/>
          <w:bCs/>
          <w:sz w:val="24"/>
          <w:szCs w:val="24"/>
          <w:highlight w:val="none"/>
        </w:rPr>
        <w:t>违约导致提前终止或解除，</w:t>
      </w:r>
      <w:r>
        <w:rPr>
          <w:rFonts w:hint="eastAsia"/>
          <w:bCs/>
          <w:sz w:val="24"/>
          <w:szCs w:val="24"/>
          <w:highlight w:val="none"/>
          <w:lang w:val="en-US" w:eastAsia="zh-CN"/>
        </w:rPr>
        <w:t>甲方</w:t>
      </w:r>
      <w:r>
        <w:rPr>
          <w:rFonts w:hint="eastAsia"/>
          <w:bCs/>
          <w:sz w:val="24"/>
          <w:szCs w:val="24"/>
          <w:highlight w:val="none"/>
        </w:rPr>
        <w:t>有权没收履约保证金（或向银行申请索赔，</w:t>
      </w:r>
      <w:r>
        <w:rPr>
          <w:rFonts w:hint="eastAsia"/>
          <w:bCs/>
          <w:sz w:val="24"/>
          <w:szCs w:val="24"/>
          <w:highlight w:val="none"/>
          <w:lang w:val="en-US" w:eastAsia="zh-CN"/>
        </w:rPr>
        <w:t>乙方</w:t>
      </w:r>
      <w:r>
        <w:rPr>
          <w:rFonts w:hint="eastAsia"/>
          <w:bCs/>
          <w:sz w:val="24"/>
          <w:szCs w:val="24"/>
          <w:highlight w:val="none"/>
        </w:rPr>
        <w:t>不得以任何理由要求</w:t>
      </w:r>
      <w:r>
        <w:rPr>
          <w:rFonts w:hint="eastAsia"/>
          <w:bCs/>
          <w:sz w:val="24"/>
          <w:szCs w:val="24"/>
          <w:highlight w:val="none"/>
          <w:lang w:val="en-US" w:eastAsia="zh-CN"/>
        </w:rPr>
        <w:t>甲方</w:t>
      </w:r>
      <w:r>
        <w:rPr>
          <w:rFonts w:hint="eastAsia"/>
          <w:bCs/>
          <w:sz w:val="24"/>
          <w:szCs w:val="24"/>
          <w:highlight w:val="none"/>
        </w:rPr>
        <w:t>退回相关款项）。</w:t>
      </w:r>
      <w:r>
        <w:rPr>
          <w:rFonts w:hint="eastAsia"/>
          <w:bCs/>
          <w:sz w:val="24"/>
          <w:szCs w:val="24"/>
          <w:highlight w:val="none"/>
          <w:lang w:val="en-US" w:eastAsia="zh-CN"/>
        </w:rPr>
        <w:t>服务期满，乙方无任何违约行为的，或甲方在履约保证金中扣除乙方应承担的违约金、赔偿金、检查检测费、委托第三方代为履行费用等所有款项后有剩余的，经甲方同意后，乙方提交申请，甲方收到乙方申请后无息退回</w:t>
      </w:r>
      <w:r>
        <w:rPr>
          <w:rFonts w:hint="eastAsia"/>
          <w:bCs/>
          <w:sz w:val="24"/>
          <w:szCs w:val="24"/>
          <w:highlight w:val="none"/>
        </w:rPr>
        <w:t>履约保证金</w:t>
      </w:r>
      <w:r>
        <w:rPr>
          <w:rFonts w:hint="eastAsia"/>
          <w:bCs/>
          <w:sz w:val="24"/>
          <w:szCs w:val="24"/>
          <w:highlight w:val="none"/>
          <w:lang w:val="en-US" w:eastAsia="zh-CN"/>
        </w:rPr>
        <w:t>。</w:t>
      </w:r>
    </w:p>
    <w:p w14:paraId="0C9B7A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Cs/>
          <w:sz w:val="24"/>
          <w:szCs w:val="24"/>
          <w:highlight w:val="none"/>
        </w:rPr>
      </w:pPr>
      <w:r>
        <w:rPr>
          <w:rFonts w:hint="eastAsia"/>
          <w:bCs/>
          <w:sz w:val="24"/>
          <w:szCs w:val="24"/>
          <w:highlight w:val="none"/>
        </w:rPr>
        <w:t>（三）乙方的收款账户信息如下：</w:t>
      </w:r>
    </w:p>
    <w:p w14:paraId="521559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开户银行：</w:t>
      </w:r>
    </w:p>
    <w:p w14:paraId="10C93C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开户行账号：</w:t>
      </w:r>
      <w:r>
        <w:rPr>
          <w:sz w:val="24"/>
          <w:szCs w:val="24"/>
          <w:highlight w:val="none"/>
        </w:rPr>
        <w:t xml:space="preserve"> </w:t>
      </w:r>
    </w:p>
    <w:p w14:paraId="73CBD8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eastAsia="宋体"/>
          <w:sz w:val="24"/>
          <w:szCs w:val="24"/>
          <w:highlight w:val="none"/>
          <w:lang w:eastAsia="zh-CN"/>
        </w:rPr>
      </w:pPr>
      <w:r>
        <w:rPr>
          <w:rFonts w:hint="eastAsia"/>
          <w:sz w:val="24"/>
          <w:szCs w:val="24"/>
          <w:highlight w:val="none"/>
        </w:rPr>
        <w:t>收款单位名：</w:t>
      </w:r>
      <w:r>
        <w:rPr>
          <w:rFonts w:hint="eastAsia"/>
          <w:sz w:val="24"/>
          <w:szCs w:val="24"/>
          <w:highlight w:val="none"/>
          <w:lang w:eastAsia="zh-CN"/>
        </w:rPr>
        <w:t>XXXX有限公司</w:t>
      </w:r>
    </w:p>
    <w:p w14:paraId="145295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收款单位统一社会信用代码（纳税人识别号）：</w:t>
      </w:r>
    </w:p>
    <w:p w14:paraId="7ACED0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highlight w:val="none"/>
        </w:rPr>
      </w:pPr>
      <w:r>
        <w:rPr>
          <w:rFonts w:hint="eastAsia"/>
          <w:sz w:val="24"/>
          <w:szCs w:val="24"/>
          <w:highlight w:val="none"/>
        </w:rPr>
        <w:t>注：（1）因乙方收款账户信息填写错误、变更账户、账户被冻结等非甲方原因，导致乙方未能收到本合同款项的，甲方不承担责任</w:t>
      </w:r>
      <w:r>
        <w:rPr>
          <w:rFonts w:hint="eastAsia"/>
          <w:sz w:val="24"/>
          <w:szCs w:val="24"/>
          <w:highlight w:val="none"/>
          <w:lang w:eastAsia="zh-CN"/>
        </w:rPr>
        <w:t>；</w:t>
      </w:r>
    </w:p>
    <w:p w14:paraId="68590B38">
      <w:pPr>
        <w:pStyle w:val="2"/>
        <w:ind w:firstLine="480" w:firstLineChars="200"/>
      </w:pPr>
      <w:r>
        <w:rPr>
          <w:rFonts w:hint="eastAsia"/>
          <w:sz w:val="24"/>
          <w:szCs w:val="24"/>
          <w:highlight w:val="none"/>
        </w:rPr>
        <w:t>（2）如因乙方未按照本</w:t>
      </w:r>
      <w:r>
        <w:rPr>
          <w:rFonts w:hint="eastAsia"/>
          <w:sz w:val="24"/>
          <w:szCs w:val="24"/>
          <w:highlight w:val="none"/>
          <w:lang w:val="en-US" w:eastAsia="zh-CN"/>
        </w:rPr>
        <w:t>合同</w:t>
      </w:r>
      <w:r>
        <w:rPr>
          <w:rFonts w:hint="eastAsia"/>
          <w:sz w:val="24"/>
          <w:szCs w:val="24"/>
          <w:highlight w:val="none"/>
        </w:rPr>
        <w:t>约定提供相关结算材料或未满足付款条件的，甲方有权</w:t>
      </w:r>
      <w:r>
        <w:rPr>
          <w:rFonts w:hint="eastAsia"/>
          <w:sz w:val="24"/>
          <w:szCs w:val="24"/>
          <w:highlight w:val="none"/>
          <w:lang w:val="en-US" w:eastAsia="zh-CN"/>
        </w:rPr>
        <w:t>拒绝</w:t>
      </w:r>
      <w:r>
        <w:rPr>
          <w:rFonts w:hint="eastAsia"/>
          <w:sz w:val="24"/>
          <w:szCs w:val="24"/>
          <w:highlight w:val="none"/>
        </w:rPr>
        <w:t>付款并不承担</w:t>
      </w:r>
      <w:r>
        <w:rPr>
          <w:rFonts w:hint="eastAsia"/>
          <w:sz w:val="24"/>
          <w:szCs w:val="24"/>
          <w:highlight w:val="none"/>
          <w:lang w:val="en-US" w:eastAsia="zh-CN"/>
        </w:rPr>
        <w:t>任何违约</w:t>
      </w:r>
      <w:r>
        <w:rPr>
          <w:rFonts w:hint="eastAsia"/>
          <w:sz w:val="24"/>
          <w:szCs w:val="24"/>
          <w:highlight w:val="none"/>
        </w:rPr>
        <w:t>责任。如乙方出具虚假违规发票，导致甲方受到经济处罚，乙方应向甲方赔偿因此遭受的全部损失，并承担相应的违约责任。</w:t>
      </w:r>
    </w:p>
    <w:p w14:paraId="7BAFEDC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Cs/>
          <w:sz w:val="24"/>
          <w:szCs w:val="24"/>
          <w:highlight w:val="none"/>
        </w:rPr>
      </w:pPr>
      <w:bookmarkStart w:id="129" w:name="_Toc25644_WPSOffice_Level1"/>
      <w:r>
        <w:rPr>
          <w:rFonts w:hint="eastAsia"/>
          <w:b/>
          <w:sz w:val="24"/>
          <w:szCs w:val="24"/>
          <w:highlight w:val="none"/>
        </w:rPr>
        <w:t>四、</w:t>
      </w:r>
      <w:r>
        <w:rPr>
          <w:rFonts w:hint="eastAsia"/>
          <w:b/>
          <w:sz w:val="24"/>
          <w:szCs w:val="24"/>
          <w:highlight w:val="none"/>
          <w:lang w:val="en-US" w:eastAsia="zh-CN"/>
        </w:rPr>
        <w:t>材料</w:t>
      </w:r>
      <w:r>
        <w:rPr>
          <w:rFonts w:hint="eastAsia"/>
          <w:b/>
          <w:sz w:val="24"/>
          <w:szCs w:val="24"/>
          <w:highlight w:val="none"/>
        </w:rPr>
        <w:t>的验收和服务</w:t>
      </w:r>
      <w:bookmarkEnd w:id="129"/>
    </w:p>
    <w:p w14:paraId="1ACA43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Cs/>
          <w:sz w:val="24"/>
          <w:szCs w:val="24"/>
          <w:highlight w:val="none"/>
        </w:rPr>
      </w:pPr>
      <w:r>
        <w:rPr>
          <w:rFonts w:hint="eastAsia"/>
          <w:bCs/>
          <w:sz w:val="24"/>
          <w:szCs w:val="24"/>
          <w:highlight w:val="none"/>
        </w:rPr>
        <w:t>（一）</w:t>
      </w:r>
      <w:r>
        <w:rPr>
          <w:rFonts w:hint="eastAsia"/>
          <w:bCs/>
          <w:sz w:val="24"/>
          <w:szCs w:val="24"/>
          <w:highlight w:val="none"/>
          <w:lang w:eastAsia="zh-CN"/>
        </w:rPr>
        <w:t>材料</w:t>
      </w:r>
      <w:r>
        <w:rPr>
          <w:rFonts w:hint="eastAsia"/>
          <w:bCs/>
          <w:sz w:val="24"/>
          <w:szCs w:val="24"/>
          <w:highlight w:val="none"/>
        </w:rPr>
        <w:t>送达甲方指定地点</w:t>
      </w:r>
      <w:r>
        <w:rPr>
          <w:rFonts w:hint="eastAsia"/>
          <w:bCs/>
          <w:sz w:val="24"/>
          <w:szCs w:val="24"/>
          <w:highlight w:val="none"/>
          <w:lang w:val="en-US" w:eastAsia="zh-CN"/>
        </w:rPr>
        <w:t>并按甲方现场要求完成全部旧材料拆除、新材料安装、调试服务合格且性能测试服务期满</w:t>
      </w:r>
      <w:r>
        <w:rPr>
          <w:rFonts w:hint="eastAsia"/>
          <w:bCs/>
          <w:sz w:val="24"/>
          <w:szCs w:val="24"/>
          <w:highlight w:val="none"/>
        </w:rPr>
        <w:t>后，在甲乙双方共同参加下进行验收，</w:t>
      </w:r>
      <w:r>
        <w:rPr>
          <w:rFonts w:hint="eastAsia"/>
          <w:sz w:val="24"/>
          <w:szCs w:val="24"/>
          <w:highlight w:val="none"/>
          <w:lang w:val="en-US" w:eastAsia="zh-CN"/>
        </w:rPr>
        <w:t>采购</w:t>
      </w:r>
      <w:r>
        <w:rPr>
          <w:rFonts w:hint="eastAsia"/>
          <w:sz w:val="24"/>
          <w:szCs w:val="24"/>
          <w:highlight w:val="none"/>
        </w:rPr>
        <w:t>文件、报价文件、合同、厂家货物技术标准说明及国家有关的质量和环保标准规定，均为验收依据。验收过程所发生的一切费用由乙方承担，并签署项目验收报告</w:t>
      </w:r>
      <w:r>
        <w:rPr>
          <w:rFonts w:hint="eastAsia"/>
          <w:bCs/>
          <w:sz w:val="24"/>
          <w:szCs w:val="24"/>
          <w:highlight w:val="none"/>
        </w:rPr>
        <w:t>。</w:t>
      </w:r>
    </w:p>
    <w:p w14:paraId="4FE0C1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（二）</w:t>
      </w:r>
      <w:r>
        <w:rPr>
          <w:rFonts w:hint="eastAsia"/>
          <w:sz w:val="24"/>
          <w:szCs w:val="24"/>
          <w:highlight w:val="none"/>
          <w:lang w:eastAsia="zh-CN"/>
        </w:rPr>
        <w:t>材料</w:t>
      </w:r>
      <w:r>
        <w:rPr>
          <w:rFonts w:hint="eastAsia"/>
          <w:sz w:val="24"/>
          <w:szCs w:val="24"/>
          <w:highlight w:val="none"/>
        </w:rPr>
        <w:t>的包装</w:t>
      </w:r>
      <w:r>
        <w:rPr>
          <w:rFonts w:hint="eastAsia"/>
          <w:sz w:val="24"/>
          <w:szCs w:val="24"/>
          <w:highlight w:val="none"/>
          <w:lang w:val="en-US" w:eastAsia="zh-CN"/>
        </w:rPr>
        <w:t>应满足附件2《东莞市海心沙资源综合利用中心环保热电厂3号线低温SCR脱硝催化技术服务采购项目技术需求书》，</w:t>
      </w:r>
      <w:r>
        <w:rPr>
          <w:rFonts w:hint="eastAsia"/>
          <w:sz w:val="24"/>
          <w:szCs w:val="24"/>
          <w:highlight w:val="none"/>
        </w:rPr>
        <w:t>均应有良好的防湿、防锈、防潮、防雨、防腐及防碰撞的措施，</w:t>
      </w:r>
      <w:r>
        <w:rPr>
          <w:rFonts w:hint="eastAsia"/>
          <w:bCs/>
          <w:sz w:val="24"/>
          <w:szCs w:val="24"/>
          <w:highlight w:val="none"/>
        </w:rPr>
        <w:t>在正常情况下能够保证</w:t>
      </w:r>
      <w:r>
        <w:rPr>
          <w:rFonts w:hint="eastAsia"/>
          <w:bCs/>
          <w:sz w:val="24"/>
          <w:szCs w:val="24"/>
          <w:highlight w:val="none"/>
          <w:lang w:eastAsia="zh-CN"/>
        </w:rPr>
        <w:t>材料</w:t>
      </w:r>
      <w:r>
        <w:rPr>
          <w:rFonts w:hint="eastAsia"/>
          <w:bCs/>
          <w:sz w:val="24"/>
          <w:szCs w:val="24"/>
          <w:highlight w:val="none"/>
        </w:rPr>
        <w:t>的完好</w:t>
      </w:r>
      <w:r>
        <w:rPr>
          <w:rFonts w:hint="eastAsia"/>
          <w:sz w:val="24"/>
          <w:szCs w:val="24"/>
          <w:highlight w:val="none"/>
        </w:rPr>
        <w:t>。凡由于包装不良造成的损失和由此产生的费用均由乙方承担。</w:t>
      </w:r>
    </w:p>
    <w:p w14:paraId="260667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（三）验收按国家有关的规定、规范进行。验收时如发现</w:t>
      </w:r>
      <w:r>
        <w:rPr>
          <w:rFonts w:hint="eastAsia"/>
          <w:sz w:val="24"/>
          <w:szCs w:val="24"/>
          <w:highlight w:val="none"/>
          <w:lang w:val="en-US" w:eastAsia="zh-CN"/>
        </w:rPr>
        <w:t>乙方</w:t>
      </w:r>
      <w:r>
        <w:rPr>
          <w:rFonts w:hint="eastAsia"/>
          <w:sz w:val="24"/>
          <w:szCs w:val="24"/>
          <w:highlight w:val="none"/>
        </w:rPr>
        <w:t>所交付的</w:t>
      </w:r>
      <w:r>
        <w:rPr>
          <w:rFonts w:hint="eastAsia"/>
          <w:sz w:val="24"/>
          <w:szCs w:val="24"/>
          <w:highlight w:val="none"/>
          <w:lang w:val="en-US" w:eastAsia="zh-CN"/>
        </w:rPr>
        <w:t>材料存在任何质量问题</w:t>
      </w:r>
      <w:r>
        <w:rPr>
          <w:rFonts w:hint="eastAsia"/>
          <w:sz w:val="24"/>
          <w:szCs w:val="24"/>
          <w:highlight w:val="none"/>
        </w:rPr>
        <w:t>或不符合国家有关的规定、规范、行业标准或其它不符合本合同规定之情形者，甲方有权要求乙方立即予以更换或退货。如甲方选择更换的，乙方应在</w:t>
      </w:r>
      <w:r>
        <w:rPr>
          <w:sz w:val="24"/>
          <w:szCs w:val="24"/>
          <w:highlight w:val="none"/>
        </w:rPr>
        <w:t>10</w:t>
      </w:r>
      <w:r>
        <w:rPr>
          <w:rFonts w:hint="eastAsia"/>
          <w:sz w:val="24"/>
          <w:szCs w:val="24"/>
          <w:highlight w:val="none"/>
        </w:rPr>
        <w:t>个日历</w:t>
      </w:r>
      <w:r>
        <w:rPr>
          <w:rFonts w:hint="eastAsia"/>
          <w:sz w:val="24"/>
          <w:szCs w:val="24"/>
          <w:highlight w:val="none"/>
          <w:lang w:val="en-US" w:eastAsia="zh-CN"/>
        </w:rPr>
        <w:t>日</w:t>
      </w:r>
      <w:r>
        <w:rPr>
          <w:rFonts w:hint="eastAsia"/>
          <w:sz w:val="24"/>
          <w:szCs w:val="24"/>
          <w:highlight w:val="none"/>
        </w:rPr>
        <w:t>内更换，并且承担甲方由此产生的费用或损失，逾期则按照第六条第（一）款向甲方承担违约责任。如甲方选择退货的，甲方无须向乙方支付任何费用，并有权要求乙方支付合同总金额</w:t>
      </w:r>
      <w:r>
        <w:rPr>
          <w:sz w:val="24"/>
          <w:szCs w:val="24"/>
          <w:highlight w:val="none"/>
        </w:rPr>
        <w:t>20%</w:t>
      </w:r>
      <w:r>
        <w:rPr>
          <w:rFonts w:hint="eastAsia"/>
          <w:sz w:val="24"/>
          <w:szCs w:val="24"/>
          <w:highlight w:val="none"/>
        </w:rPr>
        <w:t>的违约金，违约金不足以赔偿因此给甲方造成的损失的，甲方有权另行追偿。</w:t>
      </w:r>
    </w:p>
    <w:p w14:paraId="70AACA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（四）</w:t>
      </w:r>
      <w:r>
        <w:rPr>
          <w:rFonts w:hint="eastAsia"/>
          <w:sz w:val="24"/>
          <w:szCs w:val="24"/>
          <w:highlight w:val="none"/>
          <w:lang w:val="en-US" w:eastAsia="zh-CN"/>
        </w:rPr>
        <w:t>材料</w:t>
      </w:r>
      <w:r>
        <w:rPr>
          <w:rFonts w:hint="eastAsia"/>
          <w:sz w:val="24"/>
          <w:szCs w:val="24"/>
          <w:highlight w:val="none"/>
        </w:rPr>
        <w:t>在验收后，如因质量</w:t>
      </w:r>
      <w:r>
        <w:rPr>
          <w:rFonts w:hint="eastAsia"/>
          <w:sz w:val="24"/>
          <w:szCs w:val="24"/>
          <w:highlight w:val="none"/>
          <w:lang w:val="en-US" w:eastAsia="zh-CN"/>
        </w:rPr>
        <w:t>或安装</w:t>
      </w:r>
      <w:r>
        <w:rPr>
          <w:rFonts w:hint="eastAsia"/>
          <w:sz w:val="24"/>
          <w:szCs w:val="24"/>
          <w:highlight w:val="none"/>
        </w:rPr>
        <w:t>问题导致在使用过程中损坏而无法正常使用，经甲乙双方确认为质量问题后，甲方有权要求乙方立即予以更换或退货。如甲方选择更换的，乙方应在</w:t>
      </w:r>
      <w:r>
        <w:rPr>
          <w:sz w:val="24"/>
          <w:szCs w:val="24"/>
          <w:highlight w:val="none"/>
        </w:rPr>
        <w:t>3</w:t>
      </w:r>
      <w:r>
        <w:rPr>
          <w:rFonts w:hint="eastAsia"/>
          <w:sz w:val="24"/>
          <w:szCs w:val="24"/>
          <w:highlight w:val="none"/>
        </w:rPr>
        <w:t>个日历</w:t>
      </w:r>
      <w:r>
        <w:rPr>
          <w:rFonts w:hint="eastAsia"/>
          <w:sz w:val="24"/>
          <w:szCs w:val="24"/>
          <w:highlight w:val="none"/>
          <w:lang w:val="en-US" w:eastAsia="zh-CN"/>
        </w:rPr>
        <w:t>日</w:t>
      </w:r>
      <w:r>
        <w:rPr>
          <w:rFonts w:hint="eastAsia"/>
          <w:sz w:val="24"/>
          <w:szCs w:val="24"/>
          <w:highlight w:val="none"/>
        </w:rPr>
        <w:t>内更换，并且承担甲方由此产生的费用或损失，逾期则按照第六条第（一）款向甲方承担违约责任。如甲方选择退货的，甲方无须向乙方支付任何费用，并有权要求乙方退还已支付的费用，同时支付合同总金额</w:t>
      </w:r>
      <w:r>
        <w:rPr>
          <w:sz w:val="24"/>
          <w:szCs w:val="24"/>
          <w:highlight w:val="none"/>
        </w:rPr>
        <w:t>20%</w:t>
      </w:r>
      <w:r>
        <w:rPr>
          <w:rFonts w:hint="eastAsia"/>
          <w:sz w:val="24"/>
          <w:szCs w:val="24"/>
          <w:highlight w:val="none"/>
        </w:rPr>
        <w:t>的违约金，违约金不足以赔偿因此给甲方造成的损失的，甲方有权另行追偿。如甲乙双方对</w:t>
      </w:r>
      <w:r>
        <w:rPr>
          <w:rFonts w:hint="eastAsia"/>
          <w:sz w:val="24"/>
          <w:szCs w:val="24"/>
          <w:highlight w:val="none"/>
          <w:lang w:eastAsia="zh-CN"/>
        </w:rPr>
        <w:t>材料</w:t>
      </w:r>
      <w:r>
        <w:rPr>
          <w:rFonts w:hint="eastAsia"/>
          <w:sz w:val="24"/>
          <w:szCs w:val="24"/>
          <w:highlight w:val="none"/>
        </w:rPr>
        <w:t>是否存在质量问题无法达成一致的，甲方有权聘请第三方机构进行检测，检测费用由乙方承担。</w:t>
      </w:r>
    </w:p>
    <w:p w14:paraId="2A6839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（五）</w:t>
      </w:r>
      <w:r>
        <w:rPr>
          <w:rFonts w:hint="eastAsia"/>
          <w:sz w:val="24"/>
          <w:szCs w:val="24"/>
          <w:highlight w:val="none"/>
          <w:lang w:eastAsia="zh-CN"/>
        </w:rPr>
        <w:t>材料</w:t>
      </w:r>
      <w:r>
        <w:rPr>
          <w:rFonts w:hint="eastAsia"/>
          <w:sz w:val="24"/>
          <w:szCs w:val="24"/>
          <w:highlight w:val="none"/>
        </w:rPr>
        <w:t>必须具备出厂合格证，乙方保证合同</w:t>
      </w:r>
      <w:r>
        <w:rPr>
          <w:rFonts w:hint="eastAsia"/>
          <w:sz w:val="24"/>
          <w:szCs w:val="24"/>
          <w:highlight w:val="none"/>
          <w:lang w:eastAsia="zh-CN"/>
        </w:rPr>
        <w:t>材料</w:t>
      </w:r>
      <w:r>
        <w:rPr>
          <w:rFonts w:hint="eastAsia"/>
          <w:sz w:val="24"/>
          <w:szCs w:val="24"/>
          <w:highlight w:val="none"/>
        </w:rPr>
        <w:t>是全新、未曾使用过的，其质量、规格及技术特征符合合同附件2《</w:t>
      </w:r>
      <w:r>
        <w:rPr>
          <w:rFonts w:hint="eastAsia"/>
          <w:sz w:val="24"/>
          <w:szCs w:val="24"/>
          <w:highlight w:val="none"/>
          <w:lang w:eastAsia="zh-CN"/>
        </w:rPr>
        <w:t>东莞市海心沙资源综合利用中心环保热电厂3号线低温SCR脱硝催化技术服务采购项目</w:t>
      </w:r>
      <w:r>
        <w:rPr>
          <w:rFonts w:hint="eastAsia"/>
          <w:sz w:val="24"/>
          <w:szCs w:val="24"/>
          <w:highlight w:val="none"/>
        </w:rPr>
        <w:t>技术需求书》的要求</w:t>
      </w:r>
      <w:r>
        <w:rPr>
          <w:rFonts w:hint="eastAsia"/>
          <w:sz w:val="24"/>
          <w:szCs w:val="24"/>
          <w:highlight w:val="none"/>
          <w:lang w:eastAsia="zh-CN"/>
        </w:rPr>
        <w:t>，</w:t>
      </w:r>
      <w:r>
        <w:rPr>
          <w:rFonts w:hint="eastAsia"/>
          <w:sz w:val="24"/>
          <w:szCs w:val="24"/>
          <w:highlight w:val="none"/>
          <w:lang w:val="en-US" w:eastAsia="zh-CN"/>
        </w:rPr>
        <w:t>乙方严禁提供假冒伪劣、盗版、山寨、仿冒或产权不明等不合格材料</w:t>
      </w:r>
      <w:r>
        <w:rPr>
          <w:rFonts w:hint="eastAsia"/>
          <w:sz w:val="24"/>
          <w:szCs w:val="24"/>
          <w:highlight w:val="none"/>
        </w:rPr>
        <w:t>。否则，甲方有权要求乙方立即予以更换或退货。如甲方选择更换的，乙方应在</w:t>
      </w:r>
      <w:r>
        <w:rPr>
          <w:sz w:val="24"/>
          <w:szCs w:val="24"/>
          <w:highlight w:val="none"/>
        </w:rPr>
        <w:t>10</w:t>
      </w:r>
      <w:r>
        <w:rPr>
          <w:rFonts w:hint="eastAsia"/>
          <w:sz w:val="24"/>
          <w:szCs w:val="24"/>
          <w:highlight w:val="none"/>
        </w:rPr>
        <w:t>个日历</w:t>
      </w:r>
      <w:r>
        <w:rPr>
          <w:rFonts w:hint="eastAsia"/>
          <w:sz w:val="24"/>
          <w:szCs w:val="24"/>
          <w:highlight w:val="none"/>
          <w:lang w:val="en-US" w:eastAsia="zh-CN"/>
        </w:rPr>
        <w:t>日</w:t>
      </w:r>
      <w:r>
        <w:rPr>
          <w:rFonts w:hint="eastAsia"/>
          <w:sz w:val="24"/>
          <w:szCs w:val="24"/>
          <w:highlight w:val="none"/>
        </w:rPr>
        <w:t>内更换，并且承担甲方由此产生的费用或损失，逾期则按照第六条第（一）款向甲方承担违约责任。如甲方选择退货的，甲方无须向乙方支付任何费用，并有权要求乙方支付合同总金额</w:t>
      </w:r>
      <w:r>
        <w:rPr>
          <w:sz w:val="24"/>
          <w:szCs w:val="24"/>
          <w:highlight w:val="none"/>
        </w:rPr>
        <w:t>20%</w:t>
      </w:r>
      <w:r>
        <w:rPr>
          <w:rFonts w:hint="eastAsia"/>
          <w:sz w:val="24"/>
          <w:szCs w:val="24"/>
          <w:highlight w:val="none"/>
        </w:rPr>
        <w:t>的违约金，违约金不足以赔偿因此给甲方造成的损失的，甲方有权另行追偿。</w:t>
      </w:r>
    </w:p>
    <w:p w14:paraId="606F93E4">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sz w:val="24"/>
          <w:szCs w:val="24"/>
          <w:highlight w:val="none"/>
        </w:rPr>
      </w:pPr>
      <w:r>
        <w:rPr>
          <w:rFonts w:hint="eastAsia"/>
          <w:sz w:val="24"/>
          <w:szCs w:val="24"/>
          <w:highlight w:val="none"/>
        </w:rPr>
        <w:t>（六）</w:t>
      </w:r>
      <w:r>
        <w:rPr>
          <w:rFonts w:hint="eastAsia"/>
          <w:sz w:val="24"/>
          <w:szCs w:val="24"/>
          <w:highlight w:val="none"/>
          <w:lang w:eastAsia="zh-CN"/>
        </w:rPr>
        <w:t>材料</w:t>
      </w:r>
      <w:r>
        <w:rPr>
          <w:rFonts w:hint="eastAsia"/>
          <w:sz w:val="24"/>
          <w:szCs w:val="24"/>
          <w:highlight w:val="none"/>
        </w:rPr>
        <w:t>的样式、外观情况</w:t>
      </w:r>
      <w:r>
        <w:rPr>
          <w:rFonts w:hint="eastAsia"/>
          <w:sz w:val="24"/>
          <w:szCs w:val="24"/>
          <w:highlight w:val="none"/>
          <w:lang w:eastAsia="zh-CN"/>
        </w:rPr>
        <w:t>、</w:t>
      </w:r>
      <w:r>
        <w:rPr>
          <w:rFonts w:hint="eastAsia"/>
          <w:sz w:val="24"/>
          <w:szCs w:val="24"/>
          <w:highlight w:val="none"/>
        </w:rPr>
        <w:t>材质等</w:t>
      </w:r>
      <w:r>
        <w:rPr>
          <w:rFonts w:hint="eastAsia"/>
          <w:sz w:val="24"/>
          <w:szCs w:val="24"/>
          <w:highlight w:val="none"/>
          <w:lang w:val="en-US" w:eastAsia="zh-CN"/>
        </w:rPr>
        <w:t>应</w:t>
      </w:r>
      <w:r>
        <w:rPr>
          <w:rFonts w:hint="eastAsia"/>
          <w:sz w:val="24"/>
          <w:szCs w:val="24"/>
          <w:highlight w:val="none"/>
        </w:rPr>
        <w:t>符合甲方要求</w:t>
      </w:r>
      <w:r>
        <w:rPr>
          <w:rFonts w:hint="eastAsia"/>
          <w:sz w:val="24"/>
          <w:szCs w:val="24"/>
          <w:highlight w:val="none"/>
          <w:lang w:val="en-US" w:eastAsia="zh-CN"/>
        </w:rPr>
        <w:t>及</w:t>
      </w:r>
      <w:r>
        <w:rPr>
          <w:rFonts w:hint="eastAsia"/>
          <w:sz w:val="24"/>
          <w:szCs w:val="24"/>
          <w:highlight w:val="none"/>
        </w:rPr>
        <w:t>国家或行业相关标准，且均为合格产品。</w:t>
      </w:r>
    </w:p>
    <w:p w14:paraId="35F2DD1E">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eastAsia="宋体"/>
          <w:sz w:val="24"/>
          <w:szCs w:val="24"/>
          <w:highlight w:val="none"/>
          <w:lang w:val="en-US" w:eastAsia="zh-CN"/>
        </w:rPr>
      </w:pPr>
      <w:r>
        <w:rPr>
          <w:rFonts w:hint="eastAsia"/>
          <w:sz w:val="24"/>
          <w:szCs w:val="24"/>
          <w:highlight w:val="none"/>
        </w:rPr>
        <w:t>（七）</w:t>
      </w:r>
      <w:r>
        <w:rPr>
          <w:rFonts w:hint="eastAsia"/>
          <w:sz w:val="24"/>
          <w:szCs w:val="24"/>
          <w:highlight w:val="none"/>
          <w:lang w:val="en-US" w:eastAsia="zh-CN"/>
        </w:rPr>
        <w:t>乙方在甲方现场交货、拆除、安装、调试过程中必须遵守甲方的安全管理制度，为现场服务人员购买工伤及保额不低于120万/人的人身意外伤害保险，保险费用由乙方自行承担。如服务期间造成甲方或第三方财产损失或人身损伤的，乙方承担全部赔偿责任。乙方服务期间非因甲方原因导致的自身的损失及人员伤亡责任由乙方自行负责。</w:t>
      </w:r>
    </w:p>
    <w:p w14:paraId="1BE8AF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Cs/>
          <w:sz w:val="24"/>
          <w:szCs w:val="24"/>
          <w:highlight w:val="none"/>
        </w:rPr>
      </w:pPr>
      <w:r>
        <w:rPr>
          <w:rFonts w:hint="eastAsia"/>
          <w:sz w:val="24"/>
          <w:szCs w:val="24"/>
          <w:highlight w:val="none"/>
          <w:lang w:eastAsia="zh-CN"/>
        </w:rPr>
        <w:t>（</w:t>
      </w:r>
      <w:r>
        <w:rPr>
          <w:rFonts w:hint="eastAsia"/>
          <w:sz w:val="24"/>
          <w:szCs w:val="24"/>
          <w:highlight w:val="none"/>
          <w:lang w:val="en-US" w:eastAsia="zh-CN"/>
        </w:rPr>
        <w:t>八）</w:t>
      </w:r>
      <w:r>
        <w:rPr>
          <w:rFonts w:hint="eastAsia"/>
          <w:sz w:val="24"/>
          <w:szCs w:val="24"/>
          <w:highlight w:val="none"/>
        </w:rPr>
        <w:t>乙方所提供</w:t>
      </w:r>
      <w:r>
        <w:rPr>
          <w:rFonts w:hint="eastAsia"/>
          <w:sz w:val="24"/>
          <w:szCs w:val="24"/>
          <w:highlight w:val="none"/>
          <w:lang w:eastAsia="zh-CN"/>
        </w:rPr>
        <w:t>材料</w:t>
      </w:r>
      <w:r>
        <w:rPr>
          <w:rFonts w:hint="eastAsia"/>
          <w:sz w:val="24"/>
          <w:szCs w:val="24"/>
          <w:highlight w:val="none"/>
        </w:rPr>
        <w:t>的规格、样式必须经甲方书面确认后进行供货，否则视为不合格</w:t>
      </w:r>
      <w:r>
        <w:rPr>
          <w:rFonts w:hint="eastAsia"/>
          <w:sz w:val="24"/>
          <w:szCs w:val="24"/>
          <w:highlight w:val="none"/>
          <w:lang w:eastAsia="zh-CN"/>
        </w:rPr>
        <w:t>材料</w:t>
      </w:r>
      <w:r>
        <w:rPr>
          <w:rFonts w:hint="eastAsia"/>
          <w:sz w:val="24"/>
          <w:szCs w:val="24"/>
          <w:highlight w:val="none"/>
        </w:rPr>
        <w:t>予以退货，因此造成的任何损失由乙方承担。</w:t>
      </w:r>
      <w:r>
        <w:rPr>
          <w:rFonts w:hint="eastAsia"/>
          <w:bCs/>
          <w:sz w:val="24"/>
          <w:szCs w:val="24"/>
          <w:highlight w:val="none"/>
        </w:rPr>
        <w:t>如甲方对</w:t>
      </w:r>
      <w:r>
        <w:rPr>
          <w:rFonts w:hint="eastAsia"/>
          <w:bCs/>
          <w:sz w:val="24"/>
          <w:szCs w:val="24"/>
          <w:highlight w:val="none"/>
          <w:lang w:eastAsia="zh-CN"/>
        </w:rPr>
        <w:t>材料</w:t>
      </w:r>
      <w:r>
        <w:rPr>
          <w:rFonts w:hint="eastAsia"/>
          <w:bCs/>
          <w:sz w:val="24"/>
          <w:szCs w:val="24"/>
          <w:highlight w:val="none"/>
        </w:rPr>
        <w:t>的采购数量及款式作适当调整，</w:t>
      </w:r>
      <w:r>
        <w:rPr>
          <w:rFonts w:hint="eastAsia"/>
          <w:sz w:val="24"/>
          <w:szCs w:val="24"/>
          <w:highlight w:val="none"/>
        </w:rPr>
        <w:t>乙方</w:t>
      </w:r>
      <w:r>
        <w:rPr>
          <w:rFonts w:hint="eastAsia"/>
          <w:bCs/>
          <w:sz w:val="24"/>
          <w:szCs w:val="24"/>
          <w:highlight w:val="none"/>
        </w:rPr>
        <w:t>在本项目</w:t>
      </w:r>
      <w:r>
        <w:rPr>
          <w:rFonts w:hint="eastAsia"/>
          <w:bCs/>
          <w:sz w:val="24"/>
          <w:szCs w:val="24"/>
          <w:highlight w:val="none"/>
          <w:lang w:eastAsia="zh-CN"/>
        </w:rPr>
        <w:t>材料</w:t>
      </w:r>
      <w:r>
        <w:rPr>
          <w:rFonts w:hint="eastAsia"/>
          <w:bCs/>
          <w:sz w:val="24"/>
          <w:szCs w:val="24"/>
          <w:highlight w:val="none"/>
        </w:rPr>
        <w:t>未着手制作前应当予以配合并作相应变更，如乙方已着手制作，可由甲乙双方另行协商。</w:t>
      </w:r>
    </w:p>
    <w:p w14:paraId="1C551FC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Cs/>
          <w:sz w:val="24"/>
          <w:szCs w:val="24"/>
          <w:highlight w:val="none"/>
        </w:rPr>
      </w:pPr>
      <w:r>
        <w:rPr>
          <w:rFonts w:hint="eastAsia"/>
          <w:sz w:val="24"/>
          <w:szCs w:val="24"/>
          <w:highlight w:val="none"/>
        </w:rPr>
        <w:t>（</w:t>
      </w:r>
      <w:r>
        <w:rPr>
          <w:rFonts w:hint="eastAsia"/>
          <w:sz w:val="24"/>
          <w:szCs w:val="24"/>
          <w:highlight w:val="none"/>
          <w:lang w:val="en-US" w:eastAsia="zh-CN"/>
        </w:rPr>
        <w:t>九</w:t>
      </w:r>
      <w:r>
        <w:rPr>
          <w:rFonts w:hint="eastAsia"/>
          <w:sz w:val="24"/>
          <w:szCs w:val="24"/>
          <w:highlight w:val="none"/>
        </w:rPr>
        <w:t>）如</w:t>
      </w:r>
      <w:r>
        <w:rPr>
          <w:rFonts w:hint="eastAsia"/>
          <w:sz w:val="24"/>
          <w:szCs w:val="24"/>
          <w:highlight w:val="none"/>
          <w:lang w:eastAsia="zh-CN"/>
        </w:rPr>
        <w:t>材料</w:t>
      </w:r>
      <w:r>
        <w:rPr>
          <w:rFonts w:hint="eastAsia"/>
          <w:bCs/>
          <w:sz w:val="24"/>
          <w:szCs w:val="24"/>
          <w:highlight w:val="none"/>
        </w:rPr>
        <w:t>随附装箱清单、质量合格证明书、</w:t>
      </w:r>
      <w:r>
        <w:rPr>
          <w:rFonts w:hint="eastAsia"/>
          <w:sz w:val="24"/>
          <w:szCs w:val="24"/>
          <w:highlight w:val="none"/>
        </w:rPr>
        <w:t>图纸资料、技术文件、</w:t>
      </w:r>
      <w:r>
        <w:rPr>
          <w:rFonts w:hint="eastAsia"/>
          <w:bCs/>
          <w:sz w:val="24"/>
          <w:szCs w:val="24"/>
          <w:highlight w:val="none"/>
        </w:rPr>
        <w:t>检测报告</w:t>
      </w:r>
      <w:r>
        <w:rPr>
          <w:rFonts w:hint="eastAsia"/>
          <w:sz w:val="24"/>
          <w:szCs w:val="24"/>
          <w:highlight w:val="none"/>
        </w:rPr>
        <w:t>等</w:t>
      </w:r>
      <w:r>
        <w:rPr>
          <w:rFonts w:hint="eastAsia"/>
          <w:bCs/>
          <w:sz w:val="24"/>
          <w:szCs w:val="24"/>
          <w:highlight w:val="none"/>
        </w:rPr>
        <w:t>文件</w:t>
      </w:r>
      <w:r>
        <w:rPr>
          <w:rFonts w:hint="eastAsia"/>
          <w:sz w:val="24"/>
          <w:szCs w:val="24"/>
          <w:highlight w:val="none"/>
        </w:rPr>
        <w:t>资</w:t>
      </w:r>
      <w:r>
        <w:rPr>
          <w:rFonts w:hint="eastAsia"/>
          <w:bCs/>
          <w:sz w:val="24"/>
          <w:szCs w:val="24"/>
          <w:highlight w:val="none"/>
        </w:rPr>
        <w:t>料的，乙方应于交货时一并交付该等文件资料，并且确保该等资料有相应的、能够保证文件完好的包封。供货时</w:t>
      </w:r>
      <w:r>
        <w:rPr>
          <w:rFonts w:hint="eastAsia"/>
          <w:bCs/>
          <w:sz w:val="24"/>
          <w:szCs w:val="24"/>
          <w:highlight w:val="none"/>
          <w:lang w:val="en-US" w:eastAsia="zh-CN"/>
        </w:rPr>
        <w:t>乙方</w:t>
      </w:r>
      <w:r>
        <w:rPr>
          <w:rFonts w:hint="eastAsia"/>
          <w:bCs/>
          <w:sz w:val="24"/>
          <w:szCs w:val="24"/>
          <w:highlight w:val="none"/>
        </w:rPr>
        <w:t>有义务配合</w:t>
      </w:r>
      <w:r>
        <w:rPr>
          <w:rFonts w:hint="eastAsia"/>
          <w:bCs/>
          <w:sz w:val="24"/>
          <w:szCs w:val="24"/>
          <w:highlight w:val="none"/>
          <w:lang w:val="en-US" w:eastAsia="zh-CN"/>
        </w:rPr>
        <w:t>甲方</w:t>
      </w:r>
      <w:r>
        <w:rPr>
          <w:rFonts w:hint="eastAsia"/>
          <w:bCs/>
          <w:sz w:val="24"/>
          <w:szCs w:val="24"/>
          <w:highlight w:val="none"/>
        </w:rPr>
        <w:t>进行</w:t>
      </w:r>
      <w:r>
        <w:rPr>
          <w:rFonts w:hint="eastAsia"/>
          <w:bCs/>
          <w:sz w:val="24"/>
          <w:szCs w:val="24"/>
          <w:highlight w:val="none"/>
          <w:lang w:val="en-US" w:eastAsia="zh-CN"/>
        </w:rPr>
        <w:t>材料</w:t>
      </w:r>
      <w:r>
        <w:rPr>
          <w:rFonts w:hint="eastAsia"/>
          <w:bCs/>
          <w:sz w:val="24"/>
          <w:szCs w:val="24"/>
          <w:highlight w:val="none"/>
        </w:rPr>
        <w:t>真伪验证（供货时出具合格有效的出厂证明、合格证、检测证明等相关文件）。</w:t>
      </w:r>
    </w:p>
    <w:p w14:paraId="038FFC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bCs/>
          <w:sz w:val="24"/>
          <w:szCs w:val="24"/>
          <w:highlight w:val="none"/>
        </w:rPr>
      </w:pPr>
      <w:r>
        <w:rPr>
          <w:rFonts w:hint="eastAsia"/>
          <w:bCs/>
          <w:sz w:val="24"/>
          <w:szCs w:val="24"/>
          <w:highlight w:val="none"/>
        </w:rPr>
        <w:t>（</w:t>
      </w:r>
      <w:r>
        <w:rPr>
          <w:rFonts w:hint="eastAsia"/>
          <w:bCs/>
          <w:sz w:val="24"/>
          <w:szCs w:val="24"/>
          <w:highlight w:val="none"/>
          <w:lang w:val="en-US" w:eastAsia="zh-CN"/>
        </w:rPr>
        <w:t>十</w:t>
      </w:r>
      <w:r>
        <w:rPr>
          <w:rFonts w:hint="eastAsia"/>
          <w:bCs/>
          <w:sz w:val="24"/>
          <w:szCs w:val="24"/>
          <w:highlight w:val="none"/>
        </w:rPr>
        <w:t>）对于有规定有效期的</w:t>
      </w:r>
      <w:r>
        <w:rPr>
          <w:rFonts w:hint="eastAsia"/>
          <w:bCs/>
          <w:sz w:val="24"/>
          <w:szCs w:val="24"/>
          <w:highlight w:val="none"/>
          <w:lang w:val="en-US" w:eastAsia="zh-CN"/>
        </w:rPr>
        <w:t>材料</w:t>
      </w:r>
      <w:r>
        <w:rPr>
          <w:rFonts w:hint="eastAsia"/>
          <w:bCs/>
          <w:sz w:val="24"/>
          <w:szCs w:val="24"/>
          <w:highlight w:val="none"/>
        </w:rPr>
        <w:t>（须注明出厂日期），乙方所提供的</w:t>
      </w:r>
      <w:r>
        <w:rPr>
          <w:rFonts w:hint="eastAsia"/>
          <w:bCs/>
          <w:sz w:val="24"/>
          <w:szCs w:val="24"/>
          <w:highlight w:val="none"/>
          <w:lang w:val="en-US" w:eastAsia="zh-CN"/>
        </w:rPr>
        <w:t>材料</w:t>
      </w:r>
      <w:r>
        <w:rPr>
          <w:rFonts w:hint="eastAsia"/>
          <w:bCs/>
          <w:sz w:val="24"/>
          <w:szCs w:val="24"/>
          <w:highlight w:val="none"/>
        </w:rPr>
        <w:t>必须在有效期内，且质保期</w:t>
      </w:r>
      <w:r>
        <w:rPr>
          <w:rFonts w:hint="eastAsia"/>
          <w:bCs/>
          <w:sz w:val="24"/>
          <w:szCs w:val="24"/>
          <w:highlight w:val="none"/>
          <w:lang w:val="en-US" w:eastAsia="zh-CN"/>
        </w:rPr>
        <w:t>须大于或等于本项目服务期</w:t>
      </w:r>
      <w:r>
        <w:rPr>
          <w:rFonts w:hint="eastAsia"/>
          <w:bCs/>
          <w:sz w:val="24"/>
          <w:szCs w:val="24"/>
          <w:highlight w:val="none"/>
        </w:rPr>
        <w:t>。</w:t>
      </w:r>
    </w:p>
    <w:p w14:paraId="76E7A8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bCs/>
          <w:sz w:val="24"/>
          <w:szCs w:val="24"/>
          <w:highlight w:val="none"/>
          <w:lang w:eastAsia="zh-CN"/>
        </w:rPr>
        <w:t>（</w:t>
      </w:r>
      <w:r>
        <w:rPr>
          <w:rFonts w:hint="eastAsia"/>
          <w:bCs/>
          <w:sz w:val="24"/>
          <w:szCs w:val="24"/>
          <w:highlight w:val="none"/>
          <w:lang w:val="en-US" w:eastAsia="zh-CN"/>
        </w:rPr>
        <w:t>十一）乙方提供的</w:t>
      </w:r>
      <w:r>
        <w:rPr>
          <w:rFonts w:hint="eastAsia"/>
          <w:bCs/>
          <w:sz w:val="24"/>
          <w:szCs w:val="24"/>
          <w:highlight w:val="none"/>
        </w:rPr>
        <w:t>所有</w:t>
      </w:r>
      <w:r>
        <w:rPr>
          <w:rFonts w:hint="eastAsia"/>
          <w:bCs/>
          <w:sz w:val="24"/>
          <w:szCs w:val="24"/>
          <w:highlight w:val="none"/>
          <w:lang w:val="en-US" w:eastAsia="zh-CN"/>
        </w:rPr>
        <w:t>材料</w:t>
      </w:r>
      <w:r>
        <w:rPr>
          <w:rFonts w:hint="eastAsia"/>
          <w:bCs/>
          <w:sz w:val="24"/>
          <w:szCs w:val="24"/>
          <w:highlight w:val="none"/>
        </w:rPr>
        <w:t>均</w:t>
      </w:r>
      <w:r>
        <w:rPr>
          <w:rFonts w:hint="eastAsia"/>
          <w:bCs/>
          <w:sz w:val="24"/>
          <w:szCs w:val="24"/>
          <w:highlight w:val="none"/>
          <w:lang w:val="en-US" w:eastAsia="zh-CN"/>
        </w:rPr>
        <w:t>应</w:t>
      </w:r>
      <w:r>
        <w:rPr>
          <w:rFonts w:hint="eastAsia"/>
          <w:bCs/>
          <w:sz w:val="24"/>
          <w:szCs w:val="24"/>
          <w:highlight w:val="none"/>
        </w:rPr>
        <w:t>符合技术需求书内的品牌</w:t>
      </w:r>
      <w:r>
        <w:rPr>
          <w:bCs/>
          <w:sz w:val="24"/>
          <w:szCs w:val="24"/>
          <w:highlight w:val="none"/>
        </w:rPr>
        <w:t>/</w:t>
      </w:r>
      <w:r>
        <w:rPr>
          <w:rFonts w:hint="eastAsia"/>
          <w:bCs/>
          <w:sz w:val="24"/>
          <w:szCs w:val="24"/>
          <w:highlight w:val="none"/>
        </w:rPr>
        <w:t>规格</w:t>
      </w:r>
      <w:r>
        <w:rPr>
          <w:bCs/>
          <w:sz w:val="24"/>
          <w:szCs w:val="24"/>
          <w:highlight w:val="none"/>
        </w:rPr>
        <w:t>/</w:t>
      </w:r>
      <w:r>
        <w:rPr>
          <w:rFonts w:hint="eastAsia"/>
          <w:bCs/>
          <w:sz w:val="24"/>
          <w:szCs w:val="24"/>
          <w:highlight w:val="none"/>
        </w:rPr>
        <w:t>型号标准，并且来源合法</w:t>
      </w:r>
      <w:r>
        <w:rPr>
          <w:rFonts w:hint="eastAsia"/>
          <w:sz w:val="24"/>
          <w:szCs w:val="24"/>
          <w:highlight w:val="none"/>
        </w:rPr>
        <w:t>。</w:t>
      </w:r>
    </w:p>
    <w:p w14:paraId="15D21E3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sz w:val="24"/>
          <w:szCs w:val="24"/>
          <w:highlight w:val="none"/>
        </w:rPr>
      </w:pPr>
      <w:bookmarkStart w:id="130" w:name="_Toc8841_WPSOffice_Level1"/>
      <w:r>
        <w:rPr>
          <w:rFonts w:hint="eastAsia"/>
          <w:b/>
          <w:sz w:val="24"/>
          <w:szCs w:val="24"/>
          <w:highlight w:val="none"/>
        </w:rPr>
        <w:t>五、双方义务</w:t>
      </w:r>
      <w:bookmarkEnd w:id="130"/>
    </w:p>
    <w:p w14:paraId="169E24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bookmarkStart w:id="131" w:name="_Toc28030_WPSOffice_Level2"/>
      <w:r>
        <w:rPr>
          <w:sz w:val="24"/>
          <w:szCs w:val="24"/>
          <w:highlight w:val="none"/>
        </w:rPr>
        <w:t>(</w:t>
      </w:r>
      <w:r>
        <w:rPr>
          <w:rFonts w:hint="eastAsia"/>
          <w:sz w:val="24"/>
          <w:szCs w:val="24"/>
          <w:highlight w:val="none"/>
        </w:rPr>
        <w:t>一</w:t>
      </w:r>
      <w:r>
        <w:rPr>
          <w:sz w:val="24"/>
          <w:szCs w:val="24"/>
          <w:highlight w:val="none"/>
        </w:rPr>
        <w:t xml:space="preserve">) </w:t>
      </w:r>
      <w:r>
        <w:rPr>
          <w:rFonts w:hint="eastAsia"/>
          <w:sz w:val="24"/>
          <w:szCs w:val="24"/>
          <w:highlight w:val="none"/>
        </w:rPr>
        <w:t>甲方义务</w:t>
      </w:r>
      <w:bookmarkEnd w:id="131"/>
    </w:p>
    <w:p w14:paraId="7E9006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sz w:val="24"/>
          <w:szCs w:val="24"/>
          <w:highlight w:val="none"/>
        </w:rPr>
        <w:t>1</w:t>
      </w:r>
      <w:r>
        <w:rPr>
          <w:rFonts w:hint="eastAsia"/>
          <w:sz w:val="24"/>
          <w:szCs w:val="24"/>
          <w:highlight w:val="none"/>
        </w:rPr>
        <w:t>、负责按合同规定日期向乙方支付合同款；</w:t>
      </w:r>
    </w:p>
    <w:p w14:paraId="1CB1D8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sz w:val="24"/>
          <w:szCs w:val="24"/>
          <w:highlight w:val="none"/>
        </w:rPr>
        <w:t>2</w:t>
      </w:r>
      <w:r>
        <w:rPr>
          <w:rFonts w:hint="eastAsia"/>
          <w:sz w:val="24"/>
          <w:szCs w:val="24"/>
          <w:highlight w:val="none"/>
        </w:rPr>
        <w:t>、负责</w:t>
      </w:r>
      <w:r>
        <w:rPr>
          <w:rFonts w:hint="eastAsia"/>
          <w:sz w:val="24"/>
          <w:szCs w:val="24"/>
          <w:highlight w:val="none"/>
          <w:lang w:val="en-US" w:eastAsia="zh-CN"/>
        </w:rPr>
        <w:t>对</w:t>
      </w:r>
      <w:r>
        <w:rPr>
          <w:rFonts w:hint="eastAsia"/>
          <w:sz w:val="24"/>
          <w:szCs w:val="24"/>
          <w:highlight w:val="none"/>
        </w:rPr>
        <w:t>乙方</w:t>
      </w:r>
      <w:r>
        <w:rPr>
          <w:rFonts w:hint="eastAsia"/>
          <w:sz w:val="24"/>
          <w:szCs w:val="24"/>
          <w:highlight w:val="none"/>
          <w:lang w:val="en-US" w:eastAsia="zh-CN"/>
        </w:rPr>
        <w:t>服务成果进行</w:t>
      </w:r>
      <w:r>
        <w:rPr>
          <w:rFonts w:hint="eastAsia"/>
          <w:sz w:val="24"/>
          <w:szCs w:val="24"/>
          <w:highlight w:val="none"/>
        </w:rPr>
        <w:t>验收并确认</w:t>
      </w:r>
      <w:r>
        <w:rPr>
          <w:rFonts w:hint="eastAsia"/>
          <w:sz w:val="24"/>
          <w:szCs w:val="24"/>
          <w:highlight w:val="none"/>
          <w:lang w:val="en-US" w:eastAsia="zh-CN"/>
        </w:rPr>
        <w:t>项目服务要求</w:t>
      </w:r>
      <w:r>
        <w:rPr>
          <w:rFonts w:hint="eastAsia"/>
          <w:sz w:val="24"/>
          <w:szCs w:val="24"/>
          <w:highlight w:val="none"/>
        </w:rPr>
        <w:t>等；</w:t>
      </w:r>
    </w:p>
    <w:p w14:paraId="6CE49429">
      <w:pPr>
        <w:keepNext w:val="0"/>
        <w:keepLines w:val="0"/>
        <w:pageBreakBefore w:val="0"/>
        <w:widowControl w:val="0"/>
        <w:kinsoku/>
        <w:wordWrap/>
        <w:overflowPunct/>
        <w:topLinePunct w:val="0"/>
        <w:autoSpaceDE/>
        <w:autoSpaceDN/>
        <w:bidi w:val="0"/>
        <w:adjustRightInd/>
        <w:snapToGrid w:val="0"/>
        <w:spacing w:line="360" w:lineRule="auto"/>
        <w:ind w:right="210" w:rightChars="100" w:firstLine="480" w:firstLineChars="200"/>
        <w:textAlignment w:val="auto"/>
        <w:rPr>
          <w:sz w:val="24"/>
          <w:szCs w:val="24"/>
          <w:highlight w:val="none"/>
        </w:rPr>
      </w:pPr>
      <w:r>
        <w:rPr>
          <w:sz w:val="24"/>
          <w:szCs w:val="24"/>
          <w:highlight w:val="none"/>
        </w:rPr>
        <w:t>3</w:t>
      </w:r>
      <w:r>
        <w:rPr>
          <w:rFonts w:hint="eastAsia"/>
          <w:sz w:val="24"/>
          <w:szCs w:val="24"/>
          <w:highlight w:val="none"/>
        </w:rPr>
        <w:t>、对乙方需要确认的内容，甲方应在</w:t>
      </w:r>
      <w:r>
        <w:rPr>
          <w:sz w:val="24"/>
          <w:szCs w:val="24"/>
          <w:highlight w:val="none"/>
        </w:rPr>
        <w:t>48</w:t>
      </w:r>
      <w:r>
        <w:rPr>
          <w:rFonts w:hint="eastAsia"/>
          <w:sz w:val="24"/>
          <w:szCs w:val="24"/>
          <w:highlight w:val="none"/>
          <w:lang w:val="en-US" w:eastAsia="zh-CN"/>
        </w:rPr>
        <w:t>个工作</w:t>
      </w:r>
      <w:r>
        <w:rPr>
          <w:rFonts w:hint="eastAsia"/>
          <w:sz w:val="24"/>
          <w:szCs w:val="24"/>
          <w:highlight w:val="none"/>
        </w:rPr>
        <w:t>小时内给以确认或提出修改意见。</w:t>
      </w:r>
    </w:p>
    <w:p w14:paraId="1DF28847">
      <w:pPr>
        <w:keepNext w:val="0"/>
        <w:keepLines w:val="0"/>
        <w:pageBreakBefore w:val="0"/>
        <w:widowControl w:val="0"/>
        <w:kinsoku/>
        <w:wordWrap/>
        <w:overflowPunct/>
        <w:topLinePunct w:val="0"/>
        <w:autoSpaceDE/>
        <w:autoSpaceDN/>
        <w:bidi w:val="0"/>
        <w:adjustRightInd/>
        <w:snapToGrid w:val="0"/>
        <w:spacing w:line="360" w:lineRule="auto"/>
        <w:ind w:right="210" w:rightChars="100" w:firstLine="480" w:firstLineChars="200"/>
        <w:textAlignment w:val="auto"/>
        <w:rPr>
          <w:sz w:val="24"/>
          <w:szCs w:val="24"/>
          <w:highlight w:val="none"/>
        </w:rPr>
      </w:pPr>
      <w:bookmarkStart w:id="132" w:name="_Toc14680_WPSOffice_Level2"/>
      <w:r>
        <w:rPr>
          <w:sz w:val="24"/>
          <w:szCs w:val="24"/>
          <w:highlight w:val="none"/>
        </w:rPr>
        <w:t>(</w:t>
      </w:r>
      <w:r>
        <w:rPr>
          <w:rFonts w:hint="eastAsia"/>
          <w:sz w:val="24"/>
          <w:szCs w:val="24"/>
          <w:highlight w:val="none"/>
        </w:rPr>
        <w:t>二</w:t>
      </w:r>
      <w:r>
        <w:rPr>
          <w:sz w:val="24"/>
          <w:szCs w:val="24"/>
          <w:highlight w:val="none"/>
        </w:rPr>
        <w:t xml:space="preserve">) </w:t>
      </w:r>
      <w:r>
        <w:rPr>
          <w:rFonts w:hint="eastAsia"/>
          <w:sz w:val="24"/>
          <w:szCs w:val="24"/>
          <w:highlight w:val="none"/>
        </w:rPr>
        <w:t>乙方义务</w:t>
      </w:r>
      <w:bookmarkEnd w:id="132"/>
    </w:p>
    <w:p w14:paraId="7C1C1325">
      <w:pPr>
        <w:keepNext w:val="0"/>
        <w:keepLines w:val="0"/>
        <w:pageBreakBefore w:val="0"/>
        <w:widowControl w:val="0"/>
        <w:kinsoku/>
        <w:wordWrap/>
        <w:overflowPunct/>
        <w:topLinePunct w:val="0"/>
        <w:autoSpaceDE/>
        <w:autoSpaceDN/>
        <w:bidi w:val="0"/>
        <w:adjustRightInd/>
        <w:snapToGrid w:val="0"/>
        <w:spacing w:line="360" w:lineRule="auto"/>
        <w:ind w:right="210" w:rightChars="100" w:firstLine="480" w:firstLineChars="200"/>
        <w:textAlignment w:val="auto"/>
        <w:rPr>
          <w:sz w:val="24"/>
          <w:szCs w:val="24"/>
          <w:highlight w:val="none"/>
        </w:rPr>
      </w:pPr>
      <w:r>
        <w:rPr>
          <w:sz w:val="24"/>
          <w:szCs w:val="24"/>
          <w:highlight w:val="none"/>
        </w:rPr>
        <w:t>1</w:t>
      </w:r>
      <w:r>
        <w:rPr>
          <w:rFonts w:hint="eastAsia"/>
          <w:sz w:val="24"/>
          <w:szCs w:val="24"/>
          <w:highlight w:val="none"/>
        </w:rPr>
        <w:t>、乙方按本合同的约定时间及标准进行服务；</w:t>
      </w:r>
    </w:p>
    <w:p w14:paraId="0F76ED13">
      <w:pPr>
        <w:keepNext w:val="0"/>
        <w:keepLines w:val="0"/>
        <w:pageBreakBefore w:val="0"/>
        <w:widowControl w:val="0"/>
        <w:kinsoku/>
        <w:wordWrap/>
        <w:overflowPunct/>
        <w:topLinePunct w:val="0"/>
        <w:autoSpaceDE/>
        <w:autoSpaceDN/>
        <w:bidi w:val="0"/>
        <w:adjustRightInd/>
        <w:snapToGrid w:val="0"/>
        <w:spacing w:line="360" w:lineRule="auto"/>
        <w:ind w:right="210" w:rightChars="100" w:firstLine="480" w:firstLineChars="200"/>
        <w:textAlignment w:val="auto"/>
        <w:rPr>
          <w:rFonts w:hint="eastAsia"/>
          <w:sz w:val="24"/>
          <w:szCs w:val="24"/>
          <w:highlight w:val="none"/>
        </w:rPr>
      </w:pPr>
      <w:r>
        <w:rPr>
          <w:sz w:val="24"/>
          <w:szCs w:val="24"/>
          <w:highlight w:val="none"/>
        </w:rPr>
        <w:t>2</w:t>
      </w:r>
      <w:r>
        <w:rPr>
          <w:rFonts w:hint="eastAsia"/>
          <w:sz w:val="24"/>
          <w:szCs w:val="24"/>
          <w:highlight w:val="none"/>
        </w:rPr>
        <w:t>、</w:t>
      </w:r>
      <w:r>
        <w:rPr>
          <w:rFonts w:hint="eastAsia"/>
          <w:sz w:val="24"/>
          <w:szCs w:val="24"/>
          <w:highlight w:val="none"/>
          <w:lang w:val="en-US" w:eastAsia="zh-CN"/>
        </w:rPr>
        <w:t>服务</w:t>
      </w:r>
      <w:r>
        <w:rPr>
          <w:rFonts w:hint="eastAsia"/>
          <w:sz w:val="24"/>
          <w:szCs w:val="24"/>
          <w:highlight w:val="none"/>
        </w:rPr>
        <w:t>应满足甲方需求及本合同的约定，具体以附件2《</w:t>
      </w:r>
      <w:r>
        <w:rPr>
          <w:rFonts w:hint="eastAsia"/>
          <w:sz w:val="24"/>
          <w:szCs w:val="24"/>
          <w:highlight w:val="none"/>
          <w:lang w:eastAsia="zh-CN"/>
        </w:rPr>
        <w:t>东莞市海心沙资源综合利用中心环保热电厂3号线低温SCR脱硝催化技术服务采购项目</w:t>
      </w:r>
      <w:r>
        <w:rPr>
          <w:rFonts w:hint="eastAsia"/>
          <w:sz w:val="24"/>
          <w:szCs w:val="24"/>
          <w:highlight w:val="none"/>
        </w:rPr>
        <w:t>技术需求书》</w:t>
      </w:r>
      <w:r>
        <w:rPr>
          <w:rFonts w:hint="eastAsia"/>
          <w:sz w:val="24"/>
          <w:szCs w:val="24"/>
          <w:highlight w:val="none"/>
          <w:lang w:val="en-US" w:eastAsia="zh-CN"/>
        </w:rPr>
        <w:t>及本合同相关约定</w:t>
      </w:r>
      <w:r>
        <w:rPr>
          <w:rFonts w:hint="eastAsia"/>
          <w:sz w:val="24"/>
          <w:szCs w:val="24"/>
          <w:highlight w:val="none"/>
        </w:rPr>
        <w:t>为准</w:t>
      </w:r>
      <w:r>
        <w:rPr>
          <w:rFonts w:hint="eastAsia"/>
          <w:sz w:val="24"/>
          <w:szCs w:val="24"/>
          <w:highlight w:val="none"/>
          <w:lang w:eastAsia="zh-CN"/>
        </w:rPr>
        <w:t>。</w:t>
      </w:r>
      <w:r>
        <w:rPr>
          <w:rFonts w:hint="eastAsia"/>
          <w:sz w:val="24"/>
          <w:szCs w:val="24"/>
          <w:highlight w:val="none"/>
        </w:rPr>
        <w:t>如在服务过程中发现项目、材料存在与附件2不符或无法正常使用等问题，乙方须按照本合同第四条第（三）、（四）、（五）款的约定予以整改，否则，乙方应按照第六条第（一）款向甲方承担违约责任；</w:t>
      </w:r>
    </w:p>
    <w:p w14:paraId="38E9F336">
      <w:pPr>
        <w:pStyle w:val="2"/>
        <w:ind w:firstLine="480" w:firstLineChars="200"/>
        <w:rPr>
          <w:rFonts w:hint="eastAsia"/>
          <w:sz w:val="24"/>
          <w:szCs w:val="24"/>
          <w:highlight w:val="none"/>
        </w:rPr>
      </w:pPr>
      <w:r>
        <w:rPr>
          <w:rFonts w:hint="eastAsia"/>
          <w:sz w:val="24"/>
          <w:szCs w:val="24"/>
          <w:highlight w:val="none"/>
        </w:rPr>
        <w:t>3、乙方应按照甲方质量管理体系的各项管理制度及规定，服从甲方的质量监督；</w:t>
      </w:r>
    </w:p>
    <w:p w14:paraId="371DBBA2">
      <w:pPr>
        <w:pStyle w:val="2"/>
        <w:ind w:firstLine="480" w:firstLineChars="200"/>
        <w:rPr>
          <w:rFonts w:hint="eastAsia"/>
          <w:sz w:val="24"/>
          <w:szCs w:val="24"/>
          <w:highlight w:val="none"/>
        </w:rPr>
      </w:pPr>
      <w:r>
        <w:rPr>
          <w:rFonts w:hint="eastAsia"/>
          <w:sz w:val="24"/>
          <w:szCs w:val="24"/>
          <w:highlight w:val="none"/>
        </w:rPr>
        <w:t>4、乙方应在进场施工前向甲方提供国内有效的营业执照、相关资质证书、管理人员执业（职业）资格证书（所有证件为复印件加盖公章），对本合同旧催化剂的拆除及新脱硝催化剂的安装质量向甲方负责，组织具有相应资格证书的熟练工人投入工作；</w:t>
      </w:r>
    </w:p>
    <w:p w14:paraId="6926F43F">
      <w:pPr>
        <w:pStyle w:val="2"/>
        <w:ind w:firstLine="480" w:firstLineChars="200"/>
      </w:pPr>
      <w:r>
        <w:rPr>
          <w:rFonts w:hint="eastAsia"/>
          <w:sz w:val="24"/>
          <w:szCs w:val="24"/>
          <w:highlight w:val="none"/>
        </w:rPr>
        <w:t>5、乙方必须独立完成本合同任务，不得分包或转包，甲方一经发现，有权</w:t>
      </w:r>
      <w:r>
        <w:rPr>
          <w:rFonts w:hint="eastAsia"/>
          <w:sz w:val="24"/>
          <w:szCs w:val="24"/>
          <w:highlight w:val="none"/>
          <w:lang w:val="en-US" w:eastAsia="zh-CN"/>
        </w:rPr>
        <w:t>解除</w:t>
      </w:r>
      <w:r>
        <w:rPr>
          <w:rFonts w:hint="eastAsia"/>
          <w:sz w:val="24"/>
          <w:szCs w:val="24"/>
          <w:highlight w:val="none"/>
        </w:rPr>
        <w:t>合同并要求乙方承担违约责任；</w:t>
      </w:r>
    </w:p>
    <w:p w14:paraId="1A0D6C2E">
      <w:pPr>
        <w:keepNext w:val="0"/>
        <w:keepLines w:val="0"/>
        <w:pageBreakBefore w:val="0"/>
        <w:widowControl w:val="0"/>
        <w:kinsoku/>
        <w:wordWrap/>
        <w:overflowPunct/>
        <w:topLinePunct w:val="0"/>
        <w:autoSpaceDE/>
        <w:autoSpaceDN/>
        <w:bidi w:val="0"/>
        <w:adjustRightInd/>
        <w:snapToGrid w:val="0"/>
        <w:spacing w:line="360" w:lineRule="auto"/>
        <w:ind w:right="210" w:rightChars="100" w:firstLine="480" w:firstLineChars="200"/>
        <w:textAlignment w:val="auto"/>
        <w:rPr>
          <w:rFonts w:hint="default"/>
          <w:sz w:val="24"/>
          <w:szCs w:val="24"/>
          <w:highlight w:val="none"/>
          <w:lang w:val="en-US" w:eastAsia="zh-CN"/>
        </w:rPr>
      </w:pPr>
      <w:r>
        <w:rPr>
          <w:rFonts w:hint="eastAsia"/>
          <w:sz w:val="24"/>
          <w:szCs w:val="24"/>
          <w:highlight w:val="none"/>
          <w:lang w:val="en-US" w:eastAsia="zh-CN"/>
        </w:rPr>
        <w:t>6、乙方在收到甲方运维服务通知后，须在48小时内到达项目现场提供服务，否则，乙方应按照第六条第（一）款向甲方承担违约责任。</w:t>
      </w:r>
    </w:p>
    <w:p w14:paraId="2AD183D8">
      <w:pPr>
        <w:keepNext w:val="0"/>
        <w:keepLines w:val="0"/>
        <w:pageBreakBefore w:val="0"/>
        <w:widowControl w:val="0"/>
        <w:kinsoku/>
        <w:wordWrap/>
        <w:overflowPunct/>
        <w:topLinePunct w:val="0"/>
        <w:autoSpaceDE/>
        <w:autoSpaceDN/>
        <w:bidi w:val="0"/>
        <w:adjustRightInd/>
        <w:snapToGrid w:val="0"/>
        <w:spacing w:line="360" w:lineRule="auto"/>
        <w:ind w:right="210" w:rightChars="100" w:firstLine="482" w:firstLineChars="200"/>
        <w:textAlignment w:val="auto"/>
        <w:rPr>
          <w:b/>
          <w:sz w:val="24"/>
          <w:szCs w:val="24"/>
          <w:highlight w:val="none"/>
        </w:rPr>
      </w:pPr>
      <w:bookmarkStart w:id="133" w:name="_Toc11843_WPSOffice_Level1"/>
      <w:r>
        <w:rPr>
          <w:rFonts w:hint="eastAsia"/>
          <w:b/>
          <w:sz w:val="24"/>
          <w:szCs w:val="24"/>
          <w:highlight w:val="none"/>
        </w:rPr>
        <w:t>六、违约责任</w:t>
      </w:r>
      <w:bookmarkEnd w:id="133"/>
    </w:p>
    <w:p w14:paraId="68122813">
      <w:pPr>
        <w:keepNext w:val="0"/>
        <w:keepLines w:val="0"/>
        <w:pageBreakBefore w:val="0"/>
        <w:widowControl w:val="0"/>
        <w:kinsoku/>
        <w:wordWrap/>
        <w:overflowPunct/>
        <w:topLinePunct w:val="0"/>
        <w:autoSpaceDE/>
        <w:autoSpaceDN/>
        <w:bidi w:val="0"/>
        <w:adjustRightInd/>
        <w:snapToGrid w:val="0"/>
        <w:spacing w:line="360" w:lineRule="auto"/>
        <w:ind w:right="210" w:rightChars="100" w:firstLine="480" w:firstLineChars="200"/>
        <w:textAlignment w:val="auto"/>
        <w:rPr>
          <w:sz w:val="24"/>
          <w:szCs w:val="24"/>
          <w:highlight w:val="none"/>
        </w:rPr>
      </w:pPr>
      <w:r>
        <w:rPr>
          <w:rFonts w:hint="eastAsia"/>
          <w:sz w:val="24"/>
          <w:szCs w:val="24"/>
          <w:highlight w:val="none"/>
        </w:rPr>
        <w:t>（一）乙方未按合同约定按时交货、安装</w:t>
      </w:r>
      <w:r>
        <w:rPr>
          <w:rFonts w:hint="eastAsia"/>
          <w:sz w:val="24"/>
          <w:szCs w:val="24"/>
          <w:highlight w:val="none"/>
          <w:lang w:eastAsia="zh-CN"/>
        </w:rPr>
        <w:t>、</w:t>
      </w:r>
      <w:r>
        <w:rPr>
          <w:rFonts w:hint="eastAsia"/>
          <w:sz w:val="24"/>
          <w:szCs w:val="24"/>
          <w:highlight w:val="none"/>
          <w:lang w:val="en-US" w:eastAsia="zh-CN"/>
        </w:rPr>
        <w:t>运维、服务</w:t>
      </w:r>
      <w:r>
        <w:rPr>
          <w:rFonts w:hint="eastAsia"/>
          <w:sz w:val="24"/>
          <w:szCs w:val="24"/>
          <w:highlight w:val="none"/>
        </w:rPr>
        <w:t>或交付相关的技术资料的，每逾期一天则应向甲方支付合同总额的</w:t>
      </w:r>
      <w:r>
        <w:rPr>
          <w:sz w:val="24"/>
          <w:szCs w:val="24"/>
          <w:highlight w:val="none"/>
        </w:rPr>
        <w:t>3‰</w:t>
      </w:r>
      <w:r>
        <w:rPr>
          <w:rFonts w:hint="eastAsia"/>
          <w:sz w:val="24"/>
          <w:szCs w:val="24"/>
          <w:highlight w:val="none"/>
        </w:rPr>
        <w:t>作为违约金，逾期达</w:t>
      </w:r>
      <w:r>
        <w:rPr>
          <w:sz w:val="24"/>
          <w:szCs w:val="24"/>
          <w:highlight w:val="none"/>
        </w:rPr>
        <w:t>20</w:t>
      </w:r>
      <w:r>
        <w:rPr>
          <w:rFonts w:hint="eastAsia"/>
          <w:sz w:val="24"/>
          <w:szCs w:val="24"/>
          <w:highlight w:val="none"/>
        </w:rPr>
        <w:t>个日历日的，甲方有权单方解除合同，没收全部履约保证金</w:t>
      </w:r>
      <w:r>
        <w:rPr>
          <w:rFonts w:hint="eastAsia"/>
          <w:sz w:val="24"/>
          <w:szCs w:val="24"/>
          <w:highlight w:val="none"/>
          <w:lang w:eastAsia="zh-CN"/>
        </w:rPr>
        <w:t>，</w:t>
      </w:r>
      <w:r>
        <w:rPr>
          <w:rFonts w:hint="eastAsia"/>
          <w:sz w:val="24"/>
          <w:szCs w:val="24"/>
          <w:highlight w:val="none"/>
        </w:rPr>
        <w:t>乙方应退还已支付的货款，并另行支付合同总金额</w:t>
      </w:r>
      <w:r>
        <w:rPr>
          <w:sz w:val="24"/>
          <w:szCs w:val="24"/>
          <w:highlight w:val="none"/>
        </w:rPr>
        <w:t>20%</w:t>
      </w:r>
      <w:r>
        <w:rPr>
          <w:rFonts w:hint="eastAsia"/>
          <w:sz w:val="24"/>
          <w:szCs w:val="24"/>
          <w:highlight w:val="none"/>
        </w:rPr>
        <w:t>的违约金，违约金不足以赔偿因此给甲方造成的损失的，甲方有权另行追偿。</w:t>
      </w:r>
    </w:p>
    <w:p w14:paraId="5083E0F4">
      <w:pPr>
        <w:snapToGrid w:val="0"/>
        <w:spacing w:line="360" w:lineRule="auto"/>
        <w:ind w:right="210" w:rightChars="100" w:firstLine="480" w:firstLineChars="20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二）乙方在服务期内未按甲方要求履行服务责任的，甲方有权委托第三方提供服务，由此产生的费用由乙方承担，乙方还须另行向甲方支付合同总金额20%的违约金，违约金不足以弥补甲方损失的，甲方有权继续追偿。</w:t>
      </w:r>
    </w:p>
    <w:p w14:paraId="26B4B691">
      <w:pPr>
        <w:snapToGrid w:val="0"/>
        <w:spacing w:line="360" w:lineRule="auto"/>
        <w:ind w:right="210" w:rightChars="100" w:firstLine="480" w:firstLineChars="20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三</w:t>
      </w:r>
      <w:r>
        <w:rPr>
          <w:rFonts w:hint="eastAsia"/>
          <w:sz w:val="24"/>
          <w:szCs w:val="24"/>
          <w:highlight w:val="none"/>
        </w:rPr>
        <w:t>）乙方违反约定终止合同或未经甲方书面同意向任何第三方转让本合同项下权利义务的，应当向甲方返还已收取的款项，并承担相当于合同总价20%的违约金，违约金不足以弥补甲方损失的，甲方有权继续追偿</w:t>
      </w:r>
      <w:r>
        <w:rPr>
          <w:rFonts w:hint="eastAsia"/>
          <w:sz w:val="24"/>
          <w:szCs w:val="24"/>
          <w:highlight w:val="none"/>
          <w:lang w:eastAsia="zh-CN"/>
        </w:rPr>
        <w:t>，</w:t>
      </w:r>
      <w:r>
        <w:rPr>
          <w:rFonts w:hint="eastAsia"/>
          <w:sz w:val="24"/>
          <w:szCs w:val="24"/>
          <w:highlight w:val="none"/>
          <w:lang w:val="en-US" w:eastAsia="zh-CN"/>
        </w:rPr>
        <w:t>且甲方有权</w:t>
      </w:r>
      <w:r>
        <w:rPr>
          <w:rFonts w:hint="eastAsia"/>
          <w:sz w:val="24"/>
          <w:szCs w:val="24"/>
          <w:highlight w:val="none"/>
        </w:rPr>
        <w:t>没收全部履约保证金；</w:t>
      </w:r>
    </w:p>
    <w:p w14:paraId="5FE428A7">
      <w:pPr>
        <w:snapToGrid w:val="0"/>
        <w:spacing w:line="360" w:lineRule="auto"/>
        <w:ind w:right="210" w:rightChars="100" w:firstLine="480" w:firstLineChars="20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四</w:t>
      </w:r>
      <w:r>
        <w:rPr>
          <w:rFonts w:hint="eastAsia"/>
          <w:sz w:val="24"/>
          <w:szCs w:val="24"/>
          <w:highlight w:val="none"/>
        </w:rPr>
        <w:t>）本合同所述之损失是指守约方因违约方原因而造成的经济损失，包含但不限于因此而支付的罚金罚款，向第三方支付的赔偿金、违约金，为</w:t>
      </w:r>
      <w:r>
        <w:rPr>
          <w:rFonts w:hint="eastAsia"/>
          <w:sz w:val="24"/>
          <w:szCs w:val="24"/>
          <w:highlight w:val="none"/>
          <w:lang w:eastAsia="zh-CN"/>
        </w:rPr>
        <w:t>维权或</w:t>
      </w:r>
      <w:r>
        <w:rPr>
          <w:rFonts w:hint="eastAsia"/>
          <w:sz w:val="24"/>
          <w:szCs w:val="24"/>
          <w:highlight w:val="none"/>
        </w:rPr>
        <w:t>追索而发生的诉讼费、律师费、公证费、鉴定费</w:t>
      </w:r>
      <w:r>
        <w:rPr>
          <w:rFonts w:hint="eastAsia"/>
          <w:sz w:val="24"/>
          <w:szCs w:val="24"/>
          <w:highlight w:val="none"/>
          <w:lang w:eastAsia="zh-CN"/>
        </w:rPr>
        <w:t>、评估费、</w:t>
      </w:r>
      <w:r>
        <w:rPr>
          <w:rFonts w:hint="eastAsia"/>
          <w:sz w:val="24"/>
          <w:szCs w:val="24"/>
          <w:highlight w:val="none"/>
          <w:lang w:val="en-US" w:eastAsia="zh-CN"/>
        </w:rPr>
        <w:t>财产保全担保费</w:t>
      </w:r>
      <w:r>
        <w:rPr>
          <w:rFonts w:hint="eastAsia"/>
          <w:sz w:val="24"/>
          <w:szCs w:val="24"/>
          <w:highlight w:val="none"/>
        </w:rPr>
        <w:t>等全部费用；</w:t>
      </w:r>
    </w:p>
    <w:p w14:paraId="01B611F8">
      <w:pPr>
        <w:snapToGrid w:val="0"/>
        <w:spacing w:line="360" w:lineRule="auto"/>
        <w:ind w:right="210" w:rightChars="100" w:firstLine="480" w:firstLineChars="200"/>
        <w:rPr>
          <w:rFonts w:hint="eastAsia"/>
          <w:sz w:val="24"/>
          <w:szCs w:val="24"/>
          <w:highlight w:val="none"/>
          <w:lang w:val="en-US" w:eastAsia="zh-CN"/>
        </w:rPr>
      </w:pPr>
      <w:r>
        <w:rPr>
          <w:rFonts w:hint="eastAsia"/>
          <w:sz w:val="24"/>
          <w:szCs w:val="24"/>
          <w:highlight w:val="none"/>
        </w:rPr>
        <w:t>（</w:t>
      </w:r>
      <w:r>
        <w:rPr>
          <w:rFonts w:hint="eastAsia"/>
          <w:sz w:val="24"/>
          <w:szCs w:val="24"/>
          <w:highlight w:val="none"/>
          <w:lang w:val="en-US" w:eastAsia="zh-CN"/>
        </w:rPr>
        <w:t>五</w:t>
      </w:r>
      <w:r>
        <w:rPr>
          <w:rFonts w:hint="eastAsia"/>
          <w:sz w:val="24"/>
          <w:szCs w:val="24"/>
          <w:highlight w:val="none"/>
        </w:rPr>
        <w:t>）甲方有权自应付而未付</w:t>
      </w:r>
      <w:r>
        <w:rPr>
          <w:rFonts w:hint="eastAsia"/>
          <w:sz w:val="24"/>
          <w:szCs w:val="24"/>
          <w:highlight w:val="none"/>
          <w:lang w:val="en-US" w:eastAsia="zh-CN"/>
        </w:rPr>
        <w:t>乙方</w:t>
      </w:r>
      <w:r>
        <w:rPr>
          <w:rFonts w:hint="eastAsia"/>
          <w:sz w:val="24"/>
          <w:szCs w:val="24"/>
          <w:highlight w:val="none"/>
        </w:rPr>
        <w:t>款项中</w:t>
      </w:r>
      <w:r>
        <w:rPr>
          <w:rFonts w:hint="eastAsia"/>
          <w:sz w:val="24"/>
          <w:szCs w:val="24"/>
          <w:highlight w:val="none"/>
          <w:lang w:val="en-US" w:eastAsia="zh-CN"/>
        </w:rPr>
        <w:t>和</w:t>
      </w:r>
      <w:r>
        <w:rPr>
          <w:rFonts w:hint="eastAsia"/>
          <w:sz w:val="24"/>
          <w:szCs w:val="24"/>
          <w:highlight w:val="none"/>
        </w:rPr>
        <w:t>履约保证金</w:t>
      </w:r>
      <w:r>
        <w:rPr>
          <w:rFonts w:hint="eastAsia"/>
          <w:sz w:val="24"/>
          <w:szCs w:val="24"/>
          <w:highlight w:val="none"/>
          <w:lang w:val="en-US" w:eastAsia="zh-CN"/>
        </w:rPr>
        <w:t>中</w:t>
      </w:r>
      <w:r>
        <w:rPr>
          <w:rFonts w:hint="eastAsia"/>
          <w:sz w:val="24"/>
          <w:szCs w:val="24"/>
          <w:highlight w:val="none"/>
        </w:rPr>
        <w:t>直接抵扣乙方应付之违约金、赔偿款等</w:t>
      </w:r>
      <w:r>
        <w:rPr>
          <w:rFonts w:hint="eastAsia"/>
          <w:sz w:val="24"/>
          <w:szCs w:val="24"/>
          <w:highlight w:val="none"/>
          <w:lang w:eastAsia="zh-CN"/>
        </w:rPr>
        <w:t>所有款项或费用</w:t>
      </w:r>
      <w:r>
        <w:rPr>
          <w:rFonts w:hint="eastAsia"/>
          <w:sz w:val="24"/>
          <w:szCs w:val="24"/>
          <w:highlight w:val="none"/>
        </w:rPr>
        <w:t>。</w:t>
      </w:r>
    </w:p>
    <w:p w14:paraId="6343C4B6">
      <w:pPr>
        <w:keepNext w:val="0"/>
        <w:keepLines w:val="0"/>
        <w:pageBreakBefore w:val="0"/>
        <w:widowControl w:val="0"/>
        <w:kinsoku/>
        <w:wordWrap/>
        <w:overflowPunct/>
        <w:topLinePunct w:val="0"/>
        <w:autoSpaceDE/>
        <w:autoSpaceDN/>
        <w:bidi w:val="0"/>
        <w:adjustRightInd/>
        <w:snapToGrid w:val="0"/>
        <w:spacing w:line="360" w:lineRule="auto"/>
        <w:ind w:right="210" w:rightChars="100" w:firstLine="482" w:firstLineChars="200"/>
        <w:textAlignment w:val="auto"/>
        <w:rPr>
          <w:b/>
          <w:bCs/>
          <w:sz w:val="24"/>
          <w:szCs w:val="24"/>
          <w:highlight w:val="none"/>
        </w:rPr>
      </w:pPr>
      <w:bookmarkStart w:id="134" w:name="_Toc4307_WPSOffice_Level1"/>
      <w:r>
        <w:rPr>
          <w:rFonts w:hint="eastAsia"/>
          <w:b/>
          <w:bCs/>
          <w:sz w:val="24"/>
          <w:szCs w:val="24"/>
          <w:highlight w:val="none"/>
        </w:rPr>
        <w:t>七、不可抗力</w:t>
      </w:r>
      <w:bookmarkEnd w:id="134"/>
    </w:p>
    <w:p w14:paraId="757B0D84">
      <w:pPr>
        <w:keepNext w:val="0"/>
        <w:keepLines w:val="0"/>
        <w:pageBreakBefore w:val="0"/>
        <w:widowControl w:val="0"/>
        <w:kinsoku/>
        <w:wordWrap/>
        <w:overflowPunct/>
        <w:topLinePunct w:val="0"/>
        <w:autoSpaceDE/>
        <w:autoSpaceDN/>
        <w:bidi w:val="0"/>
        <w:adjustRightInd/>
        <w:snapToGrid w:val="0"/>
        <w:spacing w:line="360" w:lineRule="auto"/>
        <w:ind w:right="210" w:rightChars="100" w:firstLine="480" w:firstLineChars="200"/>
        <w:textAlignment w:val="auto"/>
        <w:rPr>
          <w:sz w:val="24"/>
          <w:szCs w:val="24"/>
          <w:highlight w:val="none"/>
        </w:rPr>
      </w:pPr>
      <w:r>
        <w:rPr>
          <w:rFonts w:hint="eastAsia"/>
          <w:sz w:val="24"/>
          <w:szCs w:val="24"/>
          <w:highlight w:val="none"/>
        </w:rPr>
        <w:t>（一）不可抗力指战争、严重火灾、洪水、台风、地震等或其它双方认定的不可抗力事件。</w:t>
      </w:r>
    </w:p>
    <w:p w14:paraId="267CA965">
      <w:pPr>
        <w:keepNext w:val="0"/>
        <w:keepLines w:val="0"/>
        <w:pageBreakBefore w:val="0"/>
        <w:widowControl w:val="0"/>
        <w:kinsoku/>
        <w:wordWrap/>
        <w:overflowPunct/>
        <w:topLinePunct w:val="0"/>
        <w:autoSpaceDE/>
        <w:autoSpaceDN/>
        <w:bidi w:val="0"/>
        <w:adjustRightInd/>
        <w:snapToGrid w:val="0"/>
        <w:spacing w:line="360" w:lineRule="auto"/>
        <w:ind w:right="210" w:rightChars="100" w:firstLine="480" w:firstLineChars="200"/>
        <w:textAlignment w:val="auto"/>
        <w:rPr>
          <w:rFonts w:hint="eastAsia"/>
          <w:sz w:val="24"/>
          <w:szCs w:val="24"/>
          <w:highlight w:val="none"/>
        </w:rPr>
      </w:pPr>
      <w:r>
        <w:rPr>
          <w:rFonts w:hint="eastAsia"/>
          <w:sz w:val="24"/>
          <w:szCs w:val="24"/>
          <w:highlight w:val="none"/>
        </w:rPr>
        <w:t>（二）签约双方中任何一方由于不可抗力影响合同执行时，应在不可抗力事件发生之日起3</w:t>
      </w:r>
      <w:r>
        <w:rPr>
          <w:rFonts w:hint="eastAsia"/>
          <w:sz w:val="24"/>
          <w:szCs w:val="24"/>
          <w:highlight w:val="none"/>
          <w:lang w:val="en-US" w:eastAsia="zh-CN"/>
        </w:rPr>
        <w:t>个日历日</w:t>
      </w:r>
      <w:r>
        <w:rPr>
          <w:rFonts w:hint="eastAsia"/>
          <w:sz w:val="24"/>
          <w:szCs w:val="24"/>
          <w:highlight w:val="none"/>
        </w:rPr>
        <w:t>内以书面形式通知对方，并在</w:t>
      </w:r>
      <w:r>
        <w:rPr>
          <w:rFonts w:hint="eastAsia"/>
          <w:sz w:val="24"/>
          <w:szCs w:val="24"/>
          <w:highlight w:val="none"/>
          <w:lang w:val="en-US" w:eastAsia="zh-CN"/>
        </w:rPr>
        <w:t>5</w:t>
      </w:r>
      <w:r>
        <w:rPr>
          <w:rFonts w:hint="eastAsia"/>
          <w:sz w:val="24"/>
          <w:szCs w:val="24"/>
          <w:highlight w:val="none"/>
        </w:rPr>
        <w:t>个</w:t>
      </w:r>
      <w:r>
        <w:rPr>
          <w:rFonts w:hint="eastAsia"/>
          <w:sz w:val="24"/>
          <w:szCs w:val="24"/>
          <w:highlight w:val="none"/>
          <w:lang w:val="en-US" w:eastAsia="zh-CN"/>
        </w:rPr>
        <w:t>日历日</w:t>
      </w:r>
      <w:r>
        <w:rPr>
          <w:rFonts w:hint="eastAsia"/>
          <w:sz w:val="24"/>
          <w:szCs w:val="24"/>
          <w:highlight w:val="none"/>
        </w:rPr>
        <w:t>内提供相关不可抗力证明，以减轻可能给对方造成的损失。在此情况下，乙方仍然有责任采取必要的措施加速供货，双方应通过友好协商尽快解决本合同的执行问题。</w:t>
      </w:r>
    </w:p>
    <w:p w14:paraId="391040CA">
      <w:pPr>
        <w:pStyle w:val="2"/>
        <w:ind w:firstLine="480" w:firstLineChars="200"/>
        <w:rPr>
          <w:rFonts w:hint="eastAsia"/>
        </w:rPr>
      </w:pPr>
      <w:r>
        <w:rPr>
          <w:rFonts w:hint="eastAsia"/>
          <w:sz w:val="24"/>
          <w:szCs w:val="24"/>
          <w:highlight w:val="none"/>
        </w:rPr>
        <w:t>（三）因不可抗力或其他客观事由导致本合同不能继续履行的，双方可</w:t>
      </w:r>
      <w:r>
        <w:rPr>
          <w:rFonts w:hint="eastAsia"/>
          <w:sz w:val="24"/>
          <w:szCs w:val="24"/>
          <w:highlight w:val="none"/>
          <w:lang w:val="en-US" w:eastAsia="zh-CN"/>
        </w:rPr>
        <w:t>在结清已发生费用后</w:t>
      </w:r>
      <w:r>
        <w:rPr>
          <w:rFonts w:hint="eastAsia"/>
          <w:sz w:val="24"/>
          <w:szCs w:val="24"/>
          <w:highlight w:val="none"/>
        </w:rPr>
        <w:t>协商解除合同，并根据实际情况部分免除或全部免除违约方的责任。</w:t>
      </w:r>
    </w:p>
    <w:p w14:paraId="00EA2EE3">
      <w:pPr>
        <w:snapToGrid w:val="0"/>
        <w:spacing w:line="360" w:lineRule="auto"/>
        <w:ind w:right="210" w:rightChars="100" w:firstLine="482" w:firstLineChars="200"/>
        <w:rPr>
          <w:rFonts w:hint="eastAsia"/>
        </w:rPr>
      </w:pPr>
      <w:r>
        <w:rPr>
          <w:rFonts w:hint="eastAsia"/>
          <w:b/>
          <w:bCs/>
          <w:sz w:val="24"/>
          <w:szCs w:val="24"/>
          <w:highlight w:val="none"/>
        </w:rPr>
        <w:t>八、保密协议</w:t>
      </w:r>
    </w:p>
    <w:p w14:paraId="247D6187">
      <w:pPr>
        <w:pStyle w:val="2"/>
        <w:ind w:firstLine="480" w:firstLineChars="200"/>
      </w:pPr>
      <w:r>
        <w:rPr>
          <w:rFonts w:hint="eastAsia"/>
          <w:sz w:val="24"/>
          <w:szCs w:val="24"/>
          <w:highlight w:val="none"/>
        </w:rPr>
        <w:t>双方应对合同履行过程中获得的对方商业秘密和其他机密信息予以保密，包括但不限于甲乙双方的财务信息、运营数据、客户信息、技术信息等。未经对方书面许可不得向任何第三方披露，保密义务在合同终止后仍然有效。未经解除保密义务的书面协议，任何一方仍应承担保密义务。违反保密条款一方应立即停止侵权行为，并承担相应的赔偿责任。</w:t>
      </w:r>
    </w:p>
    <w:p w14:paraId="7B384C5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sz w:val="24"/>
          <w:szCs w:val="24"/>
          <w:highlight w:val="none"/>
        </w:rPr>
      </w:pPr>
      <w:bookmarkStart w:id="135" w:name="_Toc2393_WPSOffice_Level1"/>
      <w:r>
        <w:rPr>
          <w:rFonts w:hint="eastAsia"/>
          <w:b/>
          <w:sz w:val="24"/>
          <w:szCs w:val="24"/>
          <w:highlight w:val="none"/>
          <w:lang w:val="en-US" w:eastAsia="zh-CN"/>
        </w:rPr>
        <w:t>九</w:t>
      </w:r>
      <w:r>
        <w:rPr>
          <w:rFonts w:hint="eastAsia"/>
          <w:b/>
          <w:sz w:val="24"/>
          <w:szCs w:val="24"/>
          <w:highlight w:val="none"/>
        </w:rPr>
        <w:t>、争议的解决</w:t>
      </w:r>
      <w:bookmarkEnd w:id="135"/>
    </w:p>
    <w:p w14:paraId="590359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因履行本合同发生的任何争议，双方本着友好互利的原则协商解决。协商不成时应向</w:t>
      </w:r>
      <w:r>
        <w:rPr>
          <w:rFonts w:hint="eastAsia"/>
          <w:sz w:val="24"/>
          <w:szCs w:val="24"/>
          <w:highlight w:val="none"/>
          <w:lang w:val="en-US" w:eastAsia="zh-CN"/>
        </w:rPr>
        <w:t>甲方所在地人民法院提起诉讼</w:t>
      </w:r>
      <w:r>
        <w:rPr>
          <w:rFonts w:hint="eastAsia"/>
          <w:sz w:val="24"/>
          <w:szCs w:val="24"/>
          <w:highlight w:val="none"/>
        </w:rPr>
        <w:t>。除有争议的部分外，双方应继续履行本合同所约定的义务。</w:t>
      </w:r>
    </w:p>
    <w:p w14:paraId="5413819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sz w:val="24"/>
          <w:szCs w:val="24"/>
          <w:highlight w:val="none"/>
        </w:rPr>
      </w:pPr>
      <w:bookmarkStart w:id="136" w:name="_Toc27346_WPSOffice_Level1"/>
      <w:r>
        <w:rPr>
          <w:rFonts w:hint="eastAsia"/>
          <w:b/>
          <w:sz w:val="24"/>
          <w:szCs w:val="24"/>
          <w:highlight w:val="none"/>
          <w:lang w:val="en-US" w:eastAsia="zh-CN"/>
        </w:rPr>
        <w:t>十</w:t>
      </w:r>
      <w:r>
        <w:rPr>
          <w:rFonts w:hint="eastAsia"/>
          <w:b/>
          <w:sz w:val="24"/>
          <w:szCs w:val="24"/>
          <w:highlight w:val="none"/>
        </w:rPr>
        <w:t>、其它约定</w:t>
      </w:r>
      <w:bookmarkEnd w:id="136"/>
    </w:p>
    <w:p w14:paraId="10ED65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（一）本合同任何内容的修改，须由双方进行协商，并另行签订补充协议或书面文件，所签订的补充协议或相关合同附件</w:t>
      </w:r>
      <w:r>
        <w:rPr>
          <w:rFonts w:hint="eastAsia"/>
          <w:sz w:val="24"/>
          <w:szCs w:val="24"/>
          <w:highlight w:val="none"/>
          <w:lang w:val="en-US" w:eastAsia="zh-CN"/>
        </w:rPr>
        <w:t>与招标采购文件、投标文件、中标通知书等</w:t>
      </w:r>
      <w:r>
        <w:rPr>
          <w:rFonts w:hint="eastAsia"/>
          <w:sz w:val="24"/>
          <w:szCs w:val="24"/>
          <w:highlight w:val="none"/>
        </w:rPr>
        <w:t>均为本合同不可分割部分，与本合同具有同等法律效力。任何一方自行更改或解除合同的，按违约处理；合同中未尽事项，由双方协商另行签订补充协议。</w:t>
      </w:r>
    </w:p>
    <w:p w14:paraId="276E4E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（二）任何一方未经另一方的书面同意，均不得将本合同的权利、义务、利益转移给第三方。</w:t>
      </w:r>
    </w:p>
    <w:p w14:paraId="251D6C5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（三）本合同一式</w:t>
      </w:r>
      <w:r>
        <w:rPr>
          <w:rFonts w:hint="eastAsia"/>
          <w:sz w:val="24"/>
          <w:szCs w:val="24"/>
          <w:highlight w:val="none"/>
          <w:lang w:val="en-US" w:eastAsia="zh-CN"/>
        </w:rPr>
        <w:t>伍</w:t>
      </w:r>
      <w:r>
        <w:rPr>
          <w:rFonts w:hint="eastAsia"/>
          <w:sz w:val="24"/>
          <w:szCs w:val="24"/>
          <w:highlight w:val="none"/>
        </w:rPr>
        <w:t>份，甲方执</w:t>
      </w:r>
      <w:r>
        <w:rPr>
          <w:rFonts w:hint="eastAsia"/>
          <w:sz w:val="24"/>
          <w:szCs w:val="24"/>
          <w:highlight w:val="none"/>
          <w:lang w:val="en-US" w:eastAsia="zh-CN"/>
        </w:rPr>
        <w:t>叁</w:t>
      </w:r>
      <w:r>
        <w:rPr>
          <w:rFonts w:hint="eastAsia"/>
          <w:sz w:val="24"/>
          <w:szCs w:val="24"/>
          <w:highlight w:val="none"/>
        </w:rPr>
        <w:t>份、乙方执贰份。本合同双方代表签字盖章后生效，合同履行完毕后自行失效。</w:t>
      </w:r>
    </w:p>
    <w:p w14:paraId="77E517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（四）本合同附件：</w:t>
      </w:r>
    </w:p>
    <w:p w14:paraId="4B8346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bookmarkStart w:id="137" w:name="_Toc8760_WPSOffice_Level1"/>
      <w:r>
        <w:rPr>
          <w:rFonts w:hint="eastAsia"/>
          <w:sz w:val="24"/>
          <w:szCs w:val="24"/>
          <w:highlight w:val="none"/>
        </w:rPr>
        <w:t>附件</w:t>
      </w:r>
      <w:r>
        <w:rPr>
          <w:sz w:val="24"/>
          <w:szCs w:val="24"/>
          <w:highlight w:val="none"/>
        </w:rPr>
        <w:t>1</w:t>
      </w:r>
      <w:r>
        <w:rPr>
          <w:rFonts w:hint="eastAsia"/>
          <w:sz w:val="24"/>
          <w:szCs w:val="24"/>
          <w:highlight w:val="none"/>
        </w:rPr>
        <w:t>：《报价清单》</w:t>
      </w:r>
      <w:bookmarkEnd w:id="137"/>
    </w:p>
    <w:p w14:paraId="2D336A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highlight w:val="none"/>
        </w:rPr>
      </w:pPr>
      <w:bookmarkStart w:id="138" w:name="_Toc29124_WPSOffice_Level1"/>
      <w:r>
        <w:rPr>
          <w:rFonts w:hint="eastAsia"/>
          <w:sz w:val="24"/>
          <w:szCs w:val="24"/>
          <w:highlight w:val="none"/>
        </w:rPr>
        <w:t>附件</w:t>
      </w:r>
      <w:r>
        <w:rPr>
          <w:sz w:val="24"/>
          <w:szCs w:val="24"/>
          <w:highlight w:val="none"/>
        </w:rPr>
        <w:t>2</w:t>
      </w:r>
      <w:r>
        <w:rPr>
          <w:rFonts w:hint="eastAsia"/>
          <w:sz w:val="24"/>
          <w:szCs w:val="24"/>
          <w:highlight w:val="none"/>
        </w:rPr>
        <w:t>：《</w:t>
      </w:r>
      <w:r>
        <w:rPr>
          <w:rFonts w:hint="eastAsia"/>
          <w:sz w:val="24"/>
          <w:szCs w:val="24"/>
          <w:highlight w:val="none"/>
          <w:lang w:eastAsia="zh-CN"/>
        </w:rPr>
        <w:t>东莞市海心沙资源综合利用中心环保热电厂3号线低温SCR脱硝催化技术服务采购项目</w:t>
      </w:r>
      <w:r>
        <w:rPr>
          <w:rFonts w:hint="eastAsia"/>
          <w:sz w:val="24"/>
          <w:szCs w:val="24"/>
          <w:highlight w:val="none"/>
        </w:rPr>
        <w:t>技术需求书》</w:t>
      </w:r>
    </w:p>
    <w:p w14:paraId="35C64D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highlight w:val="none"/>
        </w:rPr>
      </w:pPr>
      <w:r>
        <w:rPr>
          <w:rFonts w:hint="eastAsia"/>
          <w:sz w:val="24"/>
          <w:szCs w:val="24"/>
          <w:highlight w:val="none"/>
        </w:rPr>
        <w:t>附件</w:t>
      </w:r>
      <w:r>
        <w:rPr>
          <w:rFonts w:hint="eastAsia"/>
          <w:sz w:val="24"/>
          <w:szCs w:val="24"/>
          <w:highlight w:val="none"/>
          <w:lang w:val="en-US" w:eastAsia="zh-CN"/>
        </w:rPr>
        <w:t>3：</w:t>
      </w:r>
      <w:r>
        <w:rPr>
          <w:rFonts w:hint="eastAsia"/>
          <w:sz w:val="24"/>
          <w:szCs w:val="24"/>
          <w:highlight w:val="none"/>
        </w:rPr>
        <w:t>《阳光合作协议》</w:t>
      </w:r>
      <w:bookmarkEnd w:id="138"/>
    </w:p>
    <w:p w14:paraId="44C9B78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highlight w:val="none"/>
        </w:rPr>
      </w:pPr>
      <w:r>
        <w:rPr>
          <w:rFonts w:hint="eastAsia"/>
          <w:sz w:val="24"/>
          <w:szCs w:val="24"/>
          <w:highlight w:val="none"/>
        </w:rPr>
        <w:t>附件</w:t>
      </w:r>
      <w:r>
        <w:rPr>
          <w:rFonts w:hint="eastAsia"/>
          <w:sz w:val="24"/>
          <w:szCs w:val="24"/>
          <w:highlight w:val="none"/>
          <w:lang w:val="en-US" w:eastAsia="zh-CN"/>
        </w:rPr>
        <w:t>4</w:t>
      </w:r>
      <w:r>
        <w:rPr>
          <w:rFonts w:hint="eastAsia"/>
          <w:sz w:val="24"/>
          <w:szCs w:val="24"/>
          <w:highlight w:val="none"/>
        </w:rPr>
        <w:t>：《</w:t>
      </w:r>
      <w:r>
        <w:rPr>
          <w:rFonts w:hint="eastAsia"/>
          <w:sz w:val="24"/>
          <w:szCs w:val="24"/>
          <w:highlight w:val="none"/>
          <w:lang w:val="en-US" w:eastAsia="zh-CN"/>
        </w:rPr>
        <w:t>安全协议</w:t>
      </w:r>
      <w:r>
        <w:rPr>
          <w:rFonts w:hint="eastAsia"/>
          <w:sz w:val="24"/>
          <w:szCs w:val="24"/>
          <w:highlight w:val="none"/>
        </w:rPr>
        <w:t>》</w:t>
      </w:r>
    </w:p>
    <w:p w14:paraId="20667504">
      <w:pPr>
        <w:snapToGrid w:val="0"/>
        <w:spacing w:line="360" w:lineRule="auto"/>
        <w:rPr>
          <w:sz w:val="24"/>
          <w:szCs w:val="24"/>
          <w:highlight w:val="none"/>
        </w:rPr>
      </w:pPr>
    </w:p>
    <w:p w14:paraId="4F60F07B">
      <w:pPr>
        <w:snapToGrid w:val="0"/>
        <w:spacing w:line="360" w:lineRule="auto"/>
        <w:rPr>
          <w:sz w:val="24"/>
          <w:szCs w:val="24"/>
          <w:highlight w:val="none"/>
        </w:rPr>
      </w:pPr>
    </w:p>
    <w:p w14:paraId="6A10DA19">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highlight w:val="none"/>
        </w:rPr>
      </w:pPr>
      <w:r>
        <w:rPr>
          <w:rFonts w:hint="eastAsia"/>
          <w:sz w:val="24"/>
          <w:szCs w:val="24"/>
          <w:highlight w:val="none"/>
        </w:rPr>
        <w:t>甲方（盖章）：</w:t>
      </w:r>
      <w:r>
        <w:rPr>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乙方（盖章）： </w:t>
      </w:r>
    </w:p>
    <w:p w14:paraId="41F8E86F">
      <w:pPr>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rPr>
          <w:sz w:val="24"/>
          <w:szCs w:val="24"/>
          <w:highlight w:val="none"/>
        </w:rPr>
      </w:pPr>
    </w:p>
    <w:p w14:paraId="1E1C3510">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highlight w:val="none"/>
        </w:rPr>
      </w:pPr>
      <w:r>
        <w:rPr>
          <w:rFonts w:hint="eastAsia"/>
          <w:sz w:val="24"/>
          <w:szCs w:val="24"/>
          <w:highlight w:val="none"/>
        </w:rPr>
        <w:t>法定代表人（签章）：</w:t>
      </w:r>
      <w:r>
        <w:rPr>
          <w:sz w:val="24"/>
          <w:szCs w:val="24"/>
          <w:highlight w:val="none"/>
        </w:rPr>
        <w:t xml:space="preserve">               </w:t>
      </w:r>
      <w:r>
        <w:rPr>
          <w:rFonts w:hint="eastAsia"/>
          <w:sz w:val="24"/>
          <w:szCs w:val="24"/>
          <w:highlight w:val="none"/>
        </w:rPr>
        <w:t>法定代表人（签章）：</w:t>
      </w:r>
    </w:p>
    <w:p w14:paraId="06BABB14">
      <w:pPr>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rPr>
          <w:sz w:val="24"/>
          <w:szCs w:val="24"/>
          <w:highlight w:val="none"/>
        </w:rPr>
      </w:pPr>
    </w:p>
    <w:p w14:paraId="4575F619">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highlight w:val="none"/>
        </w:rPr>
      </w:pPr>
      <w:r>
        <w:rPr>
          <w:rFonts w:hint="eastAsia"/>
          <w:sz w:val="24"/>
          <w:szCs w:val="24"/>
          <w:highlight w:val="none"/>
        </w:rPr>
        <w:t>或授权代表人（签字）：</w:t>
      </w:r>
      <w:r>
        <w:rPr>
          <w:sz w:val="24"/>
          <w:szCs w:val="24"/>
          <w:highlight w:val="none"/>
        </w:rPr>
        <w:t xml:space="preserve">             </w:t>
      </w:r>
      <w:r>
        <w:rPr>
          <w:rFonts w:hint="eastAsia"/>
          <w:sz w:val="24"/>
          <w:szCs w:val="24"/>
          <w:highlight w:val="none"/>
        </w:rPr>
        <w:t>或授权代表人（签字）：</w:t>
      </w:r>
    </w:p>
    <w:p w14:paraId="171B0FAF">
      <w:pPr>
        <w:keepNext w:val="0"/>
        <w:keepLines w:val="0"/>
        <w:pageBreakBefore w:val="0"/>
        <w:widowControl w:val="0"/>
        <w:kinsoku/>
        <w:wordWrap/>
        <w:overflowPunct/>
        <w:topLinePunct w:val="0"/>
        <w:autoSpaceDE/>
        <w:autoSpaceDN/>
        <w:bidi w:val="0"/>
        <w:adjustRightInd/>
        <w:snapToGrid w:val="0"/>
        <w:spacing w:line="360" w:lineRule="auto"/>
        <w:ind w:left="4290" w:leftChars="100" w:hanging="4080" w:hangingChars="1700"/>
        <w:textAlignment w:val="auto"/>
        <w:rPr>
          <w:sz w:val="24"/>
          <w:szCs w:val="24"/>
          <w:highlight w:val="none"/>
        </w:rPr>
      </w:pPr>
      <w:r>
        <w:rPr>
          <w:sz w:val="24"/>
          <w:szCs w:val="24"/>
          <w:highlight w:val="none"/>
        </w:rPr>
        <w:t xml:space="preserve">                                 </w:t>
      </w:r>
    </w:p>
    <w:p w14:paraId="3D29599A">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b/>
          <w:bCs/>
          <w:sz w:val="24"/>
          <w:szCs w:val="24"/>
          <w:highlight w:val="none"/>
        </w:rPr>
      </w:pPr>
      <w:r>
        <w:rPr>
          <w:rFonts w:hint="eastAsia"/>
          <w:sz w:val="24"/>
          <w:szCs w:val="24"/>
          <w:highlight w:val="none"/>
        </w:rPr>
        <w:t>签约地点：东莞市</w:t>
      </w:r>
      <w:r>
        <w:rPr>
          <w:rFonts w:hint="eastAsia"/>
          <w:sz w:val="24"/>
          <w:szCs w:val="24"/>
          <w:highlight w:val="none"/>
          <w:lang w:val="en-US" w:eastAsia="zh-CN"/>
        </w:rPr>
        <w:t xml:space="preserve">                   </w:t>
      </w:r>
      <w:r>
        <w:rPr>
          <w:rFonts w:hint="eastAsia"/>
          <w:sz w:val="24"/>
          <w:szCs w:val="24"/>
          <w:highlight w:val="none"/>
        </w:rPr>
        <w:t>签订时间：</w:t>
      </w:r>
      <w:r>
        <w:rPr>
          <w:sz w:val="24"/>
          <w:szCs w:val="24"/>
          <w:highlight w:val="none"/>
        </w:rPr>
        <w:t>202</w:t>
      </w:r>
      <w:r>
        <w:rPr>
          <w:rFonts w:hint="eastAsia"/>
          <w:sz w:val="24"/>
          <w:szCs w:val="24"/>
          <w:highlight w:val="none"/>
          <w:lang w:val="en-US" w:eastAsia="zh-CN"/>
        </w:rPr>
        <w:t>5</w:t>
      </w:r>
      <w:r>
        <w:rPr>
          <w:rFonts w:hint="eastAsia"/>
          <w:sz w:val="24"/>
          <w:szCs w:val="24"/>
          <w:highlight w:val="none"/>
        </w:rPr>
        <w:t>年</w:t>
      </w:r>
      <w:r>
        <w:rPr>
          <w:sz w:val="24"/>
          <w:szCs w:val="24"/>
          <w:highlight w:val="none"/>
        </w:rPr>
        <w:t xml:space="preserve">  </w:t>
      </w:r>
      <w:r>
        <w:rPr>
          <w:rFonts w:hint="eastAsia"/>
          <w:sz w:val="24"/>
          <w:szCs w:val="24"/>
          <w:highlight w:val="none"/>
        </w:rPr>
        <w:t>月</w:t>
      </w:r>
      <w:r>
        <w:rPr>
          <w:sz w:val="24"/>
          <w:szCs w:val="24"/>
          <w:highlight w:val="none"/>
        </w:rPr>
        <w:t xml:space="preserve">  </w:t>
      </w:r>
      <w:r>
        <w:rPr>
          <w:rFonts w:hint="eastAsia"/>
          <w:sz w:val="24"/>
          <w:szCs w:val="24"/>
          <w:highlight w:val="none"/>
        </w:rPr>
        <w:t>日</w:t>
      </w:r>
    </w:p>
    <w:p w14:paraId="02B02902">
      <w:pPr>
        <w:widowControl/>
        <w:jc w:val="left"/>
        <w:rPr>
          <w:rFonts w:hint="eastAsia"/>
          <w:b/>
          <w:bCs/>
          <w:sz w:val="24"/>
          <w:szCs w:val="24"/>
          <w:highlight w:val="none"/>
        </w:rPr>
      </w:pPr>
      <w:r>
        <w:rPr>
          <w:b/>
          <w:bCs/>
          <w:sz w:val="24"/>
          <w:szCs w:val="24"/>
          <w:highlight w:val="none"/>
        </w:rPr>
        <w:br w:type="page"/>
      </w:r>
      <w:r>
        <w:rPr>
          <w:rFonts w:hint="eastAsia"/>
          <w:b/>
          <w:bCs/>
          <w:sz w:val="24"/>
          <w:szCs w:val="24"/>
          <w:highlight w:val="none"/>
        </w:rPr>
        <w:t>附件</w:t>
      </w:r>
      <w:r>
        <w:rPr>
          <w:b/>
          <w:bCs/>
          <w:sz w:val="24"/>
          <w:szCs w:val="24"/>
          <w:highlight w:val="none"/>
        </w:rPr>
        <w:t>1</w:t>
      </w:r>
      <w:r>
        <w:rPr>
          <w:rFonts w:hint="eastAsia"/>
          <w:b/>
          <w:bCs/>
          <w:sz w:val="24"/>
          <w:szCs w:val="24"/>
          <w:highlight w:val="none"/>
        </w:rPr>
        <w:t>：《报价清单》　</w:t>
      </w:r>
    </w:p>
    <w:p w14:paraId="7D10A6BC">
      <w:pPr>
        <w:spacing w:line="360" w:lineRule="auto"/>
        <w:rPr>
          <w:rFonts w:hint="eastAsia"/>
          <w:b/>
          <w:bCs/>
          <w:sz w:val="24"/>
          <w:szCs w:val="24"/>
          <w:highlight w:val="none"/>
        </w:rPr>
      </w:pPr>
      <w:bookmarkStart w:id="139" w:name="_Toc20913_WPSOffice_Level1"/>
    </w:p>
    <w:p w14:paraId="54ECAA1F">
      <w:pPr>
        <w:rPr>
          <w:rFonts w:hint="eastAsia"/>
          <w:b/>
          <w:bCs/>
          <w:sz w:val="24"/>
          <w:szCs w:val="24"/>
          <w:highlight w:val="none"/>
        </w:rPr>
      </w:pPr>
      <w:r>
        <w:rPr>
          <w:rFonts w:hint="eastAsia"/>
          <w:b/>
          <w:bCs/>
          <w:sz w:val="24"/>
          <w:szCs w:val="24"/>
          <w:highlight w:val="none"/>
        </w:rPr>
        <w:br w:type="page"/>
      </w:r>
    </w:p>
    <w:p w14:paraId="5D6511B0">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sz w:val="24"/>
          <w:szCs w:val="24"/>
          <w:highlight w:val="none"/>
        </w:rPr>
      </w:pPr>
      <w:r>
        <w:rPr>
          <w:rFonts w:hint="eastAsia"/>
          <w:sz w:val="24"/>
          <w:szCs w:val="24"/>
          <w:highlight w:val="none"/>
        </w:rPr>
        <w:t>附件</w:t>
      </w:r>
      <w:r>
        <w:rPr>
          <w:sz w:val="24"/>
          <w:szCs w:val="24"/>
          <w:highlight w:val="none"/>
        </w:rPr>
        <w:t>2</w:t>
      </w:r>
      <w:r>
        <w:rPr>
          <w:rFonts w:hint="eastAsia"/>
          <w:sz w:val="24"/>
          <w:szCs w:val="24"/>
          <w:highlight w:val="none"/>
        </w:rPr>
        <w:t>：《</w:t>
      </w:r>
      <w:r>
        <w:rPr>
          <w:rFonts w:hint="eastAsia"/>
          <w:sz w:val="24"/>
          <w:szCs w:val="24"/>
          <w:highlight w:val="none"/>
          <w:lang w:eastAsia="zh-CN"/>
        </w:rPr>
        <w:t>东莞市海心沙资源综合利用中心环保热电厂3号线低温SCR脱硝催化技术服务采购项目</w:t>
      </w:r>
      <w:r>
        <w:rPr>
          <w:rFonts w:hint="eastAsia"/>
          <w:sz w:val="24"/>
          <w:szCs w:val="24"/>
          <w:highlight w:val="none"/>
        </w:rPr>
        <w:t>技术需求书》</w:t>
      </w:r>
    </w:p>
    <w:p w14:paraId="4C42C7A8">
      <w:pPr>
        <w:spacing w:line="240" w:lineRule="auto"/>
        <w:rPr>
          <w:rFonts w:hint="eastAsia"/>
          <w:b/>
          <w:bCs/>
          <w:sz w:val="24"/>
          <w:szCs w:val="24"/>
          <w:highlight w:val="none"/>
        </w:rPr>
      </w:pPr>
      <w:r>
        <w:rPr>
          <w:rFonts w:hint="eastAsia"/>
          <w:b/>
          <w:bCs/>
          <w:sz w:val="24"/>
          <w:szCs w:val="24"/>
          <w:highlight w:val="none"/>
        </w:rPr>
        <w:br w:type="page"/>
      </w:r>
    </w:p>
    <w:p w14:paraId="5411A179">
      <w:pPr>
        <w:pStyle w:val="2"/>
        <w:rPr>
          <w:rFonts w:hint="eastAsia"/>
        </w:rPr>
      </w:pPr>
    </w:p>
    <w:p w14:paraId="60B03AA7">
      <w:pPr>
        <w:spacing w:line="360" w:lineRule="auto"/>
        <w:rPr>
          <w:b/>
          <w:bCs/>
          <w:sz w:val="24"/>
          <w:szCs w:val="24"/>
          <w:highlight w:val="none"/>
        </w:rPr>
      </w:pPr>
      <w:r>
        <w:rPr>
          <w:rFonts w:hint="eastAsia"/>
          <w:b/>
          <w:bCs/>
          <w:sz w:val="24"/>
          <w:szCs w:val="24"/>
          <w:highlight w:val="none"/>
        </w:rPr>
        <w:t>附件</w:t>
      </w:r>
      <w:r>
        <w:rPr>
          <w:rFonts w:hint="eastAsia"/>
          <w:b/>
          <w:bCs/>
          <w:sz w:val="24"/>
          <w:szCs w:val="24"/>
          <w:highlight w:val="none"/>
          <w:lang w:val="en-US" w:eastAsia="zh-CN"/>
        </w:rPr>
        <w:t>3</w:t>
      </w:r>
      <w:r>
        <w:rPr>
          <w:rFonts w:hint="eastAsia"/>
          <w:b/>
          <w:bCs/>
          <w:sz w:val="24"/>
          <w:szCs w:val="24"/>
          <w:highlight w:val="none"/>
        </w:rPr>
        <w:t>：</w:t>
      </w:r>
      <w:bookmarkEnd w:id="139"/>
      <w:r>
        <w:rPr>
          <w:rFonts w:hint="eastAsia"/>
          <w:b/>
          <w:bCs/>
          <w:sz w:val="24"/>
          <w:szCs w:val="24"/>
          <w:highlight w:val="none"/>
        </w:rPr>
        <w:t>　</w:t>
      </w:r>
    </w:p>
    <w:p w14:paraId="16805E28">
      <w:pPr>
        <w:spacing w:line="360" w:lineRule="auto"/>
        <w:jc w:val="center"/>
        <w:rPr>
          <w:rFonts w:eastAsia="方正小标宋简体"/>
          <w:b/>
          <w:color w:val="000000"/>
          <w:sz w:val="44"/>
          <w:szCs w:val="44"/>
          <w:highlight w:val="none"/>
        </w:rPr>
      </w:pPr>
      <w:bookmarkStart w:id="140" w:name="_Toc23645_WPSOffice_Level1"/>
      <w:r>
        <w:rPr>
          <w:rFonts w:hint="eastAsia" w:eastAsia="方正小标宋简体"/>
          <w:b/>
          <w:color w:val="000000"/>
          <w:sz w:val="44"/>
          <w:szCs w:val="44"/>
          <w:highlight w:val="none"/>
        </w:rPr>
        <w:t>阳光合作协议</w:t>
      </w:r>
      <w:bookmarkEnd w:id="140"/>
    </w:p>
    <w:p w14:paraId="7BE5B647">
      <w:pPr>
        <w:keepNext w:val="0"/>
        <w:keepLines w:val="0"/>
        <w:pageBreakBefore w:val="0"/>
        <w:kinsoku/>
        <w:wordWrap/>
        <w:overflowPunct/>
        <w:topLinePunct w:val="0"/>
        <w:autoSpaceDE/>
        <w:autoSpaceDN/>
        <w:bidi w:val="0"/>
        <w:adjustRightInd/>
        <w:snapToGrid w:val="0"/>
        <w:spacing w:line="360" w:lineRule="auto"/>
        <w:textAlignment w:val="auto"/>
        <w:rPr>
          <w:b/>
          <w:color w:val="000000"/>
          <w:sz w:val="28"/>
          <w:szCs w:val="28"/>
          <w:highlight w:val="none"/>
        </w:rPr>
      </w:pPr>
    </w:p>
    <w:p w14:paraId="0A1E2D93">
      <w:pPr>
        <w:keepNext w:val="0"/>
        <w:keepLines w:val="0"/>
        <w:pageBreakBefore w:val="0"/>
        <w:kinsoku/>
        <w:wordWrap/>
        <w:overflowPunct/>
        <w:topLinePunct w:val="0"/>
        <w:autoSpaceDE/>
        <w:autoSpaceDN/>
        <w:bidi w:val="0"/>
        <w:adjustRightInd/>
        <w:snapToGrid w:val="0"/>
        <w:spacing w:before="159" w:beforeLines="50" w:after="159" w:afterLines="50" w:line="360" w:lineRule="auto"/>
        <w:contextualSpacing/>
        <w:textAlignment w:val="auto"/>
        <w:rPr>
          <w:color w:val="000000"/>
          <w:sz w:val="24"/>
          <w:szCs w:val="24"/>
          <w:highlight w:val="none"/>
        </w:rPr>
      </w:pPr>
      <w:r>
        <w:rPr>
          <w:rFonts w:hint="eastAsia"/>
          <w:color w:val="000000"/>
          <w:sz w:val="24"/>
          <w:szCs w:val="24"/>
          <w:highlight w:val="none"/>
        </w:rPr>
        <w:t>甲方（采购方全称）：</w:t>
      </w:r>
      <w:r>
        <w:rPr>
          <w:color w:val="000000"/>
          <w:sz w:val="24"/>
          <w:szCs w:val="24"/>
          <w:highlight w:val="none"/>
        </w:rPr>
        <w:t xml:space="preserve"> </w:t>
      </w:r>
      <w:r>
        <w:rPr>
          <w:rFonts w:hint="eastAsia"/>
          <w:color w:val="000000"/>
          <w:sz w:val="24"/>
          <w:szCs w:val="24"/>
          <w:highlight w:val="none"/>
        </w:rPr>
        <w:t>东莞市新东元环保投资有限公司</w:t>
      </w:r>
    </w:p>
    <w:p w14:paraId="75F383E8">
      <w:pPr>
        <w:keepNext w:val="0"/>
        <w:keepLines w:val="0"/>
        <w:pageBreakBefore w:val="0"/>
        <w:kinsoku/>
        <w:wordWrap/>
        <w:overflowPunct/>
        <w:topLinePunct w:val="0"/>
        <w:autoSpaceDE/>
        <w:autoSpaceDN/>
        <w:bidi w:val="0"/>
        <w:adjustRightInd/>
        <w:snapToGrid w:val="0"/>
        <w:spacing w:line="360" w:lineRule="auto"/>
        <w:jc w:val="left"/>
        <w:textAlignment w:val="auto"/>
        <w:rPr>
          <w:highlight w:val="none"/>
        </w:rPr>
      </w:pPr>
      <w:r>
        <w:rPr>
          <w:rFonts w:hint="eastAsia"/>
          <w:color w:val="000000"/>
          <w:sz w:val="24"/>
          <w:szCs w:val="24"/>
          <w:highlight w:val="none"/>
        </w:rPr>
        <w:t>乙方（供应方全称）：</w:t>
      </w:r>
      <w:r>
        <w:rPr>
          <w:color w:val="000000"/>
          <w:sz w:val="24"/>
          <w:szCs w:val="24"/>
          <w:highlight w:val="none"/>
        </w:rPr>
        <w:t xml:space="preserve"> </w:t>
      </w:r>
      <w:r>
        <w:rPr>
          <w:rFonts w:hint="eastAsia"/>
          <w:color w:val="000000"/>
          <w:sz w:val="24"/>
          <w:szCs w:val="24"/>
          <w:highlight w:val="none"/>
          <w:lang w:eastAsia="zh-CN"/>
        </w:rPr>
        <w:t>XXXX有限公司</w:t>
      </w:r>
      <w:r>
        <w:rPr>
          <w:color w:val="000000"/>
          <w:sz w:val="24"/>
          <w:szCs w:val="24"/>
          <w:highlight w:val="none"/>
        </w:rPr>
        <w:t xml:space="preserve">       </w:t>
      </w:r>
      <w:r>
        <w:rPr>
          <w:rFonts w:hint="eastAsia"/>
          <w:highlight w:val="none"/>
        </w:rPr>
        <w:t xml:space="preserve">    </w:t>
      </w:r>
    </w:p>
    <w:p w14:paraId="21561E30">
      <w:pPr>
        <w:keepNext w:val="0"/>
        <w:keepLines w:val="0"/>
        <w:pageBreakBefore w:val="0"/>
        <w:kinsoku/>
        <w:wordWrap/>
        <w:overflowPunct/>
        <w:topLinePunct w:val="0"/>
        <w:autoSpaceDE/>
        <w:autoSpaceDN/>
        <w:bidi w:val="0"/>
        <w:adjustRightInd/>
        <w:snapToGrid w:val="0"/>
        <w:spacing w:before="120" w:beforeLines="50" w:after="120" w:afterLines="50" w:line="360" w:lineRule="auto"/>
        <w:ind w:firstLine="420" w:firstLineChars="200"/>
        <w:contextualSpacing/>
        <w:textAlignment w:val="auto"/>
        <w:rPr>
          <w:rFonts w:ascii="宋体"/>
          <w:color w:val="auto"/>
          <w:highlight w:val="none"/>
        </w:rPr>
      </w:pPr>
      <w:r>
        <w:rPr>
          <w:rFonts w:hint="eastAsia"/>
          <w:highlight w:val="none"/>
        </w:rPr>
        <w:t>甲乙双方于</w:t>
      </w:r>
      <w:r>
        <w:rPr>
          <w:highlight w:val="none"/>
        </w:rPr>
        <w:t>202</w:t>
      </w:r>
      <w:r>
        <w:rPr>
          <w:rFonts w:hint="eastAsia"/>
          <w:highlight w:val="none"/>
          <w:lang w:val="en-US" w:eastAsia="zh-CN"/>
        </w:rPr>
        <w:t>5</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日签署了</w:t>
      </w:r>
      <w:r>
        <w:rPr>
          <w:rFonts w:hint="eastAsia"/>
          <w:highlight w:val="none"/>
          <w:lang w:eastAsia="zh-CN"/>
        </w:rPr>
        <w:t>《东莞市海心沙资源综合利用中心环保热电厂3号线低温SCR脱硝催化技术服务采购项目</w:t>
      </w:r>
      <w:r>
        <w:rPr>
          <w:rFonts w:hint="eastAsia"/>
          <w:highlight w:val="none"/>
        </w:rPr>
        <w:t>合同</w:t>
      </w:r>
      <w:r>
        <w:rPr>
          <w:rFonts w:hint="eastAsia"/>
          <w:highlight w:val="none"/>
          <w:lang w:eastAsia="zh-CN"/>
        </w:rPr>
        <w:t>》</w:t>
      </w:r>
      <w:r>
        <w:rPr>
          <w:rFonts w:hint="eastAsia" w:ascii="宋体" w:hAnsi="宋体"/>
          <w:color w:val="auto"/>
          <w:highlight w:val="none"/>
        </w:rPr>
        <w:t>，为加强双方阳光合作，保证职员职业安全，甲乙双方经协商签订本协议并作为双方共同遵守的阳光合作行为准则。</w:t>
      </w:r>
    </w:p>
    <w:p w14:paraId="6BB22538">
      <w:pPr>
        <w:keepNext w:val="0"/>
        <w:keepLines w:val="0"/>
        <w:pageBreakBefore w:val="0"/>
        <w:widowControl/>
        <w:numPr>
          <w:ilvl w:val="0"/>
          <w:numId w:val="0"/>
        </w:numPr>
        <w:kinsoku/>
        <w:wordWrap/>
        <w:overflowPunct/>
        <w:topLinePunct w:val="0"/>
        <w:autoSpaceDE/>
        <w:autoSpaceDN/>
        <w:bidi w:val="0"/>
        <w:adjustRightInd/>
        <w:snapToGrid w:val="0"/>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一、</w:t>
      </w:r>
      <w:r>
        <w:rPr>
          <w:rFonts w:hint="eastAsia" w:ascii="宋体" w:hAnsi="宋体"/>
          <w:b/>
          <w:highlight w:val="none"/>
        </w:rPr>
        <w:t>甲方责任</w:t>
      </w:r>
    </w:p>
    <w:p w14:paraId="56190EE5">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1.甲方有责任向乙方介绍本单位有关采购管理通用原则和本协议的规定。</w:t>
      </w:r>
    </w:p>
    <w:p w14:paraId="2246A06B">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2.甲方有责任对本单位相关人员进行阳光合作教育。</w:t>
      </w:r>
    </w:p>
    <w:p w14:paraId="3DE326F5">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818AB16">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4.甲方人员如违反阳光合作管理制度及本协议规定，甲方视情节轻重、影响大小给予行政及经济处罚。</w:t>
      </w:r>
    </w:p>
    <w:p w14:paraId="60B662DA">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14:paraId="3A9EB103">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14:paraId="06C04547">
      <w:pPr>
        <w:keepNext w:val="0"/>
        <w:keepLines w:val="0"/>
        <w:pageBreakBefore w:val="0"/>
        <w:widowControl/>
        <w:numPr>
          <w:ilvl w:val="0"/>
          <w:numId w:val="0"/>
        </w:numPr>
        <w:kinsoku/>
        <w:wordWrap/>
        <w:overflowPunct/>
        <w:topLinePunct w:val="0"/>
        <w:autoSpaceDE/>
        <w:autoSpaceDN/>
        <w:bidi w:val="0"/>
        <w:adjustRightInd/>
        <w:snapToGrid w:val="0"/>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二、</w:t>
      </w:r>
      <w:r>
        <w:rPr>
          <w:rFonts w:hint="eastAsia" w:ascii="宋体" w:hAnsi="宋体"/>
          <w:b/>
          <w:highlight w:val="none"/>
        </w:rPr>
        <w:t>乙方责任</w:t>
      </w:r>
    </w:p>
    <w:p w14:paraId="17D85759">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1.乙方应保证乙方人员了解甲方有关采购管理通用原则和及本协议的规定，并遵照执行。</w:t>
      </w:r>
    </w:p>
    <w:p w14:paraId="7AA88285">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14:paraId="1C8DD24B">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14:paraId="4B103D00">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E4E9623">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5．甲方接受乙方实名或匿名举报，保证为举报者的信息保密，常设举报部门及电</w:t>
      </w:r>
      <w:r>
        <w:rPr>
          <w:rFonts w:hint="eastAsia" w:ascii="宋体" w:hAnsi="宋体" w:eastAsia="宋体"/>
          <w:color w:val="auto"/>
          <w:highlight w:val="none"/>
          <w:lang w:val="en-US" w:eastAsia="zh-CN"/>
        </w:rPr>
        <w:t>话</w:t>
      </w:r>
      <w:r>
        <w:rPr>
          <w:rFonts w:hint="eastAsia" w:ascii="宋体" w:hAnsi="宋体"/>
          <w:color w:val="auto"/>
          <w:highlight w:val="none"/>
        </w:rPr>
        <w:t xml:space="preserve">： </w:t>
      </w:r>
    </w:p>
    <w:p w14:paraId="048EF5E2">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举报受理部门：东莞实业投资控股集团有限公司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w:t>
      </w:r>
    </w:p>
    <w:p w14:paraId="72E43B09">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东实集团举报邮箱：dgsyxf@163.com</w:t>
      </w:r>
    </w:p>
    <w:p w14:paraId="1790539C">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东实集团举报电话：0769-28820703（周一至周五9:00-12:00和14:00-18:00）</w:t>
      </w:r>
    </w:p>
    <w:p w14:paraId="643992A5">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部收，邮编523000。</w:t>
      </w:r>
    </w:p>
    <w:p w14:paraId="6A445007">
      <w:pPr>
        <w:keepNext w:val="0"/>
        <w:keepLines w:val="0"/>
        <w:pageBreakBefore w:val="0"/>
        <w:widowControl/>
        <w:numPr>
          <w:ilvl w:val="0"/>
          <w:numId w:val="0"/>
        </w:numPr>
        <w:kinsoku/>
        <w:wordWrap/>
        <w:overflowPunct/>
        <w:topLinePunct w:val="0"/>
        <w:autoSpaceDE/>
        <w:autoSpaceDN/>
        <w:bidi w:val="0"/>
        <w:adjustRightInd/>
        <w:snapToGrid w:val="0"/>
        <w:spacing w:before="156" w:beforeLines="50" w:after="156" w:afterLines="50" w:line="360" w:lineRule="auto"/>
        <w:ind w:leftChars="200"/>
        <w:contextualSpacing/>
        <w:jc w:val="left"/>
        <w:textAlignment w:val="auto"/>
        <w:rPr>
          <w:rFonts w:ascii="宋体" w:hAnsi="宋体"/>
          <w:b/>
          <w:color w:val="auto"/>
          <w:highlight w:val="none"/>
        </w:rPr>
      </w:pPr>
      <w:r>
        <w:rPr>
          <w:rFonts w:hint="eastAsia" w:ascii="宋体" w:hAnsi="宋体"/>
          <w:b/>
          <w:color w:val="auto"/>
          <w:highlight w:val="none"/>
          <w:lang w:val="en-US" w:eastAsia="zh-CN"/>
        </w:rPr>
        <w:t>三、</w:t>
      </w:r>
      <w:r>
        <w:rPr>
          <w:rFonts w:hint="eastAsia" w:ascii="宋体" w:hAnsi="宋体"/>
          <w:b/>
          <w:color w:val="auto"/>
          <w:highlight w:val="none"/>
        </w:rPr>
        <w:t>其他</w:t>
      </w:r>
    </w:p>
    <w:p w14:paraId="04EC9B43">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color w:val="auto"/>
          <w:highlight w:val="none"/>
        </w:rPr>
        <w:t>1.本协议是原合同的补充协议，与原合同有同等法</w:t>
      </w:r>
      <w:r>
        <w:rPr>
          <w:rFonts w:hint="eastAsia" w:ascii="宋体" w:hAnsi="宋体"/>
          <w:highlight w:val="none"/>
        </w:rPr>
        <w:t>律效力。</w:t>
      </w:r>
    </w:p>
    <w:p w14:paraId="2641473C">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ascii="宋体" w:hAnsi="宋体"/>
          <w:highlight w:val="none"/>
          <w:lang w:val="en-US" w:eastAsia="zh-CN"/>
        </w:rPr>
        <w:t>伍</w:t>
      </w:r>
      <w:r>
        <w:rPr>
          <w:rFonts w:ascii="宋体" w:hAnsi="宋体"/>
          <w:highlight w:val="none"/>
        </w:rPr>
        <w:t>份，甲方执</w:t>
      </w:r>
      <w:r>
        <w:rPr>
          <w:rFonts w:hint="eastAsia" w:ascii="宋体" w:hAnsi="宋体"/>
          <w:highlight w:val="none"/>
          <w:lang w:val="en-US" w:eastAsia="zh-CN"/>
        </w:rPr>
        <w:t>叁</w:t>
      </w:r>
      <w:r>
        <w:rPr>
          <w:rFonts w:ascii="宋体" w:hAnsi="宋体"/>
          <w:highlight w:val="none"/>
        </w:rPr>
        <w:t>份，乙方执</w:t>
      </w:r>
      <w:r>
        <w:rPr>
          <w:rFonts w:hint="eastAsia" w:ascii="宋体" w:hAnsi="宋体"/>
          <w:highlight w:val="none"/>
        </w:rPr>
        <w:t>贰</w:t>
      </w:r>
      <w:r>
        <w:rPr>
          <w:rFonts w:ascii="宋体" w:hAnsi="宋体"/>
          <w:highlight w:val="none"/>
        </w:rPr>
        <w:t>份</w:t>
      </w:r>
      <w:r>
        <w:rPr>
          <w:rFonts w:hint="eastAsia" w:ascii="宋体" w:hAnsi="宋体"/>
          <w:highlight w:val="none"/>
        </w:rPr>
        <w:t>,具有同等法律效力。</w:t>
      </w:r>
    </w:p>
    <w:p w14:paraId="5DDEFD9E">
      <w:pPr>
        <w:keepNext w:val="0"/>
        <w:keepLines w:val="0"/>
        <w:pageBreakBefore w:val="0"/>
        <w:kinsoku/>
        <w:wordWrap/>
        <w:overflowPunct/>
        <w:topLinePunct w:val="0"/>
        <w:autoSpaceDE/>
        <w:autoSpaceDN/>
        <w:bidi w:val="0"/>
        <w:adjustRightInd/>
        <w:snapToGrid w:val="0"/>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3.本协议经双方签署后生效。</w:t>
      </w:r>
    </w:p>
    <w:p w14:paraId="7100D040">
      <w:pPr>
        <w:keepNext w:val="0"/>
        <w:keepLines w:val="0"/>
        <w:pageBreakBefore w:val="0"/>
        <w:kinsoku/>
        <w:wordWrap/>
        <w:overflowPunct/>
        <w:topLinePunct w:val="0"/>
        <w:autoSpaceDE/>
        <w:autoSpaceDN/>
        <w:bidi w:val="0"/>
        <w:adjustRightInd/>
        <w:snapToGrid w:val="0"/>
        <w:spacing w:before="156" w:beforeLines="50" w:after="156" w:afterLines="50" w:line="360" w:lineRule="auto"/>
        <w:ind w:firstLine="420" w:firstLineChars="200"/>
        <w:contextualSpacing/>
        <w:textAlignment w:val="auto"/>
        <w:rPr>
          <w:rFonts w:ascii="宋体" w:hAnsi="宋体"/>
          <w:highlight w:val="none"/>
        </w:rPr>
      </w:pPr>
    </w:p>
    <w:p w14:paraId="795366CC">
      <w:pPr>
        <w:keepNext w:val="0"/>
        <w:keepLines w:val="0"/>
        <w:pageBreakBefore w:val="0"/>
        <w:kinsoku/>
        <w:wordWrap/>
        <w:overflowPunct/>
        <w:topLinePunct w:val="0"/>
        <w:autoSpaceDE/>
        <w:autoSpaceDN/>
        <w:bidi w:val="0"/>
        <w:adjustRightInd/>
        <w:snapToGrid w:val="0"/>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甲方（盖章）：                      乙方（盖章）：</w:t>
      </w:r>
      <w:r>
        <w:rPr>
          <w:rFonts w:ascii="宋体"/>
          <w:highlight w:val="none"/>
        </w:rPr>
        <w:t xml:space="preserve"> </w:t>
      </w:r>
    </w:p>
    <w:p w14:paraId="61638589">
      <w:pPr>
        <w:keepNext w:val="0"/>
        <w:keepLines w:val="0"/>
        <w:pageBreakBefore w:val="0"/>
        <w:kinsoku/>
        <w:wordWrap/>
        <w:overflowPunct/>
        <w:topLinePunct w:val="0"/>
        <w:autoSpaceDE/>
        <w:autoSpaceDN/>
        <w:bidi w:val="0"/>
        <w:adjustRightInd/>
        <w:snapToGrid w:val="0"/>
        <w:spacing w:before="156" w:beforeLines="50" w:after="156" w:afterLines="50" w:line="360" w:lineRule="auto"/>
        <w:ind w:firstLine="420" w:firstLineChars="200"/>
        <w:contextualSpacing/>
        <w:textAlignment w:val="auto"/>
        <w:rPr>
          <w:rFonts w:ascii="宋体" w:hAnsi="宋体"/>
          <w:highlight w:val="none"/>
        </w:rPr>
      </w:pPr>
    </w:p>
    <w:p w14:paraId="7EEC0D47">
      <w:pPr>
        <w:keepNext w:val="0"/>
        <w:keepLines w:val="0"/>
        <w:pageBreakBefore w:val="0"/>
        <w:kinsoku/>
        <w:wordWrap/>
        <w:overflowPunct/>
        <w:topLinePunct w:val="0"/>
        <w:autoSpaceDE/>
        <w:autoSpaceDN/>
        <w:bidi w:val="0"/>
        <w:adjustRightInd/>
        <w:snapToGrid w:val="0"/>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ighlight w:val="none"/>
          <w:lang w:val="en-US" w:eastAsia="zh-CN"/>
        </w:rPr>
        <w:t xml:space="preserve">   </w:t>
      </w:r>
      <w:r>
        <w:rPr>
          <w:rFonts w:hint="eastAsia" w:ascii="宋体" w:hAnsi="宋体"/>
          <w:highlight w:val="none"/>
        </w:rPr>
        <w:t>法定代表人（授权代表）：</w:t>
      </w:r>
    </w:p>
    <w:p w14:paraId="6D6B5D0E">
      <w:pPr>
        <w:keepNext w:val="0"/>
        <w:keepLines w:val="0"/>
        <w:pageBreakBefore w:val="0"/>
        <w:kinsoku/>
        <w:wordWrap/>
        <w:overflowPunct/>
        <w:topLinePunct w:val="0"/>
        <w:autoSpaceDE/>
        <w:autoSpaceDN/>
        <w:bidi w:val="0"/>
        <w:adjustRightInd/>
        <w:snapToGrid w:val="0"/>
        <w:spacing w:before="156" w:beforeLines="50" w:after="156" w:afterLines="50" w:line="360" w:lineRule="auto"/>
        <w:ind w:firstLine="420" w:firstLineChars="200"/>
        <w:contextualSpacing/>
        <w:textAlignment w:val="auto"/>
        <w:rPr>
          <w:rFonts w:ascii="宋体" w:hAnsi="宋体"/>
          <w:highlight w:val="none"/>
        </w:rPr>
      </w:pPr>
    </w:p>
    <w:p w14:paraId="54C46D13">
      <w:pPr>
        <w:keepNext w:val="0"/>
        <w:keepLines w:val="0"/>
        <w:pageBreakBefore w:val="0"/>
        <w:kinsoku/>
        <w:wordWrap/>
        <w:overflowPunct/>
        <w:topLinePunct w:val="0"/>
        <w:autoSpaceDE/>
        <w:autoSpaceDN/>
        <w:bidi w:val="0"/>
        <w:adjustRightInd/>
        <w:snapToGrid w:val="0"/>
        <w:spacing w:before="156" w:beforeLines="50" w:after="156" w:afterLines="50" w:line="360" w:lineRule="auto"/>
        <w:ind w:firstLine="420" w:firstLineChars="200"/>
        <w:contextualSpacing/>
        <w:textAlignment w:val="auto"/>
        <w:rPr>
          <w:rFonts w:hint="eastAsia" w:ascii="宋体" w:hAnsi="宋体"/>
          <w:highlight w:val="none"/>
        </w:rPr>
      </w:pPr>
      <w:r>
        <w:rPr>
          <w:rFonts w:hint="eastAsia" w:ascii="宋体" w:hAnsi="宋体"/>
          <w:highlight w:val="none"/>
        </w:rPr>
        <w:t>签约日期：</w:t>
      </w:r>
      <w:r>
        <w:rPr>
          <w:rFonts w:hint="eastAsia" w:ascii="宋体" w:hAnsi="宋体"/>
          <w:highlight w:val="none"/>
          <w:lang w:val="en-US" w:eastAsia="zh-CN"/>
        </w:rPr>
        <w:t>2025</w:t>
      </w:r>
      <w:r>
        <w:rPr>
          <w:rFonts w:hint="eastAsia" w:ascii="宋体" w:hAnsi="宋体"/>
          <w:highlight w:val="none"/>
        </w:rPr>
        <w:t>年   月   日</w:t>
      </w:r>
      <w:bookmarkStart w:id="141" w:name="现场签证通知单"/>
      <w:bookmarkEnd w:id="141"/>
      <w:bookmarkStart w:id="142" w:name="设计变更通知单"/>
      <w:bookmarkEnd w:id="142"/>
      <w:r>
        <w:rPr>
          <w:highlight w:val="none"/>
        </w:rPr>
        <w:tab/>
      </w:r>
      <w:r>
        <w:rPr>
          <w:highlight w:val="none"/>
        </w:rPr>
        <w:t xml:space="preserve">    </w:t>
      </w:r>
      <w:r>
        <w:rPr>
          <w:rFonts w:hint="eastAsia"/>
          <w:highlight w:val="none"/>
        </w:rPr>
        <w:t xml:space="preserve">   </w:t>
      </w:r>
      <w:r>
        <w:rPr>
          <w:rFonts w:hint="eastAsia" w:ascii="宋体" w:hAnsi="宋体"/>
          <w:highlight w:val="none"/>
        </w:rPr>
        <w:t>签约日期：</w:t>
      </w:r>
      <w:r>
        <w:rPr>
          <w:rFonts w:hint="eastAsia" w:ascii="宋体" w:hAnsi="宋体"/>
          <w:highlight w:val="none"/>
          <w:lang w:val="en-US" w:eastAsia="zh-CN"/>
        </w:rPr>
        <w:t>2025</w:t>
      </w:r>
      <w:r>
        <w:rPr>
          <w:rFonts w:hint="eastAsia" w:ascii="宋体" w:hAnsi="宋体"/>
          <w:highlight w:val="none"/>
        </w:rPr>
        <w:t>年   月   日</w:t>
      </w:r>
    </w:p>
    <w:p w14:paraId="588B6B68">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highlight w:val="none"/>
        </w:rPr>
      </w:pPr>
      <w:r>
        <w:rPr>
          <w:rFonts w:hint="eastAsia" w:ascii="宋体" w:hAnsi="宋体"/>
          <w:highlight w:val="none"/>
        </w:rPr>
        <w:br w:type="page"/>
      </w:r>
    </w:p>
    <w:p w14:paraId="7D2FBB11">
      <w:pPr>
        <w:spacing w:line="360" w:lineRule="auto"/>
        <w:rPr>
          <w:b/>
          <w:bCs/>
          <w:sz w:val="24"/>
          <w:szCs w:val="24"/>
          <w:highlight w:val="none"/>
        </w:rPr>
      </w:pPr>
      <w:r>
        <w:rPr>
          <w:rFonts w:hint="eastAsia"/>
          <w:b/>
          <w:bCs/>
          <w:sz w:val="24"/>
          <w:szCs w:val="24"/>
          <w:highlight w:val="none"/>
        </w:rPr>
        <w:t>附件</w:t>
      </w:r>
      <w:r>
        <w:rPr>
          <w:rFonts w:hint="eastAsia"/>
          <w:b/>
          <w:bCs/>
          <w:sz w:val="24"/>
          <w:szCs w:val="24"/>
          <w:highlight w:val="none"/>
          <w:lang w:val="en-US" w:eastAsia="zh-CN"/>
        </w:rPr>
        <w:t>4</w:t>
      </w:r>
      <w:r>
        <w:rPr>
          <w:rFonts w:hint="eastAsia"/>
          <w:b/>
          <w:bCs/>
          <w:sz w:val="24"/>
          <w:szCs w:val="24"/>
          <w:highlight w:val="none"/>
        </w:rPr>
        <w:t>：　</w:t>
      </w:r>
    </w:p>
    <w:p w14:paraId="252CADCB">
      <w:pPr>
        <w:jc w:val="center"/>
        <w:rPr>
          <w:rFonts w:ascii="宋体" w:hAnsi="宋体" w:eastAsia="宋体"/>
          <w:b/>
          <w:bCs/>
          <w:sz w:val="30"/>
          <w:szCs w:val="30"/>
        </w:rPr>
      </w:pPr>
      <w:r>
        <w:rPr>
          <w:rFonts w:hint="eastAsia" w:ascii="宋体" w:hAnsi="宋体" w:eastAsia="宋体"/>
          <w:b/>
          <w:bCs/>
          <w:sz w:val="30"/>
          <w:szCs w:val="30"/>
          <w:lang w:val="zh-CN"/>
        </w:rPr>
        <w:t>安全协议书</w:t>
      </w:r>
    </w:p>
    <w:p w14:paraId="331B5747">
      <w:pPr>
        <w:spacing w:line="560" w:lineRule="exact"/>
        <w:rPr>
          <w:rFonts w:ascii="宋体" w:hAnsi="宋体" w:eastAsia="宋体"/>
          <w:bCs/>
          <w:spacing w:val="-10"/>
          <w:sz w:val="24"/>
        </w:rPr>
      </w:pPr>
      <w:r>
        <w:rPr>
          <w:rFonts w:hint="eastAsia" w:ascii="宋体" w:hAnsi="宋体" w:eastAsia="宋体"/>
          <w:bCs/>
          <w:spacing w:val="-10"/>
          <w:sz w:val="24"/>
        </w:rPr>
        <w:t>发包单位：</w:t>
      </w:r>
      <w:r>
        <w:rPr>
          <w:rFonts w:hint="eastAsia" w:ascii="宋体" w:hAnsi="宋体" w:eastAsia="宋体"/>
          <w:bCs/>
          <w:spacing w:val="-10"/>
          <w:sz w:val="24"/>
          <w:u w:val="single"/>
        </w:rPr>
        <w:t xml:space="preserve"> 东莞市新东元环保投资有限公司 </w:t>
      </w:r>
      <w:r>
        <w:rPr>
          <w:rFonts w:hint="eastAsia" w:ascii="宋体" w:hAnsi="宋体" w:eastAsia="宋体"/>
          <w:bCs/>
          <w:spacing w:val="-10"/>
          <w:sz w:val="24"/>
        </w:rPr>
        <w:t xml:space="preserve">   （以下简称甲方）</w:t>
      </w:r>
    </w:p>
    <w:p w14:paraId="6F5D13D7">
      <w:pPr>
        <w:spacing w:line="560" w:lineRule="exact"/>
        <w:rPr>
          <w:rFonts w:ascii="宋体" w:hAnsi="宋体" w:eastAsia="宋体"/>
          <w:bCs/>
          <w:spacing w:val="-10"/>
          <w:sz w:val="24"/>
        </w:rPr>
      </w:pPr>
      <w:r>
        <w:rPr>
          <w:rFonts w:hint="eastAsia" w:ascii="宋体" w:hAnsi="宋体" w:eastAsia="宋体"/>
          <w:bCs/>
          <w:spacing w:val="-10"/>
          <w:sz w:val="24"/>
        </w:rPr>
        <w:t>承包单位：</w:t>
      </w:r>
      <w:r>
        <w:rPr>
          <w:rFonts w:hint="eastAsia" w:ascii="宋体" w:hAnsi="宋体" w:eastAsia="宋体"/>
          <w:bCs/>
          <w:spacing w:val="-10"/>
          <w:sz w:val="24"/>
          <w:u w:val="single"/>
        </w:rPr>
        <w:t xml:space="preserve"> </w:t>
      </w:r>
      <w:r>
        <w:rPr>
          <w:rFonts w:ascii="宋体" w:hAnsi="宋体" w:eastAsia="宋体"/>
          <w:bCs/>
          <w:spacing w:val="-10"/>
          <w:sz w:val="24"/>
          <w:u w:val="single"/>
        </w:rPr>
        <w:t xml:space="preserve">   </w:t>
      </w:r>
      <w:r>
        <w:rPr>
          <w:rFonts w:hint="eastAsia" w:ascii="宋体" w:hAnsi="宋体"/>
          <w:bCs/>
          <w:spacing w:val="-10"/>
          <w:sz w:val="24"/>
          <w:u w:val="single"/>
          <w:lang w:eastAsia="zh-CN"/>
        </w:rPr>
        <w:t>XXXX有限公司</w:t>
      </w:r>
      <w:r>
        <w:rPr>
          <w:rFonts w:ascii="宋体" w:hAnsi="宋体" w:eastAsia="宋体"/>
          <w:bCs/>
          <w:spacing w:val="-10"/>
          <w:sz w:val="24"/>
          <w:u w:val="single"/>
        </w:rPr>
        <w:t xml:space="preserve">     </w:t>
      </w:r>
      <w:r>
        <w:rPr>
          <w:rFonts w:hint="eastAsia" w:ascii="宋体" w:hAnsi="宋体" w:eastAsia="宋体"/>
          <w:bCs/>
          <w:spacing w:val="-10"/>
          <w:sz w:val="24"/>
          <w:u w:val="single"/>
        </w:rPr>
        <w:t xml:space="preserve"> </w:t>
      </w:r>
      <w:r>
        <w:rPr>
          <w:rFonts w:hint="eastAsia" w:ascii="宋体" w:hAnsi="宋体" w:eastAsia="宋体"/>
          <w:bCs/>
          <w:spacing w:val="-10"/>
          <w:sz w:val="24"/>
        </w:rPr>
        <w:t xml:space="preserve">   （以下简称乙方）</w:t>
      </w:r>
    </w:p>
    <w:p w14:paraId="2B4ECBBA">
      <w:pPr>
        <w:spacing w:line="560" w:lineRule="exact"/>
        <w:jc w:val="left"/>
        <w:rPr>
          <w:rFonts w:ascii="宋体" w:hAnsi="宋体" w:eastAsia="宋体"/>
          <w:snapToGrid w:val="0"/>
          <w:color w:val="000000"/>
          <w:sz w:val="24"/>
          <w:szCs w:val="24"/>
        </w:rPr>
      </w:pPr>
      <w:r>
        <w:rPr>
          <w:rFonts w:hint="eastAsia" w:ascii="仿宋_GB2312" w:hAnsi="宋体" w:eastAsia="仿宋_GB2312" w:cs="宋体"/>
          <w:sz w:val="24"/>
        </w:rPr>
        <w:t xml:space="preserve">    </w:t>
      </w:r>
      <w:r>
        <w:rPr>
          <w:rFonts w:hint="eastAsia" w:ascii="宋体" w:hAnsi="宋体" w:eastAsia="宋体" w:cs="宋体"/>
          <w:sz w:val="24"/>
        </w:rPr>
        <w:t>根据甲方工作需要，</w:t>
      </w:r>
      <w:r>
        <w:rPr>
          <w:rFonts w:hint="eastAsia" w:ascii="宋体" w:hAnsi="宋体" w:eastAsia="宋体" w:cs="宋体"/>
          <w:sz w:val="24"/>
          <w:u w:val="single"/>
        </w:rPr>
        <w:t>现将</w:t>
      </w:r>
      <w:r>
        <w:rPr>
          <w:rFonts w:hint="eastAsia" w:ascii="宋体" w:hAnsi="宋体" w:cs="宋体"/>
          <w:sz w:val="24"/>
          <w:u w:val="single"/>
          <w:lang w:eastAsia="zh-CN"/>
        </w:rPr>
        <w:t>东莞市海心沙资源综合利用中心环保热电厂3号线低温SCR脱硝催化技术服务采购项目</w:t>
      </w:r>
      <w:r>
        <w:rPr>
          <w:rFonts w:hint="eastAsia" w:ascii="宋体" w:hAnsi="宋体" w:eastAsia="宋体" w:cs="宋体"/>
          <w:sz w:val="24"/>
          <w:u w:val="single"/>
        </w:rPr>
        <w:t>发包乙方</w:t>
      </w:r>
      <w:r>
        <w:rPr>
          <w:rFonts w:hint="eastAsia" w:ascii="宋体" w:hAnsi="宋体" w:eastAsia="宋体" w:cs="宋体"/>
          <w:sz w:val="24"/>
        </w:rPr>
        <w:t>，</w:t>
      </w:r>
      <w:r>
        <w:rPr>
          <w:rFonts w:hint="eastAsia" w:ascii="宋体" w:hAnsi="宋体" w:eastAsia="宋体"/>
          <w:snapToGrid w:val="0"/>
          <w:color w:val="000000"/>
          <w:sz w:val="24"/>
          <w:szCs w:val="24"/>
        </w:rPr>
        <w:t>为了确保实现甲方的安全生产目标，进一步明确双方的安全管理责任，加强安全生产管理工作的协调、管理力度，甲方与乙方依据国家安全生产相关的法律、法规、条例、标准、行业标准，双方同意签订该协议作为正式合同安全管理方面的补充规定，并承诺本协议具有与合同相同的法律效力。具体条款如下：</w:t>
      </w:r>
    </w:p>
    <w:p w14:paraId="1CB9D6EC">
      <w:pPr>
        <w:pStyle w:val="26"/>
        <w:spacing w:before="0" w:after="0" w:line="560" w:lineRule="exact"/>
        <w:jc w:val="left"/>
        <w:rPr>
          <w:rFonts w:ascii="宋体" w:hAnsi="宋体" w:eastAsia="宋体"/>
          <w:sz w:val="24"/>
          <w:szCs w:val="24"/>
        </w:rPr>
      </w:pPr>
      <w:r>
        <w:rPr>
          <w:rFonts w:hint="eastAsia" w:ascii="宋体" w:hAnsi="宋体" w:eastAsia="宋体"/>
          <w:sz w:val="24"/>
          <w:szCs w:val="24"/>
        </w:rPr>
        <w:t>一、协议有效期限</w:t>
      </w:r>
    </w:p>
    <w:p w14:paraId="2DB3DBD7">
      <w:pPr>
        <w:spacing w:line="560" w:lineRule="exact"/>
        <w:ind w:firstLine="480" w:firstLineChars="200"/>
        <w:rPr>
          <w:rFonts w:ascii="宋体" w:hAnsi="宋体" w:eastAsia="宋体"/>
          <w:snapToGrid w:val="0"/>
          <w:color w:val="000000"/>
          <w:sz w:val="24"/>
          <w:szCs w:val="24"/>
        </w:rPr>
      </w:pPr>
      <w:r>
        <w:rPr>
          <w:rFonts w:hint="eastAsia" w:ascii="宋体" w:hAnsi="宋体" w:eastAsia="宋体"/>
          <w:snapToGrid w:val="0"/>
          <w:color w:val="000000"/>
          <w:sz w:val="24"/>
          <w:szCs w:val="24"/>
        </w:rPr>
        <w:t>本协议中所涉及的安全管理责任自合同签订之日起开始生效，至合同终止之日。</w:t>
      </w:r>
    </w:p>
    <w:p w14:paraId="41A07D57">
      <w:pPr>
        <w:pStyle w:val="26"/>
        <w:spacing w:before="0" w:after="0" w:line="560" w:lineRule="exact"/>
        <w:jc w:val="left"/>
        <w:rPr>
          <w:rFonts w:ascii="宋体" w:hAnsi="宋体" w:eastAsia="宋体"/>
          <w:sz w:val="24"/>
          <w:szCs w:val="24"/>
        </w:rPr>
      </w:pPr>
      <w:r>
        <w:rPr>
          <w:rFonts w:hint="eastAsia" w:ascii="宋体" w:hAnsi="宋体" w:eastAsia="宋体"/>
          <w:sz w:val="24"/>
          <w:szCs w:val="24"/>
        </w:rPr>
        <w:t>二、安全管理目标</w:t>
      </w:r>
    </w:p>
    <w:p w14:paraId="03D9E770">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(一)乙方承诺履行和承担合同和甲方程序所规定的安全责任，并完成如下控制目标：</w:t>
      </w:r>
    </w:p>
    <w:p w14:paraId="32EF2B3F">
      <w:pPr>
        <w:pStyle w:val="42"/>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不发生重伤及以上人身伤亡事故；</w:t>
      </w:r>
    </w:p>
    <w:p w14:paraId="03E95044">
      <w:pPr>
        <w:pStyle w:val="42"/>
        <w:numPr>
          <w:ilvl w:val="0"/>
          <w:numId w:val="8"/>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不发生单项直接损失超过20万元以上的经济损失事故；</w:t>
      </w:r>
    </w:p>
    <w:p w14:paraId="7103AA2A">
      <w:pPr>
        <w:pStyle w:val="42"/>
        <w:numPr>
          <w:ilvl w:val="0"/>
          <w:numId w:val="8"/>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不发生造成20万元以上直接经济损失或致人重伤的火灾事故；</w:t>
      </w:r>
    </w:p>
    <w:p w14:paraId="24C62725">
      <w:pPr>
        <w:pStyle w:val="42"/>
        <w:numPr>
          <w:ilvl w:val="0"/>
          <w:numId w:val="8"/>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不发生负同等及同等以上责任的且导致重伤1人或轻伤3人及以上，或财产损失3万元以上的交通事故；</w:t>
      </w:r>
    </w:p>
    <w:p w14:paraId="6C8F42AA">
      <w:pPr>
        <w:pStyle w:val="42"/>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cs="宋体"/>
          <w:sz w:val="24"/>
          <w:szCs w:val="24"/>
        </w:rPr>
        <w:t>不发生被生态环境部门挂网通报或行政处罚的环保事件；</w:t>
      </w:r>
    </w:p>
    <w:p w14:paraId="5E2F5815">
      <w:pPr>
        <w:pStyle w:val="42"/>
        <w:numPr>
          <w:ilvl w:val="0"/>
          <w:numId w:val="8"/>
        </w:numPr>
        <w:snapToGrid w:val="0"/>
        <w:spacing w:line="560" w:lineRule="exact"/>
        <w:ind w:firstLineChars="0"/>
        <w:rPr>
          <w:rFonts w:ascii="宋体" w:hAnsi="宋体" w:eastAsia="宋体" w:cs="宋体"/>
          <w:sz w:val="24"/>
          <w:szCs w:val="24"/>
        </w:rPr>
      </w:pPr>
      <w:r>
        <w:rPr>
          <w:rFonts w:hint="eastAsia" w:ascii="宋体" w:hAnsi="宋体" w:eastAsia="宋体"/>
          <w:snapToGrid w:val="0"/>
          <w:color w:val="000000"/>
          <w:sz w:val="24"/>
          <w:szCs w:val="24"/>
        </w:rPr>
        <w:t>不发生职业病病例；</w:t>
      </w:r>
    </w:p>
    <w:p w14:paraId="143B6CDB">
      <w:pPr>
        <w:pStyle w:val="42"/>
        <w:numPr>
          <w:ilvl w:val="0"/>
          <w:numId w:val="8"/>
        </w:numPr>
        <w:snapToGrid w:val="0"/>
        <w:spacing w:line="560" w:lineRule="exact"/>
        <w:ind w:firstLineChars="0"/>
        <w:rPr>
          <w:rFonts w:ascii="宋体" w:hAnsi="宋体" w:eastAsia="宋体" w:cs="宋体"/>
          <w:sz w:val="24"/>
          <w:szCs w:val="24"/>
        </w:rPr>
      </w:pPr>
      <w:r>
        <w:rPr>
          <w:rFonts w:hint="eastAsia" w:ascii="宋体" w:hAnsi="宋体" w:eastAsia="宋体"/>
          <w:snapToGrid w:val="0"/>
          <w:color w:val="000000"/>
          <w:sz w:val="24"/>
          <w:szCs w:val="24"/>
        </w:rPr>
        <w:t>不发生乙方管理责任导致的治安案件、群体事件；</w:t>
      </w:r>
    </w:p>
    <w:p w14:paraId="46EE9C8A">
      <w:pPr>
        <w:pStyle w:val="42"/>
        <w:numPr>
          <w:ilvl w:val="0"/>
          <w:numId w:val="8"/>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w:t>
      </w:r>
      <w:r>
        <w:rPr>
          <w:rFonts w:hint="eastAsia" w:ascii="宋体" w:hAnsi="宋体" w:eastAsia="宋体" w:cs="宋体"/>
          <w:color w:val="000000"/>
          <w:sz w:val="24"/>
          <w:szCs w:val="24"/>
          <w:shd w:val="clear" w:color="auto" w:fill="FFFFFF"/>
        </w:rPr>
        <w:t>安全事故隐瞒不报、谎报或严重迟报（指超过24h）行为。</w:t>
      </w:r>
    </w:p>
    <w:p w14:paraId="59F24FE6">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（二）乙方承诺在作业中控制以下安全事件（行为）的发生：</w:t>
      </w:r>
    </w:p>
    <w:p w14:paraId="364AB176">
      <w:pPr>
        <w:pStyle w:val="42"/>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人员轻伤事故；</w:t>
      </w:r>
    </w:p>
    <w:p w14:paraId="0FC737E9">
      <w:pPr>
        <w:pStyle w:val="42"/>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未遂事故；</w:t>
      </w:r>
    </w:p>
    <w:p w14:paraId="18081DED">
      <w:pPr>
        <w:pStyle w:val="42"/>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恶性误操作；</w:t>
      </w:r>
    </w:p>
    <w:p w14:paraId="02A618B6">
      <w:pPr>
        <w:pStyle w:val="42"/>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无票作业；</w:t>
      </w:r>
    </w:p>
    <w:p w14:paraId="50508752">
      <w:pPr>
        <w:pStyle w:val="42"/>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严重违章、群体违章；</w:t>
      </w:r>
    </w:p>
    <w:p w14:paraId="574E5091">
      <w:pPr>
        <w:pStyle w:val="42"/>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未经培训或培训不合格人员上岗；</w:t>
      </w:r>
    </w:p>
    <w:p w14:paraId="39899718">
      <w:pPr>
        <w:pStyle w:val="42"/>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特种作业人员无证上岗；</w:t>
      </w:r>
    </w:p>
    <w:p w14:paraId="656C574D">
      <w:pPr>
        <w:pStyle w:val="42"/>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重大安全隐患。</w:t>
      </w:r>
    </w:p>
    <w:p w14:paraId="4189DB82">
      <w:pPr>
        <w:pStyle w:val="26"/>
        <w:spacing w:before="0" w:after="0" w:line="560" w:lineRule="exact"/>
        <w:jc w:val="left"/>
        <w:rPr>
          <w:rFonts w:ascii="宋体" w:hAnsi="宋体" w:eastAsia="宋体"/>
          <w:sz w:val="24"/>
          <w:szCs w:val="24"/>
        </w:rPr>
      </w:pPr>
      <w:r>
        <w:rPr>
          <w:rFonts w:hint="eastAsia" w:ascii="宋体" w:hAnsi="宋体" w:eastAsia="宋体"/>
          <w:sz w:val="24"/>
          <w:szCs w:val="24"/>
        </w:rPr>
        <w:t>三、安全责任</w:t>
      </w:r>
    </w:p>
    <w:p w14:paraId="0BCF018B">
      <w:pPr>
        <w:pStyle w:val="26"/>
        <w:spacing w:before="0" w:after="0" w:line="560" w:lineRule="exact"/>
        <w:jc w:val="left"/>
        <w:rPr>
          <w:rFonts w:ascii="宋体" w:hAnsi="宋体" w:eastAsia="宋体"/>
          <w:sz w:val="24"/>
          <w:szCs w:val="24"/>
        </w:rPr>
      </w:pPr>
      <w:r>
        <w:rPr>
          <w:rFonts w:hint="eastAsia" w:ascii="宋体" w:hAnsi="宋体" w:eastAsia="宋体"/>
          <w:sz w:val="24"/>
          <w:szCs w:val="24"/>
        </w:rPr>
        <w:t>（一）甲方安全责任</w:t>
      </w:r>
    </w:p>
    <w:p w14:paraId="65416FF0">
      <w:pPr>
        <w:pStyle w:val="42"/>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对乙方的资质、条件进行审查，符合安全生产相关规定的要求。</w:t>
      </w:r>
    </w:p>
    <w:p w14:paraId="2DA7B19F">
      <w:pPr>
        <w:pStyle w:val="42"/>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开工前，对乙方提供的人员名单进行入厂安全教育培训、考试。</w:t>
      </w:r>
    </w:p>
    <w:p w14:paraId="0E63E608">
      <w:pPr>
        <w:pStyle w:val="42"/>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开工前甲方对乙方进行施工安全技术交底，并应有书面记录或资料。</w:t>
      </w:r>
    </w:p>
    <w:p w14:paraId="7EBF8637">
      <w:pPr>
        <w:pStyle w:val="42"/>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甲方有权检查督促乙方执行有关安全生产方面的工作规定，对乙方不符合安全文明施工标准的行为进行制止、纠正并发出安全整改通知书。</w:t>
      </w:r>
    </w:p>
    <w:p w14:paraId="45C906B6">
      <w:pPr>
        <w:pStyle w:val="42"/>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甲方指派负责与乙方联系安全生产、质量控制、进度协调等方面的工作。</w:t>
      </w:r>
    </w:p>
    <w:p w14:paraId="25DF7AE7">
      <w:pPr>
        <w:pStyle w:val="42"/>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甲方有权对工作票所填写的安全措施是否正确完备进行监督。</w:t>
      </w:r>
    </w:p>
    <w:p w14:paraId="0E742C35">
      <w:pPr>
        <w:pStyle w:val="42"/>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甲方有权要求乙方制定确保施工安全的组织措施、安全措施和技术措施，并监督执行。</w:t>
      </w:r>
    </w:p>
    <w:p w14:paraId="1DD94451">
      <w:pPr>
        <w:pStyle w:val="42"/>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甲方有权对乙方参与施工的人员进行安全技术知识和安全工作规程的抽考。</w:t>
      </w:r>
    </w:p>
    <w:p w14:paraId="487106B8">
      <w:pPr>
        <w:pStyle w:val="42"/>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发生如上第二项第（二）条所列不安全事件（或行为）的，甲方有权按照本协议考核条款进行考核；发生如上第二项第（一）条控制目标事故的，除依照本协议考核条款进行考核外，还要遵从地方政府对事故的处理决定；因乙方责任原因造成甲方重大损失或重大影响的，甲方保留追诉权。</w:t>
      </w:r>
    </w:p>
    <w:p w14:paraId="1C9479E2">
      <w:pPr>
        <w:pStyle w:val="42"/>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在有可能造成火灾、爆炸、中毒、窒息、坍塌、高空坠落、触电等容易引起人身伤害和设备事故的高风险区域内的作业，甲方要求乙方制定安全技术措施，经甲方审查后，监督实施。</w:t>
      </w:r>
    </w:p>
    <w:p w14:paraId="42E9D91F">
      <w:pPr>
        <w:pStyle w:val="26"/>
        <w:spacing w:before="0" w:after="0" w:line="560" w:lineRule="exact"/>
        <w:jc w:val="left"/>
        <w:rPr>
          <w:rFonts w:ascii="宋体" w:hAnsi="宋体" w:eastAsia="宋体"/>
          <w:sz w:val="24"/>
          <w:szCs w:val="24"/>
        </w:rPr>
      </w:pPr>
      <w:r>
        <w:rPr>
          <w:rFonts w:hint="eastAsia" w:ascii="宋体" w:hAnsi="宋体" w:eastAsia="宋体"/>
          <w:sz w:val="24"/>
          <w:szCs w:val="24"/>
        </w:rPr>
        <w:t>（二）乙方安全责任</w:t>
      </w:r>
    </w:p>
    <w:p w14:paraId="1A5D7F18">
      <w:pPr>
        <w:pStyle w:val="42"/>
        <w:numPr>
          <w:ilvl w:val="0"/>
          <w:numId w:val="1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乙方的法定代表人对本合同内容的安全管理负有全面领导责任。</w:t>
      </w:r>
    </w:p>
    <w:p w14:paraId="1C41C7C1">
      <w:pPr>
        <w:pStyle w:val="42"/>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乙方项目经理对作业现场的安全工作负有直接领导责任。</w:t>
      </w:r>
    </w:p>
    <w:p w14:paraId="52B5DE35">
      <w:pPr>
        <w:pStyle w:val="42"/>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服从甲方对安全工作的统一协调和监管，遵守甲方安全管理相关规定，接受甲方安全监督人员的指导和监督。在所有的现场工作中，乙方人员必须严格遵守甲方职业健康、安全、环保相关的管理规定，并接受甲方的监督、落实甲方提出的整改要求。</w:t>
      </w:r>
    </w:p>
    <w:p w14:paraId="2D4AA6AC">
      <w:pPr>
        <w:pStyle w:val="42"/>
        <w:numPr>
          <w:ilvl w:val="0"/>
          <w:numId w:val="1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乙方保证对本项目安全生产条件及其管理资源的投入，保证安全资金的专款专用，并建立适用于本项目的《项目生产安全费用明细一览表》，如实填报，作为项目安全投入的技术性依据。</w:t>
      </w:r>
    </w:p>
    <w:p w14:paraId="1E9213B8">
      <w:pPr>
        <w:pStyle w:val="42"/>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乙方保证建立本项目的安全管理体系，项目安全管理大纲/手册报甲方审查批准后发布实施，安全奖惩制度等安全管理性的程序/制度文件须报甲方备案，相关文件如有升版，应及时分发甲方。</w:t>
      </w:r>
    </w:p>
    <w:p w14:paraId="12D66283">
      <w:pPr>
        <w:pStyle w:val="42"/>
        <w:numPr>
          <w:ilvl w:val="0"/>
          <w:numId w:val="1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乙方保证现场的项目经理、安全管理专职人员、特种作业人员必须持有符合规定的安全生产培训考核合格证书。</w:t>
      </w:r>
    </w:p>
    <w:p w14:paraId="51D9C2D2">
      <w:pPr>
        <w:pStyle w:val="42"/>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乙方保证为现场所有工作人员配备符合国家标准的个人劳动保护用品。</w:t>
      </w:r>
    </w:p>
    <w:p w14:paraId="0AADCF24">
      <w:pPr>
        <w:pStyle w:val="42"/>
        <w:numPr>
          <w:ilvl w:val="0"/>
          <w:numId w:val="1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乙方保证按照国家法律规定为所有从业人员办理意外伤害保险、工伤保险，保额不低于当地赔付标准。</w:t>
      </w:r>
    </w:p>
    <w:p w14:paraId="53EF1CB8">
      <w:pPr>
        <w:pStyle w:val="42"/>
        <w:numPr>
          <w:ilvl w:val="0"/>
          <w:numId w:val="1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乙方保证生活营地（包括自建的和租用的营地）满足消防、环保、安全用电、卫生防疫、防暴雨、防雷击、防台风等方面的安全标准。</w:t>
      </w:r>
    </w:p>
    <w:p w14:paraId="3927A741">
      <w:pPr>
        <w:pStyle w:val="42"/>
        <w:numPr>
          <w:ilvl w:val="0"/>
          <w:numId w:val="1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乙方保证对入场大型施工机械、特种设备、工器具、大宗材料按照国家法规和标准进行检测、试验，并按规定持有法定部门出具的检验合格证书。</w:t>
      </w:r>
    </w:p>
    <w:p w14:paraId="4F3DA983">
      <w:pPr>
        <w:pStyle w:val="42"/>
        <w:numPr>
          <w:ilvl w:val="0"/>
          <w:numId w:val="1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乙方应组织人员对作业区域、作业环境及使用甲方提供的设施设备、工器具等进行检查，熟悉并确认符合安全要求。一经开工，就表示乙方已确认作业现场、作业环境、设施设备、工器具符合安全要求并处于安全状态。</w:t>
      </w:r>
    </w:p>
    <w:p w14:paraId="7B4D263B">
      <w:pPr>
        <w:pStyle w:val="42"/>
        <w:numPr>
          <w:ilvl w:val="0"/>
          <w:numId w:val="1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作业现场符合甲方现场安全要求规范，保持作业现场的良好秩序和整洁的作业环境，作业现场的物料堆放要摆放整齐，安全标志和宣传标志要清楚醒目，废料、废物要按规定分类收集处置，安全通道要畅通。</w:t>
      </w:r>
    </w:p>
    <w:p w14:paraId="5ABD2920">
      <w:pPr>
        <w:pStyle w:val="26"/>
        <w:spacing w:before="0" w:after="0" w:line="560" w:lineRule="exact"/>
        <w:jc w:val="left"/>
        <w:rPr>
          <w:rFonts w:ascii="宋体" w:hAnsi="宋体" w:eastAsia="宋体"/>
          <w:color w:val="000000"/>
          <w:sz w:val="24"/>
          <w:szCs w:val="24"/>
        </w:rPr>
      </w:pPr>
      <w:r>
        <w:rPr>
          <w:rFonts w:hint="eastAsia" w:ascii="宋体" w:hAnsi="宋体" w:eastAsia="宋体"/>
          <w:sz w:val="24"/>
          <w:szCs w:val="24"/>
        </w:rPr>
        <w:t>四、安全投入</w:t>
      </w:r>
    </w:p>
    <w:p w14:paraId="2A2A5D87">
      <w:pPr>
        <w:pStyle w:val="42"/>
        <w:numPr>
          <w:ilvl w:val="0"/>
          <w:numId w:val="12"/>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乙方应按照法规要求对项目的安全投入做出合理、及时、足量的安排，保证有足够的资金用于建立、维护、改善作业安全环境条件和安全作业条件。</w:t>
      </w:r>
    </w:p>
    <w:p w14:paraId="03934952">
      <w:pPr>
        <w:pStyle w:val="42"/>
        <w:numPr>
          <w:ilvl w:val="0"/>
          <w:numId w:val="12"/>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必须建立专项资金管理机制，保证安全投入专款专用，及时投入，满足现场的安全需求，禁止挪用安全资金。若甲方发现乙方挪用安全资金，则甲方有权在合同支付中扣除，并返作安全投入资金，同时对乙方实施考核。</w:t>
      </w:r>
    </w:p>
    <w:p w14:paraId="586D81F2">
      <w:pPr>
        <w:pStyle w:val="42"/>
        <w:numPr>
          <w:ilvl w:val="0"/>
          <w:numId w:val="12"/>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乙方的安全投入项目清单如有遗漏，导致合同规定的安全投入专项资金不能满足“安全投入项目”资金需求时，乙方应从其他渠道安排资金，满足现场安全资金的需求。</w:t>
      </w:r>
    </w:p>
    <w:p w14:paraId="3018E31E">
      <w:pPr>
        <w:pStyle w:val="42"/>
        <w:numPr>
          <w:ilvl w:val="0"/>
          <w:numId w:val="12"/>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甲方有权对安全投入的使用情况进行检查，乙方应予以配合。</w:t>
      </w:r>
    </w:p>
    <w:p w14:paraId="54CA8AEE">
      <w:pPr>
        <w:pStyle w:val="26"/>
        <w:spacing w:before="0" w:after="0" w:line="560" w:lineRule="exact"/>
        <w:jc w:val="left"/>
        <w:rPr>
          <w:rFonts w:ascii="宋体" w:hAnsi="宋体" w:eastAsia="宋体"/>
          <w:sz w:val="24"/>
          <w:szCs w:val="24"/>
        </w:rPr>
      </w:pPr>
      <w:r>
        <w:rPr>
          <w:rFonts w:hint="eastAsia" w:ascii="宋体" w:hAnsi="宋体" w:eastAsia="宋体"/>
          <w:sz w:val="24"/>
          <w:szCs w:val="24"/>
        </w:rPr>
        <w:t>五、接口及协调</w:t>
      </w:r>
    </w:p>
    <w:p w14:paraId="02635D6A">
      <w:pPr>
        <w:pStyle w:val="42"/>
        <w:numPr>
          <w:ilvl w:val="0"/>
          <w:numId w:val="13"/>
        </w:numPr>
        <w:spacing w:line="560" w:lineRule="exact"/>
        <w:ind w:right="174"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乙方必须符合甲方的安全规范，人员、车辆的出入，带入现场的设备、机具、材料，在现场使用的或直接管理的办公、生活、生产性设施的安全管理须满足甲方现场管理的基本要求。</w:t>
      </w:r>
    </w:p>
    <w:p w14:paraId="489EEDD3">
      <w:pPr>
        <w:pStyle w:val="42"/>
        <w:numPr>
          <w:ilvl w:val="0"/>
          <w:numId w:val="1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乙方应指定专职（或兼职）安全管理人员与甲方接口，在业务上接受甲方的协调和指导，参与安全协调和管理。</w:t>
      </w:r>
    </w:p>
    <w:p w14:paraId="3B198146">
      <w:pPr>
        <w:pStyle w:val="42"/>
        <w:numPr>
          <w:ilvl w:val="0"/>
          <w:numId w:val="13"/>
        </w:numPr>
        <w:spacing w:line="560" w:lineRule="exact"/>
        <w:ind w:right="174"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乙方的安全管理人员应具备协调安全工作的能力和授权。甲方有权对安全管理人员的能力和权力做出评价，对于不能胜任的安全管理人员，甲方有权要求乙方换人。</w:t>
      </w:r>
    </w:p>
    <w:p w14:paraId="04AC96D3">
      <w:pPr>
        <w:pStyle w:val="42"/>
        <w:numPr>
          <w:ilvl w:val="0"/>
          <w:numId w:val="13"/>
        </w:numPr>
        <w:spacing w:line="560" w:lineRule="exact"/>
        <w:ind w:right="174"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如合同内容出现较大变更，本协议的有关条款也应做出相应的修改。</w:t>
      </w:r>
    </w:p>
    <w:p w14:paraId="61E58000">
      <w:pPr>
        <w:pStyle w:val="26"/>
        <w:spacing w:before="0" w:after="0" w:line="560" w:lineRule="exact"/>
        <w:jc w:val="left"/>
        <w:rPr>
          <w:rFonts w:ascii="宋体" w:hAnsi="宋体" w:eastAsia="宋体"/>
          <w:sz w:val="24"/>
          <w:szCs w:val="24"/>
        </w:rPr>
      </w:pPr>
      <w:r>
        <w:rPr>
          <w:rFonts w:hint="eastAsia" w:ascii="宋体" w:hAnsi="宋体" w:eastAsia="宋体"/>
          <w:sz w:val="24"/>
          <w:szCs w:val="24"/>
        </w:rPr>
        <w:t>六、安全资质审查</w:t>
      </w:r>
    </w:p>
    <w:p w14:paraId="2CE98CFF">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乙方在项目开工前5个工作日向甲方提供以下安全资质供审查和存档：</w:t>
      </w:r>
    </w:p>
    <w:p w14:paraId="1D8DD89E">
      <w:pPr>
        <w:pStyle w:val="42"/>
        <w:numPr>
          <w:ilvl w:val="0"/>
          <w:numId w:val="14"/>
        </w:numPr>
        <w:spacing w:line="560" w:lineRule="exact"/>
        <w:ind w:right="174"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项目经理及安全管理人员资质；</w:t>
      </w:r>
    </w:p>
    <w:p w14:paraId="56E89053">
      <w:pPr>
        <w:pStyle w:val="42"/>
        <w:numPr>
          <w:ilvl w:val="0"/>
          <w:numId w:val="14"/>
        </w:numPr>
        <w:spacing w:line="560" w:lineRule="exact"/>
        <w:ind w:right="174"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特种作业人员资格证书；</w:t>
      </w:r>
    </w:p>
    <w:p w14:paraId="6E83DAF3">
      <w:pPr>
        <w:pStyle w:val="42"/>
        <w:numPr>
          <w:ilvl w:val="0"/>
          <w:numId w:val="14"/>
        </w:numPr>
        <w:spacing w:line="560" w:lineRule="exact"/>
        <w:ind w:right="174"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适用于本项目的安全管理体系文件；</w:t>
      </w:r>
    </w:p>
    <w:p w14:paraId="5BEA2021">
      <w:pPr>
        <w:pStyle w:val="42"/>
        <w:numPr>
          <w:ilvl w:val="0"/>
          <w:numId w:val="14"/>
        </w:numPr>
        <w:spacing w:line="560" w:lineRule="exact"/>
        <w:ind w:right="174"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适用于本项目的《项目生产安全费用明细一览表》；</w:t>
      </w:r>
    </w:p>
    <w:p w14:paraId="24946B99">
      <w:pPr>
        <w:pStyle w:val="42"/>
        <w:numPr>
          <w:ilvl w:val="0"/>
          <w:numId w:val="14"/>
        </w:numPr>
        <w:spacing w:line="560" w:lineRule="exact"/>
        <w:ind w:right="174"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近三年的安全无事故证明（针对建设施工单位）。</w:t>
      </w:r>
    </w:p>
    <w:p w14:paraId="0380A37A">
      <w:pPr>
        <w:pStyle w:val="26"/>
        <w:spacing w:before="0" w:after="0" w:line="560" w:lineRule="exact"/>
        <w:jc w:val="left"/>
        <w:rPr>
          <w:rFonts w:ascii="宋体" w:hAnsi="宋体" w:eastAsia="宋体"/>
          <w:sz w:val="24"/>
          <w:szCs w:val="24"/>
        </w:rPr>
      </w:pPr>
      <w:r>
        <w:rPr>
          <w:rFonts w:hint="eastAsia" w:ascii="宋体" w:hAnsi="宋体" w:eastAsia="宋体"/>
          <w:sz w:val="24"/>
          <w:szCs w:val="24"/>
        </w:rPr>
        <w:t>七、人员基本素质</w:t>
      </w:r>
    </w:p>
    <w:p w14:paraId="3E9A46FB">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乙方提供的人员必须满足下列要求:</w:t>
      </w:r>
    </w:p>
    <w:p w14:paraId="381FB445">
      <w:pPr>
        <w:pStyle w:val="42"/>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身体健康，无影响工作的高血压、心脏病、低血糖，无精神疾病、无传染病和其他重大疾病，年龄在</w:t>
      </w:r>
      <w:r>
        <w:rPr>
          <w:rFonts w:hint="eastAsia" w:ascii="宋体" w:hAnsi="宋体" w:eastAsia="宋体"/>
          <w:snapToGrid w:val="0"/>
          <w:color w:val="000000"/>
          <w:sz w:val="24"/>
          <w:szCs w:val="24"/>
          <w:u w:val="single"/>
        </w:rPr>
        <w:t>55</w:t>
      </w:r>
      <w:r>
        <w:rPr>
          <w:rFonts w:hint="eastAsia" w:ascii="宋体" w:hAnsi="宋体" w:eastAsia="宋体"/>
          <w:snapToGrid w:val="0"/>
          <w:color w:val="000000"/>
          <w:sz w:val="24"/>
          <w:szCs w:val="24"/>
        </w:rPr>
        <w:t>岁以下；在上岗前应提供符合甲方要求的体检报告以供审核评价，作为人员办理相应入场授权证件的必备材料；</w:t>
      </w:r>
    </w:p>
    <w:p w14:paraId="325D4B72">
      <w:pPr>
        <w:pStyle w:val="42"/>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无刑事案件牵连；</w:t>
      </w:r>
    </w:p>
    <w:p w14:paraId="7A796F3F">
      <w:pPr>
        <w:pStyle w:val="42"/>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无吸毒、酗酒、赌博、嫖娼等恶习及违法行为；</w:t>
      </w:r>
    </w:p>
    <w:p w14:paraId="310B8230">
      <w:pPr>
        <w:pStyle w:val="42"/>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甲方有权对乙方员工的基本素质情况进行检查，对不能满足要求的人员有权进行清理，对乙方则予以考核。</w:t>
      </w:r>
    </w:p>
    <w:p w14:paraId="6A5CD9BB">
      <w:pPr>
        <w:pStyle w:val="26"/>
        <w:spacing w:before="0" w:after="0" w:line="560" w:lineRule="exact"/>
        <w:jc w:val="left"/>
        <w:rPr>
          <w:rFonts w:ascii="宋体" w:hAnsi="宋体" w:eastAsia="宋体"/>
          <w:color w:val="000000"/>
          <w:sz w:val="24"/>
          <w:szCs w:val="24"/>
        </w:rPr>
      </w:pPr>
      <w:r>
        <w:rPr>
          <w:rFonts w:hint="eastAsia" w:ascii="宋体" w:hAnsi="宋体" w:eastAsia="宋体"/>
          <w:sz w:val="24"/>
          <w:szCs w:val="24"/>
        </w:rPr>
        <w:t>八、劳动保护</w:t>
      </w:r>
    </w:p>
    <w:p w14:paraId="635C6914">
      <w:pPr>
        <w:pStyle w:val="42"/>
        <w:numPr>
          <w:ilvl w:val="0"/>
          <w:numId w:val="16"/>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乙方须为其从业人员提供符合国家标准的劳动保护用品，包括安全鞋、工作服和安全帽、安全带、防酸碱服和防酸碱手套、呼吸保护器、口罩、护目镜等。</w:t>
      </w:r>
    </w:p>
    <w:p w14:paraId="6B65DDF8">
      <w:pPr>
        <w:pStyle w:val="42"/>
        <w:numPr>
          <w:ilvl w:val="0"/>
          <w:numId w:val="16"/>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乙方入场前将个人劳动保护用品配用标准交甲方审核。</w:t>
      </w:r>
    </w:p>
    <w:p w14:paraId="3052C565">
      <w:pPr>
        <w:pStyle w:val="42"/>
        <w:numPr>
          <w:ilvl w:val="0"/>
          <w:numId w:val="16"/>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乙方应为其从事射线探伤人员配备个人剂量计。</w:t>
      </w:r>
    </w:p>
    <w:p w14:paraId="4725FBCD">
      <w:pPr>
        <w:pStyle w:val="42"/>
        <w:numPr>
          <w:ilvl w:val="0"/>
          <w:numId w:val="16"/>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乙方的劳动保护必须满足甲方的劳动保护要求；甲方对乙方安全实施的情况进行检查，乙方应予以配合,不满足安全条件的，甲方有权中止现场活动，由此产生的工期和成本的影响,由乙方自行负责。</w:t>
      </w:r>
    </w:p>
    <w:p w14:paraId="311A1392">
      <w:pPr>
        <w:pStyle w:val="42"/>
        <w:numPr>
          <w:ilvl w:val="0"/>
          <w:numId w:val="16"/>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开工前应组织全体施工人员认真学习《中华人民共和国安全生产法》、《电力安全工作规程》、《电力建设安全工作规程》、甲方安健环管理规章制度等规定中的相关部分，经考试合格方可进行工作，并将考试成绩书面报甲方项目公司审核备案。若发生人员变更，在进入现场前，保证遵照以上程序办理报备。</w:t>
      </w:r>
    </w:p>
    <w:p w14:paraId="1AB03DD4">
      <w:pPr>
        <w:pStyle w:val="42"/>
        <w:numPr>
          <w:ilvl w:val="0"/>
          <w:numId w:val="16"/>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乙方负责所属工作人员着装整齐，符合《电力安全工作规程》着装规定，佩戴《出入证》和反光马甲。乙方保证不使用未成年工和不适应现场安全施工的老、弱、病、残等人员进行施工。</w:t>
      </w:r>
    </w:p>
    <w:p w14:paraId="7B56BAB7">
      <w:pPr>
        <w:pStyle w:val="26"/>
        <w:spacing w:before="0" w:after="0" w:line="560" w:lineRule="exact"/>
        <w:jc w:val="left"/>
        <w:rPr>
          <w:rFonts w:ascii="宋体" w:hAnsi="宋体" w:eastAsia="宋体"/>
          <w:sz w:val="24"/>
          <w:szCs w:val="24"/>
        </w:rPr>
      </w:pPr>
      <w:r>
        <w:rPr>
          <w:rFonts w:hint="eastAsia" w:ascii="宋体" w:hAnsi="宋体" w:eastAsia="宋体"/>
          <w:sz w:val="24"/>
          <w:szCs w:val="24"/>
        </w:rPr>
        <w:t>九、作业机具与材料</w:t>
      </w:r>
    </w:p>
    <w:p w14:paraId="4589CDEA">
      <w:pPr>
        <w:pStyle w:val="42"/>
        <w:numPr>
          <w:ilvl w:val="0"/>
          <w:numId w:val="17"/>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乙方对带入现场的作业机械和工器具的安全可靠性负责。</w:t>
      </w:r>
    </w:p>
    <w:p w14:paraId="2D7242A6">
      <w:pPr>
        <w:pStyle w:val="42"/>
        <w:numPr>
          <w:ilvl w:val="0"/>
          <w:numId w:val="17"/>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对于乙方带入现场的特殊工器具、设备，如起重设备、索具、机动车辆、压缩气瓶等，乙方必须按国家法规和标准进行检测、试验，并按规定持有法定部门出具的检验合格证书。</w:t>
      </w:r>
    </w:p>
    <w:p w14:paraId="725F03B0">
      <w:pPr>
        <w:pStyle w:val="42"/>
        <w:numPr>
          <w:ilvl w:val="0"/>
          <w:numId w:val="17"/>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对于不属于法定检测的工器具，乙方也必须建立相应的管理、检测制度。</w:t>
      </w:r>
    </w:p>
    <w:p w14:paraId="14233E77">
      <w:pPr>
        <w:pStyle w:val="26"/>
        <w:spacing w:before="0" w:after="0" w:line="560" w:lineRule="exact"/>
        <w:jc w:val="left"/>
        <w:rPr>
          <w:rFonts w:ascii="宋体" w:hAnsi="宋体" w:eastAsia="宋体"/>
          <w:sz w:val="24"/>
          <w:szCs w:val="24"/>
        </w:rPr>
      </w:pPr>
      <w:r>
        <w:rPr>
          <w:rFonts w:hint="eastAsia" w:ascii="宋体" w:hAnsi="宋体" w:eastAsia="宋体"/>
          <w:sz w:val="24"/>
          <w:szCs w:val="24"/>
        </w:rPr>
        <w:t>十、安全监督</w:t>
      </w:r>
    </w:p>
    <w:p w14:paraId="3EBC2953">
      <w:pPr>
        <w:pStyle w:val="42"/>
        <w:numPr>
          <w:ilvl w:val="0"/>
          <w:numId w:val="18"/>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乙方应设安全监督机构，建立、健全安全、消防、应急、环保、职业健康等管理体系。配备有满足项目安全管理需要的安全管理人员，并持证上岗。</w:t>
      </w:r>
    </w:p>
    <w:p w14:paraId="78CCAC21">
      <w:pPr>
        <w:pStyle w:val="42"/>
        <w:numPr>
          <w:ilvl w:val="0"/>
          <w:numId w:val="18"/>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乙方的安全管理专职人员必须经过甲方考核，且常驻现场；乙方的专职安全监督人员在业务上接受甲方的协调和指导。</w:t>
      </w:r>
    </w:p>
    <w:p w14:paraId="0F973E14">
      <w:pPr>
        <w:pStyle w:val="42"/>
        <w:numPr>
          <w:ilvl w:val="0"/>
          <w:numId w:val="18"/>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乙方应定期开展安全生产自我评估，开展经验反馈活动和日常安全宣传教育，传达甲方的安全要求和信息、对本单位的风险和安全指标趋势进行分析和预测，提出安全工作重点，并向甲方提供评估报告。</w:t>
      </w:r>
    </w:p>
    <w:p w14:paraId="19F6E8E4">
      <w:pPr>
        <w:pStyle w:val="42"/>
        <w:numPr>
          <w:ilvl w:val="0"/>
          <w:numId w:val="18"/>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乙方应接受和配合甲方的监督与安全评估。</w:t>
      </w:r>
    </w:p>
    <w:p w14:paraId="2AD59785">
      <w:pPr>
        <w:pStyle w:val="42"/>
        <w:numPr>
          <w:ilvl w:val="0"/>
          <w:numId w:val="18"/>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甲方有权对乙方履行安全条款的情况进行监督，并有权对违章行为进行考核。</w:t>
      </w:r>
    </w:p>
    <w:p w14:paraId="5EE34AD5">
      <w:pPr>
        <w:pStyle w:val="26"/>
        <w:spacing w:before="0" w:after="0" w:line="560" w:lineRule="exact"/>
        <w:jc w:val="left"/>
        <w:rPr>
          <w:rFonts w:ascii="宋体" w:hAnsi="宋体" w:eastAsia="宋体"/>
          <w:sz w:val="24"/>
          <w:szCs w:val="24"/>
        </w:rPr>
      </w:pPr>
      <w:r>
        <w:rPr>
          <w:rFonts w:hint="eastAsia" w:ascii="宋体" w:hAnsi="宋体" w:eastAsia="宋体"/>
          <w:sz w:val="24"/>
          <w:szCs w:val="24"/>
        </w:rPr>
        <w:t>十一、安全培训与授权</w:t>
      </w:r>
    </w:p>
    <w:p w14:paraId="73F8C58E">
      <w:pPr>
        <w:pStyle w:val="42"/>
        <w:numPr>
          <w:ilvl w:val="0"/>
          <w:numId w:val="19"/>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乙方所有特种作业人员必须持证上岗，甲方有权对其进行抽查。乙方要建立特种作业定期培训和检查计划，这些工种包括但不限于：高压焊工、起重工、电工、架子工等。</w:t>
      </w:r>
    </w:p>
    <w:p w14:paraId="560F3784">
      <w:pPr>
        <w:pStyle w:val="42"/>
        <w:numPr>
          <w:ilvl w:val="0"/>
          <w:numId w:val="19"/>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由乙方负责其员工安全、消防、应急、环保、职业健康培训和授权的，其培训大纲、教材内容、教员资格等提交甲方审核。甲方有权对乙方培训质量进行检查，对不符合要求的人员，将不能进入现场工作。</w:t>
      </w:r>
    </w:p>
    <w:p w14:paraId="614B99B5">
      <w:pPr>
        <w:pStyle w:val="26"/>
        <w:spacing w:before="0" w:after="0" w:line="560" w:lineRule="exact"/>
        <w:jc w:val="left"/>
        <w:rPr>
          <w:rFonts w:ascii="宋体" w:hAnsi="宋体" w:eastAsia="宋体"/>
          <w:sz w:val="24"/>
          <w:szCs w:val="24"/>
        </w:rPr>
      </w:pPr>
      <w:r>
        <w:rPr>
          <w:rFonts w:hint="eastAsia" w:ascii="宋体" w:hAnsi="宋体" w:eastAsia="宋体"/>
          <w:sz w:val="24"/>
          <w:szCs w:val="24"/>
        </w:rPr>
        <w:t>十二、入场控制</w:t>
      </w:r>
    </w:p>
    <w:p w14:paraId="2B36831C">
      <w:pPr>
        <w:pStyle w:val="42"/>
        <w:numPr>
          <w:ilvl w:val="0"/>
          <w:numId w:val="20"/>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甲方对乙方安全准备的情况进行检查。不满足开工安全条件的，乙方不得入场，由此产生的工期和成本的影响，由乙方自行负责。</w:t>
      </w:r>
    </w:p>
    <w:p w14:paraId="2CFE55F7">
      <w:pPr>
        <w:pStyle w:val="42"/>
        <w:numPr>
          <w:ilvl w:val="0"/>
          <w:numId w:val="20"/>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入场前安全检查的基本内容包括：安全责任制建设、安全投入、危险源识别和风险分析、施工机械的安全状况、安全工器具和材料、安全培训教材和教员、专职安全人员的到岗情况、培训的有效性、流动人员控制、个人劳动保护用品的发放等内容。</w:t>
      </w:r>
    </w:p>
    <w:p w14:paraId="385B3D2D">
      <w:pPr>
        <w:pStyle w:val="26"/>
        <w:spacing w:before="0" w:after="0" w:line="560" w:lineRule="exact"/>
        <w:jc w:val="both"/>
        <w:rPr>
          <w:rFonts w:ascii="宋体" w:hAnsi="宋体" w:eastAsia="宋体"/>
          <w:sz w:val="24"/>
          <w:szCs w:val="24"/>
        </w:rPr>
      </w:pPr>
      <w:r>
        <w:rPr>
          <w:rFonts w:hint="eastAsia" w:ascii="宋体" w:hAnsi="宋体" w:eastAsia="宋体"/>
          <w:sz w:val="24"/>
          <w:szCs w:val="24"/>
        </w:rPr>
        <w:t>十三、职业健康与卫生防疫</w:t>
      </w:r>
    </w:p>
    <w:p w14:paraId="02487B18">
      <w:pPr>
        <w:pStyle w:val="42"/>
        <w:numPr>
          <w:ilvl w:val="0"/>
          <w:numId w:val="21"/>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乙方应有特殊健康检查制度，预防有禁忌症患者从事有关职业，如恐高症患者不得从事高空作业，特种作业人员的体检应符合国家的规定。杜绝体检不合格或犯职业禁忌症人员上岗。</w:t>
      </w:r>
    </w:p>
    <w:p w14:paraId="7BA79283">
      <w:pPr>
        <w:pStyle w:val="42"/>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乙方应保证卫生防疫基本设施的投入，以满足医疗、急救的要求。</w:t>
      </w:r>
    </w:p>
    <w:p w14:paraId="389D09EF">
      <w:pPr>
        <w:pStyle w:val="42"/>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卫生防疫措施计划，做好生活区和作业区的卫生防疫工作；制定和执行保证饮水卫生、饮食卫生、环境卫生和预防集体食物中毒的措施；有灭蚊、灭鼠和消毒的专项工作计划；有针对性地制订预防SARS、冠状病毒肺炎、禽流感、疟疾、霍乱、肠道传染病、肝炎等疾病的措施。</w:t>
      </w:r>
    </w:p>
    <w:p w14:paraId="3C3BA8F4">
      <w:pPr>
        <w:pStyle w:val="26"/>
        <w:spacing w:before="0" w:after="0" w:line="560" w:lineRule="exact"/>
        <w:jc w:val="left"/>
        <w:rPr>
          <w:rFonts w:ascii="宋体" w:hAnsi="宋体" w:eastAsia="宋体"/>
          <w:sz w:val="24"/>
          <w:szCs w:val="24"/>
        </w:rPr>
      </w:pPr>
      <w:r>
        <w:rPr>
          <w:rFonts w:hint="eastAsia" w:ascii="宋体" w:hAnsi="宋体" w:eastAsia="宋体"/>
          <w:sz w:val="24"/>
          <w:szCs w:val="24"/>
        </w:rPr>
        <w:t>十四、项目风险管理与事故预防</w:t>
      </w:r>
    </w:p>
    <w:p w14:paraId="6CCFA442">
      <w:pPr>
        <w:pStyle w:val="42"/>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乙方应对作业过程进行全面、深入的危险源识别和风险分析。在作业安全组织设计中提供危险源及重要危险源清单、作业风险分析报告，该报告应包括（但不限于）如下信息：</w:t>
      </w:r>
    </w:p>
    <w:p w14:paraId="36700377">
      <w:pPr>
        <w:pStyle w:val="42"/>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高风险作业和工种清单：作业名称、这些作业工种的类别和数量、主要事故风险。</w:t>
      </w:r>
    </w:p>
    <w:p w14:paraId="0C41B531">
      <w:pPr>
        <w:pStyle w:val="42"/>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作业机械的种类、数量和主要事故风险。</w:t>
      </w:r>
    </w:p>
    <w:p w14:paraId="517FE79E">
      <w:pPr>
        <w:pStyle w:val="42"/>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作业条件的类型和主要事故风险。</w:t>
      </w:r>
    </w:p>
    <w:p w14:paraId="512A7C3B">
      <w:pPr>
        <w:pStyle w:val="42"/>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主要工艺过程（或作业活动）的类别及其相关的事故风险。</w:t>
      </w:r>
    </w:p>
    <w:p w14:paraId="738C2F4B">
      <w:pPr>
        <w:pStyle w:val="42"/>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主要火灾危险（可燃物、点火源）。</w:t>
      </w:r>
    </w:p>
    <w:p w14:paraId="102C7119">
      <w:pPr>
        <w:pStyle w:val="42"/>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其他。</w:t>
      </w:r>
    </w:p>
    <w:p w14:paraId="6A6A2D21">
      <w:pPr>
        <w:pStyle w:val="42"/>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乙方应针对识别出的危险源制定有针对性的事故预防措施并确保在作业中得到有效落实。</w:t>
      </w:r>
    </w:p>
    <w:p w14:paraId="6C3FAFE1">
      <w:pPr>
        <w:pStyle w:val="42"/>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乙方应建立日常作业活动的动态作业风险分析和安全交底制度。该制度应明确规定风险分析的方法、责任和交底的内容、时间及记录。</w:t>
      </w:r>
    </w:p>
    <w:p w14:paraId="5A044C20">
      <w:pPr>
        <w:pStyle w:val="42"/>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对于危险性较大的施工、维修作业，乙方必须专门制定施工安全方案，并报甲方备案。甲方认为不合格的方案，有权要求乙方重新进行制定，新方案批准前不得开工。开工前，对作业组成员开展安全技术交底。</w:t>
      </w:r>
    </w:p>
    <w:p w14:paraId="5D513A83">
      <w:pPr>
        <w:pStyle w:val="26"/>
        <w:spacing w:before="0" w:after="0" w:line="560" w:lineRule="exact"/>
        <w:jc w:val="left"/>
        <w:rPr>
          <w:rFonts w:ascii="宋体" w:hAnsi="宋体" w:eastAsia="宋体"/>
          <w:sz w:val="24"/>
          <w:szCs w:val="24"/>
        </w:rPr>
      </w:pPr>
      <w:r>
        <w:rPr>
          <w:rFonts w:hint="eastAsia" w:ascii="宋体" w:hAnsi="宋体" w:eastAsia="宋体"/>
          <w:sz w:val="24"/>
          <w:szCs w:val="24"/>
        </w:rPr>
        <w:t>十五、事故报告与应急救援</w:t>
      </w:r>
    </w:p>
    <w:p w14:paraId="6ED4AC09">
      <w:pPr>
        <w:pStyle w:val="42"/>
        <w:numPr>
          <w:ilvl w:val="0"/>
          <w:numId w:val="24"/>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乙方应建立安全事故统计记录、医学处置事件统计记录、未遂事件统计记录、违章统计记录，并根据统计情况进行分析，并就分析结果制定相应的预防措施。</w:t>
      </w:r>
    </w:p>
    <w:p w14:paraId="2A11CC8E">
      <w:pPr>
        <w:pStyle w:val="42"/>
        <w:numPr>
          <w:ilvl w:val="0"/>
          <w:numId w:val="24"/>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乙方应根据《电力安全隐患监督管理暂行规定》等规定要求建立安全隐患统计记录，并根据统计情况进行分析，并就分析结果制定相应的预防措施。</w:t>
      </w:r>
    </w:p>
    <w:p w14:paraId="7F02F11F">
      <w:pPr>
        <w:pStyle w:val="42"/>
        <w:numPr>
          <w:ilvl w:val="0"/>
          <w:numId w:val="24"/>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生产安全事件报告准则；对于未遂事件及以上级别的安全事件和事故，应建立事故快速报告制度，即在事件、事故发生后，立即口头报告甲方。在事件发生后的24小时以内，向甲方发出书面安全事件通告。</w:t>
      </w:r>
    </w:p>
    <w:p w14:paraId="10747505">
      <w:pPr>
        <w:pStyle w:val="42"/>
        <w:numPr>
          <w:ilvl w:val="0"/>
          <w:numId w:val="2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乙方应制定安全生产事故/事件管理程序，发生事故/事件后要及时向甲方报告，不得瞒报、漏报、谎报和迟报。</w:t>
      </w:r>
    </w:p>
    <w:p w14:paraId="1072F69E">
      <w:pPr>
        <w:pStyle w:val="42"/>
        <w:numPr>
          <w:ilvl w:val="0"/>
          <w:numId w:val="24"/>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根据国家相关法规、文件规定和甲方相关管理程序要求，建立应急管理体系和应急救援机制，制定本单位突发事件应急预案和核事故应急撤离计划，准备并保障相应的应急物资，严格按照甲方的要求及时报送应急值班信息和本单位人员、资源等信息，在事故情况下及时启动应急响应机制，及时报告相关信息，并采取措施限制事故扩大,必要时接受甲方的统一协调和指挥。</w:t>
      </w:r>
    </w:p>
    <w:p w14:paraId="0C88A506">
      <w:pPr>
        <w:pStyle w:val="42"/>
        <w:numPr>
          <w:ilvl w:val="0"/>
          <w:numId w:val="24"/>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在现场其他单位发生重大事故时，乙方应无条件立即配合、支持事故抢险。</w:t>
      </w:r>
    </w:p>
    <w:p w14:paraId="2412EBC1">
      <w:pPr>
        <w:pStyle w:val="42"/>
        <w:numPr>
          <w:ilvl w:val="0"/>
          <w:numId w:val="2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乙方必须为事故处置支付各项费用，包括受伤者的抚恤、补偿等费用，对甲方造成损失的，造价赔偿。</w:t>
      </w:r>
    </w:p>
    <w:p w14:paraId="0FDCEE4D">
      <w:pPr>
        <w:pStyle w:val="42"/>
        <w:numPr>
          <w:ilvl w:val="0"/>
          <w:numId w:val="24"/>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涉及乙方员工的伤害事故，乙方除要报告甲方外，还应负责按照国家、行业和本单位上级公司的要求，上报事故。</w:t>
      </w:r>
    </w:p>
    <w:p w14:paraId="0A04519D">
      <w:pPr>
        <w:pStyle w:val="42"/>
        <w:numPr>
          <w:ilvl w:val="0"/>
          <w:numId w:val="2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乙方负责组织事件调查的，甲方有权参与。</w:t>
      </w:r>
    </w:p>
    <w:p w14:paraId="4967027F">
      <w:pPr>
        <w:pStyle w:val="26"/>
        <w:spacing w:before="0" w:after="0" w:line="560" w:lineRule="exact"/>
        <w:jc w:val="left"/>
        <w:rPr>
          <w:rFonts w:ascii="宋体" w:hAnsi="宋体" w:eastAsia="宋体"/>
          <w:sz w:val="24"/>
          <w:szCs w:val="24"/>
        </w:rPr>
      </w:pPr>
      <w:r>
        <w:rPr>
          <w:rFonts w:hint="eastAsia" w:ascii="宋体" w:hAnsi="宋体" w:eastAsia="宋体"/>
          <w:sz w:val="24"/>
          <w:szCs w:val="24"/>
        </w:rPr>
        <w:t>十六、协议条款的修订</w:t>
      </w:r>
    </w:p>
    <w:p w14:paraId="4273F0BC">
      <w:pPr>
        <w:pStyle w:val="42"/>
        <w:numPr>
          <w:ilvl w:val="0"/>
          <w:numId w:val="2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在项目实施过程中，经双方友好协商，本协议的有关条款也可做出相应的修改。</w:t>
      </w:r>
    </w:p>
    <w:p w14:paraId="7302EDF3">
      <w:pPr>
        <w:pStyle w:val="42"/>
        <w:numPr>
          <w:ilvl w:val="0"/>
          <w:numId w:val="2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本协议自合同生效日起实施，甲方保留最终解释权。</w:t>
      </w:r>
    </w:p>
    <w:p w14:paraId="05733E4B">
      <w:pPr>
        <w:pStyle w:val="26"/>
        <w:spacing w:before="0" w:after="0" w:line="560" w:lineRule="exact"/>
        <w:jc w:val="left"/>
        <w:rPr>
          <w:rFonts w:ascii="宋体" w:hAnsi="宋体" w:eastAsia="宋体"/>
          <w:sz w:val="24"/>
          <w:szCs w:val="24"/>
        </w:rPr>
      </w:pPr>
      <w:r>
        <w:rPr>
          <w:rFonts w:hint="eastAsia" w:ascii="宋体" w:hAnsi="宋体" w:eastAsia="宋体"/>
          <w:sz w:val="24"/>
          <w:szCs w:val="24"/>
        </w:rPr>
        <w:t>十七、附件</w:t>
      </w:r>
    </w:p>
    <w:p w14:paraId="284D3C8F">
      <w:pPr>
        <w:pStyle w:val="26"/>
        <w:spacing w:before="0" w:after="0" w:line="560" w:lineRule="exact"/>
        <w:jc w:val="left"/>
        <w:rPr>
          <w:rFonts w:ascii="宋体" w:hAnsi="宋体" w:eastAsia="宋体"/>
          <w:b w:val="0"/>
          <w:bCs w:val="0"/>
          <w:sz w:val="24"/>
          <w:szCs w:val="24"/>
        </w:rPr>
      </w:pPr>
      <w:r>
        <w:rPr>
          <w:rFonts w:hint="eastAsia" w:ascii="宋体" w:hAnsi="宋体" w:eastAsia="宋体"/>
          <w:b w:val="0"/>
          <w:bCs w:val="0"/>
          <w:sz w:val="24"/>
          <w:szCs w:val="24"/>
        </w:rPr>
        <w:t>附件1：考核指标定义</w:t>
      </w:r>
    </w:p>
    <w:p w14:paraId="7957861F">
      <w:pPr>
        <w:pStyle w:val="26"/>
        <w:spacing w:before="0" w:after="0" w:line="560" w:lineRule="exact"/>
        <w:jc w:val="left"/>
        <w:rPr>
          <w:rFonts w:ascii="宋体" w:hAnsi="宋体" w:eastAsia="宋体"/>
          <w:b w:val="0"/>
          <w:bCs w:val="0"/>
          <w:sz w:val="24"/>
          <w:szCs w:val="24"/>
        </w:rPr>
      </w:pPr>
      <w:r>
        <w:rPr>
          <w:rFonts w:hint="eastAsia" w:ascii="宋体" w:hAnsi="宋体" w:eastAsia="宋体"/>
          <w:b w:val="0"/>
          <w:bCs w:val="0"/>
          <w:sz w:val="24"/>
          <w:szCs w:val="24"/>
        </w:rPr>
        <w:t>附件2：考核条款</w:t>
      </w:r>
    </w:p>
    <w:p w14:paraId="43A05D8A">
      <w:pPr>
        <w:spacing w:line="560" w:lineRule="exact"/>
        <w:rPr>
          <w:rFonts w:hint="eastAsia" w:ascii="宋体" w:hAnsi="宋体" w:eastAsia="宋体" w:cs="宋体"/>
          <w:bCs/>
          <w:sz w:val="24"/>
        </w:rPr>
      </w:pPr>
    </w:p>
    <w:p w14:paraId="2F202CB1">
      <w:pPr>
        <w:spacing w:line="560" w:lineRule="exact"/>
        <w:rPr>
          <w:rFonts w:hint="eastAsia" w:ascii="宋体" w:hAnsi="宋体" w:eastAsia="宋体" w:cs="宋体"/>
          <w:bCs/>
          <w:sz w:val="24"/>
        </w:rPr>
      </w:pPr>
    </w:p>
    <w:p w14:paraId="073C52FF">
      <w:pPr>
        <w:spacing w:line="560" w:lineRule="exact"/>
        <w:rPr>
          <w:rFonts w:ascii="宋体" w:hAnsi="宋体" w:eastAsia="宋体" w:cs="宋体"/>
          <w:bCs/>
          <w:color w:val="FFFFFF"/>
          <w:sz w:val="24"/>
        </w:rPr>
      </w:pPr>
      <w:r>
        <w:rPr>
          <w:rFonts w:hint="eastAsia" w:ascii="宋体" w:hAnsi="宋体" w:eastAsia="宋体" w:cs="宋体"/>
          <w:bCs/>
          <w:sz w:val="24"/>
        </w:rPr>
        <w:t>发包单位：</w:t>
      </w:r>
      <w:r>
        <w:rPr>
          <w:rFonts w:hint="eastAsia" w:ascii="宋体" w:hAnsi="宋体" w:eastAsia="宋体"/>
          <w:bCs/>
          <w:spacing w:val="-10"/>
          <w:sz w:val="24"/>
          <w:u w:val="single"/>
        </w:rPr>
        <w:t>东莞市新东元环保投资有限公司</w:t>
      </w:r>
      <w:r>
        <w:rPr>
          <w:rFonts w:hint="eastAsia" w:ascii="宋体" w:hAnsi="宋体" w:eastAsia="宋体" w:cs="宋体"/>
          <w:bCs/>
          <w:spacing w:val="-10"/>
          <w:sz w:val="24"/>
        </w:rPr>
        <w:t xml:space="preserve">  </w:t>
      </w:r>
      <w:r>
        <w:rPr>
          <w:rFonts w:hint="eastAsia" w:ascii="宋体" w:hAnsi="宋体" w:eastAsia="宋体" w:cs="宋体"/>
          <w:bCs/>
          <w:sz w:val="24"/>
        </w:rPr>
        <w:t xml:space="preserve">  承包单位：</w:t>
      </w:r>
      <w:r>
        <w:rPr>
          <w:rFonts w:hint="eastAsia" w:ascii="宋体" w:hAnsi="宋体" w:cs="宋体"/>
          <w:bCs/>
          <w:sz w:val="24"/>
          <w:u w:val="single"/>
          <w:lang w:eastAsia="zh-CN"/>
        </w:rPr>
        <w:t>XXXX有限公司</w:t>
      </w:r>
      <w:r>
        <w:rPr>
          <w:rFonts w:hint="eastAsia" w:ascii="宋体" w:hAnsi="宋体" w:eastAsia="宋体" w:cs="宋体"/>
          <w:bCs/>
          <w:color w:val="FFFFFF"/>
          <w:sz w:val="24"/>
          <w:u w:val="single"/>
        </w:rPr>
        <w:t xml:space="preserve"> </w:t>
      </w:r>
      <w:r>
        <w:rPr>
          <w:rFonts w:hint="eastAsia" w:ascii="宋体" w:hAnsi="宋体" w:eastAsia="宋体" w:cs="宋体"/>
          <w:bCs/>
          <w:color w:val="FFFFFF"/>
          <w:sz w:val="24"/>
        </w:rPr>
        <w:t>湖</w:t>
      </w:r>
    </w:p>
    <w:p w14:paraId="4A4D21CF">
      <w:pPr>
        <w:spacing w:line="560" w:lineRule="exact"/>
        <w:rPr>
          <w:rFonts w:ascii="宋体" w:hAnsi="宋体" w:eastAsia="宋体" w:cs="宋体"/>
          <w:bCs/>
          <w:sz w:val="24"/>
        </w:rPr>
      </w:pPr>
      <w:r>
        <w:rPr>
          <w:rFonts w:hint="eastAsia" w:ascii="宋体" w:hAnsi="宋体" w:eastAsia="宋体" w:cs="宋体"/>
          <w:bCs/>
          <w:sz w:val="24"/>
        </w:rPr>
        <w:t>（盖章）                              （盖章）</w:t>
      </w:r>
    </w:p>
    <w:p w14:paraId="2A7B6ABE">
      <w:pPr>
        <w:spacing w:line="560" w:lineRule="exact"/>
        <w:rPr>
          <w:rFonts w:ascii="宋体" w:hAnsi="宋体" w:eastAsia="宋体" w:cs="宋体"/>
          <w:bCs/>
          <w:sz w:val="24"/>
        </w:rPr>
      </w:pPr>
      <w:r>
        <w:rPr>
          <w:rFonts w:hint="eastAsia" w:ascii="宋体" w:hAnsi="宋体" w:eastAsia="宋体" w:cs="宋体"/>
          <w:bCs/>
          <w:sz w:val="24"/>
        </w:rPr>
        <w:t>法定代表人或                           法定代表人或</w:t>
      </w:r>
    </w:p>
    <w:p w14:paraId="34D2096A">
      <w:pPr>
        <w:spacing w:line="560" w:lineRule="exact"/>
        <w:rPr>
          <w:rFonts w:ascii="宋体" w:hAnsi="宋体" w:eastAsia="宋体" w:cs="宋体"/>
          <w:bCs/>
          <w:sz w:val="24"/>
        </w:rPr>
      </w:pPr>
      <w:r>
        <w:rPr>
          <w:rFonts w:hint="eastAsia" w:ascii="宋体" w:hAnsi="宋体" w:eastAsia="宋体" w:cs="宋体"/>
          <w:bCs/>
          <w:sz w:val="24"/>
        </w:rPr>
        <w:t>代表人：                               代表人：</w:t>
      </w:r>
    </w:p>
    <w:p w14:paraId="68028482">
      <w:pPr>
        <w:spacing w:line="560" w:lineRule="exact"/>
        <w:rPr>
          <w:rFonts w:ascii="宋体" w:hAnsi="宋体" w:eastAsia="宋体" w:cs="宋体"/>
          <w:snapToGrid w:val="0"/>
          <w:color w:val="000000"/>
          <w:sz w:val="24"/>
          <w:szCs w:val="24"/>
        </w:rPr>
      </w:pPr>
      <w:r>
        <w:rPr>
          <w:rFonts w:hint="eastAsia" w:ascii="宋体" w:hAnsi="宋体" w:eastAsia="宋体" w:cs="宋体"/>
          <w:bCs/>
          <w:sz w:val="24"/>
        </w:rPr>
        <w:t>日  期：  年  月   日                  日  期：  年    月   日</w:t>
      </w:r>
    </w:p>
    <w:p w14:paraId="72810744">
      <w:pPr>
        <w:snapToGrid w:val="0"/>
        <w:spacing w:line="560" w:lineRule="exact"/>
        <w:rPr>
          <w:rFonts w:ascii="宋体" w:hAnsi="宋体" w:eastAsia="宋体" w:cs="宋体"/>
          <w:snapToGrid w:val="0"/>
          <w:color w:val="000000"/>
          <w:sz w:val="24"/>
          <w:szCs w:val="24"/>
        </w:rPr>
      </w:pPr>
    </w:p>
    <w:p w14:paraId="75D23CFE">
      <w:pPr>
        <w:rPr>
          <w:rFonts w:hint="eastAsia" w:ascii="宋体" w:hAnsi="宋体" w:eastAsia="宋体"/>
          <w:bCs/>
          <w:snapToGrid w:val="0"/>
          <w:color w:val="000000"/>
          <w:sz w:val="24"/>
          <w:szCs w:val="24"/>
        </w:rPr>
      </w:pPr>
      <w:r>
        <w:rPr>
          <w:rFonts w:hint="eastAsia" w:ascii="宋体" w:hAnsi="宋体" w:eastAsia="宋体"/>
          <w:bCs/>
          <w:snapToGrid w:val="0"/>
          <w:color w:val="000000"/>
          <w:sz w:val="24"/>
          <w:szCs w:val="24"/>
        </w:rPr>
        <w:br w:type="page"/>
      </w:r>
    </w:p>
    <w:p w14:paraId="23503489">
      <w:pPr>
        <w:spacing w:line="560" w:lineRule="exact"/>
        <w:jc w:val="left"/>
        <w:rPr>
          <w:rFonts w:ascii="宋体" w:hAnsi="宋体" w:eastAsia="宋体"/>
          <w:bCs/>
          <w:snapToGrid w:val="0"/>
          <w:color w:val="000000"/>
          <w:sz w:val="24"/>
          <w:szCs w:val="24"/>
        </w:rPr>
      </w:pPr>
      <w:r>
        <w:rPr>
          <w:rFonts w:hint="eastAsia" w:ascii="宋体" w:hAnsi="宋体" w:eastAsia="宋体"/>
          <w:bCs/>
          <w:snapToGrid w:val="0"/>
          <w:color w:val="000000"/>
          <w:sz w:val="24"/>
          <w:szCs w:val="24"/>
        </w:rPr>
        <w:t>附件1 考核指标定义</w:t>
      </w:r>
    </w:p>
    <w:p w14:paraId="110AEBBD">
      <w:pPr>
        <w:spacing w:line="560" w:lineRule="exact"/>
        <w:jc w:val="center"/>
        <w:rPr>
          <w:rFonts w:ascii="宋体" w:hAnsi="宋体" w:eastAsia="宋体"/>
          <w:b/>
          <w:snapToGrid w:val="0"/>
          <w:color w:val="000000"/>
          <w:sz w:val="24"/>
          <w:szCs w:val="24"/>
        </w:rPr>
      </w:pPr>
      <w:r>
        <w:rPr>
          <w:rFonts w:hint="eastAsia" w:ascii="宋体" w:hAnsi="宋体" w:eastAsia="宋体"/>
          <w:b/>
          <w:snapToGrid w:val="0"/>
          <w:color w:val="000000"/>
          <w:sz w:val="24"/>
          <w:szCs w:val="24"/>
        </w:rPr>
        <w:t>考核指标定义</w:t>
      </w:r>
    </w:p>
    <w:p w14:paraId="459D9E55">
      <w:pPr>
        <w:pStyle w:val="42"/>
        <w:numPr>
          <w:ilvl w:val="0"/>
          <w:numId w:val="26"/>
        </w:numPr>
        <w:spacing w:line="540" w:lineRule="exact"/>
        <w:ind w:firstLineChars="0"/>
        <w:rPr>
          <w:rStyle w:val="33"/>
          <w:rFonts w:ascii="新宋体" w:hAnsi="新宋体" w:eastAsia="新宋体" w:cs="新宋体"/>
          <w:b w:val="0"/>
          <w:bCs w:val="0"/>
          <w:sz w:val="24"/>
          <w:szCs w:val="24"/>
        </w:rPr>
      </w:pPr>
      <w:r>
        <w:rPr>
          <w:rFonts w:hint="eastAsia" w:ascii="新宋体" w:hAnsi="新宋体" w:eastAsia="新宋体" w:cs="新宋体"/>
          <w:snapToGrid w:val="0"/>
          <w:color w:val="000000"/>
          <w:sz w:val="24"/>
          <w:szCs w:val="24"/>
        </w:rPr>
        <w:t>死亡及以上事故：见</w:t>
      </w:r>
      <w:r>
        <w:rPr>
          <w:rFonts w:hint="eastAsia" w:ascii="新宋体" w:hAnsi="新宋体" w:eastAsia="新宋体" w:cs="新宋体"/>
          <w:sz w:val="24"/>
          <w:szCs w:val="24"/>
        </w:rPr>
        <w:t>中华人民共和国《生产安全事故报告和调查处理条例》（国务院令第493号）事故标准。</w:t>
      </w:r>
    </w:p>
    <w:p w14:paraId="5E7DAF6E">
      <w:pPr>
        <w:pStyle w:val="42"/>
        <w:numPr>
          <w:ilvl w:val="0"/>
          <w:numId w:val="26"/>
        </w:numPr>
        <w:spacing w:line="540" w:lineRule="exact"/>
        <w:ind w:firstLineChars="0"/>
        <w:rPr>
          <w:rFonts w:ascii="新宋体" w:hAnsi="新宋体" w:eastAsia="新宋体" w:cs="新宋体"/>
          <w:snapToGrid w:val="0"/>
          <w:color w:val="000000"/>
          <w:sz w:val="24"/>
          <w:szCs w:val="24"/>
        </w:rPr>
      </w:pPr>
      <w:r>
        <w:rPr>
          <w:rFonts w:hint="eastAsia" w:ascii="新宋体" w:hAnsi="新宋体" w:eastAsia="新宋体" w:cs="新宋体"/>
          <w:sz w:val="24"/>
          <w:szCs w:val="24"/>
        </w:rPr>
        <w:t>重伤事故：（1）</w:t>
      </w:r>
      <w:r>
        <w:rPr>
          <w:rStyle w:val="33"/>
          <w:rFonts w:hint="eastAsia" w:ascii="新宋体" w:hAnsi="新宋体" w:eastAsia="新宋体" w:cs="新宋体"/>
          <w:b w:val="0"/>
          <w:bCs w:val="0"/>
          <w:sz w:val="24"/>
          <w:szCs w:val="24"/>
        </w:rPr>
        <w:t>指造成人员肢体残废、毁人容貌、丧失听觉、丧失视觉、丧失其他器官功能或者其他对于人身健康有重大伤害的事故，包括重伤一级和重伤二级，具体以劳动能力鉴定委员会的最终评定结果为准。（2）</w:t>
      </w:r>
      <w:r>
        <w:rPr>
          <w:rStyle w:val="33"/>
          <w:rFonts w:hint="eastAsia" w:ascii="新宋体" w:hAnsi="新宋体" w:eastAsia="新宋体" w:cs="新宋体"/>
          <w:b w:val="0"/>
          <w:sz w:val="24"/>
          <w:szCs w:val="24"/>
        </w:rPr>
        <w:t>造成20万元以上100万元以下直接经济损失的，与重伤事故同等级别认定。</w:t>
      </w:r>
    </w:p>
    <w:p w14:paraId="2BF7C8DD">
      <w:pPr>
        <w:pStyle w:val="42"/>
        <w:numPr>
          <w:ilvl w:val="0"/>
          <w:numId w:val="26"/>
        </w:numPr>
        <w:spacing w:line="540" w:lineRule="exact"/>
        <w:ind w:firstLineChars="0"/>
        <w:rPr>
          <w:rFonts w:ascii="宋体" w:hAnsi="宋体" w:eastAsia="宋体"/>
          <w:snapToGrid w:val="0"/>
          <w:color w:val="000000"/>
          <w:sz w:val="24"/>
          <w:szCs w:val="24"/>
        </w:rPr>
      </w:pPr>
      <w:r>
        <w:rPr>
          <w:rStyle w:val="33"/>
          <w:rFonts w:hint="eastAsia" w:ascii="新宋体" w:hAnsi="新宋体" w:eastAsia="新宋体" w:cs="新宋体"/>
          <w:b w:val="0"/>
          <w:sz w:val="24"/>
          <w:szCs w:val="24"/>
        </w:rPr>
        <w:t>轻伤事故：（1）造成1人肢体或者容貌损害，听觉、视觉或者其他器官功能部分障碍或者其他对于人身健康有中度伤害的事故，</w:t>
      </w:r>
      <w:r>
        <w:rPr>
          <w:rStyle w:val="33"/>
          <w:rFonts w:hint="eastAsia" w:ascii="新宋体" w:hAnsi="新宋体" w:eastAsia="新宋体" w:cs="新宋体"/>
          <w:b w:val="0"/>
          <w:bCs w:val="0"/>
          <w:sz w:val="24"/>
          <w:szCs w:val="24"/>
        </w:rPr>
        <w:t>包括轻伤一级和轻伤二级，具体</w:t>
      </w:r>
      <w:r>
        <w:rPr>
          <w:rStyle w:val="33"/>
          <w:rFonts w:hint="eastAsia" w:ascii="新宋体" w:hAnsi="新宋体" w:eastAsia="新宋体" w:cs="新宋体"/>
          <w:b w:val="0"/>
          <w:sz w:val="24"/>
          <w:szCs w:val="24"/>
        </w:rPr>
        <w:t>以劳动能力鉴定委员会的最终评定结果为准。（2）造成3万元以上20万元以下直接经济损失的，与重伤事故同等级别认定。</w:t>
      </w:r>
    </w:p>
    <w:p w14:paraId="7EFD94E8">
      <w:pPr>
        <w:pStyle w:val="42"/>
        <w:numPr>
          <w:ilvl w:val="0"/>
          <w:numId w:val="26"/>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损失工时事故（LWC）：造成员工离开工作岗位一天或一天以上（不含事故当天）；</w:t>
      </w:r>
    </w:p>
    <w:p w14:paraId="0309263F">
      <w:pPr>
        <w:pStyle w:val="42"/>
        <w:numPr>
          <w:ilvl w:val="0"/>
          <w:numId w:val="26"/>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限制工时事故（RWC）：造成员工工作受限制一天或一天以上（不含事故当天）；限制性工业事故由职业医疗根据员工的实际情况和医疗部门给出的休息建议确定；</w:t>
      </w:r>
    </w:p>
    <w:p w14:paraId="11D51680">
      <w:pPr>
        <w:pStyle w:val="42"/>
        <w:numPr>
          <w:ilvl w:val="0"/>
          <w:numId w:val="26"/>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医学处置事件（MTC）：该事故需要医疗处置但又没有LWC和RWC的后果；医疗处置事件分为医护处置事件、急救箱处置事件；</w:t>
      </w:r>
    </w:p>
    <w:p w14:paraId="50F4076F">
      <w:pPr>
        <w:pStyle w:val="42"/>
        <w:numPr>
          <w:ilvl w:val="0"/>
          <w:numId w:val="26"/>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医护处置事件：需要专业医护人员进行一般医学处理的事件。</w:t>
      </w:r>
    </w:p>
    <w:p w14:paraId="090EFC20">
      <w:pPr>
        <w:pStyle w:val="42"/>
        <w:numPr>
          <w:ilvl w:val="0"/>
          <w:numId w:val="26"/>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急救箱处置事件：需要专业医护人员进行简单医学处理的事件，或可自行处理的伤害事件，例如：</w:t>
      </w:r>
    </w:p>
    <w:p w14:paraId="70169445">
      <w:pPr>
        <w:numPr>
          <w:ilvl w:val="3"/>
          <w:numId w:val="27"/>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使用创可贴、纱布及绷带对伤口包扎，不影响工作活动；</w:t>
      </w:r>
    </w:p>
    <w:p w14:paraId="20D8BA2E">
      <w:pPr>
        <w:numPr>
          <w:ilvl w:val="3"/>
          <w:numId w:val="27"/>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轻微挫伤，皮肤没有破损，只需冷敷或理疗处理；</w:t>
      </w:r>
    </w:p>
    <w:p w14:paraId="1E4635D6">
      <w:pPr>
        <w:numPr>
          <w:ilvl w:val="3"/>
          <w:numId w:val="27"/>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推拿治疗；</w:t>
      </w:r>
    </w:p>
    <w:p w14:paraId="1647D4FB">
      <w:pPr>
        <w:numPr>
          <w:ilvl w:val="3"/>
          <w:numId w:val="27"/>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只使用冲洗或棉签来清除眼中的异物；</w:t>
      </w:r>
    </w:p>
    <w:p w14:paraId="38F28D93">
      <w:pPr>
        <w:numPr>
          <w:ilvl w:val="3"/>
          <w:numId w:val="27"/>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使用非刚性的方法进行支撑，例如弹性绷带、护套、非刚性的腰背带等；</w:t>
      </w:r>
    </w:p>
    <w:p w14:paraId="0059D998">
      <w:pPr>
        <w:numPr>
          <w:ilvl w:val="3"/>
          <w:numId w:val="27"/>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使用手指防护装置等。</w:t>
      </w:r>
    </w:p>
    <w:p w14:paraId="5FB9D40B">
      <w:pPr>
        <w:numPr>
          <w:ilvl w:val="0"/>
          <w:numId w:val="28"/>
        </w:num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未遂事件：</w:t>
      </w:r>
    </w:p>
    <w:p w14:paraId="6102E260">
      <w:pPr>
        <w:spacing w:line="540" w:lineRule="exact"/>
        <w:ind w:firstLine="540" w:firstLineChars="225"/>
        <w:rPr>
          <w:rFonts w:ascii="宋体" w:hAnsi="宋体" w:eastAsia="宋体"/>
          <w:snapToGrid w:val="0"/>
          <w:sz w:val="24"/>
          <w:szCs w:val="24"/>
        </w:rPr>
      </w:pPr>
      <w:r>
        <w:rPr>
          <w:rFonts w:hint="eastAsia" w:ascii="宋体" w:hAnsi="宋体" w:eastAsia="宋体"/>
          <w:snapToGrid w:val="0"/>
          <w:sz w:val="24"/>
          <w:szCs w:val="24"/>
        </w:rPr>
        <w:t>未造成人员伤害但是可能会导致工业事故的事件，未遂事件分为严重未遂事件、普通未遂事件。</w:t>
      </w:r>
    </w:p>
    <w:p w14:paraId="62F23854">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严重未遂事件：指已经发生，未构成事故，潜在后果严重，可能导致人员死亡、重伤的意外事件。满足下列条件的可确定为严重未遂（举例）：</w:t>
      </w:r>
    </w:p>
    <w:p w14:paraId="6C71C78C">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脚手架坍塌时人员及时撤离、躲避或不在现场；</w:t>
      </w:r>
    </w:p>
    <w:p w14:paraId="41EC6902">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吊运物品过程中挂碰周围设备（施），造成周围设备（施）划痕、变形、不可用但未造成人员受伤的；</w:t>
      </w:r>
    </w:p>
    <w:p w14:paraId="100B41B0">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车辆倾翻但未造成人员受伤的；</w:t>
      </w:r>
    </w:p>
    <w:p w14:paraId="78725BC5">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物品运输、装卸过程中坠落倾翻，但未造成人员受伤的；</w:t>
      </w:r>
    </w:p>
    <w:p w14:paraId="17DB85AD">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较重物体从高处落下或突然弹射出，未砸到人，或人员不在场但落在人行通道上；</w:t>
      </w:r>
    </w:p>
    <w:p w14:paraId="14E18D22">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无证作业、作业中发现隔离边界不完整，误操作（如误合刀闸、误开或误关重要阀门）或操作严重漏项，且有较大人身伤害或主要设备损坏风险；</w:t>
      </w:r>
    </w:p>
    <w:p w14:paraId="7B3EB1C5">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人员高处坠落（2m及以上），但因保护设施起作用或缓冲等因素避免人员受伤的；</w:t>
      </w:r>
    </w:p>
    <w:p w14:paraId="5630094D">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作业过程中安全防护装置发生故障（如起重机电梯限位、紧急制动失效）；</w:t>
      </w:r>
    </w:p>
    <w:p w14:paraId="1DADF887">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高温（</w:t>
      </w:r>
      <w:r>
        <w:rPr>
          <w:rFonts w:ascii="宋体" w:hAnsi="宋体" w:eastAsia="宋体"/>
          <w:snapToGrid w:val="0"/>
          <w:color w:val="000000"/>
          <w:sz w:val="24"/>
          <w:szCs w:val="24"/>
        </w:rPr>
        <w:t>≥</w:t>
      </w:r>
      <w:r>
        <w:rPr>
          <w:rFonts w:hint="eastAsia" w:ascii="宋体" w:hAnsi="宋体" w:eastAsia="宋体"/>
          <w:snapToGrid w:val="0"/>
          <w:color w:val="000000"/>
          <w:sz w:val="24"/>
          <w:szCs w:val="24"/>
        </w:rPr>
        <w:t>70</w:t>
      </w:r>
      <w:r>
        <w:rPr>
          <w:rFonts w:ascii="宋体" w:hAnsi="宋体" w:eastAsia="宋体"/>
          <w:snapToGrid w:val="0"/>
          <w:color w:val="000000"/>
          <w:sz w:val="24"/>
          <w:szCs w:val="24"/>
        </w:rPr>
        <w:t>℃</w:t>
      </w:r>
      <w:r>
        <w:rPr>
          <w:rFonts w:hint="eastAsia" w:ascii="宋体" w:hAnsi="宋体" w:eastAsia="宋体"/>
          <w:snapToGrid w:val="0"/>
          <w:color w:val="000000"/>
          <w:sz w:val="24"/>
          <w:szCs w:val="24"/>
        </w:rPr>
        <w:t>）、高压水（水蒸气、绝对压力＞1bar）、低温液体（液N2）等危险品突然泄漏喷射，没有造成在场人员的受伤的；</w:t>
      </w:r>
    </w:p>
    <w:p w14:paraId="396F4BBC">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设备、设施的专设安全保护装置在非控情况下被拆除，如格栅、盖板、围栏、转动机械防护装置，给人员带来较大伤害风险；</w:t>
      </w:r>
    </w:p>
    <w:p w14:paraId="7697ACFD">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可导致人员窒息、中毒、触电、淹溺的作业，未采取有效措施且已出现较大伤害风险；</w:t>
      </w:r>
    </w:p>
    <w:p w14:paraId="76463D2E">
      <w:pPr>
        <w:numPr>
          <w:ilvl w:val="0"/>
          <w:numId w:val="29"/>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经甲方认定的对人身有重大伤害风险的事件。</w:t>
      </w:r>
    </w:p>
    <w:p w14:paraId="6C132A51">
      <w:pPr>
        <w:numPr>
          <w:ilvl w:val="0"/>
          <w:numId w:val="30"/>
        </w:numPr>
        <w:tabs>
          <w:tab w:val="left" w:pos="90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普通未遂事件：指已经发生未构成事件，潜在后果一般的意外事件。满足下列条件的可确定为普通未遂（举例）：</w:t>
      </w:r>
    </w:p>
    <w:p w14:paraId="3E116602">
      <w:pPr>
        <w:numPr>
          <w:ilvl w:val="0"/>
          <w:numId w:val="31"/>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较轻物体（如手电、小工具）高处坠落未砸（击）到人；</w:t>
      </w:r>
    </w:p>
    <w:p w14:paraId="0854C191">
      <w:pPr>
        <w:numPr>
          <w:ilvl w:val="0"/>
          <w:numId w:val="31"/>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走错间隔，有人身伤害风险，但未造成后果；</w:t>
      </w:r>
    </w:p>
    <w:p w14:paraId="56640F9E">
      <w:pPr>
        <w:numPr>
          <w:ilvl w:val="0"/>
          <w:numId w:val="31"/>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错用工作票作业，工作开始前被发现且潜在后果存在人身伤害风险；</w:t>
      </w:r>
    </w:p>
    <w:p w14:paraId="503DCFAE">
      <w:pPr>
        <w:numPr>
          <w:ilvl w:val="0"/>
          <w:numId w:val="31"/>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造成人员失足、失手、身体不适的作业条件（如孔洞、照明、通风），并已给人员带来普通风险。</w:t>
      </w:r>
    </w:p>
    <w:p w14:paraId="17DC4E28">
      <w:pPr>
        <w:numPr>
          <w:ilvl w:val="0"/>
          <w:numId w:val="32"/>
        </w:num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 xml:space="preserve"> 异常事件：任何未构成未遂事故的不安全的条件、设备/设施缺陷违章行为、不良工作习惯等不构成未遂事故的事件；或</w:t>
      </w:r>
      <w:r>
        <w:rPr>
          <w:rStyle w:val="33"/>
          <w:rFonts w:hint="eastAsia" w:ascii="新宋体" w:hAnsi="新宋体" w:eastAsia="新宋体" w:cs="新宋体"/>
          <w:b w:val="0"/>
          <w:bCs w:val="0"/>
          <w:sz w:val="24"/>
          <w:szCs w:val="24"/>
        </w:rPr>
        <w:t>主设备被迫停运12h以内、火灾一次损失0.2万以下等生产安全事件。</w:t>
      </w:r>
    </w:p>
    <w:p w14:paraId="45930D69">
      <w:pPr>
        <w:tabs>
          <w:tab w:val="left" w:pos="360"/>
        </w:tabs>
        <w:spacing w:line="540" w:lineRule="exact"/>
        <w:rPr>
          <w:rStyle w:val="33"/>
          <w:rFonts w:ascii="新宋体" w:hAnsi="新宋体" w:eastAsia="新宋体" w:cs="新宋体"/>
          <w:b w:val="0"/>
          <w:bCs w:val="0"/>
          <w:sz w:val="24"/>
          <w:szCs w:val="24"/>
        </w:rPr>
      </w:pPr>
      <w:r>
        <w:rPr>
          <w:rFonts w:hint="eastAsia" w:ascii="宋体" w:hAnsi="宋体" w:eastAsia="宋体"/>
          <w:snapToGrid w:val="0"/>
          <w:color w:val="000000"/>
          <w:sz w:val="24"/>
          <w:szCs w:val="24"/>
        </w:rPr>
        <w:t>12.一类障碍：</w:t>
      </w:r>
      <w:r>
        <w:rPr>
          <w:rFonts w:hint="eastAsia" w:ascii="新宋体" w:hAnsi="新宋体" w:eastAsia="新宋体" w:cs="新宋体"/>
          <w:sz w:val="24"/>
          <w:szCs w:val="24"/>
          <w:shd w:val="clear" w:color="auto" w:fill="FFFFFF"/>
        </w:rPr>
        <w:t>主设备被迫停运超过48h低于96小于、火灾一次损失0.5万—1万元、恶性电气误操作（如带负荷拉、合隔离刀闸等）等安全生产事件。</w:t>
      </w:r>
    </w:p>
    <w:p w14:paraId="7DD123BB">
      <w:pPr>
        <w:tabs>
          <w:tab w:val="left" w:pos="360"/>
        </w:tabs>
        <w:spacing w:line="540" w:lineRule="exact"/>
        <w:rPr>
          <w:rStyle w:val="33"/>
          <w:rFonts w:ascii="新宋体" w:hAnsi="新宋体" w:eastAsia="新宋体" w:cs="新宋体"/>
          <w:b w:val="0"/>
          <w:bCs w:val="0"/>
          <w:sz w:val="24"/>
          <w:szCs w:val="24"/>
        </w:rPr>
      </w:pPr>
      <w:r>
        <w:rPr>
          <w:rStyle w:val="33"/>
          <w:rFonts w:hint="eastAsia" w:ascii="新宋体" w:hAnsi="新宋体" w:eastAsia="新宋体" w:cs="新宋体"/>
          <w:b w:val="0"/>
          <w:bCs w:val="0"/>
          <w:sz w:val="24"/>
          <w:szCs w:val="24"/>
        </w:rPr>
        <w:t>13.二类障碍：主设备被迫停运超过12h低于48h、火灾一次损失0.2万—0.5万、误操作引起主设备被迫停运等安全生产事件。</w:t>
      </w:r>
    </w:p>
    <w:p w14:paraId="1C1EBB8D">
      <w:p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14.一类设备缺陷：严重威胁系统主设备安全运行及人身安全的或已造成发电出力降低和影响对外输送电力的重大缺陷。</w:t>
      </w:r>
    </w:p>
    <w:p w14:paraId="4FA96189">
      <w:p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15.二类设备缺陷：暂时不影响机组继续运行，但对设备安全经济运行和人身安全有一定的威胁，继续发展将导致设备停止运行，或损坏设备，需机组停运或降低出力才能消除的缺陷。</w:t>
      </w:r>
    </w:p>
    <w:p w14:paraId="16324E7C">
      <w:p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16.三类设备缺陷：不需要停用主设备或降低出力可随时消除的设备缺陷，以及不影响主设备正常运行，可结合检修或停机备用期间进行消除的缺陷。</w:t>
      </w:r>
    </w:p>
    <w:p w14:paraId="20D50D00">
      <w:pPr>
        <w:numPr>
          <w:ilvl w:val="0"/>
          <w:numId w:val="33"/>
        </w:numPr>
        <w:spacing w:line="560" w:lineRule="exact"/>
        <w:rPr>
          <w:rFonts w:ascii="宋体" w:hAnsi="宋体" w:eastAsia="宋体"/>
          <w:snapToGrid w:val="0"/>
          <w:color w:val="000000"/>
          <w:sz w:val="24"/>
          <w:szCs w:val="24"/>
        </w:rPr>
        <w:sectPr>
          <w:pgSz w:w="11906" w:h="16838"/>
          <w:pgMar w:top="1440" w:right="1080" w:bottom="1440" w:left="1080" w:header="851" w:footer="992" w:gutter="0"/>
          <w:cols w:space="425" w:num="1"/>
          <w:docGrid w:type="lines" w:linePitch="579" w:charSpace="17613"/>
        </w:sectPr>
      </w:pPr>
    </w:p>
    <w:p w14:paraId="4668FC57">
      <w:pPr>
        <w:rPr>
          <w:rFonts w:ascii="仿宋" w:hAnsi="仿宋" w:eastAsia="仿宋"/>
          <w:snapToGrid w:val="0"/>
          <w:sz w:val="24"/>
          <w:szCs w:val="28"/>
        </w:rPr>
      </w:pPr>
      <w:r>
        <w:rPr>
          <w:rFonts w:hint="eastAsia" w:ascii="仿宋" w:hAnsi="仿宋" w:eastAsia="仿宋"/>
          <w:snapToGrid w:val="0"/>
          <w:sz w:val="24"/>
          <w:szCs w:val="28"/>
        </w:rPr>
        <w:t>附件2：考核条款</w:t>
      </w:r>
    </w:p>
    <w:p w14:paraId="27B1DC8C">
      <w:pPr>
        <w:jc w:val="center"/>
        <w:rPr>
          <w:rFonts w:ascii="宋体" w:hAnsi="宋体" w:eastAsia="宋体"/>
          <w:b/>
          <w:bCs/>
          <w:snapToGrid w:val="0"/>
          <w:sz w:val="28"/>
          <w:szCs w:val="28"/>
        </w:rPr>
      </w:pPr>
      <w:r>
        <w:rPr>
          <w:rFonts w:hint="eastAsia" w:ascii="宋体" w:hAnsi="宋体" w:eastAsia="宋体"/>
          <w:b/>
          <w:bCs/>
          <w:snapToGrid w:val="0"/>
          <w:sz w:val="28"/>
          <w:szCs w:val="28"/>
        </w:rPr>
        <w:t>考核条款</w:t>
      </w:r>
    </w:p>
    <w:tbl>
      <w:tblPr>
        <w:tblStyle w:val="30"/>
        <w:tblW w:w="9466" w:type="dxa"/>
        <w:jc w:val="center"/>
        <w:tblLayout w:type="autofit"/>
        <w:tblCellMar>
          <w:top w:w="0" w:type="dxa"/>
          <w:left w:w="108" w:type="dxa"/>
          <w:bottom w:w="0" w:type="dxa"/>
          <w:right w:w="108" w:type="dxa"/>
        </w:tblCellMar>
      </w:tblPr>
      <w:tblGrid>
        <w:gridCol w:w="716"/>
        <w:gridCol w:w="5030"/>
        <w:gridCol w:w="3720"/>
      </w:tblGrid>
      <w:tr w14:paraId="727C22FC">
        <w:tblPrEx>
          <w:tblCellMar>
            <w:top w:w="0" w:type="dxa"/>
            <w:left w:w="108" w:type="dxa"/>
            <w:bottom w:w="0" w:type="dxa"/>
            <w:right w:w="108" w:type="dxa"/>
          </w:tblCellMar>
        </w:tblPrEx>
        <w:trPr>
          <w:trHeight w:val="285" w:hRule="atLeast"/>
          <w:tblHeader/>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01ED9D3A">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030" w:type="dxa"/>
            <w:tcBorders>
              <w:top w:val="single" w:color="auto" w:sz="4" w:space="0"/>
              <w:left w:val="nil"/>
              <w:bottom w:val="single" w:color="auto" w:sz="4" w:space="0"/>
              <w:right w:val="single" w:color="auto" w:sz="4" w:space="0"/>
            </w:tcBorders>
            <w:shd w:val="clear" w:color="auto" w:fill="auto"/>
            <w:vAlign w:val="center"/>
          </w:tcPr>
          <w:p w14:paraId="05C0FF8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考核项目</w:t>
            </w:r>
          </w:p>
        </w:tc>
        <w:tc>
          <w:tcPr>
            <w:tcW w:w="3720" w:type="dxa"/>
            <w:tcBorders>
              <w:top w:val="single" w:color="auto" w:sz="4" w:space="0"/>
              <w:left w:val="nil"/>
              <w:bottom w:val="single" w:color="auto" w:sz="4" w:space="0"/>
              <w:right w:val="single" w:color="auto" w:sz="4" w:space="0"/>
            </w:tcBorders>
            <w:shd w:val="clear" w:color="auto" w:fill="auto"/>
            <w:vAlign w:val="center"/>
          </w:tcPr>
          <w:p w14:paraId="29D06B55">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考核标准</w:t>
            </w:r>
          </w:p>
        </w:tc>
      </w:tr>
      <w:tr w14:paraId="2A072AED">
        <w:tblPrEx>
          <w:tblCellMar>
            <w:top w:w="0" w:type="dxa"/>
            <w:left w:w="108" w:type="dxa"/>
            <w:bottom w:w="0" w:type="dxa"/>
            <w:right w:w="108" w:type="dxa"/>
          </w:tblCellMar>
        </w:tblPrEx>
        <w:trPr>
          <w:trHeight w:val="45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94853CD">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w:t>
            </w:r>
          </w:p>
        </w:tc>
        <w:tc>
          <w:tcPr>
            <w:tcW w:w="8750" w:type="dxa"/>
            <w:gridSpan w:val="2"/>
            <w:tcBorders>
              <w:top w:val="nil"/>
              <w:left w:val="nil"/>
              <w:bottom w:val="single" w:color="auto" w:sz="4" w:space="0"/>
              <w:right w:val="single" w:color="auto" w:sz="4" w:space="0"/>
            </w:tcBorders>
            <w:shd w:val="clear" w:color="auto" w:fill="auto"/>
            <w:vAlign w:val="center"/>
          </w:tcPr>
          <w:p w14:paraId="0FB62F43">
            <w:pPr>
              <w:widowControl/>
              <w:spacing w:line="360" w:lineRule="exact"/>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安全目标考核</w:t>
            </w:r>
          </w:p>
        </w:tc>
      </w:tr>
      <w:tr w14:paraId="60F8714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0BB7D1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030" w:type="dxa"/>
            <w:tcBorders>
              <w:top w:val="nil"/>
              <w:left w:val="nil"/>
              <w:bottom w:val="single" w:color="auto" w:sz="4" w:space="0"/>
              <w:right w:val="single" w:color="auto" w:sz="4" w:space="0"/>
            </w:tcBorders>
            <w:shd w:val="clear" w:color="auto" w:fill="auto"/>
            <w:vAlign w:val="center"/>
          </w:tcPr>
          <w:p w14:paraId="571B79B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乙方发生责任性人身死亡事件</w:t>
            </w:r>
          </w:p>
        </w:tc>
        <w:tc>
          <w:tcPr>
            <w:tcW w:w="3720" w:type="dxa"/>
            <w:tcBorders>
              <w:top w:val="nil"/>
              <w:left w:val="nil"/>
              <w:bottom w:val="single" w:color="auto" w:sz="4" w:space="0"/>
              <w:right w:val="single" w:color="auto" w:sz="4" w:space="0"/>
            </w:tcBorders>
            <w:shd w:val="clear" w:color="auto" w:fill="auto"/>
            <w:vAlign w:val="center"/>
          </w:tcPr>
          <w:p w14:paraId="449B8D9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乙方除接受政府主管部门的处罚和承担死者善后费用外，甲方对乙方另按每死亡一人不低于</w:t>
            </w: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万元的标准进行考核。</w:t>
            </w:r>
          </w:p>
        </w:tc>
      </w:tr>
      <w:tr w14:paraId="29289B1E">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AE97DF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030" w:type="dxa"/>
            <w:tcBorders>
              <w:top w:val="nil"/>
              <w:left w:val="nil"/>
              <w:bottom w:val="single" w:color="auto" w:sz="4" w:space="0"/>
              <w:right w:val="single" w:color="auto" w:sz="4" w:space="0"/>
            </w:tcBorders>
            <w:shd w:val="clear" w:color="auto" w:fill="auto"/>
            <w:vAlign w:val="center"/>
          </w:tcPr>
          <w:p w14:paraId="058845A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乙方发生责任性人身重伤事件</w:t>
            </w:r>
          </w:p>
        </w:tc>
        <w:tc>
          <w:tcPr>
            <w:tcW w:w="3720" w:type="dxa"/>
            <w:tcBorders>
              <w:top w:val="nil"/>
              <w:left w:val="nil"/>
              <w:bottom w:val="single" w:color="auto" w:sz="4" w:space="0"/>
              <w:right w:val="single" w:color="auto" w:sz="4" w:space="0"/>
            </w:tcBorders>
            <w:shd w:val="clear" w:color="auto" w:fill="auto"/>
            <w:vAlign w:val="center"/>
          </w:tcPr>
          <w:p w14:paraId="137C9F0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考核3万-5万元/人·次</w:t>
            </w:r>
          </w:p>
        </w:tc>
      </w:tr>
      <w:tr w14:paraId="08FBBAD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137C56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030" w:type="dxa"/>
            <w:tcBorders>
              <w:top w:val="nil"/>
              <w:left w:val="nil"/>
              <w:bottom w:val="single" w:color="auto" w:sz="4" w:space="0"/>
              <w:right w:val="single" w:color="auto" w:sz="4" w:space="0"/>
            </w:tcBorders>
            <w:shd w:val="clear" w:color="auto" w:fill="auto"/>
            <w:vAlign w:val="center"/>
          </w:tcPr>
          <w:p w14:paraId="74E03A6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乙方发生责任性人身轻伤事件</w:t>
            </w:r>
          </w:p>
        </w:tc>
        <w:tc>
          <w:tcPr>
            <w:tcW w:w="3720" w:type="dxa"/>
            <w:tcBorders>
              <w:top w:val="nil"/>
              <w:left w:val="nil"/>
              <w:bottom w:val="single" w:color="auto" w:sz="4" w:space="0"/>
              <w:right w:val="single" w:color="auto" w:sz="4" w:space="0"/>
            </w:tcBorders>
            <w:shd w:val="clear" w:color="auto" w:fill="auto"/>
            <w:vAlign w:val="center"/>
          </w:tcPr>
          <w:p w14:paraId="4B08252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考核1万-2万元/人·次</w:t>
            </w:r>
          </w:p>
        </w:tc>
      </w:tr>
      <w:tr w14:paraId="7AB9D7C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2DE2CD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030" w:type="dxa"/>
            <w:tcBorders>
              <w:top w:val="nil"/>
              <w:left w:val="nil"/>
              <w:bottom w:val="single" w:color="auto" w:sz="4" w:space="0"/>
              <w:right w:val="single" w:color="auto" w:sz="4" w:space="0"/>
            </w:tcBorders>
            <w:shd w:val="clear" w:color="auto" w:fill="auto"/>
            <w:vAlign w:val="center"/>
          </w:tcPr>
          <w:p w14:paraId="3E98857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乙方发生责任性人身未遂事件</w:t>
            </w:r>
          </w:p>
        </w:tc>
        <w:tc>
          <w:tcPr>
            <w:tcW w:w="3720" w:type="dxa"/>
            <w:tcBorders>
              <w:top w:val="nil"/>
              <w:left w:val="nil"/>
              <w:bottom w:val="single" w:color="auto" w:sz="4" w:space="0"/>
              <w:right w:val="single" w:color="auto" w:sz="4" w:space="0"/>
            </w:tcBorders>
            <w:shd w:val="clear" w:color="auto" w:fill="auto"/>
            <w:vAlign w:val="center"/>
          </w:tcPr>
          <w:p w14:paraId="5674001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3万元-0.5万元/次</w:t>
            </w:r>
          </w:p>
        </w:tc>
      </w:tr>
      <w:tr w14:paraId="283D14D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B56DE6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030" w:type="dxa"/>
            <w:tcBorders>
              <w:top w:val="nil"/>
              <w:left w:val="nil"/>
              <w:bottom w:val="single" w:color="auto" w:sz="4" w:space="0"/>
              <w:right w:val="single" w:color="auto" w:sz="4" w:space="0"/>
            </w:tcBorders>
            <w:shd w:val="clear" w:color="auto" w:fill="auto"/>
            <w:vAlign w:val="center"/>
          </w:tcPr>
          <w:p w14:paraId="76CEB4D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发生乙方责任导致的经济损失事故</w:t>
            </w:r>
          </w:p>
        </w:tc>
        <w:tc>
          <w:tcPr>
            <w:tcW w:w="3720" w:type="dxa"/>
            <w:tcBorders>
              <w:top w:val="nil"/>
              <w:left w:val="nil"/>
              <w:bottom w:val="single" w:color="auto" w:sz="4" w:space="0"/>
              <w:right w:val="single" w:color="auto" w:sz="4" w:space="0"/>
            </w:tcBorders>
            <w:shd w:val="clear" w:color="auto" w:fill="auto"/>
            <w:vAlign w:val="center"/>
          </w:tcPr>
          <w:p w14:paraId="30BD354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承担相应经济损失并按损失金额的10%进行考核。</w:t>
            </w:r>
          </w:p>
        </w:tc>
      </w:tr>
      <w:tr w14:paraId="6164DB7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8F6957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030" w:type="dxa"/>
            <w:tcBorders>
              <w:top w:val="nil"/>
              <w:left w:val="nil"/>
              <w:bottom w:val="single" w:color="auto" w:sz="4" w:space="0"/>
              <w:right w:val="single" w:color="auto" w:sz="4" w:space="0"/>
            </w:tcBorders>
            <w:shd w:val="clear" w:color="auto" w:fill="auto"/>
            <w:vAlign w:val="center"/>
          </w:tcPr>
          <w:p w14:paraId="61B1E30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乙方发生管辖范围内（含检修厂房、生活区域和运输车辆等）责任性火灾事故。</w:t>
            </w:r>
          </w:p>
        </w:tc>
        <w:tc>
          <w:tcPr>
            <w:tcW w:w="3720" w:type="dxa"/>
            <w:tcBorders>
              <w:top w:val="nil"/>
              <w:left w:val="nil"/>
              <w:bottom w:val="single" w:color="auto" w:sz="4" w:space="0"/>
              <w:right w:val="single" w:color="auto" w:sz="4" w:space="0"/>
            </w:tcBorders>
            <w:shd w:val="clear" w:color="auto" w:fill="auto"/>
            <w:vAlign w:val="center"/>
          </w:tcPr>
          <w:p w14:paraId="6FAE17C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根据人员伤害及财产损失情况，参照以上标准分别考核。</w:t>
            </w:r>
          </w:p>
        </w:tc>
      </w:tr>
      <w:tr w14:paraId="5DF1F52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705B82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030" w:type="dxa"/>
            <w:tcBorders>
              <w:top w:val="nil"/>
              <w:left w:val="nil"/>
              <w:bottom w:val="single" w:color="auto" w:sz="4" w:space="0"/>
              <w:right w:val="single" w:color="auto" w:sz="4" w:space="0"/>
            </w:tcBorders>
            <w:shd w:val="clear" w:color="auto" w:fill="auto"/>
            <w:vAlign w:val="center"/>
          </w:tcPr>
          <w:p w14:paraId="21D7397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乙方因管理疏忽、员工违章等原因导致工作期间或管辖范围内发生火灾险情。</w:t>
            </w:r>
          </w:p>
        </w:tc>
        <w:tc>
          <w:tcPr>
            <w:tcW w:w="3720" w:type="dxa"/>
            <w:tcBorders>
              <w:top w:val="nil"/>
              <w:left w:val="nil"/>
              <w:bottom w:val="single" w:color="auto" w:sz="4" w:space="0"/>
              <w:right w:val="single" w:color="auto" w:sz="4" w:space="0"/>
            </w:tcBorders>
            <w:shd w:val="clear" w:color="auto" w:fill="auto"/>
            <w:vAlign w:val="center"/>
          </w:tcPr>
          <w:p w14:paraId="24FF226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4万-1万元/次，并包赔甲方损失。</w:t>
            </w:r>
          </w:p>
        </w:tc>
      </w:tr>
      <w:tr w14:paraId="2F96481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01224D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5030" w:type="dxa"/>
            <w:tcBorders>
              <w:top w:val="nil"/>
              <w:left w:val="nil"/>
              <w:bottom w:val="single" w:color="auto" w:sz="4" w:space="0"/>
              <w:right w:val="single" w:color="auto" w:sz="4" w:space="0"/>
            </w:tcBorders>
            <w:shd w:val="clear" w:color="auto" w:fill="auto"/>
            <w:vAlign w:val="center"/>
          </w:tcPr>
          <w:p w14:paraId="5B5E157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乙方在甲方范围内发生责任性交通事故</w:t>
            </w:r>
          </w:p>
        </w:tc>
        <w:tc>
          <w:tcPr>
            <w:tcW w:w="3720" w:type="dxa"/>
            <w:tcBorders>
              <w:top w:val="nil"/>
              <w:left w:val="nil"/>
              <w:bottom w:val="single" w:color="auto" w:sz="4" w:space="0"/>
              <w:right w:val="single" w:color="auto" w:sz="4" w:space="0"/>
            </w:tcBorders>
            <w:shd w:val="clear" w:color="auto" w:fill="auto"/>
            <w:vAlign w:val="center"/>
          </w:tcPr>
          <w:p w14:paraId="715563C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按人身伤亡、经济损失类事故考核标准执行，并包赔甲方损失。</w:t>
            </w:r>
          </w:p>
        </w:tc>
      </w:tr>
      <w:tr w14:paraId="24399E1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7014AF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5030" w:type="dxa"/>
            <w:tcBorders>
              <w:top w:val="nil"/>
              <w:left w:val="nil"/>
              <w:bottom w:val="single" w:color="auto" w:sz="4" w:space="0"/>
              <w:right w:val="single" w:color="auto" w:sz="4" w:space="0"/>
            </w:tcBorders>
            <w:shd w:val="clear" w:color="auto" w:fill="auto"/>
            <w:vAlign w:val="center"/>
          </w:tcPr>
          <w:p w14:paraId="0E234E8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乙方管理责任导致发生、发现职业病病例。</w:t>
            </w:r>
          </w:p>
        </w:tc>
        <w:tc>
          <w:tcPr>
            <w:tcW w:w="3720" w:type="dxa"/>
            <w:tcBorders>
              <w:top w:val="nil"/>
              <w:left w:val="nil"/>
              <w:bottom w:val="single" w:color="auto" w:sz="4" w:space="0"/>
              <w:right w:val="single" w:color="auto" w:sz="4" w:space="0"/>
            </w:tcBorders>
            <w:shd w:val="clear" w:color="auto" w:fill="auto"/>
            <w:vAlign w:val="center"/>
          </w:tcPr>
          <w:p w14:paraId="576ED03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参照重伤考核标准</w:t>
            </w:r>
          </w:p>
        </w:tc>
      </w:tr>
      <w:tr w14:paraId="3AF660D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A55CF1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030" w:type="dxa"/>
            <w:tcBorders>
              <w:top w:val="nil"/>
              <w:left w:val="nil"/>
              <w:bottom w:val="single" w:color="auto" w:sz="4" w:space="0"/>
              <w:right w:val="single" w:color="auto" w:sz="4" w:space="0"/>
            </w:tcBorders>
            <w:shd w:val="clear" w:color="auto" w:fill="auto"/>
            <w:vAlign w:val="center"/>
          </w:tcPr>
          <w:p w14:paraId="55EB962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乙方原因导致被环保主管部门通报、考核的环保事件。</w:t>
            </w:r>
          </w:p>
        </w:tc>
        <w:tc>
          <w:tcPr>
            <w:tcW w:w="3720" w:type="dxa"/>
            <w:tcBorders>
              <w:top w:val="nil"/>
              <w:left w:val="nil"/>
              <w:bottom w:val="single" w:color="auto" w:sz="4" w:space="0"/>
              <w:right w:val="single" w:color="auto" w:sz="4" w:space="0"/>
            </w:tcBorders>
            <w:shd w:val="clear" w:color="auto" w:fill="auto"/>
            <w:vAlign w:val="center"/>
          </w:tcPr>
          <w:p w14:paraId="6DE4EC2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考核1万－5万元/次，并按责任定性承担主管部门的考核或罚款，并包赔甲方损失。</w:t>
            </w:r>
          </w:p>
        </w:tc>
      </w:tr>
      <w:tr w14:paraId="195AAE2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1B21AB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030" w:type="dxa"/>
            <w:tcBorders>
              <w:top w:val="nil"/>
              <w:left w:val="nil"/>
              <w:bottom w:val="single" w:color="auto" w:sz="4" w:space="0"/>
              <w:right w:val="single" w:color="auto" w:sz="4" w:space="0"/>
            </w:tcBorders>
            <w:shd w:val="clear" w:color="auto" w:fill="auto"/>
            <w:vAlign w:val="center"/>
          </w:tcPr>
          <w:p w14:paraId="75DD1E1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乙方在甲方范围内发生性质恶劣的治安事件，或乙方员工组织或参与盗窃的事件。</w:t>
            </w:r>
          </w:p>
        </w:tc>
        <w:tc>
          <w:tcPr>
            <w:tcW w:w="3720" w:type="dxa"/>
            <w:tcBorders>
              <w:top w:val="nil"/>
              <w:left w:val="nil"/>
              <w:bottom w:val="single" w:color="auto" w:sz="4" w:space="0"/>
              <w:right w:val="single" w:color="auto" w:sz="4" w:space="0"/>
            </w:tcBorders>
            <w:shd w:val="clear" w:color="auto" w:fill="auto"/>
            <w:vAlign w:val="center"/>
          </w:tcPr>
          <w:p w14:paraId="35EC1DB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3－3万元/次，并负责赔偿损失；情节特别严重的按国家法律处理。</w:t>
            </w:r>
          </w:p>
        </w:tc>
      </w:tr>
      <w:tr w14:paraId="3E31265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2D1B28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030" w:type="dxa"/>
            <w:tcBorders>
              <w:top w:val="nil"/>
              <w:left w:val="nil"/>
              <w:bottom w:val="single" w:color="auto" w:sz="4" w:space="0"/>
              <w:right w:val="single" w:color="auto" w:sz="4" w:space="0"/>
            </w:tcBorders>
            <w:shd w:val="clear" w:color="auto" w:fill="auto"/>
            <w:vAlign w:val="center"/>
          </w:tcPr>
          <w:p w14:paraId="6A4EA3B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乙方3个月内重复发生同样性质的人身伤亡、治安事件、违法事件或火灾事故、环保事件、交通事故。</w:t>
            </w:r>
          </w:p>
        </w:tc>
        <w:tc>
          <w:tcPr>
            <w:tcW w:w="3720" w:type="dxa"/>
            <w:tcBorders>
              <w:top w:val="nil"/>
              <w:left w:val="nil"/>
              <w:bottom w:val="single" w:color="auto" w:sz="4" w:space="0"/>
              <w:right w:val="single" w:color="auto" w:sz="4" w:space="0"/>
            </w:tcBorders>
            <w:shd w:val="clear" w:color="auto" w:fill="auto"/>
            <w:vAlign w:val="center"/>
          </w:tcPr>
          <w:p w14:paraId="646248C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对应上述款项加倍处罚。</w:t>
            </w:r>
          </w:p>
        </w:tc>
      </w:tr>
      <w:tr w14:paraId="0F448BA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8FE16B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5030" w:type="dxa"/>
            <w:tcBorders>
              <w:top w:val="nil"/>
              <w:left w:val="nil"/>
              <w:bottom w:val="single" w:color="auto" w:sz="4" w:space="0"/>
              <w:right w:val="single" w:color="auto" w:sz="4" w:space="0"/>
            </w:tcBorders>
            <w:shd w:val="clear" w:color="auto" w:fill="auto"/>
            <w:vAlign w:val="center"/>
          </w:tcPr>
          <w:p w14:paraId="32BEAA5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发生乙方原因导致的责任性一类障碍</w:t>
            </w:r>
          </w:p>
        </w:tc>
        <w:tc>
          <w:tcPr>
            <w:tcW w:w="3720" w:type="dxa"/>
            <w:tcBorders>
              <w:top w:val="nil"/>
              <w:left w:val="nil"/>
              <w:bottom w:val="single" w:color="auto" w:sz="4" w:space="0"/>
              <w:right w:val="single" w:color="auto" w:sz="4" w:space="0"/>
            </w:tcBorders>
            <w:shd w:val="clear" w:color="auto" w:fill="auto"/>
            <w:vAlign w:val="center"/>
          </w:tcPr>
          <w:p w14:paraId="463F5A5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考核1万-3万元/次，视具体情况追加考核同期电量损失。</w:t>
            </w:r>
          </w:p>
        </w:tc>
      </w:tr>
      <w:tr w14:paraId="487F9CA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31593C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5030" w:type="dxa"/>
            <w:tcBorders>
              <w:top w:val="nil"/>
              <w:left w:val="nil"/>
              <w:bottom w:val="single" w:color="auto" w:sz="4" w:space="0"/>
              <w:right w:val="single" w:color="auto" w:sz="4" w:space="0"/>
            </w:tcBorders>
            <w:shd w:val="clear" w:color="auto" w:fill="auto"/>
            <w:vAlign w:val="center"/>
          </w:tcPr>
          <w:p w14:paraId="7642061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发生乙方原因导致的责任性二类障碍</w:t>
            </w:r>
          </w:p>
        </w:tc>
        <w:tc>
          <w:tcPr>
            <w:tcW w:w="3720" w:type="dxa"/>
            <w:tcBorders>
              <w:top w:val="nil"/>
              <w:left w:val="nil"/>
              <w:bottom w:val="single" w:color="auto" w:sz="4" w:space="0"/>
              <w:right w:val="single" w:color="auto" w:sz="4" w:space="0"/>
            </w:tcBorders>
            <w:shd w:val="clear" w:color="auto" w:fill="auto"/>
            <w:vAlign w:val="center"/>
          </w:tcPr>
          <w:p w14:paraId="594F88C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4万-1万元/次，视具体情况追加考核同期电量损失。</w:t>
            </w:r>
          </w:p>
        </w:tc>
      </w:tr>
      <w:tr w14:paraId="2167B10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F7A607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385F53F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乙方发生责任性异常事件</w:t>
            </w:r>
          </w:p>
        </w:tc>
        <w:tc>
          <w:tcPr>
            <w:tcW w:w="3720" w:type="dxa"/>
            <w:tcBorders>
              <w:top w:val="nil"/>
              <w:left w:val="nil"/>
              <w:bottom w:val="single" w:color="auto" w:sz="4" w:space="0"/>
              <w:right w:val="single" w:color="auto" w:sz="4" w:space="0"/>
            </w:tcBorders>
            <w:shd w:val="clear" w:color="auto" w:fill="auto"/>
            <w:vAlign w:val="center"/>
          </w:tcPr>
          <w:p w14:paraId="639A4C6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4万元/次，视具体情况追加考核同期电量损失。</w:t>
            </w:r>
          </w:p>
        </w:tc>
      </w:tr>
      <w:tr w14:paraId="17CA65A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001DFD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2CDA111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乙方发生误操作事件</w:t>
            </w:r>
          </w:p>
        </w:tc>
        <w:tc>
          <w:tcPr>
            <w:tcW w:w="3720" w:type="dxa"/>
            <w:tcBorders>
              <w:top w:val="nil"/>
              <w:left w:val="nil"/>
              <w:bottom w:val="single" w:color="auto" w:sz="4" w:space="0"/>
              <w:right w:val="single" w:color="auto" w:sz="4" w:space="0"/>
            </w:tcBorders>
            <w:shd w:val="clear" w:color="auto" w:fill="auto"/>
            <w:vAlign w:val="center"/>
          </w:tcPr>
          <w:p w14:paraId="663EE38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一般误操作考核0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4万－1万元/次，恶性误操作按一类障碍考核，造成后果的按责任定性另外考核。</w:t>
            </w:r>
          </w:p>
        </w:tc>
      </w:tr>
      <w:tr w14:paraId="0BAAB50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E89DBB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5030" w:type="dxa"/>
            <w:tcBorders>
              <w:top w:val="nil"/>
              <w:left w:val="nil"/>
              <w:bottom w:val="single" w:color="auto" w:sz="4" w:space="0"/>
              <w:right w:val="single" w:color="auto" w:sz="4" w:space="0"/>
            </w:tcBorders>
            <w:shd w:val="clear" w:color="auto" w:fill="auto"/>
            <w:vAlign w:val="center"/>
          </w:tcPr>
          <w:p w14:paraId="160938D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乙方发生安全事故不及时汇报（超过24h），或谎报、瞒报，逃避责任等行为。</w:t>
            </w:r>
          </w:p>
        </w:tc>
        <w:tc>
          <w:tcPr>
            <w:tcW w:w="3720" w:type="dxa"/>
            <w:tcBorders>
              <w:top w:val="nil"/>
              <w:left w:val="nil"/>
              <w:bottom w:val="single" w:color="auto" w:sz="4" w:space="0"/>
              <w:right w:val="single" w:color="auto" w:sz="4" w:space="0"/>
            </w:tcBorders>
            <w:shd w:val="clear" w:color="auto" w:fill="auto"/>
            <w:vAlign w:val="center"/>
          </w:tcPr>
          <w:p w14:paraId="1081620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按事故事件的级别给予不超过2万元/次的考核（事故责任另计）</w:t>
            </w:r>
          </w:p>
        </w:tc>
      </w:tr>
      <w:tr w14:paraId="40486920">
        <w:tblPrEx>
          <w:tblCellMar>
            <w:top w:w="0" w:type="dxa"/>
            <w:left w:w="108" w:type="dxa"/>
            <w:bottom w:w="0" w:type="dxa"/>
            <w:right w:w="108" w:type="dxa"/>
          </w:tblCellMar>
        </w:tblPrEx>
        <w:trPr>
          <w:trHeight w:val="372"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063A415">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p>
        </w:tc>
        <w:tc>
          <w:tcPr>
            <w:tcW w:w="5030" w:type="dxa"/>
            <w:tcBorders>
              <w:top w:val="nil"/>
              <w:left w:val="nil"/>
              <w:bottom w:val="single" w:color="auto" w:sz="4" w:space="0"/>
              <w:right w:val="single" w:color="auto" w:sz="4" w:space="0"/>
            </w:tcBorders>
            <w:shd w:val="clear" w:color="auto" w:fill="auto"/>
            <w:vAlign w:val="center"/>
          </w:tcPr>
          <w:p w14:paraId="182EEF78">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安全管理考核</w:t>
            </w:r>
          </w:p>
        </w:tc>
        <w:tc>
          <w:tcPr>
            <w:tcW w:w="3720" w:type="dxa"/>
            <w:tcBorders>
              <w:top w:val="nil"/>
              <w:left w:val="nil"/>
              <w:bottom w:val="single" w:color="auto" w:sz="4" w:space="0"/>
              <w:right w:val="single" w:color="auto" w:sz="4" w:space="0"/>
            </w:tcBorders>
            <w:shd w:val="clear" w:color="auto" w:fill="auto"/>
            <w:vAlign w:val="center"/>
          </w:tcPr>
          <w:p w14:paraId="7AF0CAFE">
            <w:pPr>
              <w:widowControl/>
              <w:spacing w:line="360" w:lineRule="exact"/>
              <w:jc w:val="left"/>
              <w:rPr>
                <w:rFonts w:ascii="宋体" w:hAnsi="宋体" w:eastAsia="宋体" w:cs="宋体"/>
                <w:color w:val="000000"/>
                <w:kern w:val="0"/>
                <w:sz w:val="24"/>
                <w:szCs w:val="24"/>
              </w:rPr>
            </w:pPr>
          </w:p>
        </w:tc>
      </w:tr>
      <w:tr w14:paraId="25D2F8E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8093D7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5030" w:type="dxa"/>
            <w:tcBorders>
              <w:top w:val="nil"/>
              <w:left w:val="nil"/>
              <w:bottom w:val="single" w:color="auto" w:sz="4" w:space="0"/>
              <w:right w:val="single" w:color="auto" w:sz="4" w:space="0"/>
            </w:tcBorders>
            <w:shd w:val="clear" w:color="auto" w:fill="auto"/>
            <w:vAlign w:val="center"/>
          </w:tcPr>
          <w:p w14:paraId="5F4363E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乙方不设立现场安全组织管理机构，不按要求设置安全员，项目经理或专职安全人员不具备国家要求的相应安全资格。</w:t>
            </w:r>
          </w:p>
        </w:tc>
        <w:tc>
          <w:tcPr>
            <w:tcW w:w="3720" w:type="dxa"/>
            <w:tcBorders>
              <w:top w:val="nil"/>
              <w:left w:val="nil"/>
              <w:bottom w:val="single" w:color="auto" w:sz="4" w:space="0"/>
              <w:right w:val="single" w:color="auto" w:sz="4" w:space="0"/>
            </w:tcBorders>
            <w:shd w:val="clear" w:color="auto" w:fill="auto"/>
            <w:vAlign w:val="center"/>
          </w:tcPr>
          <w:p w14:paraId="622320C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1万－0.5万元/人·次</w:t>
            </w:r>
          </w:p>
        </w:tc>
      </w:tr>
      <w:tr w14:paraId="4F27F8C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6940AF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5030" w:type="dxa"/>
            <w:tcBorders>
              <w:top w:val="nil"/>
              <w:left w:val="nil"/>
              <w:bottom w:val="single" w:color="auto" w:sz="4" w:space="0"/>
              <w:right w:val="single" w:color="auto" w:sz="4" w:space="0"/>
            </w:tcBorders>
            <w:shd w:val="clear" w:color="auto" w:fill="auto"/>
            <w:vAlign w:val="center"/>
          </w:tcPr>
          <w:p w14:paraId="675795F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乙方新人员未经安全教育或考试不合格上岗</w:t>
            </w:r>
          </w:p>
        </w:tc>
        <w:tc>
          <w:tcPr>
            <w:tcW w:w="3720" w:type="dxa"/>
            <w:tcBorders>
              <w:top w:val="nil"/>
              <w:left w:val="nil"/>
              <w:bottom w:val="single" w:color="auto" w:sz="4" w:space="0"/>
              <w:right w:val="single" w:color="auto" w:sz="4" w:space="0"/>
            </w:tcBorders>
            <w:shd w:val="clear" w:color="auto" w:fill="auto"/>
            <w:vAlign w:val="center"/>
          </w:tcPr>
          <w:p w14:paraId="04583B0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考核500－1000元/人，屡教不改或形成普遍现象的加倍考核.</w:t>
            </w:r>
          </w:p>
        </w:tc>
      </w:tr>
      <w:tr w14:paraId="785986A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A51461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5030" w:type="dxa"/>
            <w:tcBorders>
              <w:top w:val="nil"/>
              <w:left w:val="nil"/>
              <w:bottom w:val="single" w:color="auto" w:sz="4" w:space="0"/>
              <w:right w:val="single" w:color="auto" w:sz="4" w:space="0"/>
            </w:tcBorders>
            <w:shd w:val="clear" w:color="auto" w:fill="auto"/>
            <w:vAlign w:val="center"/>
          </w:tcPr>
          <w:p w14:paraId="730B4E2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乙方人员变更未及时向甲方或监理方申报、备案的。</w:t>
            </w:r>
          </w:p>
        </w:tc>
        <w:tc>
          <w:tcPr>
            <w:tcW w:w="3720" w:type="dxa"/>
            <w:tcBorders>
              <w:top w:val="nil"/>
              <w:left w:val="nil"/>
              <w:bottom w:val="single" w:color="auto" w:sz="4" w:space="0"/>
              <w:right w:val="single" w:color="auto" w:sz="4" w:space="0"/>
            </w:tcBorders>
            <w:shd w:val="clear" w:color="auto" w:fill="auto"/>
            <w:vAlign w:val="center"/>
          </w:tcPr>
          <w:p w14:paraId="640FDD5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考核500元－1000元/人·次</w:t>
            </w:r>
          </w:p>
        </w:tc>
      </w:tr>
      <w:tr w14:paraId="61B8791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1C1D76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030" w:type="dxa"/>
            <w:tcBorders>
              <w:top w:val="nil"/>
              <w:left w:val="nil"/>
              <w:bottom w:val="single" w:color="auto" w:sz="4" w:space="0"/>
              <w:right w:val="single" w:color="auto" w:sz="4" w:space="0"/>
            </w:tcBorders>
            <w:shd w:val="clear" w:color="auto" w:fill="auto"/>
            <w:vAlign w:val="center"/>
          </w:tcPr>
          <w:p w14:paraId="7AFDD2A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乙方施工过程中特种作业人员没有特种作业证，或不随身携带特种作业证。</w:t>
            </w:r>
          </w:p>
        </w:tc>
        <w:tc>
          <w:tcPr>
            <w:tcW w:w="3720" w:type="dxa"/>
            <w:tcBorders>
              <w:top w:val="nil"/>
              <w:left w:val="nil"/>
              <w:bottom w:val="single" w:color="auto" w:sz="4" w:space="0"/>
              <w:right w:val="single" w:color="auto" w:sz="4" w:space="0"/>
            </w:tcBorders>
            <w:shd w:val="clear" w:color="auto" w:fill="auto"/>
            <w:vAlign w:val="center"/>
          </w:tcPr>
          <w:p w14:paraId="056C22D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特种作业人员无证上岗考核0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5万元/人.次，特种作业证未随身携带考核500元/人次</w:t>
            </w:r>
          </w:p>
        </w:tc>
      </w:tr>
      <w:tr w14:paraId="143369B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D2AF22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5030" w:type="dxa"/>
            <w:tcBorders>
              <w:top w:val="nil"/>
              <w:left w:val="nil"/>
              <w:bottom w:val="single" w:color="auto" w:sz="4" w:space="0"/>
              <w:right w:val="single" w:color="auto" w:sz="4" w:space="0"/>
            </w:tcBorders>
            <w:shd w:val="clear" w:color="auto" w:fill="auto"/>
            <w:vAlign w:val="center"/>
          </w:tcPr>
          <w:p w14:paraId="4A3C720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乙方不按规定开展安全培训、安全交底、风险分析、隐患排查、事故应急等安全活动，或安全活动查无实据、或弄虚作假。</w:t>
            </w:r>
          </w:p>
        </w:tc>
        <w:tc>
          <w:tcPr>
            <w:tcW w:w="3720" w:type="dxa"/>
            <w:tcBorders>
              <w:top w:val="nil"/>
              <w:left w:val="nil"/>
              <w:bottom w:val="single" w:color="auto" w:sz="4" w:space="0"/>
              <w:right w:val="single" w:color="auto" w:sz="4" w:space="0"/>
            </w:tcBorders>
            <w:shd w:val="clear" w:color="auto" w:fill="auto"/>
            <w:vAlign w:val="center"/>
          </w:tcPr>
          <w:p w14:paraId="69D52F2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0.3</w:t>
            </w:r>
            <w:r>
              <w:rPr>
                <w:rFonts w:hint="eastAsia" w:ascii="宋体" w:hAnsi="宋体" w:eastAsia="宋体" w:cs="宋体"/>
                <w:color w:val="000000"/>
                <w:kern w:val="0"/>
                <w:sz w:val="24"/>
                <w:szCs w:val="24"/>
              </w:rPr>
              <w:t>万元/项</w:t>
            </w:r>
          </w:p>
        </w:tc>
      </w:tr>
      <w:tr w14:paraId="4F7D39B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752A3A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5030" w:type="dxa"/>
            <w:tcBorders>
              <w:top w:val="nil"/>
              <w:left w:val="nil"/>
              <w:bottom w:val="single" w:color="auto" w:sz="4" w:space="0"/>
              <w:right w:val="single" w:color="auto" w:sz="4" w:space="0"/>
            </w:tcBorders>
            <w:shd w:val="clear" w:color="auto" w:fill="auto"/>
            <w:vAlign w:val="center"/>
          </w:tcPr>
          <w:p w14:paraId="633923D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乙方不按要求落实甲方反事故措施或重大安全事故隐患整改措施。</w:t>
            </w:r>
          </w:p>
        </w:tc>
        <w:tc>
          <w:tcPr>
            <w:tcW w:w="3720" w:type="dxa"/>
            <w:tcBorders>
              <w:top w:val="nil"/>
              <w:left w:val="nil"/>
              <w:bottom w:val="single" w:color="auto" w:sz="4" w:space="0"/>
              <w:right w:val="single" w:color="auto" w:sz="4" w:space="0"/>
            </w:tcBorders>
            <w:shd w:val="clear" w:color="auto" w:fill="auto"/>
            <w:vAlign w:val="center"/>
          </w:tcPr>
          <w:p w14:paraId="0947CB0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5万元/项</w:t>
            </w:r>
          </w:p>
        </w:tc>
      </w:tr>
      <w:tr w14:paraId="3A4DA41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A98CBE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5030" w:type="dxa"/>
            <w:tcBorders>
              <w:top w:val="nil"/>
              <w:left w:val="nil"/>
              <w:bottom w:val="single" w:color="auto" w:sz="4" w:space="0"/>
              <w:right w:val="single" w:color="auto" w:sz="4" w:space="0"/>
            </w:tcBorders>
            <w:shd w:val="clear" w:color="auto" w:fill="auto"/>
            <w:vAlign w:val="center"/>
          </w:tcPr>
          <w:p w14:paraId="6BF4439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乙方对甲方提出的安全整改意见无特殊原因未安排整改的。</w:t>
            </w:r>
          </w:p>
        </w:tc>
        <w:tc>
          <w:tcPr>
            <w:tcW w:w="3720" w:type="dxa"/>
            <w:tcBorders>
              <w:top w:val="nil"/>
              <w:left w:val="nil"/>
              <w:bottom w:val="single" w:color="auto" w:sz="4" w:space="0"/>
              <w:right w:val="single" w:color="auto" w:sz="4" w:space="0"/>
            </w:tcBorders>
            <w:shd w:val="clear" w:color="auto" w:fill="auto"/>
            <w:vAlign w:val="center"/>
          </w:tcPr>
          <w:p w14:paraId="1A5C2C3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每逾期1天考核500元</w:t>
            </w:r>
          </w:p>
        </w:tc>
      </w:tr>
      <w:tr w14:paraId="645EF20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6C303F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5030" w:type="dxa"/>
            <w:tcBorders>
              <w:top w:val="nil"/>
              <w:left w:val="nil"/>
              <w:bottom w:val="single" w:color="auto" w:sz="4" w:space="0"/>
              <w:right w:val="single" w:color="auto" w:sz="4" w:space="0"/>
            </w:tcBorders>
            <w:shd w:val="clear" w:color="auto" w:fill="auto"/>
            <w:vAlign w:val="center"/>
          </w:tcPr>
          <w:p w14:paraId="05516CC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乙方在甲方厂区内未经许可，未履行完申请报批手续，违规建设。</w:t>
            </w:r>
          </w:p>
        </w:tc>
        <w:tc>
          <w:tcPr>
            <w:tcW w:w="3720" w:type="dxa"/>
            <w:tcBorders>
              <w:top w:val="nil"/>
              <w:left w:val="nil"/>
              <w:bottom w:val="single" w:color="auto" w:sz="4" w:space="0"/>
              <w:right w:val="single" w:color="auto" w:sz="4" w:space="0"/>
            </w:tcBorders>
            <w:shd w:val="clear" w:color="auto" w:fill="auto"/>
            <w:vAlign w:val="center"/>
          </w:tcPr>
          <w:p w14:paraId="1CDA330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5万－1万元/次，并恢复原貌。</w:t>
            </w:r>
          </w:p>
        </w:tc>
      </w:tr>
      <w:tr w14:paraId="7CFC313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E2F1F0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5030" w:type="dxa"/>
            <w:tcBorders>
              <w:top w:val="nil"/>
              <w:left w:val="nil"/>
              <w:bottom w:val="single" w:color="auto" w:sz="4" w:space="0"/>
              <w:right w:val="single" w:color="auto" w:sz="4" w:space="0"/>
            </w:tcBorders>
            <w:shd w:val="clear" w:color="auto" w:fill="auto"/>
            <w:vAlign w:val="center"/>
          </w:tcPr>
          <w:p w14:paraId="40B559D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乙方未落实审批程序擅自开工</w:t>
            </w:r>
          </w:p>
        </w:tc>
        <w:tc>
          <w:tcPr>
            <w:tcW w:w="3720" w:type="dxa"/>
            <w:tcBorders>
              <w:top w:val="nil"/>
              <w:left w:val="nil"/>
              <w:bottom w:val="single" w:color="auto" w:sz="4" w:space="0"/>
              <w:right w:val="single" w:color="auto" w:sz="4" w:space="0"/>
            </w:tcBorders>
            <w:shd w:val="clear" w:color="auto" w:fill="auto"/>
            <w:vAlign w:val="center"/>
          </w:tcPr>
          <w:p w14:paraId="328B073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2万－0.5万元/次，并立即停工整改。</w:t>
            </w:r>
          </w:p>
        </w:tc>
      </w:tr>
      <w:tr w14:paraId="29AA0B0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8A5361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5030" w:type="dxa"/>
            <w:tcBorders>
              <w:top w:val="nil"/>
              <w:left w:val="nil"/>
              <w:bottom w:val="single" w:color="auto" w:sz="4" w:space="0"/>
              <w:right w:val="single" w:color="auto" w:sz="4" w:space="0"/>
            </w:tcBorders>
            <w:shd w:val="clear" w:color="auto" w:fill="auto"/>
            <w:vAlign w:val="center"/>
          </w:tcPr>
          <w:p w14:paraId="74A98C1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乙方施工现场在用的特种设备未经法定检验或未及时备案，或超检验期使用。</w:t>
            </w:r>
          </w:p>
        </w:tc>
        <w:tc>
          <w:tcPr>
            <w:tcW w:w="3720" w:type="dxa"/>
            <w:tcBorders>
              <w:top w:val="nil"/>
              <w:left w:val="nil"/>
              <w:bottom w:val="single" w:color="auto" w:sz="4" w:space="0"/>
              <w:right w:val="single" w:color="auto" w:sz="4" w:space="0"/>
            </w:tcBorders>
            <w:shd w:val="clear" w:color="auto" w:fill="auto"/>
            <w:vAlign w:val="center"/>
          </w:tcPr>
          <w:p w14:paraId="73F96DA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5万－1万元/次</w:t>
            </w:r>
          </w:p>
        </w:tc>
      </w:tr>
      <w:tr w14:paraId="6A7DD5A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BAAE1C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5030" w:type="dxa"/>
            <w:tcBorders>
              <w:top w:val="nil"/>
              <w:left w:val="nil"/>
              <w:bottom w:val="single" w:color="auto" w:sz="4" w:space="0"/>
              <w:right w:val="single" w:color="auto" w:sz="4" w:space="0"/>
            </w:tcBorders>
            <w:shd w:val="clear" w:color="auto" w:fill="auto"/>
            <w:vAlign w:val="center"/>
          </w:tcPr>
          <w:p w14:paraId="488B749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乙方使用未经检验或超过检验期的安全工器具</w:t>
            </w:r>
          </w:p>
        </w:tc>
        <w:tc>
          <w:tcPr>
            <w:tcW w:w="3720" w:type="dxa"/>
            <w:tcBorders>
              <w:top w:val="nil"/>
              <w:left w:val="nil"/>
              <w:bottom w:val="single" w:color="auto" w:sz="4" w:space="0"/>
              <w:right w:val="single" w:color="auto" w:sz="4" w:space="0"/>
            </w:tcBorders>
            <w:shd w:val="clear" w:color="auto" w:fill="auto"/>
            <w:vAlign w:val="center"/>
          </w:tcPr>
          <w:p w14:paraId="3A5CACE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2万元/项</w:t>
            </w:r>
          </w:p>
        </w:tc>
      </w:tr>
      <w:tr w14:paraId="4FFAA8D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076509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5030" w:type="dxa"/>
            <w:tcBorders>
              <w:top w:val="nil"/>
              <w:left w:val="nil"/>
              <w:bottom w:val="single" w:color="auto" w:sz="4" w:space="0"/>
              <w:right w:val="single" w:color="auto" w:sz="4" w:space="0"/>
            </w:tcBorders>
            <w:shd w:val="clear" w:color="auto" w:fill="auto"/>
            <w:vAlign w:val="center"/>
          </w:tcPr>
          <w:p w14:paraId="4C68192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乙方不按规定投入安全资金或虚报、瞒报安全设施投入情况。</w:t>
            </w:r>
          </w:p>
        </w:tc>
        <w:tc>
          <w:tcPr>
            <w:tcW w:w="3720" w:type="dxa"/>
            <w:tcBorders>
              <w:top w:val="nil"/>
              <w:left w:val="nil"/>
              <w:bottom w:val="single" w:color="auto" w:sz="4" w:space="0"/>
              <w:right w:val="single" w:color="auto" w:sz="4" w:space="0"/>
            </w:tcBorders>
            <w:shd w:val="clear" w:color="auto" w:fill="auto"/>
            <w:vAlign w:val="center"/>
          </w:tcPr>
          <w:p w14:paraId="1B5757C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5万－2万元/次，并责令按规定投入足额安全资金。</w:t>
            </w:r>
          </w:p>
        </w:tc>
      </w:tr>
      <w:tr w14:paraId="03D7C03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53BDB5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5030" w:type="dxa"/>
            <w:tcBorders>
              <w:top w:val="nil"/>
              <w:left w:val="nil"/>
              <w:bottom w:val="single" w:color="auto" w:sz="4" w:space="0"/>
              <w:right w:val="single" w:color="auto" w:sz="4" w:space="0"/>
            </w:tcBorders>
            <w:shd w:val="clear" w:color="auto" w:fill="auto"/>
            <w:vAlign w:val="center"/>
          </w:tcPr>
          <w:p w14:paraId="1BA1268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乙方不服从甲方对口管理部门、管理人员指挥，且态度恶劣、拒不整改的。</w:t>
            </w:r>
          </w:p>
        </w:tc>
        <w:tc>
          <w:tcPr>
            <w:tcW w:w="3720" w:type="dxa"/>
            <w:tcBorders>
              <w:top w:val="nil"/>
              <w:left w:val="nil"/>
              <w:bottom w:val="single" w:color="auto" w:sz="4" w:space="0"/>
              <w:right w:val="single" w:color="auto" w:sz="4" w:space="0"/>
            </w:tcBorders>
            <w:shd w:val="clear" w:color="auto" w:fill="auto"/>
            <w:vAlign w:val="center"/>
          </w:tcPr>
          <w:p w14:paraId="0713E70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1万－0.3万元/次，情节严重者驱逐出厂。</w:t>
            </w:r>
          </w:p>
        </w:tc>
      </w:tr>
      <w:tr w14:paraId="52696043">
        <w:tblPrEx>
          <w:tblCellMar>
            <w:top w:w="0" w:type="dxa"/>
            <w:left w:w="108" w:type="dxa"/>
            <w:bottom w:w="0" w:type="dxa"/>
            <w:right w:w="108" w:type="dxa"/>
          </w:tblCellMar>
        </w:tblPrEx>
        <w:trPr>
          <w:trHeight w:val="45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C6D2A5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w:t>
            </w:r>
          </w:p>
        </w:tc>
        <w:tc>
          <w:tcPr>
            <w:tcW w:w="5030" w:type="dxa"/>
            <w:tcBorders>
              <w:top w:val="nil"/>
              <w:left w:val="nil"/>
              <w:bottom w:val="single" w:color="auto" w:sz="4" w:space="0"/>
              <w:right w:val="single" w:color="auto" w:sz="4" w:space="0"/>
            </w:tcBorders>
            <w:shd w:val="clear" w:color="auto" w:fill="auto"/>
            <w:vAlign w:val="center"/>
          </w:tcPr>
          <w:p w14:paraId="70D308A5">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违章考核</w:t>
            </w:r>
          </w:p>
        </w:tc>
        <w:tc>
          <w:tcPr>
            <w:tcW w:w="3720" w:type="dxa"/>
            <w:tcBorders>
              <w:top w:val="nil"/>
              <w:left w:val="nil"/>
              <w:bottom w:val="single" w:color="auto" w:sz="4" w:space="0"/>
              <w:right w:val="single" w:color="auto" w:sz="4" w:space="0"/>
            </w:tcBorders>
            <w:shd w:val="clear" w:color="auto" w:fill="auto"/>
            <w:vAlign w:val="center"/>
          </w:tcPr>
          <w:p w14:paraId="0F4A7968">
            <w:pPr>
              <w:widowControl/>
              <w:spacing w:line="360" w:lineRule="exact"/>
              <w:jc w:val="left"/>
              <w:rPr>
                <w:rFonts w:ascii="宋体" w:hAnsi="宋体" w:eastAsia="宋体" w:cs="宋体"/>
                <w:color w:val="000000"/>
                <w:kern w:val="0"/>
                <w:sz w:val="24"/>
                <w:szCs w:val="24"/>
              </w:rPr>
            </w:pPr>
          </w:p>
        </w:tc>
      </w:tr>
      <w:tr w14:paraId="7B5A398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109622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5030" w:type="dxa"/>
            <w:tcBorders>
              <w:top w:val="nil"/>
              <w:left w:val="nil"/>
              <w:bottom w:val="single" w:color="auto" w:sz="4" w:space="0"/>
              <w:right w:val="single" w:color="auto" w:sz="4" w:space="0"/>
            </w:tcBorders>
            <w:shd w:val="clear" w:color="auto" w:fill="auto"/>
            <w:vAlign w:val="center"/>
          </w:tcPr>
          <w:p w14:paraId="7CDCC54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乙方违反甲方两票管理制度</w:t>
            </w:r>
          </w:p>
        </w:tc>
        <w:tc>
          <w:tcPr>
            <w:tcW w:w="3720" w:type="dxa"/>
            <w:tcBorders>
              <w:top w:val="nil"/>
              <w:left w:val="nil"/>
              <w:bottom w:val="single" w:color="auto" w:sz="4" w:space="0"/>
              <w:right w:val="single" w:color="auto" w:sz="4" w:space="0"/>
            </w:tcBorders>
            <w:shd w:val="clear" w:color="auto" w:fill="auto"/>
            <w:vAlign w:val="center"/>
          </w:tcPr>
          <w:p w14:paraId="73A3CDB2">
            <w:pPr>
              <w:widowControl/>
              <w:spacing w:line="3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无票作业考核0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3万－1万元/次，工作票不合格或未按安措执行的每次考核500元－0.2万元</w:t>
            </w:r>
          </w:p>
        </w:tc>
      </w:tr>
      <w:tr w14:paraId="1F45014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910325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5030" w:type="dxa"/>
            <w:tcBorders>
              <w:top w:val="nil"/>
              <w:left w:val="nil"/>
              <w:bottom w:val="single" w:color="auto" w:sz="4" w:space="0"/>
              <w:right w:val="single" w:color="auto" w:sz="4" w:space="0"/>
            </w:tcBorders>
            <w:shd w:val="clear" w:color="auto" w:fill="auto"/>
            <w:vAlign w:val="center"/>
          </w:tcPr>
          <w:p w14:paraId="5246EB0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乙方人员未经许可擅动甲方的生产设备、设施</w:t>
            </w:r>
          </w:p>
        </w:tc>
        <w:tc>
          <w:tcPr>
            <w:tcW w:w="3720" w:type="dxa"/>
            <w:tcBorders>
              <w:top w:val="nil"/>
              <w:left w:val="nil"/>
              <w:bottom w:val="single" w:color="auto" w:sz="4" w:space="0"/>
              <w:right w:val="single" w:color="auto" w:sz="4" w:space="0"/>
            </w:tcBorders>
            <w:shd w:val="clear" w:color="auto" w:fill="auto"/>
            <w:vAlign w:val="center"/>
          </w:tcPr>
          <w:p w14:paraId="0F2CD3D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考核0.2万元-0.5万元/次，造成后果的视损失另行考核。</w:t>
            </w:r>
          </w:p>
        </w:tc>
      </w:tr>
      <w:tr w14:paraId="5781E29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99C59E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5030" w:type="dxa"/>
            <w:tcBorders>
              <w:top w:val="nil"/>
              <w:left w:val="nil"/>
              <w:bottom w:val="single" w:color="auto" w:sz="4" w:space="0"/>
              <w:right w:val="single" w:color="auto" w:sz="4" w:space="0"/>
            </w:tcBorders>
            <w:shd w:val="clear" w:color="auto" w:fill="auto"/>
            <w:vAlign w:val="center"/>
          </w:tcPr>
          <w:p w14:paraId="5D0BA2D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乙方不经批准在甲方设备、结构、建筑物上开孔或焊接临时构件，变更设备设施用途。</w:t>
            </w:r>
          </w:p>
        </w:tc>
        <w:tc>
          <w:tcPr>
            <w:tcW w:w="3720" w:type="dxa"/>
            <w:tcBorders>
              <w:top w:val="nil"/>
              <w:left w:val="nil"/>
              <w:bottom w:val="single" w:color="auto" w:sz="4" w:space="0"/>
              <w:right w:val="single" w:color="auto" w:sz="4" w:space="0"/>
            </w:tcBorders>
            <w:shd w:val="clear" w:color="auto" w:fill="auto"/>
            <w:vAlign w:val="center"/>
          </w:tcPr>
          <w:p w14:paraId="546EC0C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考核0.2万元-0.5万元/次，造成后果的视损失另行考核。</w:t>
            </w:r>
          </w:p>
        </w:tc>
      </w:tr>
      <w:tr w14:paraId="33090DE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A1B498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46DA36E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乙方违规搭设脚手架或无票随意搭设脚手架，脚手架未验收或无验收合格证投入使用。</w:t>
            </w:r>
          </w:p>
        </w:tc>
        <w:tc>
          <w:tcPr>
            <w:tcW w:w="3720" w:type="dxa"/>
            <w:tcBorders>
              <w:top w:val="nil"/>
              <w:left w:val="nil"/>
              <w:bottom w:val="single" w:color="auto" w:sz="4" w:space="0"/>
              <w:right w:val="single" w:color="auto" w:sz="4" w:space="0"/>
            </w:tcBorders>
            <w:shd w:val="clear" w:color="auto" w:fill="auto"/>
            <w:vAlign w:val="center"/>
          </w:tcPr>
          <w:p w14:paraId="0DC026D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脚手架存在较大安全隐患考核0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1万－0.5万元/项，未经验收投入使用考核0.5万元-1万元/处。</w:t>
            </w:r>
          </w:p>
        </w:tc>
      </w:tr>
      <w:tr w14:paraId="3E33240E">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FD77BB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70CFDDA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乙方违反《电力安全工作规程》高处、临边、起重等作业有关规定，隔离、防护设施不到位。</w:t>
            </w:r>
          </w:p>
        </w:tc>
        <w:tc>
          <w:tcPr>
            <w:tcW w:w="3720" w:type="dxa"/>
            <w:tcBorders>
              <w:top w:val="nil"/>
              <w:left w:val="nil"/>
              <w:bottom w:val="single" w:color="auto" w:sz="4" w:space="0"/>
              <w:right w:val="single" w:color="auto" w:sz="4" w:space="0"/>
            </w:tcBorders>
            <w:shd w:val="clear" w:color="auto" w:fill="auto"/>
            <w:vAlign w:val="center"/>
          </w:tcPr>
          <w:p w14:paraId="726EC66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0.5</w:t>
            </w:r>
            <w:r>
              <w:rPr>
                <w:rFonts w:hint="eastAsia" w:ascii="宋体" w:hAnsi="宋体" w:eastAsia="宋体" w:cs="宋体"/>
                <w:color w:val="000000"/>
                <w:kern w:val="0"/>
                <w:sz w:val="24"/>
                <w:szCs w:val="24"/>
              </w:rPr>
              <w:t>万元/处</w:t>
            </w:r>
          </w:p>
        </w:tc>
      </w:tr>
      <w:tr w14:paraId="5F488CE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0DC05A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5030" w:type="dxa"/>
            <w:tcBorders>
              <w:top w:val="nil"/>
              <w:left w:val="nil"/>
              <w:bottom w:val="single" w:color="auto" w:sz="4" w:space="0"/>
              <w:right w:val="single" w:color="auto" w:sz="4" w:space="0"/>
            </w:tcBorders>
            <w:shd w:val="clear" w:color="auto" w:fill="auto"/>
            <w:vAlign w:val="center"/>
          </w:tcPr>
          <w:p w14:paraId="5E8AEDD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乙方在受限空间作业时，未办理许可票，未遵守通风、检测、监护、电动工具的使用、电源管理等有关规定的行为。</w:t>
            </w:r>
          </w:p>
        </w:tc>
        <w:tc>
          <w:tcPr>
            <w:tcW w:w="3720" w:type="dxa"/>
            <w:tcBorders>
              <w:top w:val="nil"/>
              <w:left w:val="nil"/>
              <w:bottom w:val="single" w:color="auto" w:sz="4" w:space="0"/>
              <w:right w:val="single" w:color="auto" w:sz="4" w:space="0"/>
            </w:tcBorders>
            <w:shd w:val="clear" w:color="auto" w:fill="auto"/>
            <w:vAlign w:val="center"/>
          </w:tcPr>
          <w:p w14:paraId="47223E5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0.5</w:t>
            </w:r>
            <w:r>
              <w:rPr>
                <w:rFonts w:hint="eastAsia" w:ascii="宋体" w:hAnsi="宋体" w:eastAsia="宋体" w:cs="宋体"/>
                <w:color w:val="000000"/>
                <w:kern w:val="0"/>
                <w:sz w:val="24"/>
                <w:szCs w:val="24"/>
              </w:rPr>
              <w:t>万元/处</w:t>
            </w:r>
          </w:p>
        </w:tc>
      </w:tr>
      <w:tr w14:paraId="3FAB609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396392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5030" w:type="dxa"/>
            <w:tcBorders>
              <w:top w:val="nil"/>
              <w:left w:val="nil"/>
              <w:bottom w:val="single" w:color="auto" w:sz="4" w:space="0"/>
              <w:right w:val="single" w:color="auto" w:sz="4" w:space="0"/>
            </w:tcBorders>
            <w:shd w:val="clear" w:color="auto" w:fill="auto"/>
            <w:vAlign w:val="center"/>
          </w:tcPr>
          <w:p w14:paraId="362B231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乙方违反起重设备使用规定或由于使用不当造成起重设备的损坏。</w:t>
            </w:r>
          </w:p>
        </w:tc>
        <w:tc>
          <w:tcPr>
            <w:tcW w:w="3720" w:type="dxa"/>
            <w:tcBorders>
              <w:top w:val="nil"/>
              <w:left w:val="nil"/>
              <w:bottom w:val="single" w:color="auto" w:sz="4" w:space="0"/>
              <w:right w:val="single" w:color="auto" w:sz="4" w:space="0"/>
            </w:tcBorders>
            <w:shd w:val="clear" w:color="auto" w:fill="auto"/>
            <w:vAlign w:val="center"/>
          </w:tcPr>
          <w:p w14:paraId="710B4F6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0.3</w:t>
            </w:r>
            <w:r>
              <w:rPr>
                <w:rFonts w:hint="eastAsia" w:ascii="宋体" w:hAnsi="宋体" w:eastAsia="宋体" w:cs="宋体"/>
                <w:color w:val="000000"/>
                <w:kern w:val="0"/>
                <w:sz w:val="24"/>
                <w:szCs w:val="24"/>
              </w:rPr>
              <w:t>万元/次，并负责修复。</w:t>
            </w:r>
          </w:p>
        </w:tc>
      </w:tr>
      <w:tr w14:paraId="1C32B38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4CCB26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030" w:type="dxa"/>
            <w:tcBorders>
              <w:top w:val="nil"/>
              <w:left w:val="nil"/>
              <w:bottom w:val="single" w:color="auto" w:sz="4" w:space="0"/>
              <w:right w:val="single" w:color="auto" w:sz="4" w:space="0"/>
            </w:tcBorders>
            <w:shd w:val="clear" w:color="auto" w:fill="auto"/>
            <w:vAlign w:val="center"/>
          </w:tcPr>
          <w:p w14:paraId="7EE4999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乙方员工工作现场不穿戴或不正确穿戴劳动防护用品，使用不合格工器具。</w:t>
            </w:r>
          </w:p>
        </w:tc>
        <w:tc>
          <w:tcPr>
            <w:tcW w:w="3720" w:type="dxa"/>
            <w:tcBorders>
              <w:top w:val="nil"/>
              <w:left w:val="nil"/>
              <w:bottom w:val="single" w:color="auto" w:sz="4" w:space="0"/>
              <w:right w:val="single" w:color="auto" w:sz="4" w:space="0"/>
            </w:tcBorders>
            <w:shd w:val="clear" w:color="auto" w:fill="auto"/>
            <w:vAlign w:val="center"/>
          </w:tcPr>
          <w:p w14:paraId="4D51C41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万元/人·次</w:t>
            </w:r>
          </w:p>
        </w:tc>
      </w:tr>
      <w:tr w14:paraId="315323D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4579E1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5030" w:type="dxa"/>
            <w:tcBorders>
              <w:top w:val="nil"/>
              <w:left w:val="nil"/>
              <w:bottom w:val="single" w:color="auto" w:sz="4" w:space="0"/>
              <w:right w:val="single" w:color="auto" w:sz="4" w:space="0"/>
            </w:tcBorders>
            <w:shd w:val="clear" w:color="auto" w:fill="auto"/>
            <w:vAlign w:val="center"/>
          </w:tcPr>
          <w:p w14:paraId="5B19E7F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乙方工作人员在甲方厂区内吸烟（规定的吸烟点除外）。</w:t>
            </w:r>
          </w:p>
        </w:tc>
        <w:tc>
          <w:tcPr>
            <w:tcW w:w="3720" w:type="dxa"/>
            <w:tcBorders>
              <w:top w:val="nil"/>
              <w:left w:val="nil"/>
              <w:bottom w:val="single" w:color="auto" w:sz="4" w:space="0"/>
              <w:right w:val="single" w:color="auto" w:sz="4" w:space="0"/>
            </w:tcBorders>
            <w:shd w:val="clear" w:color="auto" w:fill="auto"/>
            <w:vAlign w:val="center"/>
          </w:tcPr>
          <w:p w14:paraId="190C56B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厂（场）区吸烟考核</w:t>
            </w:r>
            <w:r>
              <w:rPr>
                <w:rFonts w:ascii="宋体" w:hAnsi="宋体" w:eastAsia="宋体" w:cs="宋体"/>
                <w:color w:val="000000"/>
                <w:kern w:val="0"/>
                <w:sz w:val="24"/>
                <w:szCs w:val="24"/>
              </w:rPr>
              <w:t>500</w:t>
            </w:r>
            <w:r>
              <w:rPr>
                <w:rFonts w:hint="eastAsia" w:ascii="宋体" w:hAnsi="宋体" w:eastAsia="宋体" w:cs="宋体"/>
                <w:color w:val="000000"/>
                <w:kern w:val="0"/>
                <w:sz w:val="24"/>
                <w:szCs w:val="24"/>
              </w:rPr>
              <w:t>元</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人次，重点防火区域吸烟考核</w:t>
            </w:r>
            <w:r>
              <w:rPr>
                <w:rFonts w:ascii="宋体" w:hAnsi="宋体" w:eastAsia="宋体" w:cs="宋体"/>
                <w:color w:val="000000"/>
                <w:kern w:val="0"/>
                <w:sz w:val="24"/>
                <w:szCs w:val="24"/>
              </w:rPr>
              <w:t>0.1</w:t>
            </w:r>
            <w:r>
              <w:rPr>
                <w:rFonts w:hint="eastAsia" w:ascii="宋体" w:hAnsi="宋体" w:eastAsia="宋体" w:cs="宋体"/>
                <w:color w:val="000000"/>
                <w:kern w:val="0"/>
                <w:sz w:val="24"/>
                <w:szCs w:val="24"/>
              </w:rPr>
              <w:t>万－0</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万元</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人</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次。</w:t>
            </w:r>
          </w:p>
        </w:tc>
      </w:tr>
      <w:tr w14:paraId="21EF77B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C081E2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5030" w:type="dxa"/>
            <w:tcBorders>
              <w:top w:val="nil"/>
              <w:left w:val="nil"/>
              <w:bottom w:val="single" w:color="auto" w:sz="4" w:space="0"/>
              <w:right w:val="single" w:color="auto" w:sz="4" w:space="0"/>
            </w:tcBorders>
            <w:shd w:val="clear" w:color="auto" w:fill="auto"/>
            <w:vAlign w:val="center"/>
          </w:tcPr>
          <w:p w14:paraId="1CDABE3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乙方在重点防火部位违规动火</w:t>
            </w:r>
          </w:p>
        </w:tc>
        <w:tc>
          <w:tcPr>
            <w:tcW w:w="3720" w:type="dxa"/>
            <w:tcBorders>
              <w:top w:val="nil"/>
              <w:left w:val="nil"/>
              <w:bottom w:val="single" w:color="auto" w:sz="4" w:space="0"/>
              <w:right w:val="single" w:color="auto" w:sz="4" w:space="0"/>
            </w:tcBorders>
            <w:shd w:val="clear" w:color="auto" w:fill="auto"/>
            <w:vAlign w:val="center"/>
          </w:tcPr>
          <w:p w14:paraId="70D15A7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5万元/项</w:t>
            </w:r>
          </w:p>
        </w:tc>
      </w:tr>
      <w:tr w14:paraId="2E875D51">
        <w:tblPrEx>
          <w:tblCellMar>
            <w:top w:w="0" w:type="dxa"/>
            <w:left w:w="108" w:type="dxa"/>
            <w:bottom w:w="0" w:type="dxa"/>
            <w:right w:w="108" w:type="dxa"/>
          </w:tblCellMar>
        </w:tblPrEx>
        <w:trPr>
          <w:trHeight w:val="93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355218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5030" w:type="dxa"/>
            <w:tcBorders>
              <w:top w:val="nil"/>
              <w:left w:val="nil"/>
              <w:bottom w:val="single" w:color="auto" w:sz="4" w:space="0"/>
              <w:right w:val="single" w:color="auto" w:sz="4" w:space="0"/>
            </w:tcBorders>
            <w:shd w:val="clear" w:color="auto" w:fill="auto"/>
            <w:vAlign w:val="center"/>
          </w:tcPr>
          <w:p w14:paraId="685A4FA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乙方高处动火作业，对下方的设备不采取防火隔离措施，或在地板砖、网格栅等处施工未采取保护措施。</w:t>
            </w:r>
          </w:p>
        </w:tc>
        <w:tc>
          <w:tcPr>
            <w:tcW w:w="3720" w:type="dxa"/>
            <w:tcBorders>
              <w:top w:val="nil"/>
              <w:left w:val="nil"/>
              <w:bottom w:val="single" w:color="auto" w:sz="4" w:space="0"/>
              <w:right w:val="single" w:color="auto" w:sz="4" w:space="0"/>
            </w:tcBorders>
            <w:shd w:val="clear" w:color="auto" w:fill="auto"/>
            <w:vAlign w:val="center"/>
          </w:tcPr>
          <w:p w14:paraId="6B39027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1万元/次</w:t>
            </w:r>
          </w:p>
        </w:tc>
      </w:tr>
      <w:tr w14:paraId="1A350A1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56E04A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5030" w:type="dxa"/>
            <w:tcBorders>
              <w:top w:val="nil"/>
              <w:left w:val="nil"/>
              <w:bottom w:val="single" w:color="auto" w:sz="4" w:space="0"/>
              <w:right w:val="single" w:color="auto" w:sz="4" w:space="0"/>
            </w:tcBorders>
            <w:shd w:val="clear" w:color="auto" w:fill="auto"/>
            <w:vAlign w:val="center"/>
          </w:tcPr>
          <w:p w14:paraId="0FB7E7E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乙方擅自使用甲方消防水源，挪用、摆压、封堵、圈围、拆除、停用甲方消防设施。</w:t>
            </w:r>
          </w:p>
        </w:tc>
        <w:tc>
          <w:tcPr>
            <w:tcW w:w="3720" w:type="dxa"/>
            <w:tcBorders>
              <w:top w:val="nil"/>
              <w:left w:val="nil"/>
              <w:bottom w:val="single" w:color="auto" w:sz="4" w:space="0"/>
              <w:right w:val="single" w:color="auto" w:sz="4" w:space="0"/>
            </w:tcBorders>
            <w:shd w:val="clear" w:color="auto" w:fill="auto"/>
            <w:vAlign w:val="center"/>
          </w:tcPr>
          <w:p w14:paraId="45AC9BE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1万元/项，并负责修复或恢复。</w:t>
            </w:r>
          </w:p>
        </w:tc>
      </w:tr>
      <w:tr w14:paraId="18155A4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209AAE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5030" w:type="dxa"/>
            <w:tcBorders>
              <w:top w:val="nil"/>
              <w:left w:val="nil"/>
              <w:bottom w:val="single" w:color="auto" w:sz="4" w:space="0"/>
              <w:right w:val="single" w:color="auto" w:sz="4" w:space="0"/>
            </w:tcBorders>
            <w:shd w:val="clear" w:color="auto" w:fill="auto"/>
            <w:vAlign w:val="center"/>
          </w:tcPr>
          <w:p w14:paraId="0811F1E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乙方未经批准堵塞安全出口、疏散通道、消防通道或者占用防火间距。</w:t>
            </w:r>
          </w:p>
        </w:tc>
        <w:tc>
          <w:tcPr>
            <w:tcW w:w="3720" w:type="dxa"/>
            <w:tcBorders>
              <w:top w:val="nil"/>
              <w:left w:val="nil"/>
              <w:bottom w:val="single" w:color="auto" w:sz="4" w:space="0"/>
              <w:right w:val="single" w:color="auto" w:sz="4" w:space="0"/>
            </w:tcBorders>
            <w:shd w:val="clear" w:color="auto" w:fill="auto"/>
            <w:vAlign w:val="center"/>
          </w:tcPr>
          <w:p w14:paraId="617CFF6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w:t>
            </w:r>
          </w:p>
        </w:tc>
      </w:tr>
      <w:tr w14:paraId="3C76014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AF83C3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5030" w:type="dxa"/>
            <w:tcBorders>
              <w:top w:val="nil"/>
              <w:left w:val="nil"/>
              <w:bottom w:val="single" w:color="auto" w:sz="4" w:space="0"/>
              <w:right w:val="single" w:color="auto" w:sz="4" w:space="0"/>
            </w:tcBorders>
            <w:shd w:val="clear" w:color="auto" w:fill="auto"/>
            <w:vAlign w:val="center"/>
          </w:tcPr>
          <w:p w14:paraId="51B590A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乙方不执行甲方临时电源管理规定，私拉乱接电线，或不正确使用现场检修电源箱。</w:t>
            </w:r>
          </w:p>
        </w:tc>
        <w:tc>
          <w:tcPr>
            <w:tcW w:w="3720" w:type="dxa"/>
            <w:tcBorders>
              <w:top w:val="nil"/>
              <w:left w:val="nil"/>
              <w:bottom w:val="single" w:color="auto" w:sz="4" w:space="0"/>
              <w:right w:val="single" w:color="auto" w:sz="4" w:space="0"/>
            </w:tcBorders>
            <w:shd w:val="clear" w:color="auto" w:fill="auto"/>
            <w:vAlign w:val="center"/>
          </w:tcPr>
          <w:p w14:paraId="7F7C387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1万元/项</w:t>
            </w:r>
          </w:p>
        </w:tc>
      </w:tr>
      <w:tr w14:paraId="1A11048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7F31F1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5030" w:type="dxa"/>
            <w:tcBorders>
              <w:top w:val="nil"/>
              <w:left w:val="nil"/>
              <w:bottom w:val="single" w:color="auto" w:sz="4" w:space="0"/>
              <w:right w:val="single" w:color="auto" w:sz="4" w:space="0"/>
            </w:tcBorders>
            <w:shd w:val="clear" w:color="auto" w:fill="auto"/>
            <w:vAlign w:val="center"/>
          </w:tcPr>
          <w:p w14:paraId="0A924E5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乙方违反规程中有关电焊、气焊管理规定，气瓶储存、定置不附合规定，作业工具及施工工艺不附合要求。</w:t>
            </w:r>
          </w:p>
        </w:tc>
        <w:tc>
          <w:tcPr>
            <w:tcW w:w="3720" w:type="dxa"/>
            <w:tcBorders>
              <w:top w:val="nil"/>
              <w:left w:val="nil"/>
              <w:bottom w:val="single" w:color="auto" w:sz="4" w:space="0"/>
              <w:right w:val="single" w:color="auto" w:sz="4" w:space="0"/>
            </w:tcBorders>
            <w:shd w:val="clear" w:color="auto" w:fill="auto"/>
            <w:vAlign w:val="center"/>
          </w:tcPr>
          <w:p w14:paraId="4AEAE78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w:t>
            </w:r>
          </w:p>
        </w:tc>
      </w:tr>
      <w:tr w14:paraId="2362141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AD871F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5030" w:type="dxa"/>
            <w:tcBorders>
              <w:top w:val="nil"/>
              <w:left w:val="nil"/>
              <w:bottom w:val="single" w:color="auto" w:sz="4" w:space="0"/>
              <w:right w:val="single" w:color="auto" w:sz="4" w:space="0"/>
            </w:tcBorders>
            <w:shd w:val="clear" w:color="auto" w:fill="auto"/>
            <w:vAlign w:val="center"/>
          </w:tcPr>
          <w:p w14:paraId="14F2402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乙方车辆超速行驶或不按规定线路行驶、停放，违反甲方厂（场）区交通规定。</w:t>
            </w:r>
          </w:p>
        </w:tc>
        <w:tc>
          <w:tcPr>
            <w:tcW w:w="3720" w:type="dxa"/>
            <w:tcBorders>
              <w:top w:val="nil"/>
              <w:left w:val="nil"/>
              <w:bottom w:val="single" w:color="auto" w:sz="4" w:space="0"/>
              <w:right w:val="single" w:color="auto" w:sz="4" w:space="0"/>
            </w:tcBorders>
            <w:shd w:val="clear" w:color="auto" w:fill="auto"/>
            <w:vAlign w:val="center"/>
          </w:tcPr>
          <w:p w14:paraId="6D6F12E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考核200元－500万元/次，造成经济损失的照价赔偿。</w:t>
            </w:r>
          </w:p>
        </w:tc>
      </w:tr>
      <w:tr w14:paraId="6A75ECD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334D90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5030" w:type="dxa"/>
            <w:tcBorders>
              <w:top w:val="nil"/>
              <w:left w:val="nil"/>
              <w:bottom w:val="single" w:color="auto" w:sz="4" w:space="0"/>
              <w:right w:val="single" w:color="auto" w:sz="4" w:space="0"/>
            </w:tcBorders>
            <w:shd w:val="clear" w:color="auto" w:fill="auto"/>
            <w:vAlign w:val="center"/>
          </w:tcPr>
          <w:p w14:paraId="1C14C01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乙方在甲方范围违反规定使用叉车、推扒机、电瓶车等厂内专用车辆，或车辆维护、保养不到位，安全可靠性不达标。</w:t>
            </w:r>
          </w:p>
        </w:tc>
        <w:tc>
          <w:tcPr>
            <w:tcW w:w="3720" w:type="dxa"/>
            <w:tcBorders>
              <w:top w:val="nil"/>
              <w:left w:val="nil"/>
              <w:bottom w:val="single" w:color="auto" w:sz="4" w:space="0"/>
              <w:right w:val="single" w:color="auto" w:sz="4" w:space="0"/>
            </w:tcBorders>
            <w:shd w:val="clear" w:color="auto" w:fill="auto"/>
            <w:vAlign w:val="center"/>
          </w:tcPr>
          <w:p w14:paraId="1952840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w:t>
            </w:r>
          </w:p>
        </w:tc>
      </w:tr>
      <w:tr w14:paraId="0F483B4A">
        <w:tblPrEx>
          <w:tblCellMar>
            <w:top w:w="0" w:type="dxa"/>
            <w:left w:w="108" w:type="dxa"/>
            <w:bottom w:w="0" w:type="dxa"/>
            <w:right w:w="108" w:type="dxa"/>
          </w:tblCellMar>
        </w:tblPrEx>
        <w:trPr>
          <w:trHeight w:val="415"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9675CE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w:t>
            </w:r>
          </w:p>
        </w:tc>
        <w:tc>
          <w:tcPr>
            <w:tcW w:w="5030" w:type="dxa"/>
            <w:tcBorders>
              <w:top w:val="nil"/>
              <w:left w:val="nil"/>
              <w:bottom w:val="single" w:color="auto" w:sz="4" w:space="0"/>
              <w:right w:val="single" w:color="auto" w:sz="4" w:space="0"/>
            </w:tcBorders>
            <w:shd w:val="clear" w:color="auto" w:fill="auto"/>
            <w:vAlign w:val="center"/>
          </w:tcPr>
          <w:p w14:paraId="4BE9CF87">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其它类考核</w:t>
            </w:r>
          </w:p>
        </w:tc>
        <w:tc>
          <w:tcPr>
            <w:tcW w:w="3720" w:type="dxa"/>
            <w:tcBorders>
              <w:top w:val="nil"/>
              <w:left w:val="nil"/>
              <w:bottom w:val="single" w:color="auto" w:sz="4" w:space="0"/>
              <w:right w:val="single" w:color="auto" w:sz="4" w:space="0"/>
            </w:tcBorders>
            <w:shd w:val="clear" w:color="auto" w:fill="auto"/>
            <w:vAlign w:val="center"/>
          </w:tcPr>
          <w:p w14:paraId="756030F5">
            <w:pPr>
              <w:widowControl/>
              <w:spacing w:line="360" w:lineRule="exact"/>
              <w:jc w:val="left"/>
              <w:rPr>
                <w:rFonts w:ascii="宋体" w:hAnsi="宋体" w:eastAsia="宋体" w:cs="宋体"/>
                <w:color w:val="000000"/>
                <w:kern w:val="0"/>
                <w:sz w:val="24"/>
                <w:szCs w:val="24"/>
              </w:rPr>
            </w:pPr>
          </w:p>
        </w:tc>
      </w:tr>
      <w:tr w14:paraId="7318F38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286808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5030" w:type="dxa"/>
            <w:tcBorders>
              <w:top w:val="nil"/>
              <w:left w:val="nil"/>
              <w:bottom w:val="single" w:color="auto" w:sz="4" w:space="0"/>
              <w:right w:val="single" w:color="auto" w:sz="4" w:space="0"/>
            </w:tcBorders>
            <w:shd w:val="clear" w:color="auto" w:fill="auto"/>
            <w:vAlign w:val="center"/>
          </w:tcPr>
          <w:p w14:paraId="660970F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乙方无故缺席甲方项目安全会议，或未及时传达、下发甲方专项要求、事故通报等。</w:t>
            </w:r>
          </w:p>
        </w:tc>
        <w:tc>
          <w:tcPr>
            <w:tcW w:w="3720" w:type="dxa"/>
            <w:tcBorders>
              <w:top w:val="nil"/>
              <w:left w:val="nil"/>
              <w:bottom w:val="single" w:color="auto" w:sz="4" w:space="0"/>
              <w:right w:val="single" w:color="auto" w:sz="4" w:space="0"/>
            </w:tcBorders>
            <w:shd w:val="clear" w:color="auto" w:fill="auto"/>
            <w:vAlign w:val="center"/>
          </w:tcPr>
          <w:p w14:paraId="73577A7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考核200-500元/次</w:t>
            </w:r>
          </w:p>
        </w:tc>
      </w:tr>
      <w:tr w14:paraId="29225C0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8763DB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5030" w:type="dxa"/>
            <w:tcBorders>
              <w:top w:val="nil"/>
              <w:left w:val="nil"/>
              <w:bottom w:val="single" w:color="auto" w:sz="4" w:space="0"/>
              <w:right w:val="single" w:color="auto" w:sz="4" w:space="0"/>
            </w:tcBorders>
            <w:shd w:val="clear" w:color="auto" w:fill="auto"/>
            <w:vAlign w:val="center"/>
          </w:tcPr>
          <w:p w14:paraId="5AEC925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乙方违反《电力安全工作规程》中搬运规定，造成厂区道路污染、草木或设备损坏等。</w:t>
            </w:r>
          </w:p>
        </w:tc>
        <w:tc>
          <w:tcPr>
            <w:tcW w:w="3720" w:type="dxa"/>
            <w:tcBorders>
              <w:top w:val="nil"/>
              <w:left w:val="nil"/>
              <w:bottom w:val="single" w:color="auto" w:sz="4" w:space="0"/>
              <w:right w:val="single" w:color="auto" w:sz="4" w:space="0"/>
            </w:tcBorders>
            <w:shd w:val="clear" w:color="auto" w:fill="auto"/>
            <w:vAlign w:val="center"/>
          </w:tcPr>
          <w:p w14:paraId="0691D6A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2万元/次，并负责修复。</w:t>
            </w:r>
          </w:p>
        </w:tc>
      </w:tr>
      <w:tr w14:paraId="54AAB81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1F8362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5030" w:type="dxa"/>
            <w:tcBorders>
              <w:top w:val="nil"/>
              <w:left w:val="nil"/>
              <w:bottom w:val="single" w:color="auto" w:sz="4" w:space="0"/>
              <w:right w:val="single" w:color="auto" w:sz="4" w:space="0"/>
            </w:tcBorders>
            <w:shd w:val="clear" w:color="auto" w:fill="auto"/>
            <w:vAlign w:val="center"/>
          </w:tcPr>
          <w:p w14:paraId="5A5FD4B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乙方作业区域脏、乱、差现象严重，工作结束未做到“工完、料尽、场地清”。</w:t>
            </w:r>
          </w:p>
        </w:tc>
        <w:tc>
          <w:tcPr>
            <w:tcW w:w="3720" w:type="dxa"/>
            <w:tcBorders>
              <w:top w:val="nil"/>
              <w:left w:val="nil"/>
              <w:bottom w:val="single" w:color="auto" w:sz="4" w:space="0"/>
              <w:right w:val="single" w:color="auto" w:sz="4" w:space="0"/>
            </w:tcBorders>
            <w:shd w:val="clear" w:color="auto" w:fill="auto"/>
            <w:vAlign w:val="center"/>
          </w:tcPr>
          <w:p w14:paraId="17E853A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w:t>
            </w:r>
          </w:p>
        </w:tc>
      </w:tr>
      <w:tr w14:paraId="1918E8B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7F57C2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5030" w:type="dxa"/>
            <w:tcBorders>
              <w:top w:val="nil"/>
              <w:left w:val="nil"/>
              <w:bottom w:val="single" w:color="auto" w:sz="4" w:space="0"/>
              <w:right w:val="single" w:color="auto" w:sz="4" w:space="0"/>
            </w:tcBorders>
            <w:shd w:val="clear" w:color="auto" w:fill="auto"/>
            <w:vAlign w:val="center"/>
          </w:tcPr>
          <w:p w14:paraId="4A4812B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乙方现场材料、工具、部件、棚架、油漆、废料等不符合定置管理要求，经提出后仍不整改</w:t>
            </w:r>
          </w:p>
        </w:tc>
        <w:tc>
          <w:tcPr>
            <w:tcW w:w="3720" w:type="dxa"/>
            <w:tcBorders>
              <w:top w:val="nil"/>
              <w:left w:val="nil"/>
              <w:bottom w:val="single" w:color="auto" w:sz="4" w:space="0"/>
              <w:right w:val="single" w:color="auto" w:sz="4" w:space="0"/>
            </w:tcBorders>
            <w:shd w:val="clear" w:color="auto" w:fill="auto"/>
            <w:vAlign w:val="center"/>
          </w:tcPr>
          <w:p w14:paraId="3222E17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2万元/项</w:t>
            </w:r>
          </w:p>
        </w:tc>
      </w:tr>
      <w:tr w14:paraId="748D4AD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89AF94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5030" w:type="dxa"/>
            <w:tcBorders>
              <w:top w:val="nil"/>
              <w:left w:val="nil"/>
              <w:bottom w:val="single" w:color="auto" w:sz="4" w:space="0"/>
              <w:right w:val="single" w:color="auto" w:sz="4" w:space="0"/>
            </w:tcBorders>
            <w:shd w:val="clear" w:color="auto" w:fill="auto"/>
            <w:vAlign w:val="center"/>
          </w:tcPr>
          <w:p w14:paraId="4E30434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乙方设备作业区域不采取完善的隔离保护措施，或由此造成设备、备品备件、零配件丢失或损坏，杂物掉入、设施损坏、环境污染等。</w:t>
            </w:r>
          </w:p>
        </w:tc>
        <w:tc>
          <w:tcPr>
            <w:tcW w:w="3720" w:type="dxa"/>
            <w:tcBorders>
              <w:top w:val="nil"/>
              <w:left w:val="nil"/>
              <w:bottom w:val="single" w:color="auto" w:sz="4" w:space="0"/>
              <w:right w:val="single" w:color="auto" w:sz="4" w:space="0"/>
            </w:tcBorders>
            <w:shd w:val="clear" w:color="auto" w:fill="auto"/>
            <w:vAlign w:val="center"/>
          </w:tcPr>
          <w:p w14:paraId="59CE5A5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万元/次，设备和备件丢失、损坏按原价赔偿。</w:t>
            </w:r>
          </w:p>
        </w:tc>
      </w:tr>
      <w:tr w14:paraId="4544C26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318C2F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5030" w:type="dxa"/>
            <w:tcBorders>
              <w:top w:val="nil"/>
              <w:left w:val="nil"/>
              <w:bottom w:val="single" w:color="auto" w:sz="4" w:space="0"/>
              <w:right w:val="single" w:color="auto" w:sz="4" w:space="0"/>
            </w:tcBorders>
            <w:shd w:val="clear" w:color="auto" w:fill="auto"/>
            <w:vAlign w:val="center"/>
          </w:tcPr>
          <w:p w14:paraId="521A17B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乙方损坏或丢弃甲方设备标示牌及安措警示牌，未及时恢复。</w:t>
            </w:r>
          </w:p>
        </w:tc>
        <w:tc>
          <w:tcPr>
            <w:tcW w:w="3720" w:type="dxa"/>
            <w:tcBorders>
              <w:top w:val="nil"/>
              <w:left w:val="nil"/>
              <w:bottom w:val="single" w:color="auto" w:sz="4" w:space="0"/>
              <w:right w:val="single" w:color="auto" w:sz="4" w:space="0"/>
            </w:tcBorders>
            <w:shd w:val="clear" w:color="auto" w:fill="auto"/>
            <w:vAlign w:val="center"/>
          </w:tcPr>
          <w:p w14:paraId="08E54DC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考核100元－200元/个，并负责恢复。</w:t>
            </w:r>
          </w:p>
        </w:tc>
      </w:tr>
      <w:tr w14:paraId="5DFF12EE">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F29A7F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5030" w:type="dxa"/>
            <w:tcBorders>
              <w:top w:val="nil"/>
              <w:left w:val="nil"/>
              <w:bottom w:val="single" w:color="auto" w:sz="4" w:space="0"/>
              <w:right w:val="single" w:color="auto" w:sz="4" w:space="0"/>
            </w:tcBorders>
            <w:shd w:val="clear" w:color="auto" w:fill="auto"/>
            <w:vAlign w:val="center"/>
          </w:tcPr>
          <w:p w14:paraId="7A062A3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乙方违反甲方安全管理制度等的其它未列事项。</w:t>
            </w:r>
          </w:p>
        </w:tc>
        <w:tc>
          <w:tcPr>
            <w:tcW w:w="3720" w:type="dxa"/>
            <w:tcBorders>
              <w:top w:val="nil"/>
              <w:left w:val="nil"/>
              <w:bottom w:val="single" w:color="auto" w:sz="4" w:space="0"/>
              <w:right w:val="single" w:color="auto" w:sz="4" w:space="0"/>
            </w:tcBorders>
            <w:shd w:val="clear" w:color="auto" w:fill="auto"/>
            <w:vAlign w:val="center"/>
          </w:tcPr>
          <w:p w14:paraId="4697522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1万元/次，或按甲方相关管理制度执行。</w:t>
            </w:r>
          </w:p>
        </w:tc>
      </w:tr>
    </w:tbl>
    <w:p w14:paraId="7D6662EE">
      <w:pPr>
        <w:rPr>
          <w:rFonts w:hint="eastAsia"/>
          <w:snapToGrid w:val="0"/>
          <w:sz w:val="10"/>
          <w:szCs w:val="10"/>
        </w:rPr>
      </w:pPr>
    </w:p>
    <w:p w14:paraId="5937067A">
      <w:pPr>
        <w:pStyle w:val="2"/>
      </w:pPr>
    </w:p>
    <w:p w14:paraId="46858FD0">
      <w:pPr>
        <w:kinsoku/>
        <w:autoSpaceDE/>
        <w:autoSpaceDN/>
        <w:adjustRightInd/>
        <w:snapToGrid/>
        <w:spacing w:before="120" w:beforeLines="50" w:after="120" w:afterLines="50" w:line="360" w:lineRule="auto"/>
        <w:ind w:firstLine="420" w:firstLineChars="200"/>
        <w:contextualSpacing/>
        <w:textAlignment w:val="auto"/>
        <w:rPr>
          <w:color w:val="auto"/>
          <w:highlight w:val="none"/>
        </w:rPr>
      </w:pPr>
    </w:p>
    <w:p w14:paraId="1188A230">
      <w:pPr>
        <w:spacing w:before="68" w:line="201" w:lineRule="auto"/>
        <w:ind w:left="199"/>
        <w:rPr>
          <w:rFonts w:ascii="黑体" w:hAnsi="黑体" w:eastAsia="黑体" w:cs="黑体"/>
          <w:color w:val="auto"/>
          <w:highlight w:val="none"/>
        </w:rPr>
      </w:pPr>
    </w:p>
    <w:p w14:paraId="4DCB2175"/>
    <w:p w14:paraId="0893FEA9">
      <w:pPr>
        <w:rPr>
          <w:rFonts w:ascii="宋体" w:hAnsi="宋体" w:cs="Times New Roman"/>
          <w:kern w:val="2"/>
          <w:sz w:val="28"/>
          <w:szCs w:val="28"/>
        </w:rPr>
      </w:pPr>
    </w:p>
    <w:p w14:paraId="68C02D07">
      <w:r>
        <w:rPr>
          <w:lang w:bidi="zh-CN"/>
        </w:rPr>
        <w:br w:type="page"/>
      </w:r>
    </w:p>
    <w:p w14:paraId="35CA6A82">
      <w:pPr>
        <w:pStyle w:val="4"/>
        <w:spacing w:before="0" w:after="0" w:line="240" w:lineRule="auto"/>
        <w:rPr>
          <w:sz w:val="28"/>
          <w:szCs w:val="28"/>
        </w:rPr>
      </w:pPr>
      <w:bookmarkStart w:id="143" w:name="_Toc17124"/>
      <w:r>
        <w:rPr>
          <w:rFonts w:hint="eastAsia"/>
          <w:sz w:val="28"/>
          <w:szCs w:val="28"/>
        </w:rPr>
        <w:t>第六部分附件－投标文件格式</w:t>
      </w:r>
      <w:bookmarkEnd w:id="143"/>
    </w:p>
    <w:p w14:paraId="2B175B7C"/>
    <w:p w14:paraId="4A7A31CC">
      <w:pPr>
        <w:pStyle w:val="6"/>
        <w:widowControl w:val="0"/>
        <w:overflowPunct w:val="0"/>
        <w:spacing w:line="240" w:lineRule="auto"/>
        <w:rPr>
          <w:rFonts w:ascii="宋体" w:hAnsi="宋体"/>
          <w:sz w:val="21"/>
          <w:szCs w:val="21"/>
        </w:rPr>
      </w:pPr>
      <w:bookmarkStart w:id="144" w:name="_Toc25786"/>
      <w:r>
        <w:rPr>
          <w:rFonts w:hint="eastAsia" w:ascii="宋体" w:hAnsi="宋体"/>
          <w:sz w:val="21"/>
          <w:szCs w:val="21"/>
        </w:rPr>
        <w:t>投标文件目录</w:t>
      </w:r>
      <w:bookmarkEnd w:id="144"/>
    </w:p>
    <w:p w14:paraId="2766EA82">
      <w:pPr>
        <w:jc w:val="center"/>
        <w:rPr>
          <w:rFonts w:ascii="黑体" w:eastAsia="黑体"/>
          <w:sz w:val="32"/>
          <w:szCs w:val="32"/>
        </w:rPr>
      </w:pPr>
    </w:p>
    <w:p w14:paraId="6D7E647C">
      <w:pPr>
        <w:jc w:val="center"/>
        <w:rPr>
          <w:rFonts w:ascii="黑体" w:eastAsia="黑体"/>
          <w:sz w:val="32"/>
          <w:szCs w:val="32"/>
        </w:rPr>
      </w:pPr>
      <w:r>
        <w:rPr>
          <w:rFonts w:hint="eastAsia" w:ascii="黑体" w:eastAsia="黑体"/>
          <w:sz w:val="32"/>
          <w:szCs w:val="32"/>
        </w:rPr>
        <w:t>目录</w:t>
      </w:r>
    </w:p>
    <w:p w14:paraId="707C794B">
      <w:pPr>
        <w:adjustRightInd/>
        <w:snapToGrid/>
        <w:spacing w:line="276" w:lineRule="auto"/>
        <w:rPr>
          <w:rFonts w:hint="eastAsia" w:ascii="宋体" w:hAnsi="宋体"/>
          <w:szCs w:val="21"/>
        </w:rPr>
      </w:pPr>
      <w:r>
        <w:rPr>
          <w:rFonts w:hint="eastAsia" w:ascii="宋体" w:hAnsi="宋体"/>
          <w:szCs w:val="21"/>
        </w:rPr>
        <w:t>1、开标一览表格式</w:t>
      </w:r>
    </w:p>
    <w:p w14:paraId="6FD48584">
      <w:pPr>
        <w:adjustRightInd/>
        <w:snapToGrid/>
        <w:spacing w:line="276" w:lineRule="auto"/>
        <w:rPr>
          <w:rFonts w:hint="eastAsia" w:ascii="宋体" w:hAnsi="宋体"/>
          <w:szCs w:val="21"/>
        </w:rPr>
      </w:pPr>
      <w:r>
        <w:rPr>
          <w:rFonts w:hint="eastAsia" w:ascii="宋体" w:hAnsi="宋体"/>
          <w:szCs w:val="21"/>
        </w:rPr>
        <w:t>2、法定代表人证明书格式</w:t>
      </w:r>
    </w:p>
    <w:p w14:paraId="1B1DAD00">
      <w:pPr>
        <w:adjustRightInd/>
        <w:snapToGrid/>
        <w:spacing w:line="276" w:lineRule="auto"/>
        <w:rPr>
          <w:rFonts w:hint="eastAsia" w:ascii="宋体" w:hAnsi="宋体"/>
          <w:szCs w:val="21"/>
        </w:rPr>
      </w:pPr>
      <w:r>
        <w:rPr>
          <w:rFonts w:hint="eastAsia" w:ascii="宋体" w:hAnsi="宋体"/>
          <w:szCs w:val="21"/>
        </w:rPr>
        <w:t>3、投标人资格证明文件</w:t>
      </w:r>
    </w:p>
    <w:p w14:paraId="0A6593CC">
      <w:pPr>
        <w:adjustRightInd/>
        <w:snapToGrid/>
        <w:spacing w:line="276" w:lineRule="auto"/>
        <w:rPr>
          <w:rFonts w:hint="eastAsia" w:ascii="宋体" w:hAnsi="宋体"/>
          <w:szCs w:val="21"/>
        </w:rPr>
      </w:pPr>
      <w:r>
        <w:rPr>
          <w:rFonts w:hint="eastAsia" w:ascii="宋体" w:hAnsi="宋体"/>
          <w:szCs w:val="21"/>
        </w:rPr>
        <w:t>4、用户需求条款偏离表格式</w:t>
      </w:r>
    </w:p>
    <w:p w14:paraId="490E6C8C">
      <w:pPr>
        <w:adjustRightInd/>
        <w:snapToGrid/>
        <w:spacing w:line="276" w:lineRule="auto"/>
        <w:rPr>
          <w:rFonts w:ascii="宋体" w:hAnsi="宋体"/>
          <w:szCs w:val="21"/>
        </w:rPr>
      </w:pPr>
      <w:r>
        <w:rPr>
          <w:rFonts w:hint="eastAsia" w:ascii="宋体" w:hAnsi="宋体"/>
          <w:szCs w:val="21"/>
        </w:rPr>
        <w:t>5、投标保证金汇入情况说明格式。</w:t>
      </w:r>
    </w:p>
    <w:p w14:paraId="772DBD3D">
      <w:pPr>
        <w:adjustRightInd/>
        <w:snapToGrid/>
        <w:spacing w:line="276" w:lineRule="auto"/>
        <w:rPr>
          <w:rFonts w:ascii="宋体" w:hAnsi="宋体"/>
          <w:szCs w:val="21"/>
        </w:rPr>
      </w:pPr>
    </w:p>
    <w:p w14:paraId="2D069D50">
      <w:pPr>
        <w:adjustRightInd/>
        <w:snapToGrid/>
        <w:spacing w:line="276" w:lineRule="auto"/>
        <w:rPr>
          <w:rFonts w:ascii="宋体" w:hAnsi="宋体"/>
          <w:szCs w:val="21"/>
        </w:rPr>
      </w:pPr>
    </w:p>
    <w:p w14:paraId="1C20C0B1">
      <w:pPr>
        <w:adjustRightInd/>
        <w:snapToGrid/>
        <w:spacing w:line="276" w:lineRule="auto"/>
        <w:rPr>
          <w:rFonts w:ascii="宋体" w:hAnsi="宋体"/>
          <w:szCs w:val="21"/>
        </w:rPr>
      </w:pPr>
      <w:r>
        <w:rPr>
          <w:rFonts w:ascii="宋体" w:hAnsi="宋体"/>
          <w:szCs w:val="21"/>
        </w:rPr>
        <w:br w:type="page"/>
      </w:r>
    </w:p>
    <w:p w14:paraId="1E49E70B">
      <w:pPr>
        <w:jc w:val="center"/>
        <w:rPr>
          <w:rFonts w:ascii="黑体" w:eastAsia="黑体"/>
          <w:sz w:val="52"/>
          <w:szCs w:val="52"/>
        </w:rPr>
      </w:pPr>
      <w:bookmarkStart w:id="145" w:name="_Toc28154"/>
      <w:bookmarkStart w:id="146" w:name="_Toc18450"/>
      <w:bookmarkStart w:id="147" w:name="_Toc21746"/>
      <w:bookmarkStart w:id="148" w:name="_Toc20335"/>
      <w:bookmarkStart w:id="149" w:name="_Toc30918"/>
    </w:p>
    <w:p w14:paraId="09F851B9">
      <w:pPr>
        <w:pStyle w:val="4"/>
        <w:spacing w:before="180" w:beforeLines="50" w:after="180" w:afterLines="50" w:line="800" w:lineRule="exact"/>
        <w:jc w:val="center"/>
        <w:rPr>
          <w:sz w:val="72"/>
          <w:szCs w:val="72"/>
          <w:highlight w:val="none"/>
        </w:rPr>
      </w:pPr>
      <w:bookmarkStart w:id="150" w:name="_Toc9213"/>
      <w:r>
        <w:rPr>
          <w:rFonts w:hint="eastAsia"/>
          <w:sz w:val="72"/>
          <w:szCs w:val="72"/>
          <w:highlight w:val="none"/>
          <w:lang w:val="en-US" w:eastAsia="zh-CN"/>
        </w:rPr>
        <w:t>投标</w:t>
      </w:r>
      <w:r>
        <w:rPr>
          <w:rFonts w:hint="eastAsia"/>
          <w:sz w:val="72"/>
          <w:szCs w:val="72"/>
          <w:highlight w:val="none"/>
        </w:rPr>
        <w:t>文件</w:t>
      </w:r>
    </w:p>
    <w:p w14:paraId="16C2CB67">
      <w:pPr>
        <w:jc w:val="center"/>
        <w:rPr>
          <w:rFonts w:ascii="黑体" w:eastAsia="黑体"/>
          <w:sz w:val="44"/>
          <w:szCs w:val="44"/>
          <w:highlight w:val="none"/>
        </w:rPr>
      </w:pPr>
      <w:r>
        <w:rPr>
          <w:rFonts w:hint="eastAsia" w:ascii="黑体" w:eastAsia="黑体"/>
          <w:sz w:val="44"/>
          <w:szCs w:val="44"/>
          <w:highlight w:val="none"/>
        </w:rPr>
        <w:t>（</w:t>
      </w:r>
      <w:r>
        <w:rPr>
          <w:rFonts w:hint="eastAsia" w:ascii="黑体" w:eastAsia="黑体"/>
          <w:sz w:val="44"/>
          <w:szCs w:val="44"/>
          <w:highlight w:val="none"/>
          <w:lang w:val="en-US" w:eastAsia="zh-CN"/>
        </w:rPr>
        <w:t>商务、技术及价格文件合并装订成册</w:t>
      </w:r>
      <w:r>
        <w:rPr>
          <w:rFonts w:hint="eastAsia" w:ascii="黑体" w:eastAsia="黑体"/>
          <w:sz w:val="44"/>
          <w:szCs w:val="44"/>
          <w:highlight w:val="none"/>
        </w:rPr>
        <w:t>）</w:t>
      </w:r>
    </w:p>
    <w:p w14:paraId="07E96EF0">
      <w:pPr>
        <w:rPr>
          <w:highlight w:val="none"/>
        </w:rPr>
      </w:pPr>
    </w:p>
    <w:p w14:paraId="7E9DBA4F">
      <w:pPr>
        <w:jc w:val="center"/>
        <w:rPr>
          <w:rFonts w:hint="eastAsia" w:ascii="宋体" w:hAnsi="宋体" w:cs="宋体"/>
          <w:b/>
          <w:bCs/>
          <w:kern w:val="0"/>
          <w:sz w:val="32"/>
          <w:szCs w:val="32"/>
          <w:highlight w:val="none"/>
          <w:u w:val="none"/>
          <w:lang w:val="en-US" w:eastAsia="zh-CN"/>
        </w:rPr>
      </w:pPr>
    </w:p>
    <w:p w14:paraId="77EF3E0F">
      <w:pPr>
        <w:jc w:val="center"/>
        <w:rPr>
          <w:rFonts w:ascii="黑体" w:eastAsia="黑体"/>
          <w:sz w:val="72"/>
          <w:szCs w:val="72"/>
        </w:rPr>
      </w:pPr>
      <w:r>
        <w:rPr>
          <w:rFonts w:hint="eastAsia" w:ascii="宋体" w:hAnsi="宋体" w:cs="宋体"/>
          <w:b/>
          <w:bCs/>
          <w:kern w:val="0"/>
          <w:sz w:val="32"/>
          <w:szCs w:val="32"/>
          <w:highlight w:val="none"/>
          <w:u w:val="none"/>
          <w:lang w:val="en-US" w:eastAsia="zh-CN"/>
        </w:rPr>
        <w:t>（</w:t>
      </w:r>
      <w:r>
        <w:rPr>
          <w:rFonts w:hint="eastAsia" w:ascii="宋体" w:hAnsi="宋体" w:cs="宋体"/>
          <w:b/>
          <w:bCs/>
          <w:spacing w:val="0"/>
          <w:w w:val="90"/>
          <w:kern w:val="0"/>
          <w:sz w:val="32"/>
          <w:szCs w:val="32"/>
          <w:highlight w:val="none"/>
          <w:u w:val="none"/>
          <w:fitText w:val="1600" w:id="522523128"/>
          <w:lang w:val="en-US" w:eastAsia="zh-CN"/>
        </w:rPr>
        <w:t>正本/副本</w:t>
      </w:r>
      <w:r>
        <w:rPr>
          <w:rFonts w:hint="eastAsia" w:ascii="宋体" w:hAnsi="宋体" w:cs="宋体"/>
          <w:b/>
          <w:bCs/>
          <w:spacing w:val="2"/>
          <w:w w:val="90"/>
          <w:kern w:val="0"/>
          <w:sz w:val="32"/>
          <w:szCs w:val="32"/>
          <w:highlight w:val="none"/>
          <w:u w:val="none"/>
          <w:fitText w:val="1600" w:id="522523128"/>
          <w:lang w:val="en-US" w:eastAsia="zh-CN"/>
        </w:rPr>
        <w:t>）</w:t>
      </w:r>
      <w:bookmarkEnd w:id="145"/>
      <w:bookmarkEnd w:id="146"/>
      <w:bookmarkEnd w:id="147"/>
      <w:bookmarkEnd w:id="148"/>
      <w:bookmarkEnd w:id="149"/>
      <w:bookmarkEnd w:id="150"/>
    </w:p>
    <w:p w14:paraId="054192A6"/>
    <w:p w14:paraId="16B337FA">
      <w:pPr>
        <w:pStyle w:val="2"/>
      </w:pPr>
    </w:p>
    <w:p w14:paraId="72587556">
      <w:pPr>
        <w:pStyle w:val="28"/>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240"/>
        <w:textAlignment w:val="auto"/>
      </w:pPr>
    </w:p>
    <w:p w14:paraId="5221CE42">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cs="宋体"/>
          <w:b/>
          <w:bCs/>
          <w:spacing w:val="0"/>
          <w:kern w:val="0"/>
          <w:sz w:val="32"/>
          <w:szCs w:val="32"/>
          <w:fitText w:val="1600" w:id="1947737316"/>
        </w:rPr>
      </w:pPr>
    </w:p>
    <w:p w14:paraId="36F4AFCB">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ascii="宋体" w:hAnsi="宋体" w:cs="宋体"/>
          <w:b/>
          <w:bCs/>
          <w:spacing w:val="-6"/>
          <w:sz w:val="32"/>
          <w:szCs w:val="32"/>
        </w:rPr>
      </w:pPr>
      <w:r>
        <w:rPr>
          <w:rFonts w:hint="eastAsia" w:ascii="宋体" w:hAnsi="宋体" w:cs="宋体"/>
          <w:b/>
          <w:bCs/>
          <w:spacing w:val="53"/>
          <w:kern w:val="0"/>
          <w:sz w:val="32"/>
          <w:szCs w:val="32"/>
          <w:fitText w:val="1600" w:id="1947737316"/>
        </w:rPr>
        <w:t>项目名</w:t>
      </w:r>
      <w:r>
        <w:rPr>
          <w:rFonts w:hint="eastAsia" w:ascii="宋体" w:hAnsi="宋体" w:cs="宋体"/>
          <w:b/>
          <w:bCs/>
          <w:spacing w:val="1"/>
          <w:kern w:val="0"/>
          <w:sz w:val="32"/>
          <w:szCs w:val="32"/>
          <w:fitText w:val="1600" w:id="1947737316"/>
        </w:rPr>
        <w:t>称</w:t>
      </w:r>
      <w:r>
        <w:rPr>
          <w:rFonts w:hint="eastAsia" w:ascii="宋体" w:hAnsi="宋体" w:cs="宋体"/>
          <w:b/>
          <w:bCs/>
          <w:spacing w:val="-6"/>
          <w:sz w:val="32"/>
          <w:szCs w:val="32"/>
        </w:rPr>
        <w:t>：</w:t>
      </w:r>
    </w:p>
    <w:p w14:paraId="311FB573">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ascii="宋体" w:hAnsi="宋体" w:cs="宋体"/>
          <w:b/>
          <w:bCs/>
          <w:sz w:val="32"/>
          <w:szCs w:val="32"/>
          <w:highlight w:val="none"/>
        </w:rPr>
      </w:pPr>
      <w:r>
        <w:rPr>
          <w:rFonts w:hint="eastAsia" w:ascii="宋体" w:hAnsi="宋体" w:cs="宋体"/>
          <w:b/>
          <w:bCs/>
          <w:spacing w:val="53"/>
          <w:kern w:val="0"/>
          <w:sz w:val="32"/>
          <w:szCs w:val="32"/>
          <w:highlight w:val="none"/>
          <w:fitText w:val="1600" w:id="70211570"/>
        </w:rPr>
        <w:t>项目编</w:t>
      </w:r>
      <w:r>
        <w:rPr>
          <w:rFonts w:hint="eastAsia" w:ascii="宋体" w:hAnsi="宋体" w:cs="宋体"/>
          <w:b/>
          <w:bCs/>
          <w:spacing w:val="1"/>
          <w:kern w:val="0"/>
          <w:sz w:val="32"/>
          <w:szCs w:val="32"/>
          <w:highlight w:val="none"/>
          <w:fitText w:val="1600" w:id="70211570"/>
        </w:rPr>
        <w:t>号</w:t>
      </w:r>
      <w:r>
        <w:rPr>
          <w:rFonts w:hint="eastAsia" w:ascii="宋体" w:hAnsi="宋体" w:cs="宋体"/>
          <w:b/>
          <w:bCs/>
          <w:sz w:val="32"/>
          <w:szCs w:val="32"/>
          <w:highlight w:val="none"/>
        </w:rPr>
        <w:t>：</w:t>
      </w:r>
    </w:p>
    <w:p w14:paraId="6826EA40">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ascii="宋体" w:hAnsi="宋体" w:cs="宋体"/>
          <w:b/>
          <w:sz w:val="32"/>
          <w:szCs w:val="32"/>
          <w:highlight w:val="none"/>
        </w:rPr>
      </w:pPr>
      <w:r>
        <w:rPr>
          <w:rFonts w:hint="eastAsia" w:ascii="宋体" w:hAnsi="宋体" w:cs="宋体"/>
          <w:b/>
          <w:spacing w:val="0"/>
          <w:kern w:val="0"/>
          <w:sz w:val="32"/>
          <w:szCs w:val="32"/>
          <w:highlight w:val="none"/>
          <w:fitText w:val="1600" w:id="1458731915"/>
        </w:rPr>
        <w:t>投标人名称</w:t>
      </w:r>
      <w:r>
        <w:rPr>
          <w:rFonts w:hint="eastAsia" w:ascii="宋体" w:hAnsi="宋体" w:cs="宋体"/>
          <w:b/>
          <w:sz w:val="32"/>
          <w:szCs w:val="32"/>
          <w:highlight w:val="none"/>
        </w:rPr>
        <w:t>：</w:t>
      </w:r>
    </w:p>
    <w:p w14:paraId="3178A89B">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ascii="宋体" w:hAnsi="宋体" w:cs="宋体"/>
          <w:b/>
          <w:sz w:val="32"/>
          <w:szCs w:val="32"/>
          <w:highlight w:val="none"/>
        </w:rPr>
      </w:pPr>
      <w:r>
        <w:rPr>
          <w:rFonts w:hint="eastAsia" w:ascii="宋体" w:hAnsi="宋体" w:cs="宋体"/>
          <w:b/>
          <w:spacing w:val="32"/>
          <w:kern w:val="0"/>
          <w:sz w:val="32"/>
          <w:szCs w:val="32"/>
          <w:highlight w:val="none"/>
          <w:fitText w:val="1600" w:id="437591866"/>
        </w:rPr>
        <w:t xml:space="preserve">日    </w:t>
      </w:r>
      <w:r>
        <w:rPr>
          <w:rFonts w:hint="eastAsia" w:ascii="宋体" w:hAnsi="宋体" w:cs="宋体"/>
          <w:b/>
          <w:spacing w:val="0"/>
          <w:kern w:val="0"/>
          <w:sz w:val="32"/>
          <w:szCs w:val="32"/>
          <w:highlight w:val="none"/>
          <w:fitText w:val="1600" w:id="437591866"/>
        </w:rPr>
        <w:t>期</w:t>
      </w:r>
      <w:r>
        <w:rPr>
          <w:rFonts w:hint="eastAsia" w:ascii="宋体" w:hAnsi="宋体" w:cs="宋体"/>
          <w:b/>
          <w:sz w:val="32"/>
          <w:szCs w:val="32"/>
          <w:highlight w:val="none"/>
        </w:rPr>
        <w:t>：</w:t>
      </w:r>
    </w:p>
    <w:p w14:paraId="4EFB4361"/>
    <w:p w14:paraId="1E99BBF0">
      <w:pPr>
        <w:pStyle w:val="2"/>
      </w:pPr>
    </w:p>
    <w:p w14:paraId="6EFAAC28">
      <w:pPr>
        <w:pStyle w:val="28"/>
        <w:ind w:firstLine="240"/>
      </w:pPr>
    </w:p>
    <w:p w14:paraId="601E886B">
      <w:pPr>
        <w:pStyle w:val="22"/>
      </w:pPr>
    </w:p>
    <w:p w14:paraId="44349563"/>
    <w:p w14:paraId="0826E9FA">
      <w:pPr>
        <w:pStyle w:val="2"/>
      </w:pPr>
    </w:p>
    <w:p w14:paraId="7988638A">
      <w:pPr>
        <w:pStyle w:val="28"/>
        <w:ind w:firstLine="240"/>
      </w:pPr>
    </w:p>
    <w:p w14:paraId="7DA9D887">
      <w:pPr>
        <w:pStyle w:val="22"/>
      </w:pPr>
    </w:p>
    <w:p w14:paraId="61B3904C">
      <w:pPr>
        <w:pStyle w:val="22"/>
        <w:ind w:left="0"/>
      </w:pPr>
    </w:p>
    <w:p w14:paraId="0E86D4C3">
      <w:pPr>
        <w:rPr>
          <w:rFonts w:ascii="宋体" w:hAnsi="宋体"/>
          <w:szCs w:val="21"/>
        </w:rPr>
      </w:pPr>
      <w:r>
        <w:rPr>
          <w:rFonts w:hint="eastAsia" w:ascii="宋体" w:hAnsi="宋体"/>
          <w:szCs w:val="21"/>
        </w:rPr>
        <w:br w:type="page"/>
      </w:r>
    </w:p>
    <w:p w14:paraId="7C7B56AA">
      <w:pPr>
        <w:pStyle w:val="6"/>
        <w:widowControl w:val="0"/>
        <w:overflowPunct w:val="0"/>
        <w:spacing w:line="240" w:lineRule="auto"/>
        <w:rPr>
          <w:rFonts w:ascii="宋体" w:hAnsi="宋体"/>
          <w:sz w:val="21"/>
          <w:szCs w:val="21"/>
        </w:rPr>
      </w:pPr>
      <w:bookmarkStart w:id="151" w:name="_Toc1232"/>
      <w:r>
        <w:rPr>
          <w:rFonts w:hint="eastAsia" w:ascii="宋体" w:hAnsi="宋体"/>
          <w:sz w:val="21"/>
          <w:szCs w:val="21"/>
        </w:rPr>
        <w:t>附件</w:t>
      </w:r>
      <w:r>
        <w:rPr>
          <w:rFonts w:hint="eastAsia" w:ascii="宋体" w:hAnsi="宋体"/>
          <w:sz w:val="21"/>
          <w:szCs w:val="21"/>
          <w:lang w:val="en-US" w:eastAsia="zh-CN"/>
        </w:rPr>
        <w:t>1</w:t>
      </w:r>
      <w:r>
        <w:rPr>
          <w:rFonts w:hint="eastAsia" w:ascii="宋体" w:hAnsi="宋体"/>
          <w:sz w:val="21"/>
          <w:szCs w:val="21"/>
        </w:rPr>
        <w:t>.开标一览表格式</w:t>
      </w:r>
      <w:bookmarkEnd w:id="151"/>
    </w:p>
    <w:p w14:paraId="583E2DB4">
      <w:pPr>
        <w:jc w:val="center"/>
        <w:rPr>
          <w:rFonts w:ascii="黑体" w:eastAsia="黑体"/>
          <w:sz w:val="32"/>
          <w:szCs w:val="32"/>
        </w:rPr>
      </w:pPr>
      <w:r>
        <w:rPr>
          <w:rFonts w:hint="eastAsia" w:ascii="黑体" w:eastAsia="黑体"/>
          <w:sz w:val="32"/>
          <w:szCs w:val="32"/>
        </w:rPr>
        <w:t>开标一览表</w:t>
      </w:r>
    </w:p>
    <w:p w14:paraId="2DDF949E"/>
    <w:p w14:paraId="758A3AF6">
      <w:pPr>
        <w:rPr>
          <w:rFonts w:ascii="宋体" w:hAnsi="宋体"/>
          <w:szCs w:val="21"/>
        </w:rPr>
      </w:pPr>
      <w:r>
        <w:rPr>
          <w:rFonts w:hint="eastAsia" w:ascii="宋体" w:hAnsi="宋体"/>
          <w:szCs w:val="21"/>
        </w:rPr>
        <w:t>投标人名称：</w:t>
      </w:r>
    </w:p>
    <w:p w14:paraId="261CD805">
      <w:r>
        <w:rPr>
          <w:rFonts w:hint="eastAsia" w:ascii="宋体" w:hAnsi="宋体"/>
          <w:szCs w:val="21"/>
        </w:rPr>
        <w:t>采购项目编号：</w:t>
      </w:r>
    </w:p>
    <w:tbl>
      <w:tblPr>
        <w:tblStyle w:val="30"/>
        <w:tblW w:w="5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2895"/>
        <w:gridCol w:w="1538"/>
        <w:gridCol w:w="2087"/>
      </w:tblGrid>
      <w:tr w14:paraId="1E97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30" w:type="pct"/>
            <w:vAlign w:val="center"/>
          </w:tcPr>
          <w:p w14:paraId="706C17FF">
            <w:pPr>
              <w:spacing w:line="240" w:lineRule="auto"/>
              <w:jc w:val="center"/>
              <w:rPr>
                <w:rFonts w:ascii="宋体" w:hAnsi="宋体" w:cs="宋体"/>
                <w:kern w:val="28"/>
                <w:szCs w:val="21"/>
              </w:rPr>
            </w:pPr>
            <w:r>
              <w:rPr>
                <w:rFonts w:hint="eastAsia" w:ascii="宋体" w:hAnsi="宋体"/>
                <w:szCs w:val="21"/>
              </w:rPr>
              <w:t>项目名称</w:t>
            </w:r>
          </w:p>
        </w:tc>
        <w:tc>
          <w:tcPr>
            <w:tcW w:w="1628" w:type="pct"/>
            <w:vAlign w:val="center"/>
          </w:tcPr>
          <w:p w14:paraId="5D7F2F3F">
            <w:pPr>
              <w:spacing w:line="240" w:lineRule="auto"/>
              <w:jc w:val="center"/>
              <w:rPr>
                <w:rFonts w:ascii="宋体" w:hAnsi="宋体" w:cs="宋体"/>
                <w:kern w:val="28"/>
                <w:szCs w:val="21"/>
                <w:highlight w:val="none"/>
              </w:rPr>
            </w:pPr>
            <w:r>
              <w:rPr>
                <w:rFonts w:hint="eastAsia" w:ascii="宋体" w:hAnsi="宋体" w:cs="宋体"/>
                <w:kern w:val="28"/>
                <w:szCs w:val="21"/>
                <w:highlight w:val="none"/>
                <w:lang w:val="en-US" w:eastAsia="zh-CN"/>
              </w:rPr>
              <w:t>含税</w:t>
            </w:r>
            <w:r>
              <w:rPr>
                <w:rFonts w:hint="eastAsia" w:ascii="宋体" w:hAnsi="宋体" w:cs="宋体"/>
                <w:kern w:val="28"/>
                <w:szCs w:val="21"/>
                <w:highlight w:val="none"/>
              </w:rPr>
              <w:t>投标总价（元）</w:t>
            </w:r>
          </w:p>
        </w:tc>
        <w:tc>
          <w:tcPr>
            <w:tcW w:w="865" w:type="pct"/>
            <w:vAlign w:val="center"/>
          </w:tcPr>
          <w:p w14:paraId="444D55C0">
            <w:pPr>
              <w:spacing w:line="240" w:lineRule="auto"/>
              <w:jc w:val="center"/>
              <w:rPr>
                <w:rFonts w:hint="eastAsia" w:ascii="宋体" w:hAnsi="宋体" w:eastAsia="宋体" w:cs="宋体"/>
                <w:kern w:val="28"/>
                <w:szCs w:val="21"/>
                <w:highlight w:val="none"/>
                <w:lang w:val="en-US" w:eastAsia="zh-CN"/>
              </w:rPr>
            </w:pPr>
            <w:r>
              <w:rPr>
                <w:rFonts w:hint="eastAsia" w:ascii="宋体" w:hAnsi="宋体" w:cs="宋体"/>
                <w:kern w:val="28"/>
                <w:szCs w:val="21"/>
                <w:highlight w:val="none"/>
                <w:lang w:val="en-US" w:eastAsia="zh-CN"/>
              </w:rPr>
              <w:t>税率</w:t>
            </w:r>
          </w:p>
        </w:tc>
        <w:tc>
          <w:tcPr>
            <w:tcW w:w="1174" w:type="pct"/>
            <w:vAlign w:val="center"/>
          </w:tcPr>
          <w:p w14:paraId="25EE025E">
            <w:pPr>
              <w:spacing w:line="240" w:lineRule="auto"/>
              <w:jc w:val="center"/>
              <w:rPr>
                <w:rFonts w:ascii="宋体" w:hAnsi="宋体" w:cs="宋体"/>
                <w:kern w:val="28"/>
                <w:szCs w:val="21"/>
                <w:highlight w:val="none"/>
              </w:rPr>
            </w:pPr>
            <w:r>
              <w:rPr>
                <w:rFonts w:hint="eastAsia" w:ascii="宋体" w:hAnsi="宋体" w:cs="宋体"/>
                <w:kern w:val="28"/>
                <w:szCs w:val="21"/>
                <w:highlight w:val="none"/>
              </w:rPr>
              <w:t>备注</w:t>
            </w:r>
          </w:p>
        </w:tc>
      </w:tr>
      <w:tr w14:paraId="7104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330" w:type="pct"/>
            <w:vAlign w:val="center"/>
          </w:tcPr>
          <w:p w14:paraId="39B7AAE9">
            <w:pPr>
              <w:spacing w:line="240" w:lineRule="auto"/>
              <w:jc w:val="center"/>
              <w:rPr>
                <w:rFonts w:ascii="宋体" w:hAnsi="宋体" w:cs="宋体"/>
                <w:szCs w:val="21"/>
              </w:rPr>
            </w:pPr>
            <w:r>
              <w:rPr>
                <w:rFonts w:hint="eastAsia" w:ascii="宋体" w:hAnsi="宋体" w:cs="宋体"/>
                <w:szCs w:val="21"/>
              </w:rPr>
              <w:t>东莞市海心沙资源综合利用中心环保热电厂3号线低温SCR脱硝催化技术服务采购项目</w:t>
            </w:r>
          </w:p>
        </w:tc>
        <w:tc>
          <w:tcPr>
            <w:tcW w:w="1628" w:type="pct"/>
            <w:vAlign w:val="center"/>
          </w:tcPr>
          <w:p w14:paraId="0C74C19C">
            <w:pPr>
              <w:spacing w:line="240" w:lineRule="auto"/>
              <w:jc w:val="center"/>
              <w:rPr>
                <w:rFonts w:ascii="宋体" w:hAnsi="宋体" w:cs="宋体"/>
                <w:szCs w:val="21"/>
              </w:rPr>
            </w:pPr>
            <w:r>
              <w:rPr>
                <w:rFonts w:hint="eastAsia" w:ascii="宋体" w:hAnsi="宋体" w:cs="宋体"/>
                <w:szCs w:val="21"/>
              </w:rPr>
              <w:t>小写：</w:t>
            </w:r>
          </w:p>
          <w:p w14:paraId="5EB401EF">
            <w:pPr>
              <w:spacing w:line="240" w:lineRule="auto"/>
              <w:jc w:val="center"/>
              <w:rPr>
                <w:rFonts w:ascii="宋体" w:hAnsi="宋体" w:cs="宋体"/>
                <w:szCs w:val="21"/>
              </w:rPr>
            </w:pPr>
            <w:r>
              <w:rPr>
                <w:rFonts w:hint="eastAsia" w:ascii="宋体" w:hAnsi="宋体" w:cs="宋体"/>
                <w:szCs w:val="21"/>
              </w:rPr>
              <w:t>大写：</w:t>
            </w:r>
          </w:p>
        </w:tc>
        <w:tc>
          <w:tcPr>
            <w:tcW w:w="865" w:type="pct"/>
            <w:vAlign w:val="center"/>
          </w:tcPr>
          <w:p w14:paraId="1CEA82D5">
            <w:pPr>
              <w:pStyle w:val="66"/>
              <w:jc w:val="center"/>
              <w:rPr>
                <w:rFonts w:hint="eastAsia" w:hAnsi="宋体"/>
                <w:color w:val="auto"/>
                <w:sz w:val="21"/>
                <w:szCs w:val="21"/>
              </w:rPr>
            </w:pPr>
          </w:p>
        </w:tc>
        <w:tc>
          <w:tcPr>
            <w:tcW w:w="1174" w:type="pct"/>
            <w:vAlign w:val="center"/>
          </w:tcPr>
          <w:p w14:paraId="51D660D7">
            <w:pPr>
              <w:pStyle w:val="66"/>
              <w:jc w:val="center"/>
              <w:rPr>
                <w:rFonts w:hAnsi="宋体"/>
                <w:color w:val="auto"/>
                <w:sz w:val="21"/>
                <w:szCs w:val="21"/>
              </w:rPr>
            </w:pPr>
          </w:p>
        </w:tc>
      </w:tr>
    </w:tbl>
    <w:p w14:paraId="3E7815DA">
      <w:pPr>
        <w:rPr>
          <w:rFonts w:ascii="宋体" w:hAnsi="宋体"/>
          <w:szCs w:val="21"/>
        </w:rPr>
      </w:pPr>
    </w:p>
    <w:p w14:paraId="2AB16390">
      <w:pPr>
        <w:ind w:firstLine="359" w:firstLineChars="171"/>
        <w:rPr>
          <w:rFonts w:ascii="宋体" w:hAnsi="宋体"/>
          <w:szCs w:val="21"/>
        </w:rPr>
      </w:pPr>
    </w:p>
    <w:p w14:paraId="1F119D08">
      <w:pPr>
        <w:ind w:firstLine="359" w:firstLineChars="171"/>
        <w:rPr>
          <w:rFonts w:ascii="宋体" w:hAnsi="宋体"/>
          <w:szCs w:val="21"/>
        </w:rPr>
      </w:pPr>
      <w:r>
        <w:rPr>
          <w:rFonts w:hint="eastAsia" w:ascii="宋体" w:hAnsi="宋体"/>
          <w:szCs w:val="21"/>
        </w:rPr>
        <w:t>投标人代表签字：</w:t>
      </w:r>
    </w:p>
    <w:p w14:paraId="2433D349">
      <w:pPr>
        <w:ind w:firstLine="359" w:firstLineChars="171"/>
        <w:rPr>
          <w:rFonts w:ascii="宋体" w:hAnsi="宋体"/>
          <w:szCs w:val="21"/>
        </w:rPr>
      </w:pPr>
      <w:r>
        <w:rPr>
          <w:rFonts w:hint="eastAsia" w:ascii="宋体" w:hAnsi="宋体"/>
          <w:szCs w:val="21"/>
        </w:rPr>
        <w:t>投标人盖章：</w:t>
      </w:r>
    </w:p>
    <w:p w14:paraId="565CDE84">
      <w:pPr>
        <w:ind w:firstLine="359" w:firstLineChars="171"/>
        <w:rPr>
          <w:rFonts w:ascii="宋体" w:hAnsi="宋体"/>
          <w:szCs w:val="21"/>
        </w:rPr>
      </w:pPr>
      <w:r>
        <w:rPr>
          <w:rFonts w:hint="eastAsia" w:ascii="宋体" w:hAnsi="宋体"/>
          <w:szCs w:val="21"/>
        </w:rPr>
        <w:t>日期：</w:t>
      </w:r>
    </w:p>
    <w:p w14:paraId="56D0CCCA">
      <w:pPr>
        <w:ind w:firstLine="359" w:firstLineChars="171"/>
        <w:rPr>
          <w:rFonts w:ascii="宋体" w:hAnsi="宋体"/>
          <w:szCs w:val="21"/>
        </w:rPr>
      </w:pPr>
    </w:p>
    <w:p w14:paraId="71027920">
      <w:pPr>
        <w:ind w:left="391" w:hanging="390" w:hangingChars="186"/>
        <w:rPr>
          <w:rFonts w:ascii="宋体" w:hAnsi="宋体"/>
          <w:szCs w:val="21"/>
        </w:rPr>
      </w:pPr>
      <w:r>
        <w:rPr>
          <w:rFonts w:hint="eastAsia" w:ascii="宋体" w:hAnsi="宋体"/>
          <w:szCs w:val="21"/>
        </w:rPr>
        <w:t xml:space="preserve">    注：</w:t>
      </w:r>
    </w:p>
    <w:p w14:paraId="68A2E62B">
      <w:pPr>
        <w:ind w:firstLine="420" w:firstLineChars="200"/>
        <w:rPr>
          <w:rFonts w:ascii="宋体" w:hAnsi="宋体"/>
          <w:szCs w:val="21"/>
        </w:rPr>
      </w:pPr>
      <w:r>
        <w:rPr>
          <w:rFonts w:hint="eastAsia" w:ascii="宋体" w:hAnsi="宋体"/>
          <w:szCs w:val="21"/>
        </w:rPr>
        <w:t>1、投标总价栏须</w:t>
      </w:r>
      <w:r>
        <w:rPr>
          <w:rFonts w:ascii="宋体" w:hAnsi="宋体"/>
          <w:szCs w:val="21"/>
        </w:rPr>
        <w:t>用</w:t>
      </w:r>
      <w:r>
        <w:rPr>
          <w:rFonts w:hint="eastAsia" w:ascii="宋体" w:hAnsi="宋体"/>
          <w:szCs w:val="21"/>
        </w:rPr>
        <w:t>大写金额和小写金额两种方式</w:t>
      </w:r>
      <w:r>
        <w:rPr>
          <w:rFonts w:ascii="宋体" w:hAnsi="宋体"/>
          <w:szCs w:val="21"/>
        </w:rPr>
        <w:t>表示的投标总价</w:t>
      </w:r>
      <w:r>
        <w:rPr>
          <w:rFonts w:hint="eastAsia" w:ascii="宋体" w:hAnsi="宋体"/>
          <w:szCs w:val="21"/>
        </w:rPr>
        <w:t>，报价保留小数点后两位。投标总价大小写不一致，以大写为准。投标总价必须准确唯一且应包含采购文件要求的所有费用。</w:t>
      </w:r>
    </w:p>
    <w:p w14:paraId="41F5F553">
      <w:pPr>
        <w:ind w:firstLine="420" w:firstLineChars="200"/>
        <w:rPr>
          <w:rFonts w:ascii="宋体" w:hAnsi="宋体"/>
          <w:szCs w:val="21"/>
        </w:rPr>
      </w:pPr>
      <w:r>
        <w:rPr>
          <w:rFonts w:hint="eastAsia" w:ascii="宋体" w:hAnsi="宋体"/>
          <w:szCs w:val="21"/>
        </w:rPr>
        <w:t>2、温馨提示：未按采购文件要求报价、填写开标一览表是导致投标人废标的常见问题，请投标人仔细填写，认真核对。</w:t>
      </w:r>
    </w:p>
    <w:p w14:paraId="4A5C2541">
      <w:pPr>
        <w:rPr>
          <w:rFonts w:ascii="宋体" w:hAnsi="宋体"/>
          <w:szCs w:val="21"/>
        </w:rPr>
      </w:pPr>
      <w:r>
        <w:rPr>
          <w:rFonts w:hint="eastAsia" w:ascii="宋体" w:hAnsi="宋体"/>
          <w:szCs w:val="21"/>
        </w:rPr>
        <w:br w:type="page"/>
      </w:r>
    </w:p>
    <w:p w14:paraId="4C0E13B3">
      <w:pPr>
        <w:pStyle w:val="6"/>
        <w:widowControl w:val="0"/>
        <w:overflowPunct w:val="0"/>
        <w:spacing w:line="240" w:lineRule="auto"/>
        <w:rPr>
          <w:rFonts w:ascii="宋体" w:hAnsi="宋体"/>
          <w:sz w:val="21"/>
          <w:szCs w:val="21"/>
        </w:rPr>
      </w:pPr>
      <w:bookmarkStart w:id="152" w:name="_Toc12628"/>
      <w:r>
        <w:rPr>
          <w:rFonts w:hint="eastAsia" w:ascii="宋体" w:hAnsi="宋体"/>
          <w:sz w:val="21"/>
          <w:szCs w:val="21"/>
        </w:rPr>
        <w:t>附件</w:t>
      </w:r>
      <w:r>
        <w:rPr>
          <w:rFonts w:hint="eastAsia" w:ascii="宋体" w:hAnsi="宋体"/>
          <w:sz w:val="21"/>
          <w:szCs w:val="21"/>
          <w:lang w:val="en-US" w:eastAsia="zh-CN"/>
        </w:rPr>
        <w:t>2</w:t>
      </w:r>
      <w:r>
        <w:rPr>
          <w:rFonts w:hint="eastAsia" w:ascii="宋体" w:hAnsi="宋体"/>
          <w:sz w:val="21"/>
          <w:szCs w:val="21"/>
        </w:rPr>
        <w:t>.报价明细表格式</w:t>
      </w:r>
      <w:bookmarkEnd w:id="152"/>
    </w:p>
    <w:p w14:paraId="43B50A2A">
      <w:pPr>
        <w:jc w:val="center"/>
        <w:rPr>
          <w:rFonts w:hint="eastAsia" w:ascii="黑体" w:eastAsia="黑体"/>
          <w:sz w:val="32"/>
          <w:szCs w:val="32"/>
        </w:rPr>
      </w:pPr>
      <w:bookmarkStart w:id="153" w:name="_Toc31062"/>
      <w:bookmarkStart w:id="154" w:name="_Toc31172"/>
      <w:r>
        <w:rPr>
          <w:rFonts w:hint="eastAsia" w:ascii="黑体" w:eastAsia="黑体"/>
          <w:sz w:val="32"/>
          <w:szCs w:val="32"/>
        </w:rPr>
        <w:t>报价明细表</w:t>
      </w:r>
      <w:bookmarkEnd w:id="153"/>
      <w:bookmarkEnd w:id="154"/>
    </w:p>
    <w:p w14:paraId="75599048">
      <w:pPr>
        <w:widowControl/>
        <w:wordWrap w:val="0"/>
        <w:spacing w:line="360" w:lineRule="auto"/>
        <w:ind w:right="126" w:rightChars="60"/>
        <w:jc w:val="right"/>
        <w:rPr>
          <w:rFonts w:hint="eastAsia" w:ascii="宋体" w:hAnsi="宋体" w:eastAsia="宋体" w:cs="宋体"/>
          <w:sz w:val="36"/>
          <w:szCs w:val="36"/>
          <w:highlight w:val="none"/>
        </w:rPr>
      </w:pPr>
      <w:r>
        <w:rPr>
          <w:rFonts w:hint="eastAsia" w:ascii="宋体" w:hAnsi="宋体" w:eastAsia="宋体" w:cs="宋体"/>
          <w:szCs w:val="21"/>
        </w:rPr>
        <w:t>单位：元/（人民币）</w:t>
      </w:r>
    </w:p>
    <w:tbl>
      <w:tblPr>
        <w:tblStyle w:val="30"/>
        <w:tblW w:w="9022" w:type="dxa"/>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2052"/>
        <w:gridCol w:w="698"/>
        <w:gridCol w:w="709"/>
        <w:gridCol w:w="1459"/>
        <w:gridCol w:w="1681"/>
        <w:gridCol w:w="1770"/>
      </w:tblGrid>
      <w:tr w14:paraId="0D7E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3F3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052" w:type="dxa"/>
            <w:tcBorders>
              <w:top w:val="single" w:color="000000" w:sz="8" w:space="0"/>
              <w:left w:val="nil"/>
              <w:bottom w:val="single" w:color="000000" w:sz="8" w:space="0"/>
              <w:right w:val="single" w:color="000000" w:sz="8" w:space="0"/>
            </w:tcBorders>
            <w:shd w:val="clear" w:color="auto" w:fill="auto"/>
            <w:vAlign w:val="center"/>
          </w:tcPr>
          <w:p w14:paraId="348B03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698" w:type="dxa"/>
            <w:tcBorders>
              <w:top w:val="single" w:color="000000" w:sz="8" w:space="0"/>
              <w:left w:val="nil"/>
              <w:bottom w:val="single" w:color="000000" w:sz="8" w:space="0"/>
              <w:right w:val="single" w:color="000000" w:sz="8" w:space="0"/>
            </w:tcBorders>
            <w:shd w:val="clear" w:color="auto" w:fill="auto"/>
            <w:vAlign w:val="center"/>
          </w:tcPr>
          <w:p w14:paraId="755926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709" w:type="dxa"/>
            <w:tcBorders>
              <w:top w:val="single" w:color="000000" w:sz="8" w:space="0"/>
              <w:left w:val="nil"/>
              <w:bottom w:val="single" w:color="000000" w:sz="8" w:space="0"/>
              <w:right w:val="single" w:color="000000" w:sz="8" w:space="0"/>
            </w:tcBorders>
            <w:shd w:val="clear" w:color="auto" w:fill="auto"/>
            <w:vAlign w:val="center"/>
          </w:tcPr>
          <w:p w14:paraId="6E69D1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459" w:type="dxa"/>
            <w:tcBorders>
              <w:top w:val="single" w:color="000000" w:sz="8" w:space="0"/>
              <w:left w:val="nil"/>
              <w:bottom w:val="single" w:color="000000" w:sz="8" w:space="0"/>
              <w:right w:val="single" w:color="000000" w:sz="8" w:space="0"/>
            </w:tcBorders>
            <w:shd w:val="clear" w:color="auto" w:fill="auto"/>
            <w:vAlign w:val="center"/>
          </w:tcPr>
          <w:p w14:paraId="0A9FBD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单价</w:t>
            </w:r>
          </w:p>
        </w:tc>
        <w:tc>
          <w:tcPr>
            <w:tcW w:w="1681" w:type="dxa"/>
            <w:tcBorders>
              <w:top w:val="single" w:color="000000" w:sz="8" w:space="0"/>
              <w:left w:val="nil"/>
              <w:bottom w:val="single" w:color="000000" w:sz="8" w:space="0"/>
              <w:right w:val="single" w:color="000000" w:sz="8" w:space="0"/>
            </w:tcBorders>
            <w:shd w:val="clear" w:color="auto" w:fill="auto"/>
            <w:vAlign w:val="center"/>
          </w:tcPr>
          <w:p w14:paraId="37898E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小计</w:t>
            </w:r>
          </w:p>
        </w:tc>
        <w:tc>
          <w:tcPr>
            <w:tcW w:w="1770" w:type="dxa"/>
            <w:tcBorders>
              <w:top w:val="single" w:color="000000" w:sz="8" w:space="0"/>
              <w:left w:val="nil"/>
              <w:bottom w:val="single" w:color="000000" w:sz="8" w:space="0"/>
              <w:right w:val="single" w:color="000000" w:sz="8" w:space="0"/>
            </w:tcBorders>
            <w:shd w:val="clear" w:color="auto" w:fill="auto"/>
            <w:vAlign w:val="center"/>
          </w:tcPr>
          <w:p w14:paraId="56B071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5C82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3" w:type="dxa"/>
            <w:tcBorders>
              <w:top w:val="nil"/>
              <w:left w:val="single" w:color="000000" w:sz="8" w:space="0"/>
              <w:bottom w:val="single" w:color="000000" w:sz="8" w:space="0"/>
              <w:right w:val="single" w:color="000000" w:sz="8" w:space="0"/>
            </w:tcBorders>
            <w:shd w:val="clear" w:color="auto" w:fill="auto"/>
            <w:vAlign w:val="center"/>
          </w:tcPr>
          <w:p w14:paraId="120878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052" w:type="dxa"/>
            <w:tcBorders>
              <w:top w:val="nil"/>
              <w:left w:val="nil"/>
              <w:bottom w:val="single" w:color="000000" w:sz="8" w:space="0"/>
              <w:right w:val="single" w:color="000000" w:sz="8" w:space="0"/>
            </w:tcBorders>
            <w:shd w:val="clear" w:color="auto" w:fill="auto"/>
            <w:vAlign w:val="center"/>
          </w:tcPr>
          <w:p w14:paraId="4A2D1F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Cs/>
                <w:sz w:val="24"/>
                <w:szCs w:val="24"/>
                <w:highlight w:val="none"/>
                <w:lang w:val="en-US" w:eastAsia="zh-CN"/>
              </w:rPr>
              <w:t>完成进厂现场条件服务</w:t>
            </w:r>
            <w:r>
              <w:rPr>
                <w:rFonts w:hint="eastAsia" w:ascii="仿宋_GB2312" w:hAnsi="仿宋_GB2312" w:eastAsia="仿宋_GB2312" w:cs="仿宋_GB2312"/>
                <w:i w:val="0"/>
                <w:iCs w:val="0"/>
                <w:color w:val="000000"/>
                <w:kern w:val="0"/>
                <w:sz w:val="24"/>
                <w:szCs w:val="24"/>
                <w:u w:val="none"/>
                <w:lang w:val="en-US" w:eastAsia="zh-CN" w:bidi="ar"/>
              </w:rPr>
              <w:t>（含材料、拆装服务、项目运行调试、人工、运输费、税费等可能发生的全部费用）</w:t>
            </w:r>
          </w:p>
        </w:tc>
        <w:tc>
          <w:tcPr>
            <w:tcW w:w="698" w:type="dxa"/>
            <w:tcBorders>
              <w:top w:val="nil"/>
              <w:left w:val="nil"/>
              <w:bottom w:val="single" w:color="000000" w:sz="8" w:space="0"/>
              <w:right w:val="single" w:color="000000" w:sz="8" w:space="0"/>
            </w:tcBorders>
            <w:shd w:val="clear" w:color="auto" w:fill="auto"/>
            <w:vAlign w:val="center"/>
          </w:tcPr>
          <w:p w14:paraId="09C259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709" w:type="dxa"/>
            <w:tcBorders>
              <w:top w:val="nil"/>
              <w:left w:val="nil"/>
              <w:bottom w:val="single" w:color="000000" w:sz="8" w:space="0"/>
              <w:right w:val="single" w:color="000000" w:sz="8" w:space="0"/>
            </w:tcBorders>
            <w:shd w:val="clear" w:color="auto" w:fill="auto"/>
            <w:vAlign w:val="center"/>
          </w:tcPr>
          <w:p w14:paraId="1C746F4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59" w:type="dxa"/>
            <w:tcBorders>
              <w:top w:val="nil"/>
              <w:left w:val="nil"/>
              <w:bottom w:val="single" w:color="000000" w:sz="8" w:space="0"/>
              <w:right w:val="single" w:color="000000" w:sz="8" w:space="0"/>
            </w:tcBorders>
            <w:shd w:val="clear" w:color="auto" w:fill="auto"/>
            <w:vAlign w:val="center"/>
          </w:tcPr>
          <w:p w14:paraId="5C951640">
            <w:pPr>
              <w:jc w:val="center"/>
              <w:rPr>
                <w:rFonts w:hint="eastAsia" w:ascii="仿宋_GB2312" w:hAnsi="仿宋_GB2312" w:eastAsia="仿宋_GB2312" w:cs="仿宋_GB2312"/>
                <w:i w:val="0"/>
                <w:iCs w:val="0"/>
                <w:color w:val="000000"/>
                <w:sz w:val="24"/>
                <w:szCs w:val="24"/>
                <w:u w:val="none"/>
              </w:rPr>
            </w:pPr>
          </w:p>
        </w:tc>
        <w:tc>
          <w:tcPr>
            <w:tcW w:w="1681" w:type="dxa"/>
            <w:tcBorders>
              <w:top w:val="nil"/>
              <w:left w:val="single" w:color="000000" w:sz="8" w:space="0"/>
              <w:bottom w:val="single" w:color="000000" w:sz="8" w:space="0"/>
              <w:right w:val="single" w:color="000000" w:sz="8" w:space="0"/>
            </w:tcBorders>
            <w:shd w:val="clear" w:color="auto" w:fill="auto"/>
            <w:vAlign w:val="center"/>
          </w:tcPr>
          <w:p w14:paraId="18D28FF2">
            <w:pPr>
              <w:jc w:val="center"/>
              <w:rPr>
                <w:rFonts w:hint="eastAsia" w:ascii="仿宋_GB2312" w:hAnsi="仿宋_GB2312" w:eastAsia="仿宋_GB2312" w:cs="仿宋_GB2312"/>
                <w:i w:val="0"/>
                <w:iCs w:val="0"/>
                <w:color w:val="000000"/>
                <w:sz w:val="24"/>
                <w:szCs w:val="24"/>
                <w:u w:val="none"/>
              </w:rPr>
            </w:pPr>
          </w:p>
        </w:tc>
        <w:tc>
          <w:tcPr>
            <w:tcW w:w="1770" w:type="dxa"/>
            <w:tcBorders>
              <w:top w:val="nil"/>
              <w:left w:val="single" w:color="000000" w:sz="8" w:space="0"/>
              <w:bottom w:val="single" w:color="000000" w:sz="8" w:space="0"/>
              <w:right w:val="single" w:color="000000" w:sz="8" w:space="0"/>
            </w:tcBorders>
            <w:shd w:val="clear" w:color="auto" w:fill="auto"/>
            <w:vAlign w:val="center"/>
          </w:tcPr>
          <w:p w14:paraId="0E2A4F48">
            <w:pPr>
              <w:jc w:val="center"/>
              <w:rPr>
                <w:rFonts w:hint="eastAsia" w:ascii="仿宋_GB2312" w:hAnsi="仿宋_GB2312" w:eastAsia="仿宋_GB2312" w:cs="仿宋_GB2312"/>
                <w:i w:val="0"/>
                <w:iCs w:val="0"/>
                <w:color w:val="000000"/>
                <w:sz w:val="24"/>
                <w:szCs w:val="24"/>
                <w:u w:val="none"/>
              </w:rPr>
            </w:pPr>
          </w:p>
        </w:tc>
      </w:tr>
      <w:tr w14:paraId="0AFA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3" w:type="dxa"/>
            <w:tcBorders>
              <w:top w:val="nil"/>
              <w:left w:val="single" w:color="000000" w:sz="8" w:space="0"/>
              <w:bottom w:val="single" w:color="000000" w:sz="8" w:space="0"/>
              <w:right w:val="single" w:color="000000" w:sz="8" w:space="0"/>
            </w:tcBorders>
            <w:shd w:val="clear" w:color="auto" w:fill="auto"/>
            <w:vAlign w:val="center"/>
          </w:tcPr>
          <w:p w14:paraId="4D0E42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052" w:type="dxa"/>
            <w:tcBorders>
              <w:top w:val="nil"/>
              <w:left w:val="nil"/>
              <w:bottom w:val="single" w:color="000000" w:sz="8" w:space="0"/>
              <w:right w:val="single" w:color="000000" w:sz="8" w:space="0"/>
            </w:tcBorders>
            <w:shd w:val="clear" w:color="auto" w:fill="auto"/>
            <w:vAlign w:val="center"/>
          </w:tcPr>
          <w:p w14:paraId="6FBF1A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运维服务（含材料、人工、税费及运维过程中可能发生的全部费用）</w:t>
            </w:r>
          </w:p>
        </w:tc>
        <w:tc>
          <w:tcPr>
            <w:tcW w:w="698" w:type="dxa"/>
            <w:tcBorders>
              <w:top w:val="nil"/>
              <w:left w:val="nil"/>
              <w:bottom w:val="single" w:color="000000" w:sz="8" w:space="0"/>
              <w:right w:val="single" w:color="000000" w:sz="8" w:space="0"/>
            </w:tcBorders>
            <w:shd w:val="clear" w:color="auto" w:fill="auto"/>
            <w:vAlign w:val="center"/>
          </w:tcPr>
          <w:p w14:paraId="0A5FB11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月</w:t>
            </w:r>
          </w:p>
        </w:tc>
        <w:tc>
          <w:tcPr>
            <w:tcW w:w="709" w:type="dxa"/>
            <w:tcBorders>
              <w:top w:val="nil"/>
              <w:left w:val="nil"/>
              <w:bottom w:val="single" w:color="000000" w:sz="8" w:space="0"/>
              <w:right w:val="single" w:color="000000" w:sz="8" w:space="0"/>
            </w:tcBorders>
            <w:shd w:val="clear" w:color="auto" w:fill="auto"/>
            <w:vAlign w:val="center"/>
          </w:tcPr>
          <w:p w14:paraId="353480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459" w:type="dxa"/>
            <w:tcBorders>
              <w:top w:val="nil"/>
              <w:left w:val="nil"/>
              <w:bottom w:val="single" w:color="000000" w:sz="8" w:space="0"/>
              <w:right w:val="single" w:color="000000" w:sz="8" w:space="0"/>
            </w:tcBorders>
            <w:shd w:val="clear" w:color="auto" w:fill="auto"/>
            <w:vAlign w:val="center"/>
          </w:tcPr>
          <w:p w14:paraId="516F4A4C">
            <w:pPr>
              <w:jc w:val="center"/>
              <w:rPr>
                <w:rFonts w:hint="eastAsia" w:ascii="仿宋_GB2312" w:hAnsi="仿宋_GB2312" w:eastAsia="仿宋_GB2312" w:cs="仿宋_GB2312"/>
                <w:i w:val="0"/>
                <w:iCs w:val="0"/>
                <w:color w:val="000000"/>
                <w:sz w:val="24"/>
                <w:szCs w:val="24"/>
                <w:u w:val="none"/>
              </w:rPr>
            </w:pPr>
          </w:p>
        </w:tc>
        <w:tc>
          <w:tcPr>
            <w:tcW w:w="1681" w:type="dxa"/>
            <w:tcBorders>
              <w:top w:val="nil"/>
              <w:left w:val="single" w:color="000000" w:sz="8" w:space="0"/>
              <w:bottom w:val="single" w:color="000000" w:sz="8" w:space="0"/>
              <w:right w:val="single" w:color="000000" w:sz="8" w:space="0"/>
            </w:tcBorders>
            <w:shd w:val="clear" w:color="auto" w:fill="auto"/>
            <w:vAlign w:val="center"/>
          </w:tcPr>
          <w:p w14:paraId="15128E56">
            <w:pPr>
              <w:jc w:val="center"/>
              <w:rPr>
                <w:rFonts w:hint="eastAsia" w:ascii="仿宋_GB2312" w:hAnsi="仿宋_GB2312" w:eastAsia="仿宋_GB2312" w:cs="仿宋_GB2312"/>
                <w:i w:val="0"/>
                <w:iCs w:val="0"/>
                <w:color w:val="000000"/>
                <w:sz w:val="24"/>
                <w:szCs w:val="24"/>
                <w:u w:val="none"/>
              </w:rPr>
            </w:pPr>
          </w:p>
        </w:tc>
        <w:tc>
          <w:tcPr>
            <w:tcW w:w="1770" w:type="dxa"/>
            <w:tcBorders>
              <w:top w:val="nil"/>
              <w:left w:val="single" w:color="000000" w:sz="8" w:space="0"/>
              <w:bottom w:val="single" w:color="000000" w:sz="8" w:space="0"/>
              <w:right w:val="single" w:color="000000" w:sz="8" w:space="0"/>
            </w:tcBorders>
            <w:shd w:val="clear" w:color="auto" w:fill="auto"/>
            <w:vAlign w:val="center"/>
          </w:tcPr>
          <w:p w14:paraId="4C3D30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自项目</w:t>
            </w:r>
            <w:r>
              <w:rPr>
                <w:rFonts w:hint="eastAsia" w:ascii="仿宋_GB2312" w:hAnsi="仿宋_GB2312" w:eastAsia="仿宋_GB2312" w:cs="仿宋_GB2312"/>
                <w:color w:val="000000"/>
                <w:kern w:val="0"/>
                <w:sz w:val="24"/>
                <w:szCs w:val="24"/>
                <w:u w:val="none"/>
                <w:lang w:bidi="ar"/>
              </w:rPr>
              <w:t>达到运维服务标准的现场条件之日</w:t>
            </w:r>
            <w:r>
              <w:rPr>
                <w:rFonts w:hint="eastAsia" w:ascii="仿宋_GB2312" w:hAnsi="仿宋_GB2312" w:eastAsia="仿宋_GB2312" w:cs="仿宋_GB2312"/>
                <w:i w:val="0"/>
                <w:iCs w:val="0"/>
                <w:color w:val="000000"/>
                <w:kern w:val="0"/>
                <w:sz w:val="24"/>
                <w:szCs w:val="24"/>
                <w:u w:val="none"/>
                <w:lang w:val="en-US" w:eastAsia="zh-CN" w:bidi="ar"/>
              </w:rPr>
              <w:t>起为期三年（含性能测试服务期）</w:t>
            </w:r>
          </w:p>
        </w:tc>
      </w:tr>
      <w:tr w14:paraId="28A3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705" w:type="dxa"/>
            <w:gridSpan w:val="2"/>
            <w:tcBorders>
              <w:top w:val="nil"/>
              <w:left w:val="single" w:color="000000" w:sz="8" w:space="0"/>
              <w:bottom w:val="nil"/>
              <w:right w:val="single" w:color="000000" w:sz="8" w:space="0"/>
            </w:tcBorders>
            <w:shd w:val="clear" w:color="auto" w:fill="auto"/>
            <w:vAlign w:val="center"/>
          </w:tcPr>
          <w:p w14:paraId="5F89137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合计（元）：</w:t>
            </w:r>
          </w:p>
        </w:tc>
        <w:tc>
          <w:tcPr>
            <w:tcW w:w="4547" w:type="dxa"/>
            <w:gridSpan w:val="4"/>
            <w:tcBorders>
              <w:top w:val="nil"/>
              <w:left w:val="nil"/>
              <w:bottom w:val="nil"/>
              <w:right w:val="single" w:color="000000" w:sz="8" w:space="0"/>
            </w:tcBorders>
            <w:shd w:val="clear" w:color="auto" w:fill="auto"/>
            <w:vAlign w:val="center"/>
          </w:tcPr>
          <w:p w14:paraId="285C83AB">
            <w:pPr>
              <w:jc w:val="center"/>
              <w:rPr>
                <w:rFonts w:hint="eastAsia" w:ascii="仿宋_GB2312" w:hAnsi="仿宋_GB2312" w:eastAsia="仿宋_GB2312" w:cs="仿宋_GB2312"/>
                <w:i w:val="0"/>
                <w:iCs w:val="0"/>
                <w:color w:val="000000"/>
                <w:sz w:val="24"/>
                <w:szCs w:val="24"/>
                <w:u w:val="none"/>
              </w:rPr>
            </w:pPr>
          </w:p>
        </w:tc>
        <w:tc>
          <w:tcPr>
            <w:tcW w:w="1770" w:type="dxa"/>
            <w:tcBorders>
              <w:top w:val="nil"/>
              <w:left w:val="single" w:color="000000" w:sz="8" w:space="0"/>
              <w:bottom w:val="nil"/>
              <w:right w:val="single" w:color="000000" w:sz="8" w:space="0"/>
            </w:tcBorders>
            <w:shd w:val="clear" w:color="auto" w:fill="auto"/>
            <w:vAlign w:val="center"/>
          </w:tcPr>
          <w:p w14:paraId="76AE06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384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705" w:type="dxa"/>
            <w:gridSpan w:val="2"/>
            <w:tcBorders>
              <w:top w:val="nil"/>
              <w:left w:val="single" w:color="000000" w:sz="8" w:space="0"/>
              <w:bottom w:val="single" w:color="000000" w:sz="8" w:space="0"/>
              <w:right w:val="single" w:color="000000" w:sz="8" w:space="0"/>
            </w:tcBorders>
            <w:shd w:val="clear" w:color="auto" w:fill="auto"/>
            <w:vAlign w:val="center"/>
          </w:tcPr>
          <w:p w14:paraId="7A6E6B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大写：</w:t>
            </w:r>
          </w:p>
        </w:tc>
        <w:tc>
          <w:tcPr>
            <w:tcW w:w="4547" w:type="dxa"/>
            <w:gridSpan w:val="4"/>
            <w:tcBorders>
              <w:top w:val="nil"/>
              <w:left w:val="nil"/>
              <w:bottom w:val="single" w:color="000000" w:sz="8" w:space="0"/>
              <w:right w:val="single" w:color="000000" w:sz="8" w:space="0"/>
            </w:tcBorders>
            <w:shd w:val="clear" w:color="auto" w:fill="auto"/>
            <w:vAlign w:val="center"/>
          </w:tcPr>
          <w:p w14:paraId="4EED35CE">
            <w:pPr>
              <w:jc w:val="left"/>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人民币</w:t>
            </w:r>
          </w:p>
        </w:tc>
        <w:tc>
          <w:tcPr>
            <w:tcW w:w="1770" w:type="dxa"/>
            <w:tcBorders>
              <w:top w:val="nil"/>
              <w:left w:val="single" w:color="000000" w:sz="8" w:space="0"/>
              <w:bottom w:val="single" w:color="000000" w:sz="8" w:space="0"/>
              <w:right w:val="single" w:color="000000" w:sz="8" w:space="0"/>
            </w:tcBorders>
            <w:shd w:val="clear" w:color="auto" w:fill="auto"/>
            <w:vAlign w:val="center"/>
          </w:tcPr>
          <w:p w14:paraId="46ADC0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150523C4">
      <w:pPr>
        <w:snapToGrid w:val="0"/>
        <w:spacing w:line="360" w:lineRule="auto"/>
        <w:ind w:left="682" w:hanging="716" w:hangingChars="341"/>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注：1、本项目发包方式为固定总价包干，实行固定价格报价，包括但不限于：完成本项目的成本、利润、税金等在项目过程中可能产生的一切费用。</w:t>
      </w:r>
      <w:r>
        <w:rPr>
          <w:rFonts w:hint="eastAsia" w:ascii="仿宋_GB2312" w:hAnsi="仿宋_GB2312" w:eastAsia="仿宋_GB2312" w:cs="仿宋_GB2312"/>
          <w:sz w:val="21"/>
          <w:szCs w:val="21"/>
          <w:lang w:eastAsia="zh-CN"/>
        </w:rPr>
        <w:t>投标人</w:t>
      </w:r>
      <w:r>
        <w:rPr>
          <w:rFonts w:hint="eastAsia" w:ascii="仿宋_GB2312" w:hAnsi="仿宋_GB2312" w:eastAsia="仿宋_GB2312" w:cs="仿宋_GB2312"/>
          <w:sz w:val="21"/>
          <w:szCs w:val="21"/>
        </w:rPr>
        <w:t>已充分考虑了本项目服务内容及要求描述工作量可能与最终实际工作量存在差距的风险</w:t>
      </w:r>
      <w:r>
        <w:rPr>
          <w:rFonts w:hint="eastAsia" w:ascii="仿宋_GB2312" w:hAnsi="仿宋_GB2312" w:eastAsia="仿宋_GB2312" w:cs="仿宋_GB2312"/>
          <w:sz w:val="21"/>
          <w:szCs w:val="21"/>
          <w:lang w:eastAsia="zh-CN"/>
        </w:rPr>
        <w:t>。</w:t>
      </w:r>
    </w:p>
    <w:p w14:paraId="60AD26DB">
      <w:pPr>
        <w:snapToGrid w:val="0"/>
        <w:spacing w:line="36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2、投标人在中标后必须依据国家相关税务法规开具服务类增值税专用发票。</w:t>
      </w:r>
    </w:p>
    <w:p w14:paraId="08B65102"/>
    <w:p w14:paraId="2469552B">
      <w:pPr>
        <w:rPr>
          <w:rFonts w:ascii="宋体" w:hAnsi="宋体"/>
          <w:szCs w:val="21"/>
        </w:rPr>
      </w:pPr>
      <w:r>
        <w:rPr>
          <w:rFonts w:hint="eastAsia" w:ascii="宋体" w:hAnsi="宋体"/>
          <w:szCs w:val="21"/>
        </w:rPr>
        <w:t>投标人代表签字：</w:t>
      </w:r>
    </w:p>
    <w:p w14:paraId="2258B91A">
      <w:pPr>
        <w:rPr>
          <w:rFonts w:ascii="宋体" w:hAnsi="宋体"/>
          <w:szCs w:val="21"/>
        </w:rPr>
      </w:pPr>
      <w:r>
        <w:rPr>
          <w:rFonts w:hint="eastAsia" w:ascii="宋体" w:hAnsi="宋体"/>
          <w:szCs w:val="21"/>
        </w:rPr>
        <w:t>投标人盖章：</w:t>
      </w:r>
    </w:p>
    <w:p w14:paraId="490A317D">
      <w:pPr>
        <w:rPr>
          <w:rFonts w:ascii="宋体" w:hAnsi="宋体"/>
          <w:szCs w:val="21"/>
        </w:rPr>
      </w:pPr>
      <w:r>
        <w:rPr>
          <w:rFonts w:hint="eastAsia" w:ascii="宋体" w:hAnsi="宋体"/>
          <w:szCs w:val="21"/>
        </w:rPr>
        <w:t>日期：</w:t>
      </w:r>
      <w:r>
        <w:rPr>
          <w:rFonts w:hint="eastAsia" w:ascii="宋体" w:hAnsi="宋体"/>
          <w:szCs w:val="21"/>
        </w:rPr>
        <w:br w:type="page"/>
      </w:r>
    </w:p>
    <w:p w14:paraId="7F1AB80C">
      <w:pPr>
        <w:pStyle w:val="6"/>
        <w:widowControl w:val="0"/>
        <w:overflowPunct w:val="0"/>
        <w:spacing w:line="240" w:lineRule="auto"/>
      </w:pPr>
      <w:bookmarkStart w:id="155" w:name="_Toc11732"/>
      <w:r>
        <w:rPr>
          <w:rFonts w:hint="eastAsia" w:ascii="宋体" w:hAnsi="宋体"/>
          <w:sz w:val="21"/>
          <w:szCs w:val="21"/>
        </w:rPr>
        <w:t>附件</w:t>
      </w:r>
      <w:r>
        <w:rPr>
          <w:rFonts w:hint="eastAsia" w:ascii="宋体" w:hAnsi="宋体"/>
          <w:sz w:val="21"/>
          <w:szCs w:val="21"/>
          <w:lang w:val="en-US" w:eastAsia="zh-CN"/>
        </w:rPr>
        <w:t>3</w:t>
      </w:r>
      <w:r>
        <w:rPr>
          <w:rFonts w:hint="eastAsia" w:ascii="宋体" w:hAnsi="宋体"/>
          <w:sz w:val="21"/>
          <w:szCs w:val="21"/>
        </w:rPr>
        <w:t>.投标书格式</w:t>
      </w:r>
      <w:bookmarkEnd w:id="155"/>
    </w:p>
    <w:p w14:paraId="4931641E">
      <w:pPr>
        <w:jc w:val="center"/>
        <w:rPr>
          <w:rFonts w:ascii="宋体" w:hAnsi="宋体"/>
          <w:szCs w:val="21"/>
        </w:rPr>
      </w:pPr>
      <w:r>
        <w:rPr>
          <w:rFonts w:hint="eastAsia" w:ascii="黑体" w:eastAsia="黑体"/>
          <w:sz w:val="32"/>
          <w:szCs w:val="32"/>
        </w:rPr>
        <w:t>投标书</w:t>
      </w:r>
    </w:p>
    <w:p w14:paraId="5FEE99CC">
      <w:pPr>
        <w:rPr>
          <w:rFonts w:ascii="宋体" w:hAnsi="宋体"/>
          <w:szCs w:val="21"/>
        </w:rPr>
      </w:pPr>
      <w:r>
        <w:rPr>
          <w:rFonts w:hint="eastAsia" w:ascii="宋体" w:hAnsi="宋体"/>
          <w:szCs w:val="21"/>
        </w:rPr>
        <w:t>致：</w:t>
      </w:r>
      <w:r>
        <w:rPr>
          <w:rFonts w:hint="eastAsia" w:ascii="宋体" w:hAnsi="宋体"/>
          <w:szCs w:val="21"/>
          <w:lang w:eastAsia="zh-CN"/>
        </w:rPr>
        <w:t>东莞市新东元环保投资有限公司</w:t>
      </w:r>
      <w:r>
        <w:rPr>
          <w:rFonts w:hint="eastAsia" w:ascii="宋体" w:hAnsi="宋体"/>
          <w:szCs w:val="21"/>
        </w:rPr>
        <w:t>：</w:t>
      </w:r>
    </w:p>
    <w:p w14:paraId="52684ECA">
      <w:pPr>
        <w:rPr>
          <w:rFonts w:ascii="宋体" w:hAnsi="宋体"/>
          <w:szCs w:val="21"/>
        </w:rPr>
      </w:pPr>
    </w:p>
    <w:p w14:paraId="64AC5D9C">
      <w:pPr>
        <w:ind w:firstLine="420" w:firstLineChars="200"/>
        <w:rPr>
          <w:rFonts w:ascii="宋体" w:hAnsi="宋体"/>
          <w:szCs w:val="21"/>
        </w:rPr>
      </w:pPr>
      <w:r>
        <w:rPr>
          <w:rFonts w:hint="eastAsia" w:ascii="宋体" w:hAnsi="宋体"/>
          <w:szCs w:val="21"/>
        </w:rPr>
        <w:t>根据贵方为</w:t>
      </w:r>
      <w:r>
        <w:rPr>
          <w:rFonts w:hint="eastAsia" w:ascii="宋体" w:hAnsi="宋体"/>
          <w:szCs w:val="21"/>
          <w:u w:val="single"/>
        </w:rPr>
        <w:t>（项目名称）（采购项目编号）</w:t>
      </w:r>
      <w:r>
        <w:rPr>
          <w:rFonts w:hint="eastAsia" w:ascii="宋体" w:hAnsi="宋体"/>
          <w:szCs w:val="21"/>
        </w:rPr>
        <w:t>项目采购公告/采购邀请，签字代表</w:t>
      </w:r>
      <w:r>
        <w:rPr>
          <w:rFonts w:hint="eastAsia" w:ascii="宋体" w:hAnsi="宋体"/>
          <w:szCs w:val="21"/>
          <w:u w:val="single"/>
        </w:rPr>
        <w:t>（姓名、职务）</w:t>
      </w:r>
      <w:r>
        <w:rPr>
          <w:rFonts w:hint="eastAsia" w:ascii="宋体" w:hAnsi="宋体"/>
          <w:szCs w:val="21"/>
        </w:rPr>
        <w:t>经正式授权并代表投标人</w:t>
      </w:r>
      <w:r>
        <w:rPr>
          <w:rFonts w:hint="eastAsia" w:ascii="宋体" w:hAnsi="宋体"/>
          <w:szCs w:val="21"/>
          <w:u w:val="single"/>
        </w:rPr>
        <w:t>（投标人名称、地址）</w:t>
      </w:r>
      <w:r>
        <w:rPr>
          <w:rFonts w:hint="eastAsia" w:ascii="宋体" w:hAnsi="宋体"/>
          <w:szCs w:val="21"/>
        </w:rPr>
        <w:t>提交投标文件及“唱标信封”：</w:t>
      </w:r>
    </w:p>
    <w:p w14:paraId="135C48D4">
      <w:pPr>
        <w:ind w:firstLine="420" w:firstLineChars="200"/>
        <w:rPr>
          <w:rFonts w:ascii="宋体" w:hAnsi="宋体"/>
          <w:szCs w:val="21"/>
        </w:rPr>
      </w:pPr>
      <w:r>
        <w:rPr>
          <w:rFonts w:hint="eastAsia" w:ascii="宋体" w:hAnsi="宋体"/>
          <w:szCs w:val="21"/>
        </w:rPr>
        <w:t xml:space="preserve">在此，签字代表宣布同意如下： </w:t>
      </w:r>
    </w:p>
    <w:p w14:paraId="0BB2C5EA">
      <w:pPr>
        <w:widowControl w:val="0"/>
        <w:numPr>
          <w:ilvl w:val="0"/>
          <w:numId w:val="34"/>
        </w:numPr>
        <w:adjustRightInd/>
        <w:snapToGrid/>
        <w:jc w:val="both"/>
        <w:rPr>
          <w:rFonts w:ascii="宋体" w:hAnsi="宋体"/>
          <w:szCs w:val="21"/>
        </w:rPr>
      </w:pPr>
      <w:r>
        <w:rPr>
          <w:rFonts w:hint="eastAsia" w:ascii="宋体" w:hAnsi="宋体"/>
          <w:szCs w:val="21"/>
        </w:rPr>
        <w:t xml:space="preserve">我方将按采购文件的规定履行合同责任和义务。 </w:t>
      </w:r>
    </w:p>
    <w:p w14:paraId="2D5C2513">
      <w:pPr>
        <w:widowControl w:val="0"/>
        <w:numPr>
          <w:ilvl w:val="0"/>
          <w:numId w:val="34"/>
        </w:numPr>
        <w:adjustRightInd/>
        <w:snapToGrid/>
        <w:jc w:val="both"/>
        <w:rPr>
          <w:rFonts w:ascii="宋体" w:hAnsi="宋体"/>
          <w:szCs w:val="21"/>
        </w:rPr>
      </w:pPr>
      <w:r>
        <w:rPr>
          <w:rFonts w:hint="eastAsia" w:ascii="宋体" w:hAnsi="宋体"/>
          <w:b/>
          <w:szCs w:val="21"/>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6C2457F8">
      <w:pPr>
        <w:widowControl w:val="0"/>
        <w:numPr>
          <w:ilvl w:val="0"/>
          <w:numId w:val="34"/>
        </w:numPr>
        <w:adjustRightInd/>
        <w:snapToGrid/>
        <w:jc w:val="both"/>
        <w:rPr>
          <w:rFonts w:ascii="宋体" w:hAnsi="宋体"/>
          <w:szCs w:val="21"/>
        </w:rPr>
      </w:pPr>
      <w:r>
        <w:rPr>
          <w:rFonts w:hint="eastAsia" w:ascii="宋体" w:hAnsi="宋体"/>
          <w:szCs w:val="21"/>
        </w:rPr>
        <w:t>本投标有效期为自开标日起</w:t>
      </w:r>
      <w:r>
        <w:rPr>
          <w:rFonts w:hint="eastAsia" w:ascii="宋体" w:hAnsi="宋体"/>
          <w:szCs w:val="21"/>
          <w:u w:val="single"/>
        </w:rPr>
        <w:t>90</w:t>
      </w:r>
      <w:r>
        <w:rPr>
          <w:rFonts w:hint="eastAsia" w:ascii="宋体" w:hAnsi="宋体"/>
          <w:szCs w:val="21"/>
        </w:rPr>
        <w:t xml:space="preserve">个日历日。 </w:t>
      </w:r>
    </w:p>
    <w:p w14:paraId="14EAB285">
      <w:pPr>
        <w:widowControl w:val="0"/>
        <w:numPr>
          <w:ilvl w:val="0"/>
          <w:numId w:val="34"/>
        </w:numPr>
        <w:adjustRightInd/>
        <w:snapToGrid/>
        <w:jc w:val="both"/>
        <w:rPr>
          <w:rFonts w:ascii="宋体" w:hAnsi="宋体"/>
          <w:szCs w:val="21"/>
        </w:rPr>
      </w:pPr>
      <w:r>
        <w:rPr>
          <w:rFonts w:hint="eastAsia" w:ascii="宋体" w:hAnsi="宋体"/>
          <w:szCs w:val="21"/>
        </w:rPr>
        <w:t>我方保证遵守投标人须知中关于没收投标保证金的规定。</w:t>
      </w:r>
    </w:p>
    <w:p w14:paraId="3E350A61">
      <w:pPr>
        <w:widowControl w:val="0"/>
        <w:numPr>
          <w:ilvl w:val="0"/>
          <w:numId w:val="34"/>
        </w:numPr>
        <w:adjustRightInd/>
        <w:snapToGrid/>
        <w:jc w:val="both"/>
        <w:rPr>
          <w:rFonts w:ascii="宋体" w:hAnsi="宋体"/>
          <w:szCs w:val="21"/>
        </w:rPr>
      </w:pPr>
      <w:r>
        <w:rPr>
          <w:rFonts w:hint="eastAsia" w:ascii="宋体" w:hAnsi="宋体"/>
          <w:szCs w:val="21"/>
        </w:rPr>
        <w:t>我方承诺，与</w:t>
      </w:r>
      <w:r>
        <w:rPr>
          <w:rFonts w:hint="eastAsia" w:ascii="宋体" w:hAnsi="宋体"/>
          <w:szCs w:val="21"/>
          <w:lang w:val="en-US" w:eastAsia="zh-CN"/>
        </w:rPr>
        <w:t>采购人</w:t>
      </w:r>
      <w:r>
        <w:rPr>
          <w:rFonts w:hint="eastAsia" w:ascii="宋体" w:hAnsi="宋体"/>
          <w:szCs w:val="21"/>
        </w:rPr>
        <w:t>聘请的为此项目提供咨询服务的公司及任何附属机构均无关联，我方不是</w:t>
      </w:r>
      <w:r>
        <w:rPr>
          <w:rFonts w:hint="eastAsia" w:ascii="宋体" w:hAnsi="宋体"/>
          <w:szCs w:val="21"/>
          <w:lang w:val="en-US" w:eastAsia="zh-CN"/>
        </w:rPr>
        <w:t>采购人</w:t>
      </w:r>
      <w:r>
        <w:rPr>
          <w:rFonts w:hint="eastAsia" w:ascii="宋体" w:hAnsi="宋体"/>
          <w:szCs w:val="21"/>
        </w:rPr>
        <w:t xml:space="preserve">的附属机构。 </w:t>
      </w:r>
    </w:p>
    <w:p w14:paraId="341B0B28">
      <w:pPr>
        <w:widowControl w:val="0"/>
        <w:numPr>
          <w:ilvl w:val="0"/>
          <w:numId w:val="34"/>
        </w:numPr>
        <w:adjustRightInd/>
        <w:snapToGrid/>
        <w:jc w:val="both"/>
        <w:rPr>
          <w:rFonts w:ascii="宋体" w:hAnsi="宋体"/>
          <w:szCs w:val="21"/>
        </w:rPr>
      </w:pPr>
      <w:r>
        <w:rPr>
          <w:rFonts w:hint="eastAsia" w:ascii="宋体" w:hAnsi="宋体"/>
          <w:szCs w:val="21"/>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2458AA2C">
      <w:pPr>
        <w:widowControl w:val="0"/>
        <w:numPr>
          <w:ilvl w:val="0"/>
          <w:numId w:val="34"/>
        </w:numPr>
        <w:adjustRightInd/>
        <w:snapToGrid/>
        <w:jc w:val="both"/>
        <w:rPr>
          <w:rFonts w:ascii="宋体" w:hAnsi="宋体"/>
          <w:szCs w:val="21"/>
        </w:rPr>
      </w:pPr>
      <w:r>
        <w:rPr>
          <w:rFonts w:hint="eastAsia" w:ascii="宋体" w:hAnsi="宋体"/>
          <w:szCs w:val="21"/>
        </w:rPr>
        <w:t>我方同意提供按照贵方可能要求的与其投标有关的一切数据或资料。</w:t>
      </w:r>
    </w:p>
    <w:p w14:paraId="113BAECF">
      <w:pPr>
        <w:widowControl w:val="0"/>
        <w:numPr>
          <w:ilvl w:val="0"/>
          <w:numId w:val="34"/>
        </w:numPr>
        <w:adjustRightInd/>
        <w:snapToGrid/>
        <w:jc w:val="both"/>
        <w:rPr>
          <w:rFonts w:ascii="宋体" w:hAnsi="宋体"/>
          <w:szCs w:val="21"/>
        </w:rPr>
      </w:pPr>
      <w:r>
        <w:rPr>
          <w:rFonts w:hint="eastAsia" w:ascii="宋体" w:hAnsi="宋体"/>
          <w:szCs w:val="21"/>
        </w:rPr>
        <w:t>与本投标有关的一切正式信函请寄：</w:t>
      </w:r>
    </w:p>
    <w:p w14:paraId="538283E1">
      <w:pPr>
        <w:rPr>
          <w:rFonts w:ascii="宋体" w:hAnsi="宋体"/>
          <w:szCs w:val="21"/>
        </w:rPr>
      </w:pPr>
      <w:r>
        <w:rPr>
          <w:rFonts w:hint="eastAsia" w:ascii="宋体" w:hAnsi="宋体"/>
          <w:szCs w:val="21"/>
        </w:rPr>
        <w:t>地址：　　　　　　　　　　　　　　　　　　　 电子邮箱：</w:t>
      </w:r>
    </w:p>
    <w:p w14:paraId="76D34228">
      <w:pPr>
        <w:rPr>
          <w:rFonts w:ascii="宋体" w:hAnsi="宋体"/>
          <w:szCs w:val="21"/>
        </w:rPr>
      </w:pPr>
      <w:r>
        <w:rPr>
          <w:rFonts w:hint="eastAsia" w:ascii="宋体" w:hAnsi="宋体"/>
          <w:szCs w:val="21"/>
        </w:rPr>
        <w:t>电话/移动电话：　　　　　　　　　　　　　　　</w:t>
      </w:r>
    </w:p>
    <w:p w14:paraId="05EA8831">
      <w:pPr>
        <w:rPr>
          <w:rFonts w:ascii="宋体" w:hAnsi="宋体"/>
          <w:szCs w:val="21"/>
        </w:rPr>
      </w:pPr>
      <w:r>
        <w:rPr>
          <w:rFonts w:hint="eastAsia" w:ascii="宋体" w:hAnsi="宋体"/>
          <w:szCs w:val="21"/>
        </w:rPr>
        <w:t xml:space="preserve">投标人法定代表人（或其授权代表）签字： </w:t>
      </w:r>
    </w:p>
    <w:p w14:paraId="6A48AE19">
      <w:pPr>
        <w:rPr>
          <w:rFonts w:ascii="宋体" w:hAnsi="宋体"/>
          <w:szCs w:val="21"/>
        </w:rPr>
      </w:pPr>
      <w:r>
        <w:rPr>
          <w:rFonts w:hint="eastAsia" w:ascii="宋体" w:hAnsi="宋体"/>
          <w:szCs w:val="21"/>
        </w:rPr>
        <w:t xml:space="preserve">投标人名称（全称）： </w:t>
      </w:r>
    </w:p>
    <w:p w14:paraId="5F5EED19">
      <w:pPr>
        <w:rPr>
          <w:rFonts w:ascii="宋体" w:hAnsi="宋体"/>
          <w:szCs w:val="21"/>
        </w:rPr>
      </w:pPr>
      <w:r>
        <w:rPr>
          <w:rFonts w:hint="eastAsia" w:ascii="宋体" w:hAnsi="宋体"/>
          <w:szCs w:val="21"/>
        </w:rPr>
        <w:t xml:space="preserve">投标人盖章： </w:t>
      </w:r>
    </w:p>
    <w:p w14:paraId="36C80137">
      <w:r>
        <w:rPr>
          <w:rFonts w:hint="eastAsia" w:ascii="宋体" w:hAnsi="宋体"/>
          <w:szCs w:val="21"/>
        </w:rPr>
        <w:t>日期：</w:t>
      </w:r>
      <w:r>
        <w:br w:type="page"/>
      </w:r>
    </w:p>
    <w:p w14:paraId="36A01635">
      <w:pPr>
        <w:pStyle w:val="6"/>
        <w:widowControl w:val="0"/>
        <w:overflowPunct w:val="0"/>
        <w:spacing w:line="240" w:lineRule="auto"/>
        <w:rPr>
          <w:rFonts w:ascii="宋体" w:hAnsi="宋体"/>
          <w:sz w:val="21"/>
          <w:szCs w:val="21"/>
        </w:rPr>
      </w:pPr>
      <w:bookmarkStart w:id="156" w:name="_Toc19972"/>
      <w:r>
        <w:rPr>
          <w:rFonts w:hint="eastAsia" w:ascii="宋体" w:hAnsi="宋体"/>
          <w:sz w:val="21"/>
          <w:szCs w:val="21"/>
        </w:rPr>
        <w:t>附件</w:t>
      </w:r>
      <w:r>
        <w:rPr>
          <w:rFonts w:hint="eastAsia" w:ascii="宋体" w:hAnsi="宋体"/>
          <w:sz w:val="21"/>
          <w:szCs w:val="21"/>
          <w:lang w:val="en-US" w:eastAsia="zh-CN"/>
        </w:rPr>
        <w:t>4</w:t>
      </w:r>
      <w:r>
        <w:rPr>
          <w:rFonts w:hint="eastAsia" w:ascii="宋体" w:hAnsi="宋体"/>
          <w:sz w:val="21"/>
          <w:szCs w:val="21"/>
        </w:rPr>
        <w:t>. 法定代表人证明书格式</w:t>
      </w:r>
      <w:bookmarkEnd w:id="156"/>
    </w:p>
    <w:p w14:paraId="16878293"/>
    <w:p w14:paraId="4CCC8506">
      <w:pPr>
        <w:jc w:val="center"/>
        <w:rPr>
          <w:rFonts w:ascii="黑体" w:eastAsia="黑体"/>
          <w:sz w:val="28"/>
          <w:szCs w:val="28"/>
        </w:rPr>
      </w:pPr>
      <w:r>
        <w:rPr>
          <w:rFonts w:hint="eastAsia" w:ascii="黑体" w:eastAsia="黑体"/>
          <w:sz w:val="28"/>
          <w:szCs w:val="28"/>
        </w:rPr>
        <w:t>法定代表人证明书</w:t>
      </w:r>
    </w:p>
    <w:p w14:paraId="64109C10">
      <w:pPr>
        <w:pStyle w:val="45"/>
        <w:spacing w:line="420" w:lineRule="atLeast"/>
        <w:ind w:firstLine="0" w:firstLineChars="0"/>
        <w:rPr>
          <w:rFonts w:hint="eastAsia" w:ascii="宋体" w:eastAsia="宋体"/>
          <w:sz w:val="21"/>
          <w:szCs w:val="21"/>
          <w:lang w:eastAsia="zh-CN"/>
        </w:rPr>
      </w:pPr>
      <w:r>
        <w:rPr>
          <w:rFonts w:hint="eastAsia" w:ascii="宋体" w:eastAsia="宋体"/>
          <w:sz w:val="21"/>
          <w:szCs w:val="21"/>
        </w:rPr>
        <w:t>致：</w:t>
      </w:r>
      <w:r>
        <w:rPr>
          <w:rFonts w:hint="eastAsia" w:ascii="宋体" w:eastAsia="宋体"/>
          <w:sz w:val="21"/>
          <w:szCs w:val="21"/>
          <w:lang w:eastAsia="zh-CN"/>
        </w:rPr>
        <w:t>东莞市新东元环保投资有限公司</w:t>
      </w:r>
    </w:p>
    <w:p w14:paraId="01ECD8DB">
      <w:pPr>
        <w:pStyle w:val="45"/>
        <w:spacing w:line="420" w:lineRule="atLeast"/>
        <w:ind w:firstLine="433"/>
        <w:rPr>
          <w:rFonts w:ascii="宋体" w:eastAsia="宋体"/>
          <w:sz w:val="21"/>
          <w:szCs w:val="21"/>
        </w:rPr>
      </w:pPr>
    </w:p>
    <w:p w14:paraId="445A9B82">
      <w:pPr>
        <w:pStyle w:val="45"/>
        <w:spacing w:line="420" w:lineRule="atLeast"/>
        <w:ind w:firstLine="433"/>
        <w:rPr>
          <w:rFonts w:ascii="宋体" w:eastAsia="宋体"/>
          <w:sz w:val="21"/>
          <w:szCs w:val="21"/>
          <w:u w:val="single"/>
        </w:rPr>
      </w:pPr>
      <w:r>
        <w:rPr>
          <w:rFonts w:hint="eastAsia" w:ascii="宋体" w:eastAsia="宋体"/>
          <w:sz w:val="21"/>
          <w:szCs w:val="21"/>
        </w:rPr>
        <w:t>投标人名称:</w:t>
      </w:r>
    </w:p>
    <w:p w14:paraId="47634D8A">
      <w:pPr>
        <w:pStyle w:val="45"/>
        <w:spacing w:line="420" w:lineRule="atLeast"/>
        <w:ind w:firstLine="433"/>
        <w:rPr>
          <w:rFonts w:ascii="宋体" w:eastAsia="宋体"/>
          <w:sz w:val="21"/>
          <w:szCs w:val="21"/>
          <w:u w:val="single"/>
        </w:rPr>
      </w:pPr>
      <w:r>
        <w:rPr>
          <w:rFonts w:hint="eastAsia" w:ascii="宋体" w:eastAsia="宋体"/>
          <w:sz w:val="21"/>
          <w:szCs w:val="21"/>
        </w:rPr>
        <w:t>单 位 性质：</w:t>
      </w:r>
    </w:p>
    <w:p w14:paraId="6012161C">
      <w:pPr>
        <w:pStyle w:val="45"/>
        <w:spacing w:line="420" w:lineRule="atLeast"/>
        <w:ind w:firstLine="433"/>
        <w:rPr>
          <w:rFonts w:ascii="宋体" w:eastAsia="宋体"/>
          <w:sz w:val="21"/>
          <w:szCs w:val="21"/>
          <w:u w:val="single"/>
        </w:rPr>
      </w:pPr>
      <w:r>
        <w:rPr>
          <w:rFonts w:hint="eastAsia" w:ascii="宋体" w:eastAsia="宋体"/>
          <w:sz w:val="21"/>
          <w:szCs w:val="21"/>
        </w:rPr>
        <w:t>地      址：</w:t>
      </w:r>
    </w:p>
    <w:p w14:paraId="14A2F765">
      <w:pPr>
        <w:pStyle w:val="45"/>
        <w:spacing w:line="420" w:lineRule="atLeast"/>
        <w:ind w:firstLine="433"/>
        <w:rPr>
          <w:rFonts w:ascii="宋体" w:eastAsia="宋体"/>
          <w:sz w:val="21"/>
          <w:szCs w:val="21"/>
        </w:rPr>
      </w:pPr>
      <w:r>
        <w:rPr>
          <w:rFonts w:hint="eastAsia" w:ascii="宋体" w:eastAsia="宋体"/>
          <w:sz w:val="21"/>
          <w:szCs w:val="21"/>
        </w:rPr>
        <w:t>成 立 时间：年月日</w:t>
      </w:r>
    </w:p>
    <w:p w14:paraId="7981728F">
      <w:pPr>
        <w:pStyle w:val="45"/>
        <w:spacing w:line="420" w:lineRule="atLeast"/>
        <w:ind w:firstLine="433"/>
        <w:rPr>
          <w:rFonts w:ascii="宋体" w:eastAsia="宋体"/>
          <w:sz w:val="21"/>
          <w:szCs w:val="21"/>
        </w:rPr>
      </w:pPr>
      <w:r>
        <w:rPr>
          <w:rFonts w:hint="eastAsia" w:ascii="宋体" w:eastAsia="宋体"/>
          <w:sz w:val="21"/>
          <w:szCs w:val="21"/>
        </w:rPr>
        <w:t>经 营 期限：</w:t>
      </w:r>
    </w:p>
    <w:p w14:paraId="76E9262B">
      <w:pPr>
        <w:pStyle w:val="45"/>
        <w:spacing w:line="420" w:lineRule="atLeast"/>
        <w:ind w:firstLine="433"/>
        <w:rPr>
          <w:rFonts w:ascii="宋体" w:eastAsia="宋体"/>
          <w:sz w:val="21"/>
          <w:szCs w:val="21"/>
        </w:rPr>
      </w:pPr>
      <w:r>
        <w:rPr>
          <w:rFonts w:hint="eastAsia" w:ascii="宋体" w:eastAsia="宋体"/>
          <w:sz w:val="21"/>
          <w:szCs w:val="21"/>
        </w:rPr>
        <w:t>姓名：性别：年龄：职务：</w:t>
      </w:r>
    </w:p>
    <w:p w14:paraId="70156924">
      <w:pPr>
        <w:pStyle w:val="45"/>
        <w:spacing w:line="420" w:lineRule="atLeast"/>
        <w:ind w:firstLine="433"/>
        <w:rPr>
          <w:rFonts w:ascii="宋体" w:eastAsia="宋体"/>
          <w:sz w:val="21"/>
          <w:szCs w:val="21"/>
        </w:rPr>
      </w:pPr>
      <w:r>
        <w:rPr>
          <w:rFonts w:hint="eastAsia" w:ascii="宋体" w:eastAsia="宋体"/>
          <w:sz w:val="21"/>
          <w:szCs w:val="21"/>
        </w:rPr>
        <w:t>系（投标人名称）的法定代表人。</w:t>
      </w:r>
    </w:p>
    <w:p w14:paraId="1CD578EB">
      <w:pPr>
        <w:spacing w:line="420" w:lineRule="atLeast"/>
        <w:ind w:firstLine="420" w:firstLineChars="200"/>
        <w:rPr>
          <w:rFonts w:ascii="宋体" w:hAnsi="宋体"/>
          <w:szCs w:val="21"/>
        </w:rPr>
      </w:pPr>
      <w:r>
        <w:rPr>
          <w:rFonts w:hint="eastAsia" w:ascii="宋体" w:hAnsi="宋体"/>
          <w:szCs w:val="21"/>
        </w:rPr>
        <w:t>特此证明。</w:t>
      </w:r>
    </w:p>
    <w:p w14:paraId="7B564CA7">
      <w:pPr>
        <w:pStyle w:val="45"/>
        <w:spacing w:line="500" w:lineRule="atLeast"/>
        <w:ind w:firstLine="3517" w:firstLineChars="1675"/>
        <w:rPr>
          <w:rFonts w:ascii="宋体" w:eastAsia="宋体"/>
          <w:sz w:val="21"/>
          <w:szCs w:val="21"/>
        </w:rPr>
      </w:pPr>
    </w:p>
    <w:p w14:paraId="33175ACB">
      <w:pPr>
        <w:pStyle w:val="45"/>
        <w:spacing w:line="500" w:lineRule="atLeast"/>
        <w:ind w:firstLine="3517" w:firstLineChars="1675"/>
        <w:rPr>
          <w:rFonts w:ascii="宋体" w:eastAsia="宋体"/>
          <w:sz w:val="21"/>
          <w:szCs w:val="21"/>
        </w:rPr>
      </w:pPr>
      <w:r>
        <w:rPr>
          <w:rFonts w:hint="eastAsia" w:ascii="宋体" w:eastAsia="宋体"/>
          <w:sz w:val="21"/>
          <w:szCs w:val="21"/>
        </w:rPr>
        <w:t>投标人名称（加盖公章）：</w:t>
      </w:r>
    </w:p>
    <w:p w14:paraId="6F16648E">
      <w:pPr>
        <w:pStyle w:val="45"/>
        <w:spacing w:line="500" w:lineRule="atLeast"/>
        <w:ind w:firstLine="3517" w:firstLineChars="1675"/>
        <w:rPr>
          <w:rFonts w:ascii="宋体" w:eastAsia="宋体"/>
          <w:sz w:val="21"/>
          <w:szCs w:val="21"/>
        </w:rPr>
      </w:pPr>
      <w:r>
        <w:rPr>
          <w:rFonts w:hint="eastAsia" w:ascii="宋体" w:eastAsia="宋体"/>
          <w:sz w:val="21"/>
          <w:szCs w:val="21"/>
        </w:rPr>
        <w:t>法定代表人（签名或盖私章）：</w:t>
      </w:r>
    </w:p>
    <w:p w14:paraId="0B7BDC78">
      <w:pPr>
        <w:pStyle w:val="45"/>
        <w:spacing w:line="500" w:lineRule="atLeast"/>
        <w:ind w:firstLine="3517" w:firstLineChars="1675"/>
        <w:rPr>
          <w:rFonts w:ascii="宋体" w:eastAsia="宋体"/>
          <w:sz w:val="21"/>
          <w:szCs w:val="21"/>
        </w:rPr>
      </w:pPr>
      <w:r>
        <w:rPr>
          <w:rFonts w:hint="eastAsia" w:ascii="宋体" w:eastAsia="宋体"/>
          <w:sz w:val="21"/>
          <w:szCs w:val="21"/>
        </w:rPr>
        <w:t>法定代表人联系方式：</w:t>
      </w:r>
    </w:p>
    <w:p w14:paraId="23F9E713">
      <w:pPr>
        <w:pStyle w:val="45"/>
        <w:spacing w:line="500" w:lineRule="atLeast"/>
        <w:ind w:firstLine="3517" w:firstLineChars="1675"/>
        <w:rPr>
          <w:rFonts w:ascii="宋体" w:eastAsia="宋体"/>
          <w:sz w:val="21"/>
          <w:szCs w:val="21"/>
          <w:u w:val="single"/>
        </w:rPr>
      </w:pPr>
      <w:r>
        <w:rPr>
          <w:rFonts w:hint="eastAsia" w:ascii="宋体" w:eastAsia="宋体"/>
          <w:sz w:val="21"/>
          <w:szCs w:val="21"/>
        </w:rPr>
        <w:t>身份证号码：</w:t>
      </w:r>
    </w:p>
    <w:p w14:paraId="3777F0D3">
      <w:pPr>
        <w:pStyle w:val="45"/>
        <w:spacing w:line="500" w:lineRule="atLeast"/>
        <w:ind w:firstLine="3507" w:firstLineChars="1670"/>
        <w:rPr>
          <w:rFonts w:ascii="宋体" w:eastAsia="宋体"/>
          <w:sz w:val="21"/>
          <w:szCs w:val="21"/>
        </w:rPr>
      </w:pPr>
      <w:r>
        <w:rPr>
          <w:rFonts w:hint="eastAsia" w:ascii="宋体" w:eastAsia="宋体"/>
          <w:sz w:val="21"/>
          <w:szCs w:val="21"/>
        </w:rPr>
        <w:t>日     期：  年  月  日</w:t>
      </w:r>
    </w:p>
    <w:p w14:paraId="1EFF953B">
      <w:pPr>
        <w:ind w:firstLine="420" w:firstLineChars="200"/>
        <w:rPr>
          <w:rFonts w:ascii="宋体" w:hAnsi="宋体"/>
          <w:szCs w:val="21"/>
        </w:rPr>
      </w:pPr>
    </w:p>
    <w:p w14:paraId="3244FD7E">
      <w:pPr>
        <w:ind w:firstLine="420" w:firstLineChars="200"/>
        <w:rPr>
          <w:rFonts w:ascii="宋体" w:hAnsi="宋体"/>
          <w:szCs w:val="21"/>
        </w:rPr>
      </w:pPr>
      <w:r>
        <w:rPr>
          <w:rFonts w:hint="eastAsia" w:ascii="宋体" w:hAnsi="宋体"/>
          <w:szCs w:val="21"/>
        </w:rPr>
        <w:t>注：法定代表人身份证明书需附法人代表身份证复印件。</w:t>
      </w:r>
    </w:p>
    <w:tbl>
      <w:tblPr>
        <w:tblStyle w:val="30"/>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49ADD57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13263E92">
            <w:pPr>
              <w:pStyle w:val="45"/>
              <w:spacing w:line="460" w:lineRule="exact"/>
              <w:ind w:firstLine="0" w:firstLineChars="0"/>
              <w:jc w:val="center"/>
              <w:rPr>
                <w:rFonts w:ascii="宋体" w:eastAsia="宋体"/>
                <w:sz w:val="22"/>
              </w:rPr>
            </w:pPr>
            <w:r>
              <w:rPr>
                <w:rFonts w:hint="eastAsia" w:ascii="宋体" w:eastAsia="宋体"/>
                <w:sz w:val="22"/>
              </w:rPr>
              <w:t>正面</w:t>
            </w:r>
          </w:p>
        </w:tc>
        <w:tc>
          <w:tcPr>
            <w:tcW w:w="4182" w:type="dxa"/>
            <w:vAlign w:val="center"/>
          </w:tcPr>
          <w:p w14:paraId="688ACDC3">
            <w:pPr>
              <w:pStyle w:val="45"/>
              <w:spacing w:line="460" w:lineRule="exact"/>
              <w:ind w:firstLine="0" w:firstLineChars="0"/>
              <w:jc w:val="center"/>
              <w:rPr>
                <w:rFonts w:ascii="宋体" w:eastAsia="宋体"/>
                <w:sz w:val="22"/>
              </w:rPr>
            </w:pPr>
            <w:r>
              <w:rPr>
                <w:rFonts w:hint="eastAsia" w:ascii="宋体" w:eastAsia="宋体"/>
                <w:sz w:val="22"/>
              </w:rPr>
              <w:t>背面</w:t>
            </w:r>
          </w:p>
        </w:tc>
      </w:tr>
    </w:tbl>
    <w:p w14:paraId="47612EBD"/>
    <w:p w14:paraId="49A0A8BE">
      <w:pPr>
        <w:adjustRightInd/>
        <w:snapToGrid/>
        <w:spacing w:line="276" w:lineRule="auto"/>
        <w:rPr>
          <w:rFonts w:ascii="楷体_GB2312" w:eastAsia="楷体_GB2312" w:hAnsiTheme="majorHAnsi" w:cstheme="majorBidi"/>
          <w:b/>
          <w:bCs/>
          <w:sz w:val="24"/>
          <w:szCs w:val="28"/>
        </w:rPr>
      </w:pPr>
      <w:r>
        <w:rPr>
          <w:rFonts w:ascii="楷体_GB2312" w:eastAsia="楷体_GB2312"/>
          <w:sz w:val="24"/>
        </w:rPr>
        <w:br w:type="page"/>
      </w:r>
    </w:p>
    <w:p w14:paraId="4AB29F41">
      <w:pPr>
        <w:pStyle w:val="6"/>
        <w:widowControl w:val="0"/>
        <w:overflowPunct w:val="0"/>
        <w:spacing w:line="240" w:lineRule="auto"/>
      </w:pPr>
      <w:bookmarkStart w:id="157" w:name="_Toc19149"/>
      <w:r>
        <w:rPr>
          <w:rFonts w:hint="eastAsia" w:ascii="宋体" w:hAnsi="宋体"/>
          <w:sz w:val="21"/>
          <w:szCs w:val="21"/>
        </w:rPr>
        <w:t>附件</w:t>
      </w:r>
      <w:r>
        <w:rPr>
          <w:rFonts w:hint="eastAsia" w:ascii="宋体" w:hAnsi="宋体"/>
          <w:sz w:val="21"/>
          <w:szCs w:val="21"/>
          <w:lang w:val="en-US" w:eastAsia="zh-CN"/>
        </w:rPr>
        <w:t>5</w:t>
      </w:r>
      <w:r>
        <w:rPr>
          <w:rFonts w:hint="eastAsia" w:ascii="宋体" w:hAnsi="宋体"/>
          <w:sz w:val="21"/>
          <w:szCs w:val="21"/>
        </w:rPr>
        <w:t>.法定代表人授权书格式</w:t>
      </w:r>
      <w:bookmarkEnd w:id="157"/>
    </w:p>
    <w:p w14:paraId="403B363D"/>
    <w:p w14:paraId="0214C61A">
      <w:pPr>
        <w:jc w:val="center"/>
        <w:rPr>
          <w:rFonts w:ascii="黑体" w:eastAsia="黑体"/>
          <w:sz w:val="28"/>
          <w:szCs w:val="28"/>
        </w:rPr>
      </w:pPr>
      <w:r>
        <w:rPr>
          <w:rFonts w:hint="eastAsia" w:ascii="黑体" w:eastAsia="黑体"/>
          <w:sz w:val="28"/>
          <w:szCs w:val="28"/>
        </w:rPr>
        <w:t>法定代表人授权书</w:t>
      </w:r>
    </w:p>
    <w:p w14:paraId="04DD3567">
      <w:pPr>
        <w:pStyle w:val="45"/>
        <w:spacing w:line="420" w:lineRule="atLeast"/>
        <w:ind w:firstLine="0" w:firstLineChars="0"/>
        <w:rPr>
          <w:rFonts w:hint="eastAsia" w:ascii="宋体" w:eastAsia="宋体"/>
          <w:sz w:val="21"/>
          <w:szCs w:val="21"/>
          <w:lang w:eastAsia="zh-CN"/>
        </w:rPr>
      </w:pPr>
      <w:r>
        <w:rPr>
          <w:rFonts w:hint="eastAsia" w:ascii="宋体" w:eastAsia="宋体"/>
          <w:sz w:val="21"/>
          <w:szCs w:val="21"/>
        </w:rPr>
        <w:t>致：</w:t>
      </w:r>
      <w:r>
        <w:rPr>
          <w:rFonts w:hint="eastAsia" w:ascii="宋体" w:eastAsia="宋体"/>
          <w:sz w:val="21"/>
          <w:szCs w:val="21"/>
          <w:lang w:eastAsia="zh-CN"/>
        </w:rPr>
        <w:t>东莞市新东元环保投资有限公司</w:t>
      </w:r>
    </w:p>
    <w:p w14:paraId="32C17C64">
      <w:pPr>
        <w:pStyle w:val="45"/>
        <w:spacing w:line="420" w:lineRule="atLeast"/>
        <w:ind w:firstLine="433"/>
        <w:rPr>
          <w:rFonts w:ascii="宋体" w:eastAsia="宋体"/>
          <w:sz w:val="21"/>
          <w:szCs w:val="21"/>
        </w:rPr>
      </w:pPr>
    </w:p>
    <w:p w14:paraId="1C4C7178">
      <w:pPr>
        <w:ind w:firstLine="420" w:firstLineChars="200"/>
        <w:rPr>
          <w:rFonts w:ascii="宋体" w:hAnsi="宋体" w:cs="Times New Roman"/>
          <w:szCs w:val="21"/>
        </w:rPr>
      </w:pPr>
      <w:r>
        <w:rPr>
          <w:rFonts w:hint="eastAsia" w:ascii="宋体" w:hAnsi="宋体" w:cs="Times New Roman"/>
          <w:szCs w:val="21"/>
        </w:rPr>
        <w:t>本授权书声明：注册于</w:t>
      </w:r>
      <w:r>
        <w:rPr>
          <w:rFonts w:hint="eastAsia" w:ascii="宋体" w:hAnsi="宋体" w:cs="Times New Roman"/>
          <w:szCs w:val="21"/>
          <w:u w:val="single"/>
        </w:rPr>
        <w:t>（国家或地区的名称）</w:t>
      </w:r>
      <w:r>
        <w:rPr>
          <w:rFonts w:hint="eastAsia" w:ascii="宋体" w:hAnsi="宋体" w:cs="Times New Roman"/>
          <w:szCs w:val="21"/>
        </w:rPr>
        <w:t>的</w:t>
      </w:r>
      <w:r>
        <w:rPr>
          <w:rFonts w:hint="eastAsia" w:ascii="宋体" w:hAnsi="宋体" w:cs="Times New Roman"/>
          <w:szCs w:val="21"/>
          <w:u w:val="single"/>
        </w:rPr>
        <w:t>（单位名称）</w:t>
      </w:r>
      <w:r>
        <w:rPr>
          <w:rFonts w:hint="eastAsia" w:ascii="宋体" w:hAnsi="宋体" w:cs="Times New Roman"/>
          <w:szCs w:val="21"/>
        </w:rPr>
        <w:t>的在下面签字的</w:t>
      </w:r>
      <w:r>
        <w:rPr>
          <w:rFonts w:hint="eastAsia" w:ascii="宋体" w:hAnsi="宋体" w:cs="Times New Roman"/>
          <w:szCs w:val="21"/>
          <w:u w:val="single"/>
        </w:rPr>
        <w:t>（法定代表人姓名、职务）</w:t>
      </w:r>
      <w:r>
        <w:rPr>
          <w:rFonts w:hint="eastAsia" w:ascii="宋体" w:hAnsi="宋体" w:cs="Times New Roman"/>
          <w:szCs w:val="21"/>
        </w:rPr>
        <w:t>代表本单位授权</w:t>
      </w:r>
      <w:r>
        <w:rPr>
          <w:rFonts w:hint="eastAsia" w:ascii="宋体" w:hAnsi="宋体" w:cs="Times New Roman"/>
          <w:szCs w:val="21"/>
          <w:u w:val="single"/>
        </w:rPr>
        <w:t>（单位名称）</w:t>
      </w:r>
      <w:r>
        <w:rPr>
          <w:rFonts w:hint="eastAsia" w:ascii="宋体" w:hAnsi="宋体" w:cs="Times New Roman"/>
          <w:szCs w:val="21"/>
        </w:rPr>
        <w:t>的在下面签字的</w:t>
      </w:r>
      <w:r>
        <w:rPr>
          <w:rFonts w:hint="eastAsia" w:ascii="宋体" w:hAnsi="宋体" w:cs="Times New Roman"/>
          <w:szCs w:val="21"/>
          <w:u w:val="single"/>
        </w:rPr>
        <w:t>（被授权人的姓名、职务）</w:t>
      </w:r>
      <w:r>
        <w:rPr>
          <w:rFonts w:hint="eastAsia" w:ascii="宋体" w:hAnsi="宋体" w:cs="Times New Roman"/>
          <w:szCs w:val="21"/>
        </w:rPr>
        <w:t>为本单位的合法代理人，就</w:t>
      </w:r>
      <w:r>
        <w:rPr>
          <w:rFonts w:hint="eastAsia" w:ascii="宋体" w:hAnsi="宋体" w:cs="Times New Roman"/>
          <w:szCs w:val="21"/>
          <w:u w:val="single"/>
        </w:rPr>
        <w:t>（项目名称）</w:t>
      </w:r>
      <w:r>
        <w:rPr>
          <w:rFonts w:hint="eastAsia" w:ascii="宋体" w:hAnsi="宋体" w:cs="Times New Roman"/>
          <w:szCs w:val="21"/>
        </w:rPr>
        <w:t>投标及参加项目谈判，以本单位名义处理一切与之有关的事务。</w:t>
      </w:r>
    </w:p>
    <w:p w14:paraId="238993DD">
      <w:pPr>
        <w:ind w:firstLine="315" w:firstLineChars="150"/>
        <w:rPr>
          <w:rFonts w:ascii="宋体" w:hAnsi="宋体" w:cs="Times New Roman"/>
          <w:szCs w:val="21"/>
        </w:rPr>
      </w:pPr>
      <w:r>
        <w:rPr>
          <w:rFonts w:hint="eastAsia" w:ascii="宋体" w:hAnsi="宋体" w:cs="Times New Roman"/>
          <w:szCs w:val="21"/>
        </w:rPr>
        <w:t>本授权书于</w:t>
      </w:r>
      <w:r>
        <w:rPr>
          <w:rFonts w:hint="eastAsia" w:ascii="宋体" w:hAnsi="宋体" w:cs="Times New Roman"/>
          <w:szCs w:val="21"/>
          <w:u w:val="single"/>
        </w:rPr>
        <w:t>　　</w:t>
      </w:r>
      <w:r>
        <w:rPr>
          <w:rFonts w:hint="eastAsia" w:ascii="宋体" w:hAnsi="宋体" w:cs="Times New Roman"/>
          <w:szCs w:val="21"/>
        </w:rPr>
        <w:t>年</w:t>
      </w:r>
      <w:r>
        <w:rPr>
          <w:rFonts w:hint="eastAsia" w:ascii="宋体" w:hAnsi="宋体" w:cs="Times New Roman"/>
          <w:szCs w:val="21"/>
          <w:u w:val="single"/>
        </w:rPr>
        <w:t>　　</w:t>
      </w:r>
      <w:r>
        <w:rPr>
          <w:rFonts w:hint="eastAsia" w:ascii="宋体" w:hAnsi="宋体" w:cs="Times New Roman"/>
          <w:szCs w:val="21"/>
        </w:rPr>
        <w:t>月</w:t>
      </w:r>
      <w:r>
        <w:rPr>
          <w:rFonts w:hint="eastAsia" w:ascii="宋体" w:hAnsi="宋体" w:cs="Times New Roman"/>
          <w:szCs w:val="21"/>
          <w:u w:val="single"/>
        </w:rPr>
        <w:t>　　</w:t>
      </w:r>
      <w:r>
        <w:rPr>
          <w:rFonts w:hint="eastAsia" w:ascii="宋体" w:hAnsi="宋体" w:cs="Times New Roman"/>
          <w:szCs w:val="21"/>
        </w:rPr>
        <w:t>日签字生效，特此声明。</w:t>
      </w:r>
    </w:p>
    <w:p w14:paraId="56432FD2">
      <w:pPr>
        <w:pStyle w:val="45"/>
        <w:spacing w:line="500" w:lineRule="atLeast"/>
        <w:ind w:firstLine="3517" w:firstLineChars="1675"/>
        <w:rPr>
          <w:rFonts w:ascii="宋体" w:eastAsia="宋体"/>
          <w:sz w:val="21"/>
          <w:szCs w:val="21"/>
        </w:rPr>
      </w:pPr>
    </w:p>
    <w:p w14:paraId="2A182660">
      <w:pPr>
        <w:pStyle w:val="45"/>
        <w:spacing w:line="500" w:lineRule="atLeast"/>
        <w:ind w:firstLine="3517" w:firstLineChars="1675"/>
        <w:rPr>
          <w:rFonts w:ascii="宋体" w:eastAsia="宋体"/>
          <w:sz w:val="21"/>
          <w:szCs w:val="21"/>
        </w:rPr>
      </w:pPr>
      <w:r>
        <w:rPr>
          <w:rFonts w:hint="eastAsia" w:ascii="宋体" w:eastAsia="宋体"/>
          <w:sz w:val="21"/>
          <w:szCs w:val="21"/>
        </w:rPr>
        <w:t>投标人名称（加盖公章）：</w:t>
      </w:r>
    </w:p>
    <w:p w14:paraId="22D7BF3C">
      <w:pPr>
        <w:pStyle w:val="45"/>
        <w:spacing w:line="500" w:lineRule="atLeast"/>
        <w:ind w:firstLine="3517" w:firstLineChars="1675"/>
        <w:rPr>
          <w:rFonts w:ascii="宋体" w:eastAsia="宋体"/>
          <w:sz w:val="21"/>
          <w:szCs w:val="21"/>
          <w:u w:val="single"/>
        </w:rPr>
      </w:pPr>
      <w:r>
        <w:rPr>
          <w:rFonts w:hint="eastAsia" w:ascii="宋体" w:eastAsia="宋体"/>
          <w:sz w:val="21"/>
          <w:szCs w:val="21"/>
        </w:rPr>
        <w:t>法定代表人签字（签名或盖私章）：</w:t>
      </w:r>
    </w:p>
    <w:p w14:paraId="2013D3E9">
      <w:pPr>
        <w:pStyle w:val="45"/>
        <w:spacing w:line="500" w:lineRule="atLeast"/>
        <w:ind w:firstLine="3517" w:firstLineChars="1675"/>
        <w:rPr>
          <w:rFonts w:ascii="宋体" w:eastAsia="宋体"/>
          <w:sz w:val="21"/>
          <w:szCs w:val="21"/>
        </w:rPr>
      </w:pPr>
      <w:r>
        <w:rPr>
          <w:rFonts w:hint="eastAsia" w:ascii="宋体" w:eastAsia="宋体"/>
          <w:sz w:val="21"/>
          <w:szCs w:val="21"/>
        </w:rPr>
        <w:t>被授权人签字：</w:t>
      </w:r>
    </w:p>
    <w:p w14:paraId="38D180F4">
      <w:pPr>
        <w:pStyle w:val="45"/>
        <w:spacing w:line="500" w:lineRule="atLeast"/>
        <w:ind w:firstLine="3517" w:firstLineChars="1675"/>
        <w:rPr>
          <w:rFonts w:ascii="宋体" w:eastAsia="宋体"/>
          <w:sz w:val="21"/>
          <w:szCs w:val="21"/>
          <w:u w:val="single"/>
        </w:rPr>
      </w:pPr>
      <w:r>
        <w:rPr>
          <w:rFonts w:hint="eastAsia" w:ascii="宋体" w:eastAsia="宋体"/>
          <w:sz w:val="21"/>
          <w:szCs w:val="21"/>
        </w:rPr>
        <w:t>职务：</w:t>
      </w:r>
    </w:p>
    <w:p w14:paraId="6245AA65">
      <w:pPr>
        <w:pStyle w:val="45"/>
        <w:spacing w:line="500" w:lineRule="atLeast"/>
        <w:ind w:firstLine="3517" w:firstLineChars="1675"/>
        <w:rPr>
          <w:rFonts w:ascii="宋体" w:eastAsia="宋体"/>
          <w:sz w:val="21"/>
          <w:szCs w:val="21"/>
        </w:rPr>
      </w:pPr>
      <w:r>
        <w:rPr>
          <w:rFonts w:hint="eastAsia" w:ascii="宋体" w:eastAsia="宋体"/>
          <w:sz w:val="21"/>
          <w:szCs w:val="21"/>
        </w:rPr>
        <w:t xml:space="preserve">移动电话： </w:t>
      </w:r>
    </w:p>
    <w:p w14:paraId="675610C6">
      <w:pPr>
        <w:pStyle w:val="45"/>
        <w:spacing w:line="500" w:lineRule="atLeast"/>
        <w:ind w:firstLine="3517" w:firstLineChars="1675"/>
        <w:rPr>
          <w:rFonts w:ascii="宋体" w:eastAsia="宋体"/>
          <w:sz w:val="21"/>
          <w:szCs w:val="21"/>
        </w:rPr>
      </w:pPr>
      <w:r>
        <w:rPr>
          <w:rFonts w:hint="eastAsia" w:ascii="宋体" w:eastAsia="宋体"/>
          <w:sz w:val="21"/>
          <w:szCs w:val="21"/>
        </w:rPr>
        <w:t>详细通讯地址：</w:t>
      </w:r>
    </w:p>
    <w:p w14:paraId="2FC17CF2">
      <w:pPr>
        <w:pStyle w:val="45"/>
        <w:spacing w:line="500" w:lineRule="atLeast"/>
        <w:ind w:firstLine="3517" w:firstLineChars="1675"/>
        <w:rPr>
          <w:rFonts w:ascii="宋体" w:eastAsia="宋体"/>
          <w:sz w:val="21"/>
          <w:szCs w:val="21"/>
        </w:rPr>
      </w:pPr>
      <w:r>
        <w:rPr>
          <w:rFonts w:hint="eastAsia" w:ascii="宋体" w:eastAsia="宋体"/>
          <w:sz w:val="21"/>
          <w:szCs w:val="21"/>
        </w:rPr>
        <w:t xml:space="preserve">邮箱：                          </w:t>
      </w:r>
    </w:p>
    <w:p w14:paraId="3CE0FD85">
      <w:pPr>
        <w:pStyle w:val="45"/>
        <w:spacing w:line="500" w:lineRule="atLeast"/>
        <w:ind w:firstLine="3507" w:firstLineChars="1670"/>
        <w:rPr>
          <w:rFonts w:ascii="宋体" w:eastAsia="宋体"/>
          <w:sz w:val="21"/>
          <w:szCs w:val="21"/>
        </w:rPr>
      </w:pPr>
      <w:r>
        <w:rPr>
          <w:rFonts w:hint="eastAsia" w:ascii="宋体" w:eastAsia="宋体"/>
          <w:sz w:val="21"/>
          <w:szCs w:val="21"/>
        </w:rPr>
        <w:t>日     期：  年  月  日</w:t>
      </w:r>
    </w:p>
    <w:p w14:paraId="4AFA9FBD">
      <w:pPr>
        <w:pStyle w:val="45"/>
        <w:spacing w:line="460" w:lineRule="exact"/>
        <w:ind w:firstLine="433"/>
        <w:rPr>
          <w:rFonts w:ascii="宋体" w:eastAsia="宋体"/>
          <w:sz w:val="21"/>
          <w:szCs w:val="21"/>
        </w:rPr>
      </w:pPr>
    </w:p>
    <w:p w14:paraId="38623CA5">
      <w:pPr>
        <w:ind w:firstLine="420" w:firstLineChars="200"/>
      </w:pPr>
      <w:r>
        <w:rPr>
          <w:rFonts w:hint="eastAsia" w:ascii="宋体" w:hAnsi="宋体"/>
          <w:szCs w:val="21"/>
        </w:rPr>
        <w:t>须附：被授权人身份证复印件。</w:t>
      </w:r>
    </w:p>
    <w:tbl>
      <w:tblPr>
        <w:tblStyle w:val="30"/>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2DC2EEF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28005AAB">
            <w:pPr>
              <w:pStyle w:val="45"/>
              <w:spacing w:line="460" w:lineRule="exact"/>
              <w:ind w:firstLine="0" w:firstLineChars="0"/>
              <w:jc w:val="center"/>
              <w:rPr>
                <w:rFonts w:ascii="宋体" w:eastAsia="宋体"/>
                <w:sz w:val="22"/>
              </w:rPr>
            </w:pPr>
            <w:r>
              <w:rPr>
                <w:rFonts w:hint="eastAsia" w:ascii="宋体" w:eastAsia="宋体"/>
                <w:sz w:val="22"/>
              </w:rPr>
              <w:t>正面</w:t>
            </w:r>
          </w:p>
        </w:tc>
        <w:tc>
          <w:tcPr>
            <w:tcW w:w="4232" w:type="dxa"/>
            <w:vAlign w:val="center"/>
          </w:tcPr>
          <w:p w14:paraId="07F9BCB5">
            <w:pPr>
              <w:pStyle w:val="45"/>
              <w:spacing w:line="460" w:lineRule="exact"/>
              <w:ind w:firstLine="0" w:firstLineChars="0"/>
              <w:jc w:val="center"/>
              <w:rPr>
                <w:rFonts w:ascii="宋体" w:eastAsia="宋体"/>
                <w:sz w:val="22"/>
              </w:rPr>
            </w:pPr>
            <w:r>
              <w:rPr>
                <w:rFonts w:hint="eastAsia" w:ascii="宋体" w:eastAsia="宋体"/>
                <w:sz w:val="22"/>
              </w:rPr>
              <w:t>背面</w:t>
            </w:r>
          </w:p>
        </w:tc>
      </w:tr>
    </w:tbl>
    <w:p w14:paraId="4B38E23F">
      <w:pPr>
        <w:adjustRightInd/>
        <w:snapToGrid/>
        <w:spacing w:line="276" w:lineRule="auto"/>
      </w:pPr>
      <w:bookmarkStart w:id="158" w:name="_Toc22486"/>
      <w:r>
        <w:rPr>
          <w:rFonts w:hint="eastAsia" w:ascii="宋体" w:hAnsi="宋体"/>
          <w:szCs w:val="21"/>
        </w:rPr>
        <w:br w:type="page"/>
      </w:r>
    </w:p>
    <w:p w14:paraId="33BED326">
      <w:pPr>
        <w:pStyle w:val="6"/>
        <w:widowControl w:val="0"/>
        <w:overflowPunct w:val="0"/>
        <w:spacing w:line="240" w:lineRule="auto"/>
        <w:rPr>
          <w:rFonts w:ascii="宋体" w:hAnsi="宋体"/>
          <w:sz w:val="21"/>
          <w:szCs w:val="21"/>
        </w:rPr>
      </w:pPr>
      <w:bookmarkStart w:id="159" w:name="_Toc30038"/>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.资格申明</w:t>
      </w:r>
      <w:bookmarkEnd w:id="159"/>
    </w:p>
    <w:p w14:paraId="59A14DB6">
      <w:pPr>
        <w:jc w:val="center"/>
        <w:rPr>
          <w:rFonts w:ascii="黑体" w:eastAsia="黑体"/>
          <w:sz w:val="28"/>
          <w:szCs w:val="28"/>
        </w:rPr>
      </w:pPr>
      <w:r>
        <w:rPr>
          <w:rFonts w:hint="eastAsia" w:ascii="黑体" w:eastAsia="黑体"/>
          <w:sz w:val="28"/>
          <w:szCs w:val="28"/>
        </w:rPr>
        <w:t>资格申明</w:t>
      </w:r>
    </w:p>
    <w:p w14:paraId="1A0EBC3D">
      <w:pPr>
        <w:pStyle w:val="45"/>
        <w:spacing w:line="420" w:lineRule="atLeast"/>
        <w:ind w:firstLine="0" w:firstLineChars="0"/>
        <w:rPr>
          <w:rFonts w:ascii="宋体" w:eastAsia="宋体"/>
          <w:sz w:val="21"/>
          <w:szCs w:val="21"/>
          <w:highlight w:val="none"/>
        </w:rPr>
      </w:pPr>
      <w:r>
        <w:rPr>
          <w:rFonts w:hint="eastAsia" w:ascii="宋体" w:eastAsia="宋体"/>
          <w:sz w:val="21"/>
          <w:szCs w:val="21"/>
          <w:highlight w:val="none"/>
          <w:u w:val="single"/>
        </w:rPr>
        <w:t xml:space="preserve"> 东莞市新东元环保投资有限</w:t>
      </w:r>
      <w:r>
        <w:rPr>
          <w:rFonts w:hint="eastAsia" w:ascii="宋体" w:eastAsia="宋体"/>
          <w:sz w:val="21"/>
          <w:szCs w:val="21"/>
          <w:highlight w:val="none"/>
        </w:rPr>
        <w:t>公司：</w:t>
      </w:r>
    </w:p>
    <w:p w14:paraId="1904475A">
      <w:pPr>
        <w:ind w:firstLine="420" w:firstLineChars="200"/>
        <w:rPr>
          <w:rFonts w:ascii="宋体" w:hAnsi="宋体"/>
          <w:szCs w:val="21"/>
          <w:highlight w:val="none"/>
        </w:rPr>
      </w:pPr>
    </w:p>
    <w:p w14:paraId="2738717D">
      <w:pPr>
        <w:ind w:firstLine="420" w:firstLineChars="200"/>
        <w:rPr>
          <w:rFonts w:ascii="宋体" w:hAnsi="宋体"/>
          <w:szCs w:val="21"/>
          <w:highlight w:val="none"/>
        </w:rPr>
      </w:pPr>
      <w:r>
        <w:rPr>
          <w:rFonts w:hint="eastAsia" w:ascii="宋体" w:hAnsi="宋体"/>
          <w:szCs w:val="21"/>
          <w:highlight w:val="none"/>
        </w:rPr>
        <w:t>我方</w:t>
      </w:r>
      <w:r>
        <w:rPr>
          <w:rFonts w:ascii="宋体" w:hAnsi="宋体"/>
          <w:szCs w:val="21"/>
          <w:highlight w:val="none"/>
        </w:rPr>
        <w:t>愿响应</w:t>
      </w:r>
      <w:r>
        <w:rPr>
          <w:rFonts w:hint="eastAsia" w:ascii="宋体" w:hAnsi="宋体"/>
          <w:szCs w:val="21"/>
          <w:highlight w:val="none"/>
        </w:rPr>
        <w:t>贵</w:t>
      </w:r>
      <w:r>
        <w:rPr>
          <w:rFonts w:ascii="宋体" w:hAnsi="宋体"/>
          <w:szCs w:val="21"/>
          <w:highlight w:val="none"/>
        </w:rPr>
        <w:t>方</w:t>
      </w:r>
      <w:r>
        <w:rPr>
          <w:rFonts w:hint="eastAsia" w:ascii="宋体" w:hAnsi="宋体"/>
          <w:szCs w:val="21"/>
          <w:highlight w:val="none"/>
        </w:rPr>
        <w:t>关于（项目名称：</w:t>
      </w:r>
      <w:r>
        <w:rPr>
          <w:rFonts w:hint="eastAsia" w:ascii="宋体" w:hAnsi="宋体"/>
          <w:szCs w:val="21"/>
          <w:highlight w:val="none"/>
          <w:u w:val="single"/>
        </w:rPr>
        <w:t xml:space="preserve">         </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采购项目编号：</w:t>
      </w:r>
      <w:r>
        <w:rPr>
          <w:rFonts w:hint="eastAsia"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的</w:t>
      </w:r>
      <w:r>
        <w:rPr>
          <w:rFonts w:ascii="宋体" w:hAnsi="宋体"/>
          <w:szCs w:val="21"/>
          <w:highlight w:val="none"/>
        </w:rPr>
        <w:t>投标邀请，参与投标，提供用户需求书中规定的</w:t>
      </w:r>
      <w:r>
        <w:rPr>
          <w:rFonts w:hint="eastAsia" w:ascii="宋体" w:hAnsi="宋体"/>
          <w:szCs w:val="21"/>
          <w:highlight w:val="none"/>
        </w:rPr>
        <w:t>货物及相关服务</w:t>
      </w:r>
      <w:r>
        <w:rPr>
          <w:rFonts w:ascii="宋体" w:hAnsi="宋体"/>
          <w:szCs w:val="21"/>
          <w:highlight w:val="none"/>
        </w:rPr>
        <w:t>，并按</w:t>
      </w:r>
      <w:r>
        <w:rPr>
          <w:rFonts w:hint="eastAsia" w:ascii="宋体" w:hAnsi="宋体"/>
          <w:szCs w:val="21"/>
          <w:highlight w:val="none"/>
        </w:rPr>
        <w:t>采购</w:t>
      </w:r>
      <w:r>
        <w:rPr>
          <w:rFonts w:ascii="宋体" w:hAnsi="宋体"/>
          <w:szCs w:val="21"/>
          <w:highlight w:val="none"/>
        </w:rPr>
        <w:t>文件要求提交所附资格文件且声明和保证如下：</w:t>
      </w:r>
    </w:p>
    <w:p w14:paraId="005BB469">
      <w:pPr>
        <w:ind w:firstLine="420" w:firstLineChars="200"/>
        <w:rPr>
          <w:rFonts w:ascii="宋体" w:hAnsi="宋体"/>
          <w:szCs w:val="21"/>
          <w:highlight w:val="none"/>
        </w:rPr>
      </w:pPr>
      <w:r>
        <w:rPr>
          <w:rFonts w:hint="eastAsia" w:ascii="宋体" w:hAnsi="宋体"/>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467A5A08">
      <w:pPr>
        <w:ind w:firstLine="420" w:firstLineChars="200"/>
        <w:rPr>
          <w:rFonts w:ascii="宋体" w:hAnsi="宋体"/>
          <w:szCs w:val="21"/>
          <w:highlight w:val="none"/>
        </w:rPr>
      </w:pPr>
      <w:r>
        <w:rPr>
          <w:rFonts w:hint="eastAsia" w:ascii="宋体" w:hAnsi="宋体"/>
          <w:szCs w:val="21"/>
          <w:highlight w:val="none"/>
        </w:rPr>
        <w:t>二、</w:t>
      </w:r>
      <w:r>
        <w:rPr>
          <w:rFonts w:ascii="宋体" w:hAnsi="宋体"/>
          <w:szCs w:val="21"/>
          <w:highlight w:val="none"/>
        </w:rPr>
        <w:t>我方依法注册，在法律上、财务上和运作上完全独立于</w:t>
      </w:r>
      <w:r>
        <w:rPr>
          <w:rFonts w:hint="eastAsia" w:ascii="宋体" w:hAnsi="宋体"/>
          <w:szCs w:val="21"/>
          <w:highlight w:val="none"/>
          <w:u w:val="single"/>
        </w:rPr>
        <w:t xml:space="preserve"> </w:t>
      </w:r>
      <w:r>
        <w:rPr>
          <w:rFonts w:hint="eastAsia" w:ascii="宋体" w:hAnsi="宋体"/>
          <w:szCs w:val="21"/>
          <w:highlight w:val="none"/>
        </w:rPr>
        <w:t>公司</w:t>
      </w:r>
      <w:r>
        <w:rPr>
          <w:rFonts w:ascii="宋体" w:hAnsi="宋体"/>
          <w:szCs w:val="21"/>
          <w:highlight w:val="none"/>
        </w:rPr>
        <w:t>（</w:t>
      </w:r>
      <w:r>
        <w:rPr>
          <w:rFonts w:hint="eastAsia" w:ascii="宋体" w:hAnsi="宋体"/>
          <w:szCs w:val="21"/>
          <w:highlight w:val="none"/>
        </w:rPr>
        <w:t>采购人</w:t>
      </w:r>
      <w:r>
        <w:rPr>
          <w:rFonts w:ascii="宋体" w:hAnsi="宋体"/>
          <w:szCs w:val="21"/>
          <w:highlight w:val="none"/>
        </w:rPr>
        <w:t>）</w:t>
      </w:r>
      <w:r>
        <w:rPr>
          <w:rFonts w:hint="eastAsia" w:ascii="宋体" w:hAnsi="宋体"/>
          <w:szCs w:val="21"/>
          <w:highlight w:val="none"/>
        </w:rPr>
        <w:t>。</w:t>
      </w:r>
    </w:p>
    <w:p w14:paraId="46DB950A">
      <w:pPr>
        <w:pStyle w:val="45"/>
        <w:spacing w:line="500" w:lineRule="atLeast"/>
        <w:ind w:firstLine="3517" w:firstLineChars="1675"/>
        <w:rPr>
          <w:rFonts w:ascii="宋体" w:eastAsia="宋体"/>
          <w:sz w:val="21"/>
          <w:szCs w:val="21"/>
          <w:highlight w:val="none"/>
        </w:rPr>
      </w:pPr>
    </w:p>
    <w:p w14:paraId="6A2D2D53">
      <w:pPr>
        <w:pStyle w:val="45"/>
        <w:spacing w:line="500" w:lineRule="atLeast"/>
        <w:ind w:firstLine="3517" w:firstLineChars="1675"/>
        <w:rPr>
          <w:rFonts w:ascii="宋体" w:eastAsia="宋体"/>
          <w:sz w:val="21"/>
          <w:szCs w:val="21"/>
          <w:highlight w:val="none"/>
        </w:rPr>
      </w:pPr>
    </w:p>
    <w:p w14:paraId="519C4A9A">
      <w:pPr>
        <w:pStyle w:val="45"/>
        <w:spacing w:line="500" w:lineRule="atLeast"/>
        <w:ind w:firstLine="433"/>
        <w:rPr>
          <w:rFonts w:ascii="宋体" w:eastAsia="宋体"/>
          <w:sz w:val="21"/>
          <w:szCs w:val="21"/>
          <w:highlight w:val="none"/>
        </w:rPr>
      </w:pPr>
      <w:r>
        <w:rPr>
          <w:rFonts w:hint="eastAsia" w:ascii="宋体" w:eastAsia="宋体"/>
          <w:sz w:val="21"/>
          <w:szCs w:val="21"/>
          <w:highlight w:val="none"/>
        </w:rPr>
        <w:t>投标人名称（加盖公章）：</w:t>
      </w:r>
    </w:p>
    <w:p w14:paraId="2A7EBC7D">
      <w:pPr>
        <w:pStyle w:val="45"/>
        <w:spacing w:line="500" w:lineRule="atLeast"/>
        <w:ind w:firstLine="433"/>
        <w:rPr>
          <w:rFonts w:ascii="宋体" w:eastAsia="宋体"/>
          <w:sz w:val="21"/>
          <w:szCs w:val="21"/>
          <w:highlight w:val="none"/>
        </w:rPr>
      </w:pPr>
      <w:r>
        <w:rPr>
          <w:rFonts w:hint="eastAsia" w:ascii="宋体" w:eastAsia="宋体"/>
          <w:sz w:val="21"/>
          <w:szCs w:val="21"/>
          <w:highlight w:val="none"/>
        </w:rPr>
        <w:t>法定代表人签字（签名或盖私章）：</w:t>
      </w:r>
    </w:p>
    <w:p w14:paraId="6430BED1">
      <w:pPr>
        <w:pStyle w:val="45"/>
        <w:spacing w:line="500" w:lineRule="atLeast"/>
        <w:ind w:firstLine="433"/>
        <w:rPr>
          <w:rFonts w:ascii="宋体" w:eastAsia="宋体"/>
          <w:sz w:val="21"/>
          <w:szCs w:val="21"/>
        </w:rPr>
      </w:pPr>
      <w:r>
        <w:rPr>
          <w:rFonts w:hint="eastAsia" w:ascii="宋体" w:eastAsia="宋体"/>
          <w:sz w:val="21"/>
          <w:szCs w:val="21"/>
        </w:rPr>
        <w:t>日     期：年月日</w:t>
      </w:r>
    </w:p>
    <w:p w14:paraId="727188BB">
      <w:pPr>
        <w:pStyle w:val="45"/>
        <w:spacing w:line="500" w:lineRule="atLeast"/>
        <w:ind w:firstLine="433"/>
        <w:rPr>
          <w:rFonts w:ascii="宋体" w:eastAsia="宋体"/>
          <w:sz w:val="21"/>
          <w:szCs w:val="21"/>
        </w:rPr>
      </w:pPr>
      <w:r>
        <w:rPr>
          <w:rFonts w:hint="eastAsia" w:ascii="宋体" w:eastAsia="宋体"/>
          <w:sz w:val="21"/>
          <w:szCs w:val="21"/>
        </w:rPr>
        <w:br w:type="page"/>
      </w:r>
    </w:p>
    <w:p w14:paraId="580CC896">
      <w:pPr>
        <w:pStyle w:val="6"/>
        <w:widowControl w:val="0"/>
        <w:overflowPunct w:val="0"/>
        <w:spacing w:line="240" w:lineRule="auto"/>
        <w:rPr>
          <w:rFonts w:ascii="宋体" w:hAnsi="宋体"/>
          <w:sz w:val="21"/>
          <w:szCs w:val="21"/>
        </w:rPr>
      </w:pPr>
      <w:bookmarkStart w:id="160" w:name="_Toc10305"/>
      <w:r>
        <w:rPr>
          <w:rFonts w:hint="eastAsia" w:ascii="宋体" w:hAnsi="宋体"/>
          <w:sz w:val="21"/>
          <w:szCs w:val="21"/>
        </w:rPr>
        <w:t>附件</w:t>
      </w:r>
      <w:r>
        <w:rPr>
          <w:rFonts w:hint="eastAsia" w:ascii="宋体" w:hAnsi="宋体"/>
          <w:sz w:val="21"/>
          <w:szCs w:val="21"/>
          <w:lang w:val="en-US" w:eastAsia="zh-CN"/>
        </w:rPr>
        <w:t>7</w:t>
      </w:r>
      <w:r>
        <w:rPr>
          <w:rFonts w:hint="eastAsia" w:ascii="宋体" w:hAnsi="宋体"/>
          <w:sz w:val="21"/>
          <w:szCs w:val="21"/>
        </w:rPr>
        <w:t>.营业执照</w:t>
      </w:r>
      <w:bookmarkEnd w:id="160"/>
    </w:p>
    <w:p w14:paraId="5F5C5162">
      <w:pPr>
        <w:jc w:val="center"/>
        <w:rPr>
          <w:rFonts w:ascii="黑体" w:eastAsia="黑体"/>
          <w:sz w:val="28"/>
          <w:szCs w:val="28"/>
        </w:rPr>
      </w:pPr>
      <w:bookmarkStart w:id="161" w:name="_Toc17470"/>
      <w:bookmarkStart w:id="162" w:name="_Toc5919"/>
      <w:bookmarkStart w:id="163" w:name="_Toc24210"/>
      <w:bookmarkStart w:id="164" w:name="_Toc4926"/>
      <w:bookmarkStart w:id="165" w:name="_Toc1511"/>
      <w:r>
        <w:rPr>
          <w:rFonts w:hint="eastAsia" w:ascii="黑体" w:eastAsia="黑体"/>
          <w:sz w:val="28"/>
          <w:szCs w:val="28"/>
        </w:rPr>
        <w:t>营业执照</w:t>
      </w:r>
      <w:bookmarkEnd w:id="161"/>
      <w:bookmarkEnd w:id="162"/>
      <w:bookmarkEnd w:id="163"/>
      <w:bookmarkEnd w:id="164"/>
      <w:bookmarkEnd w:id="165"/>
    </w:p>
    <w:p w14:paraId="0E2F9138">
      <w:pPr>
        <w:jc w:val="center"/>
        <w:rPr>
          <w:rFonts w:ascii="黑体" w:eastAsia="黑体"/>
          <w:sz w:val="28"/>
          <w:szCs w:val="28"/>
        </w:rPr>
      </w:pPr>
      <w:r>
        <w:rPr>
          <w:rFonts w:hint="eastAsia" w:ascii="黑体" w:eastAsia="黑体"/>
          <w:sz w:val="28"/>
          <w:szCs w:val="28"/>
        </w:rPr>
        <w:br w:type="page"/>
      </w:r>
    </w:p>
    <w:p w14:paraId="7DED308A">
      <w:pPr>
        <w:pStyle w:val="6"/>
        <w:widowControl w:val="0"/>
        <w:overflowPunct w:val="0"/>
        <w:spacing w:line="240" w:lineRule="auto"/>
        <w:rPr>
          <w:rFonts w:ascii="宋体" w:hAnsi="宋体"/>
          <w:sz w:val="21"/>
          <w:szCs w:val="21"/>
        </w:rPr>
      </w:pPr>
      <w:bookmarkStart w:id="166" w:name="_Toc30816"/>
      <w:r>
        <w:rPr>
          <w:rFonts w:hint="eastAsia" w:ascii="宋体" w:hAnsi="宋体"/>
          <w:sz w:val="21"/>
          <w:szCs w:val="21"/>
        </w:rPr>
        <w:t>附件</w:t>
      </w:r>
      <w:r>
        <w:rPr>
          <w:rFonts w:hint="eastAsia" w:ascii="宋体" w:hAnsi="宋体"/>
          <w:sz w:val="21"/>
          <w:szCs w:val="21"/>
          <w:lang w:val="en-US" w:eastAsia="zh-CN"/>
        </w:rPr>
        <w:t>8</w:t>
      </w:r>
      <w:r>
        <w:rPr>
          <w:rFonts w:hint="eastAsia" w:ascii="宋体" w:hAnsi="宋体"/>
          <w:sz w:val="21"/>
          <w:szCs w:val="21"/>
        </w:rPr>
        <w:t>.相关资质证明文件</w:t>
      </w:r>
      <w:bookmarkEnd w:id="166"/>
    </w:p>
    <w:p w14:paraId="62C31BD6">
      <w:pPr>
        <w:rPr>
          <w:highlight w:val="none"/>
        </w:rPr>
      </w:pPr>
    </w:p>
    <w:p w14:paraId="279B3627">
      <w:pPr>
        <w:jc w:val="center"/>
        <w:rPr>
          <w:rFonts w:ascii="黑体" w:eastAsia="黑体"/>
          <w:sz w:val="28"/>
          <w:szCs w:val="28"/>
          <w:highlight w:val="none"/>
        </w:rPr>
      </w:pPr>
      <w:bookmarkStart w:id="167" w:name="_Toc16698"/>
      <w:bookmarkStart w:id="168" w:name="_Toc9592"/>
      <w:bookmarkStart w:id="169" w:name="_Toc13458"/>
      <w:bookmarkStart w:id="170" w:name="_Toc16233"/>
      <w:bookmarkStart w:id="171" w:name="_Toc30307"/>
      <w:r>
        <w:rPr>
          <w:rFonts w:hint="eastAsia" w:ascii="黑体" w:eastAsia="黑体"/>
          <w:sz w:val="28"/>
          <w:szCs w:val="28"/>
          <w:highlight w:val="none"/>
        </w:rPr>
        <w:t>相关资质证明文件</w:t>
      </w:r>
      <w:bookmarkEnd w:id="158"/>
      <w:bookmarkEnd w:id="167"/>
      <w:bookmarkEnd w:id="168"/>
      <w:bookmarkEnd w:id="169"/>
      <w:bookmarkEnd w:id="170"/>
      <w:bookmarkEnd w:id="171"/>
    </w:p>
    <w:p w14:paraId="3E40940C">
      <w:pPr>
        <w:numPr>
          <w:ilvl w:val="0"/>
          <w:numId w:val="35"/>
        </w:numPr>
        <w:tabs>
          <w:tab w:val="left" w:pos="1680"/>
        </w:tabs>
        <w:jc w:val="both"/>
        <w:rPr>
          <w:rFonts w:hint="eastAsia" w:ascii="宋体" w:hAnsi="宋体" w:cs="宋体"/>
          <w:b/>
          <w:bCs/>
          <w:szCs w:val="21"/>
          <w:highlight w:val="none"/>
        </w:rPr>
      </w:pPr>
      <w:r>
        <w:rPr>
          <w:rFonts w:hint="eastAsia" w:ascii="宋体" w:hAnsi="宋体" w:cs="宋体"/>
          <w:b/>
          <w:bCs/>
          <w:szCs w:val="21"/>
          <w:highlight w:val="none"/>
        </w:rPr>
        <w:t>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1EF151C3">
      <w:pPr>
        <w:numPr>
          <w:ilvl w:val="0"/>
          <w:numId w:val="35"/>
        </w:numPr>
        <w:tabs>
          <w:tab w:val="left" w:pos="1680"/>
        </w:tabs>
        <w:jc w:val="both"/>
        <w:rPr>
          <w:rFonts w:hint="eastAsia" w:ascii="宋体" w:hAnsi="宋体" w:cs="宋体"/>
          <w:b/>
          <w:bCs/>
          <w:szCs w:val="21"/>
          <w:highlight w:val="none"/>
        </w:rPr>
      </w:pPr>
      <w:r>
        <w:rPr>
          <w:rFonts w:hint="eastAsia" w:ascii="宋体" w:hAnsi="宋体" w:cs="宋体"/>
          <w:b/>
          <w:bCs/>
          <w:szCs w:val="21"/>
          <w:highlight w:val="none"/>
        </w:rPr>
        <w:t>投标人须提供投标截止日前6个月内任意1个月的：①依法缴纳税收证明材料、②无欠税的证明材料。如依法免税的，须提供相应证明材料。【提供证明材料须加盖公章】</w:t>
      </w:r>
    </w:p>
    <w:p w14:paraId="141A8E1D">
      <w:pPr>
        <w:numPr>
          <w:ilvl w:val="0"/>
          <w:numId w:val="35"/>
        </w:numPr>
        <w:tabs>
          <w:tab w:val="left" w:pos="1680"/>
        </w:tabs>
        <w:jc w:val="both"/>
        <w:rPr>
          <w:rFonts w:hint="eastAsia" w:ascii="宋体" w:hAnsi="宋体" w:cs="宋体"/>
          <w:b/>
          <w:bCs/>
          <w:szCs w:val="21"/>
          <w:highlight w:val="none"/>
        </w:rPr>
      </w:pPr>
      <w:r>
        <w:rPr>
          <w:rFonts w:hint="eastAsia" w:ascii="宋体" w:hAnsi="宋体" w:cs="宋体"/>
          <w:b/>
          <w:bCs/>
          <w:szCs w:val="21"/>
          <w:highlight w:val="none"/>
        </w:rPr>
        <w:t>投标人未被列入东实环境及下属企业相关领域黑名单。</w:t>
      </w:r>
    </w:p>
    <w:p w14:paraId="45ADE78A">
      <w:pPr>
        <w:numPr>
          <w:ilvl w:val="0"/>
          <w:numId w:val="35"/>
        </w:numPr>
        <w:tabs>
          <w:tab w:val="left" w:pos="1680"/>
        </w:tabs>
        <w:jc w:val="both"/>
        <w:rPr>
          <w:rFonts w:ascii="宋体" w:hAnsi="宋体" w:cs="宋体"/>
          <w:b/>
          <w:bCs/>
          <w:szCs w:val="21"/>
          <w:highlight w:val="none"/>
        </w:rPr>
      </w:pPr>
      <w:r>
        <w:rPr>
          <w:rFonts w:hint="eastAsia" w:ascii="宋体" w:hAnsi="宋体" w:cs="宋体"/>
          <w:b/>
          <w:bCs/>
          <w:szCs w:val="21"/>
          <w:highlight w:val="none"/>
        </w:rPr>
        <w:t xml:space="preserve"> 投标人自2022年1月1日起至今具有低温SCR脱硝催化（155℃或以下）项目的业绩（服务、安装、运维或供货），业绩不少于1个。【按合同签订时间为准，须提供：①合同关键页复印件（包含但不限于合同首页、合同金额页、合同签字页等，须体现业绩服务内容）、②对应每个业绩项目合同期内任意一期已开具的发票证明材料加盖公章】；</w:t>
      </w:r>
    </w:p>
    <w:p w14:paraId="13EC1DAC">
      <w:pPr>
        <w:numPr>
          <w:ilvl w:val="0"/>
          <w:numId w:val="35"/>
        </w:numPr>
        <w:tabs>
          <w:tab w:val="left" w:pos="1680"/>
        </w:tabs>
        <w:jc w:val="both"/>
        <w:rPr>
          <w:rFonts w:ascii="宋体" w:hAnsi="宋体" w:cs="宋体"/>
          <w:b/>
          <w:bCs/>
          <w:szCs w:val="21"/>
          <w:highlight w:val="none"/>
        </w:rPr>
      </w:pPr>
      <w:r>
        <w:rPr>
          <w:rFonts w:hint="eastAsia" w:ascii="宋体" w:hAnsi="宋体" w:cs="宋体"/>
          <w:b/>
          <w:bCs/>
          <w:szCs w:val="21"/>
          <w:highlight w:val="none"/>
        </w:rPr>
        <w:t>投标人认为必要的文件。</w:t>
      </w:r>
      <w:r>
        <w:rPr>
          <w:rFonts w:hint="eastAsia" w:ascii="宋体" w:hAnsi="宋体" w:cs="宋体"/>
          <w:b/>
          <w:bCs/>
          <w:szCs w:val="21"/>
          <w:highlight w:val="none"/>
        </w:rPr>
        <w:br w:type="page"/>
      </w:r>
    </w:p>
    <w:p w14:paraId="01DA69FA">
      <w:pPr>
        <w:pStyle w:val="6"/>
        <w:widowControl w:val="0"/>
        <w:overflowPunct w:val="0"/>
        <w:spacing w:line="240" w:lineRule="auto"/>
        <w:rPr>
          <w:rFonts w:ascii="楷体_GB2312" w:eastAsia="楷体_GB2312"/>
        </w:rPr>
      </w:pPr>
      <w:bookmarkStart w:id="172" w:name="_Toc3091"/>
      <w:r>
        <w:rPr>
          <w:rFonts w:hint="eastAsia" w:ascii="宋体" w:hAnsi="宋体"/>
          <w:sz w:val="21"/>
          <w:szCs w:val="21"/>
        </w:rPr>
        <w:t>附件</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相关</w:t>
      </w:r>
      <w:r>
        <w:rPr>
          <w:rFonts w:hint="eastAsia" w:ascii="宋体" w:hAnsi="宋体"/>
          <w:sz w:val="21"/>
          <w:szCs w:val="21"/>
        </w:rPr>
        <w:t>声明格式</w:t>
      </w:r>
      <w:bookmarkEnd w:id="172"/>
    </w:p>
    <w:p w14:paraId="6A5B1A9E"/>
    <w:p w14:paraId="5B18D3E6">
      <w:pPr>
        <w:jc w:val="center"/>
        <w:rPr>
          <w:rFonts w:ascii="黑体" w:eastAsia="黑体"/>
          <w:sz w:val="28"/>
          <w:szCs w:val="28"/>
        </w:rPr>
      </w:pPr>
      <w:r>
        <w:rPr>
          <w:rFonts w:hint="eastAsia" w:ascii="黑体" w:eastAsia="黑体"/>
          <w:sz w:val="28"/>
          <w:szCs w:val="28"/>
        </w:rPr>
        <w:t>投标人在经营活动中前三年内未有重大违法记录、没有不良信用记录的声明函</w:t>
      </w:r>
    </w:p>
    <w:p w14:paraId="7835944D">
      <w:pPr>
        <w:ind w:firstLine="420" w:firstLineChars="200"/>
        <w:rPr>
          <w:rFonts w:ascii="宋体" w:hAnsi="宋体" w:cs="宋体"/>
          <w:szCs w:val="21"/>
        </w:rPr>
      </w:pPr>
    </w:p>
    <w:p w14:paraId="6D1D6D1F">
      <w:pPr>
        <w:spacing w:line="480" w:lineRule="auto"/>
        <w:ind w:firstLine="420" w:firstLineChars="200"/>
        <w:rPr>
          <w:rFonts w:ascii="宋体" w:hAnsi="宋体" w:cs="宋体"/>
          <w:szCs w:val="21"/>
        </w:rPr>
      </w:pPr>
      <w:r>
        <w:rPr>
          <w:rFonts w:hint="eastAsia" w:ascii="宋体" w:hAnsi="宋体" w:cs="宋体"/>
          <w:szCs w:val="21"/>
          <w:lang w:eastAsia="zh-CN"/>
        </w:rPr>
        <w:t>东莞市新东元环保投资有限公司</w:t>
      </w:r>
      <w:r>
        <w:rPr>
          <w:rFonts w:hint="eastAsia" w:ascii="宋体" w:hAnsi="宋体" w:cs="宋体"/>
          <w:szCs w:val="21"/>
        </w:rPr>
        <w:t>：</w:t>
      </w:r>
    </w:p>
    <w:p w14:paraId="07881CCA">
      <w:pPr>
        <w:spacing w:line="480" w:lineRule="auto"/>
        <w:ind w:firstLine="420" w:firstLineChars="200"/>
        <w:rPr>
          <w:rFonts w:ascii="宋体" w:hAnsi="宋体" w:cs="宋体"/>
          <w:szCs w:val="21"/>
        </w:rPr>
      </w:pPr>
      <w:r>
        <w:rPr>
          <w:rFonts w:hint="eastAsia" w:ascii="宋体" w:hAnsi="宋体" w:cs="宋体"/>
          <w:szCs w:val="21"/>
        </w:rPr>
        <w:t>我公司郑重承诺：在参加“</w:t>
      </w:r>
      <w:r>
        <w:rPr>
          <w:rFonts w:hint="eastAsia" w:ascii="宋体" w:hAnsi="宋体" w:cs="宋体"/>
          <w:szCs w:val="21"/>
          <w:u w:val="single"/>
        </w:rPr>
        <w:t xml:space="preserve">       （采购项目名称）</w:t>
      </w:r>
      <w:r>
        <w:rPr>
          <w:rFonts w:hint="eastAsia" w:ascii="宋体" w:hAnsi="宋体" w:cs="宋体"/>
          <w:szCs w:val="21"/>
        </w:rPr>
        <w:t>” （项目编号:</w:t>
      </w:r>
      <w:r>
        <w:rPr>
          <w:rFonts w:hint="eastAsia" w:ascii="宋体" w:hAnsi="宋体" w:cs="宋体"/>
          <w:szCs w:val="21"/>
          <w:lang w:val="en-US" w:eastAsia="zh-CN"/>
        </w:rPr>
        <w:t>XX</w:t>
      </w:r>
      <w:r>
        <w:rPr>
          <w:rFonts w:hint="eastAsia" w:ascii="宋体" w:hAnsi="宋体" w:cs="宋体"/>
          <w:szCs w:val="21"/>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12C3F7E2">
      <w:pPr>
        <w:spacing w:line="480" w:lineRule="auto"/>
        <w:ind w:firstLine="420" w:firstLineChars="200"/>
        <w:rPr>
          <w:rFonts w:ascii="宋体" w:hAnsi="宋体" w:cs="宋体"/>
          <w:szCs w:val="21"/>
        </w:rPr>
      </w:pPr>
      <w:r>
        <w:rPr>
          <w:rFonts w:hint="eastAsia" w:ascii="宋体" w:hAnsi="宋体" w:cs="宋体"/>
          <w:szCs w:val="21"/>
        </w:rPr>
        <w:t>我公司以上承诺均为真实有效，绝无任何虚假、伪造的成份，否则，愿承担相应的后果和法律责任。</w:t>
      </w:r>
    </w:p>
    <w:p w14:paraId="65BEB690">
      <w:pPr>
        <w:ind w:firstLine="420" w:firstLineChars="200"/>
        <w:rPr>
          <w:rFonts w:ascii="宋体" w:hAnsi="宋体" w:cs="宋体"/>
          <w:szCs w:val="21"/>
        </w:rPr>
      </w:pPr>
    </w:p>
    <w:p w14:paraId="5103F2BA">
      <w:pPr>
        <w:rPr>
          <w:rFonts w:ascii="宋体" w:hAnsi="宋体" w:cs="宋体"/>
          <w:szCs w:val="21"/>
        </w:rPr>
      </w:pPr>
    </w:p>
    <w:p w14:paraId="59B12C04">
      <w:pPr>
        <w:ind w:firstLine="420" w:firstLineChars="200"/>
        <w:rPr>
          <w:rFonts w:ascii="宋体" w:hAnsi="宋体" w:cs="宋体"/>
          <w:szCs w:val="21"/>
        </w:rPr>
      </w:pPr>
      <w:r>
        <w:rPr>
          <w:rFonts w:hint="eastAsia" w:ascii="宋体" w:hAnsi="宋体" w:cs="宋体"/>
          <w:szCs w:val="21"/>
        </w:rPr>
        <w:t>投标人名称（盖章）：</w:t>
      </w:r>
    </w:p>
    <w:p w14:paraId="571BE6B4">
      <w:pPr>
        <w:rPr>
          <w:rFonts w:ascii="宋体" w:hAnsi="宋体" w:cs="宋体"/>
          <w:szCs w:val="21"/>
        </w:rPr>
      </w:pPr>
    </w:p>
    <w:p w14:paraId="7A24E402">
      <w:pPr>
        <w:ind w:firstLine="420" w:firstLineChars="200"/>
        <w:rPr>
          <w:rFonts w:hint="eastAsia" w:ascii="宋体" w:hAnsi="宋体" w:cs="宋体"/>
          <w:szCs w:val="21"/>
        </w:rPr>
      </w:pPr>
      <w:r>
        <w:rPr>
          <w:rFonts w:hint="eastAsia" w:ascii="宋体" w:hAnsi="宋体" w:cs="宋体"/>
          <w:szCs w:val="21"/>
        </w:rPr>
        <w:t>日期：</w:t>
      </w:r>
    </w:p>
    <w:p w14:paraId="4AAF7C51">
      <w:pPr>
        <w:ind w:firstLine="420" w:firstLineChars="200"/>
        <w:rPr>
          <w:rFonts w:hint="eastAsia" w:ascii="宋体" w:hAnsi="宋体" w:cs="宋体"/>
          <w:szCs w:val="21"/>
        </w:rPr>
      </w:pPr>
    </w:p>
    <w:p w14:paraId="37D88C08">
      <w:pPr>
        <w:jc w:val="left"/>
        <w:rPr>
          <w:rFonts w:hint="eastAsia" w:hAnsi="宋体" w:cs="宋体"/>
          <w:b/>
          <w:bCs/>
          <w:highlight w:val="none"/>
        </w:rPr>
        <w:sectPr>
          <w:headerReference r:id="rId13" w:type="first"/>
          <w:footerReference r:id="rId15" w:type="first"/>
          <w:headerReference r:id="rId11" w:type="default"/>
          <w:footerReference r:id="rId14" w:type="default"/>
          <w:headerReference r:id="rId12" w:type="even"/>
          <w:pgSz w:w="11906" w:h="16838"/>
          <w:pgMar w:top="1440" w:right="1800" w:bottom="1440" w:left="1800" w:header="708" w:footer="708" w:gutter="0"/>
          <w:cols w:space="708" w:num="1"/>
          <w:titlePg/>
          <w:docGrid w:type="lines" w:linePitch="360" w:charSpace="0"/>
        </w:sectPr>
      </w:pPr>
    </w:p>
    <w:p w14:paraId="60AA5C10">
      <w:pPr>
        <w:jc w:val="center"/>
        <w:rPr>
          <w:rFonts w:hint="eastAsia" w:ascii="黑体" w:hAnsi="Tahoma" w:eastAsia="黑体" w:cstheme="minorBidi"/>
          <w:i w:val="0"/>
          <w:iCs w:val="0"/>
          <w:caps w:val="0"/>
          <w:spacing w:val="0"/>
          <w:sz w:val="28"/>
          <w:szCs w:val="28"/>
        </w:rPr>
      </w:pPr>
      <w:r>
        <w:rPr>
          <w:rFonts w:hint="eastAsia" w:ascii="黑体" w:eastAsia="黑体" w:cstheme="minorBidi"/>
          <w:i w:val="0"/>
          <w:iCs w:val="0"/>
          <w:caps w:val="0"/>
          <w:spacing w:val="0"/>
          <w:sz w:val="28"/>
          <w:szCs w:val="28"/>
          <w:lang w:val="en-US" w:eastAsia="zh-CN"/>
        </w:rPr>
        <w:t>投标</w:t>
      </w:r>
      <w:r>
        <w:rPr>
          <w:rFonts w:hint="eastAsia" w:ascii="黑体" w:hAnsi="Tahoma" w:eastAsia="黑体" w:cstheme="minorBidi"/>
          <w:i w:val="0"/>
          <w:iCs w:val="0"/>
          <w:caps w:val="0"/>
          <w:spacing w:val="0"/>
          <w:sz w:val="28"/>
          <w:szCs w:val="28"/>
        </w:rPr>
        <w:t>截止日前6个月内任意1个月依法缴纳税收及无欠税的证明材料【注意是2类证明，不得有遗漏】。如依法免税的，须提供相应证明材料。【提供相应证明材料加盖公章】</w:t>
      </w:r>
    </w:p>
    <w:p w14:paraId="196FFD31">
      <w:pPr>
        <w:jc w:val="center"/>
        <w:rPr>
          <w:rFonts w:hint="eastAsia" w:ascii="黑体" w:hAnsi="Tahoma" w:eastAsia="黑体" w:cstheme="minorBidi"/>
          <w:i w:val="0"/>
          <w:iCs w:val="0"/>
          <w:caps w:val="0"/>
          <w:spacing w:val="0"/>
          <w:sz w:val="28"/>
          <w:szCs w:val="28"/>
        </w:rPr>
      </w:pPr>
    </w:p>
    <w:p w14:paraId="45D6E877">
      <w:pPr>
        <w:jc w:val="center"/>
        <w:rPr>
          <w:rFonts w:hint="eastAsia" w:ascii="黑体" w:hAnsi="Tahoma" w:eastAsia="黑体" w:cstheme="minorBidi"/>
          <w:b w:val="0"/>
          <w:bCs w:val="0"/>
          <w:sz w:val="28"/>
          <w:szCs w:val="28"/>
        </w:rPr>
        <w:sectPr>
          <w:pgSz w:w="11906" w:h="16838"/>
          <w:pgMar w:top="1440" w:right="1800" w:bottom="1440" w:left="1800" w:header="708" w:footer="708" w:gutter="0"/>
          <w:cols w:space="708" w:num="1"/>
          <w:titlePg/>
          <w:docGrid w:type="lines" w:linePitch="360" w:charSpace="0"/>
        </w:sectPr>
      </w:pPr>
      <w:r>
        <w:rPr>
          <w:rFonts w:hint="eastAsia" w:ascii="仿宋_GB2312" w:hAnsi="仿宋_GB2312" w:eastAsia="仿宋_GB2312" w:cs="仿宋_GB2312"/>
          <w:color w:val="auto"/>
          <w:highlight w:val="none"/>
        </w:rPr>
        <w:drawing>
          <wp:anchor distT="0" distB="0" distL="114300" distR="114300" simplePos="0" relativeHeight="251660288" behindDoc="1" locked="0" layoutInCell="1" allowOverlap="1">
            <wp:simplePos x="0" y="0"/>
            <wp:positionH relativeFrom="column">
              <wp:posOffset>-182880</wp:posOffset>
            </wp:positionH>
            <wp:positionV relativeFrom="paragraph">
              <wp:posOffset>178435</wp:posOffset>
            </wp:positionV>
            <wp:extent cx="5610860" cy="3404235"/>
            <wp:effectExtent l="0" t="0" r="8890" b="5715"/>
            <wp:wrapTight wrapText="bothSides">
              <wp:wrapPolygon>
                <wp:start x="0" y="0"/>
                <wp:lineTo x="0" y="21515"/>
                <wp:lineTo x="21561" y="21515"/>
                <wp:lineTo x="21561" y="0"/>
                <wp:lineTo x="0" y="0"/>
              </wp:wrapPolygon>
            </wp:wrapTight>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9"/>
                    <a:stretch>
                      <a:fillRect/>
                    </a:stretch>
                  </pic:blipFill>
                  <pic:spPr>
                    <a:xfrm>
                      <a:off x="0" y="0"/>
                      <a:ext cx="5610860" cy="3404235"/>
                    </a:xfrm>
                    <a:prstGeom prst="rect">
                      <a:avLst/>
                    </a:prstGeom>
                    <a:noFill/>
                    <a:ln>
                      <a:noFill/>
                    </a:ln>
                  </pic:spPr>
                </pic:pic>
              </a:graphicData>
            </a:graphic>
          </wp:anchor>
        </w:drawing>
      </w:r>
    </w:p>
    <w:p w14:paraId="37A4F3B4">
      <w:pPr>
        <w:jc w:val="center"/>
        <w:rPr>
          <w:rFonts w:hAnsi="宋体" w:cs="宋体"/>
          <w:b/>
          <w:bCs/>
          <w:highlight w:val="none"/>
        </w:rPr>
      </w:pPr>
      <w:r>
        <w:rPr>
          <w:rFonts w:hint="eastAsia" w:hAnsi="宋体" w:cs="宋体"/>
          <w:b/>
          <w:bCs/>
          <w:highlight w:val="none"/>
        </w:rPr>
        <w:t>投标人未被列入东实环境及下属企业相关领域黑名单的声明函</w:t>
      </w:r>
    </w:p>
    <w:p w14:paraId="113C85E1">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lang w:val="en-US" w:eastAsia="zh-CN"/>
        </w:rPr>
        <w:t>东莞市新东元环保投资有限公司</w:t>
      </w:r>
      <w:r>
        <w:rPr>
          <w:rFonts w:hint="eastAsia" w:ascii="宋体" w:hAnsi="宋体" w:cs="宋体"/>
          <w:szCs w:val="21"/>
          <w:highlight w:val="none"/>
        </w:rPr>
        <w:t>：</w:t>
      </w:r>
    </w:p>
    <w:p w14:paraId="78E0F17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我公司郑重承诺：在参加“</w:t>
      </w:r>
      <w:r>
        <w:rPr>
          <w:rFonts w:hint="eastAsia" w:ascii="宋体" w:hAnsi="宋体" w:cs="宋体"/>
          <w:szCs w:val="21"/>
          <w:highlight w:val="none"/>
          <w:u w:val="single"/>
          <w:lang w:eastAsia="zh-CN"/>
        </w:rPr>
        <w:t>东莞市海心沙资源综合利用中心环保热电厂3号线低温SCR脱硝催化技术服务采购项目</w:t>
      </w:r>
      <w:r>
        <w:rPr>
          <w:rFonts w:hint="eastAsia" w:ascii="宋体" w:hAnsi="宋体" w:cs="宋体"/>
          <w:szCs w:val="21"/>
          <w:highlight w:val="none"/>
        </w:rPr>
        <w:t>” （项目编号:XDY-GK-2025-002）采购活动前未被列入东实环境及下属企业相关领域黑名单。</w:t>
      </w:r>
    </w:p>
    <w:p w14:paraId="02D5CF25">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我公司以上承诺均为真实有效，绝无任何虚假、伪造的成份，否则，愿承担相应的后果和法律责任。</w:t>
      </w:r>
    </w:p>
    <w:p w14:paraId="6B7D94AA">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cs="宋体"/>
          <w:szCs w:val="21"/>
          <w:highlight w:val="none"/>
        </w:rPr>
      </w:pPr>
    </w:p>
    <w:p w14:paraId="50237200">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投标人名称（盖章）：</w:t>
      </w:r>
    </w:p>
    <w:p w14:paraId="019DEB7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日期：</w:t>
      </w:r>
    </w:p>
    <w:p w14:paraId="431CABDA">
      <w:pPr>
        <w:ind w:firstLine="420" w:firstLineChars="200"/>
        <w:rPr>
          <w:rFonts w:hint="eastAsia" w:ascii="宋体" w:hAnsi="宋体" w:cs="宋体"/>
          <w:szCs w:val="21"/>
        </w:rPr>
      </w:pPr>
    </w:p>
    <w:p w14:paraId="361F2ECC"/>
    <w:p w14:paraId="744A61C8">
      <w:pPr>
        <w:rPr>
          <w:rFonts w:ascii="宋体" w:hAnsi="宋体"/>
          <w:szCs w:val="21"/>
        </w:rPr>
      </w:pPr>
    </w:p>
    <w:p w14:paraId="0F5F4113">
      <w:pPr>
        <w:pStyle w:val="2"/>
        <w:rPr>
          <w:sz w:val="21"/>
          <w:szCs w:val="21"/>
        </w:rPr>
      </w:pPr>
    </w:p>
    <w:p w14:paraId="28FCF1B1">
      <w:pPr>
        <w:rPr>
          <w:rFonts w:ascii="宋体" w:hAnsi="宋体"/>
          <w:szCs w:val="21"/>
        </w:rPr>
      </w:pPr>
    </w:p>
    <w:p w14:paraId="0644B422">
      <w:pPr>
        <w:pStyle w:val="2"/>
        <w:rPr>
          <w:sz w:val="21"/>
          <w:szCs w:val="21"/>
        </w:rPr>
      </w:pPr>
    </w:p>
    <w:p w14:paraId="3588E6DA">
      <w:pPr>
        <w:rPr>
          <w:rFonts w:ascii="宋体" w:hAnsi="宋体"/>
          <w:szCs w:val="21"/>
        </w:rPr>
      </w:pPr>
    </w:p>
    <w:p w14:paraId="085F97CF">
      <w:pPr>
        <w:pStyle w:val="2"/>
        <w:rPr>
          <w:sz w:val="21"/>
          <w:szCs w:val="21"/>
        </w:rPr>
      </w:pPr>
    </w:p>
    <w:p w14:paraId="2F269A36">
      <w:pPr>
        <w:rPr>
          <w:rFonts w:ascii="宋体" w:hAnsi="宋体"/>
          <w:szCs w:val="21"/>
        </w:rPr>
      </w:pPr>
    </w:p>
    <w:p w14:paraId="396EAB61">
      <w:pPr>
        <w:pStyle w:val="2"/>
        <w:rPr>
          <w:sz w:val="21"/>
          <w:szCs w:val="21"/>
        </w:rPr>
      </w:pPr>
    </w:p>
    <w:p w14:paraId="5F418466">
      <w:pPr>
        <w:rPr>
          <w:rFonts w:ascii="宋体" w:hAnsi="宋体"/>
          <w:szCs w:val="21"/>
        </w:rPr>
      </w:pPr>
    </w:p>
    <w:p w14:paraId="7756DC75">
      <w:pPr>
        <w:pStyle w:val="2"/>
        <w:rPr>
          <w:sz w:val="21"/>
          <w:szCs w:val="21"/>
        </w:rPr>
      </w:pPr>
    </w:p>
    <w:p w14:paraId="260BDC40"/>
    <w:p w14:paraId="4C40367E">
      <w:pPr>
        <w:widowControl w:val="0"/>
        <w:overflowPunct w:val="0"/>
        <w:rPr>
          <w:rFonts w:hint="eastAsia" w:ascii="宋体" w:hAnsi="宋体"/>
          <w:sz w:val="21"/>
          <w:szCs w:val="21"/>
        </w:rPr>
      </w:pPr>
      <w:bookmarkStart w:id="173" w:name="_Toc18616"/>
      <w:r>
        <w:rPr>
          <w:rFonts w:hint="eastAsia" w:ascii="宋体" w:hAnsi="宋体"/>
          <w:sz w:val="21"/>
          <w:szCs w:val="21"/>
        </w:rPr>
        <w:br w:type="page"/>
      </w:r>
    </w:p>
    <w:p w14:paraId="695B28E5">
      <w:pPr>
        <w:pStyle w:val="6"/>
        <w:widowControl w:val="0"/>
        <w:overflowPunct w:val="0"/>
        <w:spacing w:line="240" w:lineRule="auto"/>
        <w:rPr>
          <w:rFonts w:ascii="楷体_GB2312" w:eastAsia="楷体_GB2312"/>
        </w:rPr>
      </w:pPr>
      <w:r>
        <w:rPr>
          <w:rFonts w:hint="eastAsia" w:ascii="宋体" w:hAnsi="宋体"/>
          <w:sz w:val="21"/>
          <w:szCs w:val="21"/>
        </w:rPr>
        <w:t>附件1</w:t>
      </w:r>
      <w:r>
        <w:rPr>
          <w:rFonts w:hint="eastAsia" w:ascii="宋体" w:hAnsi="宋体"/>
          <w:sz w:val="21"/>
          <w:szCs w:val="21"/>
          <w:lang w:val="en-US" w:eastAsia="zh-CN"/>
        </w:rPr>
        <w:t>0</w:t>
      </w:r>
      <w:r>
        <w:rPr>
          <w:rFonts w:hint="eastAsia" w:ascii="宋体" w:hAnsi="宋体"/>
          <w:sz w:val="21"/>
          <w:szCs w:val="21"/>
        </w:rPr>
        <w:t>.承诺书格式</w:t>
      </w:r>
      <w:bookmarkEnd w:id="173"/>
    </w:p>
    <w:p w14:paraId="42503E67">
      <w:pPr>
        <w:jc w:val="center"/>
        <w:rPr>
          <w:rFonts w:ascii="黑体" w:eastAsia="黑体"/>
          <w:sz w:val="28"/>
          <w:szCs w:val="28"/>
        </w:rPr>
      </w:pPr>
      <w:r>
        <w:rPr>
          <w:rFonts w:hint="eastAsia" w:ascii="黑体" w:eastAsia="黑体"/>
          <w:sz w:val="28"/>
          <w:szCs w:val="28"/>
        </w:rPr>
        <w:t>承诺书</w:t>
      </w:r>
    </w:p>
    <w:p w14:paraId="3B5ECAFE">
      <w:pPr>
        <w:pStyle w:val="45"/>
        <w:spacing w:line="420" w:lineRule="atLeast"/>
        <w:ind w:firstLine="0" w:firstLineChars="0"/>
        <w:rPr>
          <w:rFonts w:ascii="宋体" w:eastAsia="宋体" w:cs="宋体"/>
          <w:sz w:val="21"/>
          <w:szCs w:val="21"/>
        </w:rPr>
      </w:pPr>
      <w:r>
        <w:rPr>
          <w:rFonts w:hint="eastAsia" w:ascii="宋体" w:eastAsia="宋体" w:cs="宋体"/>
          <w:sz w:val="21"/>
          <w:szCs w:val="21"/>
        </w:rPr>
        <w:t>致</w:t>
      </w:r>
      <w:r>
        <w:rPr>
          <w:rFonts w:hint="eastAsia" w:ascii="宋体" w:eastAsia="宋体" w:cs="宋体"/>
          <w:sz w:val="21"/>
          <w:szCs w:val="21"/>
          <w:lang w:eastAsia="zh-CN"/>
        </w:rPr>
        <w:t>东莞市新东元环保投资有限公司</w:t>
      </w:r>
      <w:r>
        <w:rPr>
          <w:rFonts w:hint="eastAsia" w:ascii="宋体" w:eastAsia="宋体" w:cs="宋体"/>
          <w:sz w:val="21"/>
          <w:szCs w:val="21"/>
        </w:rPr>
        <w:t>：</w:t>
      </w:r>
    </w:p>
    <w:p w14:paraId="246C8BD1">
      <w:pPr>
        <w:jc w:val="center"/>
        <w:rPr>
          <w:rFonts w:ascii="宋体" w:hAnsi="宋体" w:cs="宋体"/>
          <w:szCs w:val="21"/>
        </w:rPr>
      </w:pPr>
    </w:p>
    <w:p w14:paraId="1DD7B2D3">
      <w:pPr>
        <w:pStyle w:val="45"/>
        <w:spacing w:line="420" w:lineRule="exact"/>
        <w:ind w:firstLine="433"/>
        <w:rPr>
          <w:rFonts w:ascii="宋体" w:eastAsia="宋体" w:cs="宋体"/>
          <w:sz w:val="21"/>
          <w:szCs w:val="21"/>
        </w:rPr>
      </w:pPr>
      <w:r>
        <w:rPr>
          <w:rFonts w:hint="eastAsia" w:ascii="宋体" w:eastAsia="宋体" w:cs="宋体"/>
          <w:sz w:val="21"/>
          <w:szCs w:val="21"/>
        </w:rPr>
        <w:t>我方已完整阅读了</w:t>
      </w:r>
      <w:r>
        <w:rPr>
          <w:rFonts w:hint="eastAsia" w:ascii="宋体" w:eastAsia="宋体" w:cs="宋体"/>
          <w:sz w:val="21"/>
          <w:szCs w:val="21"/>
          <w:u w:val="single"/>
        </w:rPr>
        <w:t xml:space="preserve">  （项目名称）     </w:t>
      </w:r>
      <w:r>
        <w:rPr>
          <w:rFonts w:hint="eastAsia" w:ascii="宋体" w:eastAsia="宋体" w:cs="宋体"/>
          <w:sz w:val="21"/>
          <w:szCs w:val="21"/>
        </w:rPr>
        <w:t>项目（项目编号：</w:t>
      </w:r>
      <w:r>
        <w:rPr>
          <w:rFonts w:hint="eastAsia" w:ascii="宋体" w:eastAsia="宋体" w:cs="宋体"/>
          <w:sz w:val="21"/>
          <w:szCs w:val="21"/>
          <w:u w:val="single"/>
        </w:rPr>
        <w:t xml:space="preserve">            </w:t>
      </w:r>
      <w:r>
        <w:rPr>
          <w:rFonts w:hint="eastAsia" w:ascii="宋体" w:eastAsia="宋体" w:cs="宋体"/>
          <w:sz w:val="21"/>
          <w:szCs w:val="21"/>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sz w:val="21"/>
          <w:szCs w:val="21"/>
        </w:rPr>
        <w:cr/>
      </w:r>
    </w:p>
    <w:p w14:paraId="0607AB78">
      <w:pPr>
        <w:pStyle w:val="45"/>
        <w:spacing w:line="420" w:lineRule="exact"/>
        <w:ind w:firstLine="433"/>
        <w:rPr>
          <w:rFonts w:ascii="宋体" w:eastAsia="宋体" w:cs="宋体"/>
          <w:sz w:val="21"/>
          <w:szCs w:val="21"/>
        </w:rPr>
      </w:pPr>
    </w:p>
    <w:p w14:paraId="27C98177">
      <w:pPr>
        <w:ind w:right="561" w:firstLine="420" w:firstLineChars="200"/>
        <w:rPr>
          <w:rFonts w:ascii="宋体" w:hAnsi="宋体" w:cs="宋体"/>
          <w:szCs w:val="21"/>
        </w:rPr>
      </w:pPr>
      <w:r>
        <w:rPr>
          <w:rFonts w:hint="eastAsia" w:ascii="宋体" w:hAnsi="宋体" w:cs="宋体"/>
          <w:szCs w:val="21"/>
        </w:rPr>
        <w:t>投标人名称（加盖公章）：</w:t>
      </w:r>
    </w:p>
    <w:p w14:paraId="7A588CB4">
      <w:pPr>
        <w:ind w:right="561" w:firstLine="420" w:firstLineChars="200"/>
        <w:rPr>
          <w:rFonts w:ascii="宋体" w:hAnsi="宋体" w:cs="宋体"/>
          <w:szCs w:val="21"/>
        </w:rPr>
      </w:pPr>
      <w:r>
        <w:rPr>
          <w:rFonts w:hint="eastAsia" w:ascii="宋体" w:hAnsi="宋体" w:cs="宋体"/>
          <w:szCs w:val="21"/>
        </w:rPr>
        <w:t>法定代表人或被授权人（签名或盖私章）：</w:t>
      </w:r>
    </w:p>
    <w:p w14:paraId="4F5E4D8F">
      <w:pPr>
        <w:ind w:right="561" w:firstLine="420" w:firstLineChars="200"/>
        <w:rPr>
          <w:rFonts w:ascii="宋体" w:hAnsi="宋体" w:cs="宋体"/>
          <w:szCs w:val="21"/>
        </w:rPr>
      </w:pPr>
      <w:r>
        <w:rPr>
          <w:rFonts w:hint="eastAsia" w:ascii="宋体" w:hAnsi="宋体" w:cs="宋体"/>
          <w:szCs w:val="21"/>
        </w:rPr>
        <w:t>日      期：</w:t>
      </w:r>
    </w:p>
    <w:p w14:paraId="1CD08267"/>
    <w:p w14:paraId="27530EBD">
      <w:pPr>
        <w:rPr>
          <w:rFonts w:ascii="宋体" w:hAnsi="宋体"/>
          <w:szCs w:val="21"/>
        </w:rPr>
      </w:pPr>
    </w:p>
    <w:p w14:paraId="7C105DE0">
      <w:pPr>
        <w:pStyle w:val="2"/>
        <w:rPr>
          <w:sz w:val="21"/>
          <w:szCs w:val="21"/>
        </w:rPr>
      </w:pPr>
    </w:p>
    <w:p w14:paraId="7DF70B3C">
      <w:pPr>
        <w:rPr>
          <w:rFonts w:ascii="宋体" w:hAnsi="宋体"/>
          <w:szCs w:val="21"/>
        </w:rPr>
      </w:pPr>
    </w:p>
    <w:p w14:paraId="3A153B84">
      <w:pPr>
        <w:pStyle w:val="2"/>
        <w:rPr>
          <w:sz w:val="21"/>
          <w:szCs w:val="21"/>
        </w:rPr>
      </w:pPr>
    </w:p>
    <w:p w14:paraId="250BB076">
      <w:pPr>
        <w:rPr>
          <w:rFonts w:ascii="宋体" w:hAnsi="宋体"/>
          <w:szCs w:val="21"/>
        </w:rPr>
      </w:pPr>
    </w:p>
    <w:p w14:paraId="10538F86">
      <w:pPr>
        <w:pStyle w:val="2"/>
        <w:rPr>
          <w:sz w:val="21"/>
          <w:szCs w:val="21"/>
        </w:rPr>
      </w:pPr>
    </w:p>
    <w:p w14:paraId="5BE37738">
      <w:pPr>
        <w:rPr>
          <w:rFonts w:ascii="宋体" w:hAnsi="宋体"/>
          <w:szCs w:val="21"/>
        </w:rPr>
      </w:pPr>
    </w:p>
    <w:p w14:paraId="0A850C21">
      <w:pPr>
        <w:pStyle w:val="2"/>
        <w:rPr>
          <w:sz w:val="21"/>
          <w:szCs w:val="21"/>
        </w:rPr>
      </w:pPr>
    </w:p>
    <w:p w14:paraId="5D33A053">
      <w:pPr>
        <w:rPr>
          <w:rFonts w:ascii="宋体" w:hAnsi="宋体"/>
          <w:szCs w:val="21"/>
        </w:rPr>
      </w:pPr>
    </w:p>
    <w:p w14:paraId="1634C9F8">
      <w:pPr>
        <w:pStyle w:val="2"/>
        <w:rPr>
          <w:sz w:val="21"/>
          <w:szCs w:val="21"/>
        </w:rPr>
      </w:pPr>
    </w:p>
    <w:p w14:paraId="1D79ED90">
      <w:pPr>
        <w:rPr>
          <w:rFonts w:ascii="宋体" w:hAnsi="宋体"/>
          <w:szCs w:val="21"/>
        </w:rPr>
      </w:pPr>
    </w:p>
    <w:p w14:paraId="2EFCC302">
      <w:pPr>
        <w:pStyle w:val="2"/>
        <w:rPr>
          <w:sz w:val="21"/>
          <w:szCs w:val="21"/>
        </w:rPr>
      </w:pPr>
    </w:p>
    <w:p w14:paraId="31C325CE">
      <w:pPr>
        <w:rPr>
          <w:rFonts w:ascii="宋体" w:hAnsi="宋体"/>
          <w:szCs w:val="21"/>
        </w:rPr>
      </w:pPr>
    </w:p>
    <w:p w14:paraId="2A793473">
      <w:pPr>
        <w:pStyle w:val="2"/>
        <w:rPr>
          <w:sz w:val="21"/>
          <w:szCs w:val="21"/>
        </w:rPr>
      </w:pPr>
    </w:p>
    <w:p w14:paraId="3FFF972B">
      <w:pPr>
        <w:rPr>
          <w:rFonts w:ascii="宋体" w:hAnsi="宋体"/>
          <w:szCs w:val="21"/>
        </w:rPr>
      </w:pPr>
    </w:p>
    <w:p w14:paraId="4484AC2F">
      <w:pPr>
        <w:pStyle w:val="2"/>
        <w:rPr>
          <w:sz w:val="21"/>
          <w:szCs w:val="21"/>
        </w:rPr>
      </w:pPr>
    </w:p>
    <w:p w14:paraId="6E3276F1"/>
    <w:p w14:paraId="157AF2EB">
      <w:pPr>
        <w:pStyle w:val="6"/>
        <w:widowControl w:val="0"/>
        <w:overflowPunct w:val="0"/>
        <w:spacing w:line="240" w:lineRule="auto"/>
        <w:rPr>
          <w:rFonts w:ascii="宋体" w:hAnsi="宋体"/>
          <w:sz w:val="21"/>
          <w:szCs w:val="21"/>
          <w:highlight w:val="none"/>
        </w:rPr>
      </w:pPr>
      <w:bookmarkStart w:id="174" w:name="_Toc24507"/>
      <w:r>
        <w:rPr>
          <w:rFonts w:hint="eastAsia" w:ascii="宋体" w:hAnsi="宋体"/>
          <w:sz w:val="21"/>
          <w:szCs w:val="21"/>
        </w:rPr>
        <w:t>附件1</w:t>
      </w:r>
      <w:r>
        <w:rPr>
          <w:rFonts w:hint="eastAsia" w:ascii="宋体" w:hAnsi="宋体"/>
          <w:sz w:val="21"/>
          <w:szCs w:val="21"/>
          <w:lang w:val="en-US" w:eastAsia="zh-CN"/>
        </w:rPr>
        <w:t>1</w:t>
      </w:r>
      <w:r>
        <w:rPr>
          <w:rFonts w:hint="eastAsia" w:ascii="宋体" w:hAnsi="宋体"/>
          <w:sz w:val="21"/>
          <w:szCs w:val="21"/>
        </w:rPr>
        <w:t>.用户需求条款</w:t>
      </w:r>
      <w:r>
        <w:rPr>
          <w:rFonts w:hint="eastAsia" w:ascii="宋体" w:hAnsi="宋体"/>
          <w:sz w:val="21"/>
          <w:szCs w:val="21"/>
          <w:highlight w:val="none"/>
        </w:rPr>
        <w:t>偏离表格式</w:t>
      </w:r>
      <w:bookmarkEnd w:id="174"/>
    </w:p>
    <w:p w14:paraId="63055A0D">
      <w:pPr>
        <w:jc w:val="center"/>
        <w:rPr>
          <w:rFonts w:ascii="黑体" w:eastAsia="黑体"/>
          <w:sz w:val="28"/>
          <w:szCs w:val="28"/>
          <w:highlight w:val="none"/>
        </w:rPr>
      </w:pPr>
    </w:p>
    <w:p w14:paraId="17B266F8">
      <w:pPr>
        <w:jc w:val="center"/>
        <w:rPr>
          <w:rFonts w:ascii="黑体" w:eastAsia="黑体"/>
          <w:sz w:val="28"/>
          <w:szCs w:val="28"/>
          <w:highlight w:val="none"/>
        </w:rPr>
      </w:pPr>
      <w:r>
        <w:rPr>
          <w:rFonts w:hint="eastAsia" w:ascii="黑体" w:eastAsia="黑体"/>
          <w:sz w:val="28"/>
          <w:szCs w:val="28"/>
          <w:highlight w:val="none"/>
        </w:rPr>
        <w:t>用户需求条款偏离表</w:t>
      </w:r>
    </w:p>
    <w:tbl>
      <w:tblPr>
        <w:tblStyle w:val="30"/>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4E6D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3382D67D">
            <w:pPr>
              <w:jc w:val="center"/>
              <w:rPr>
                <w:rFonts w:ascii="宋体" w:hAnsi="宋体"/>
                <w:szCs w:val="21"/>
                <w:highlight w:val="none"/>
              </w:rPr>
            </w:pPr>
            <w:r>
              <w:rPr>
                <w:rFonts w:hint="eastAsia" w:ascii="宋体" w:hAnsi="宋体"/>
                <w:szCs w:val="21"/>
                <w:highlight w:val="none"/>
              </w:rPr>
              <w:t>序号</w:t>
            </w:r>
          </w:p>
        </w:tc>
        <w:tc>
          <w:tcPr>
            <w:tcW w:w="1620" w:type="dxa"/>
            <w:vAlign w:val="center"/>
          </w:tcPr>
          <w:p w14:paraId="1A2CD92C">
            <w:pPr>
              <w:jc w:val="center"/>
              <w:rPr>
                <w:rFonts w:ascii="宋体" w:hAnsi="宋体"/>
                <w:szCs w:val="21"/>
                <w:highlight w:val="none"/>
              </w:rPr>
            </w:pPr>
            <w:r>
              <w:rPr>
                <w:rFonts w:hint="eastAsia" w:ascii="宋体" w:hAnsi="宋体"/>
                <w:szCs w:val="21"/>
                <w:highlight w:val="none"/>
              </w:rPr>
              <w:t>服务项目名称</w:t>
            </w:r>
          </w:p>
        </w:tc>
        <w:tc>
          <w:tcPr>
            <w:tcW w:w="1360" w:type="dxa"/>
            <w:vAlign w:val="center"/>
          </w:tcPr>
          <w:p w14:paraId="2BBF30F9">
            <w:pPr>
              <w:jc w:val="center"/>
              <w:rPr>
                <w:rFonts w:ascii="宋体" w:hAnsi="宋体"/>
                <w:szCs w:val="21"/>
                <w:highlight w:val="none"/>
              </w:rPr>
            </w:pPr>
            <w:r>
              <w:rPr>
                <w:rFonts w:hint="eastAsia" w:ascii="宋体" w:hAnsi="宋体"/>
                <w:szCs w:val="21"/>
                <w:highlight w:val="none"/>
              </w:rPr>
              <w:t>采购要求</w:t>
            </w:r>
          </w:p>
        </w:tc>
        <w:tc>
          <w:tcPr>
            <w:tcW w:w="1587" w:type="dxa"/>
            <w:vAlign w:val="center"/>
          </w:tcPr>
          <w:p w14:paraId="1249FE89">
            <w:pPr>
              <w:jc w:val="center"/>
              <w:rPr>
                <w:rFonts w:ascii="宋体" w:hAnsi="宋体"/>
                <w:szCs w:val="21"/>
                <w:highlight w:val="none"/>
              </w:rPr>
            </w:pPr>
            <w:r>
              <w:rPr>
                <w:rFonts w:hint="eastAsia" w:ascii="宋体" w:hAnsi="宋体"/>
                <w:szCs w:val="21"/>
                <w:highlight w:val="none"/>
              </w:rPr>
              <w:t>投标实际响应</w:t>
            </w:r>
          </w:p>
        </w:tc>
        <w:tc>
          <w:tcPr>
            <w:tcW w:w="1133" w:type="dxa"/>
            <w:vAlign w:val="center"/>
          </w:tcPr>
          <w:p w14:paraId="47FE3080">
            <w:pPr>
              <w:jc w:val="center"/>
              <w:rPr>
                <w:rFonts w:ascii="宋体" w:hAnsi="宋体"/>
                <w:szCs w:val="21"/>
                <w:highlight w:val="none"/>
              </w:rPr>
            </w:pPr>
            <w:r>
              <w:rPr>
                <w:rFonts w:hint="eastAsia" w:ascii="宋体" w:hAnsi="宋体"/>
                <w:szCs w:val="21"/>
                <w:highlight w:val="none"/>
              </w:rPr>
              <w:t>是否偏离</w:t>
            </w:r>
          </w:p>
        </w:tc>
        <w:tc>
          <w:tcPr>
            <w:tcW w:w="1730" w:type="dxa"/>
            <w:vAlign w:val="center"/>
          </w:tcPr>
          <w:p w14:paraId="170D8484">
            <w:pPr>
              <w:jc w:val="center"/>
              <w:rPr>
                <w:rFonts w:ascii="宋体" w:hAnsi="宋体"/>
                <w:szCs w:val="21"/>
                <w:highlight w:val="none"/>
              </w:rPr>
            </w:pPr>
            <w:r>
              <w:rPr>
                <w:rFonts w:hint="eastAsia" w:ascii="宋体" w:hAnsi="宋体"/>
                <w:szCs w:val="21"/>
                <w:highlight w:val="none"/>
              </w:rPr>
              <w:t>说明</w:t>
            </w:r>
          </w:p>
        </w:tc>
      </w:tr>
      <w:tr w14:paraId="5F22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1ECC886">
            <w:pPr>
              <w:jc w:val="center"/>
              <w:rPr>
                <w:rFonts w:ascii="宋体" w:hAnsi="宋体"/>
                <w:szCs w:val="21"/>
                <w:highlight w:val="none"/>
              </w:rPr>
            </w:pPr>
          </w:p>
        </w:tc>
        <w:tc>
          <w:tcPr>
            <w:tcW w:w="1620" w:type="dxa"/>
            <w:vAlign w:val="center"/>
          </w:tcPr>
          <w:p w14:paraId="54040416">
            <w:pPr>
              <w:jc w:val="center"/>
              <w:rPr>
                <w:rFonts w:ascii="宋体" w:hAnsi="宋体"/>
                <w:szCs w:val="21"/>
                <w:highlight w:val="none"/>
              </w:rPr>
            </w:pPr>
          </w:p>
        </w:tc>
        <w:tc>
          <w:tcPr>
            <w:tcW w:w="1360" w:type="dxa"/>
            <w:vAlign w:val="center"/>
          </w:tcPr>
          <w:p w14:paraId="08CAFAC0">
            <w:pPr>
              <w:jc w:val="center"/>
              <w:rPr>
                <w:rFonts w:ascii="宋体" w:hAnsi="宋体"/>
                <w:szCs w:val="21"/>
                <w:highlight w:val="none"/>
              </w:rPr>
            </w:pPr>
          </w:p>
        </w:tc>
        <w:tc>
          <w:tcPr>
            <w:tcW w:w="1587" w:type="dxa"/>
            <w:vAlign w:val="center"/>
          </w:tcPr>
          <w:p w14:paraId="40AACC21">
            <w:pPr>
              <w:jc w:val="center"/>
              <w:rPr>
                <w:rFonts w:ascii="宋体" w:hAnsi="宋体"/>
                <w:szCs w:val="21"/>
                <w:highlight w:val="none"/>
              </w:rPr>
            </w:pPr>
          </w:p>
        </w:tc>
        <w:tc>
          <w:tcPr>
            <w:tcW w:w="1133" w:type="dxa"/>
            <w:vAlign w:val="center"/>
          </w:tcPr>
          <w:p w14:paraId="43F1CAFF">
            <w:pPr>
              <w:jc w:val="center"/>
              <w:rPr>
                <w:rFonts w:ascii="宋体" w:hAnsi="宋体"/>
                <w:szCs w:val="21"/>
                <w:highlight w:val="none"/>
              </w:rPr>
            </w:pPr>
          </w:p>
        </w:tc>
        <w:tc>
          <w:tcPr>
            <w:tcW w:w="1730" w:type="dxa"/>
            <w:vAlign w:val="center"/>
          </w:tcPr>
          <w:p w14:paraId="3F8B9374">
            <w:pPr>
              <w:jc w:val="center"/>
              <w:rPr>
                <w:rFonts w:ascii="宋体" w:hAnsi="宋体"/>
                <w:szCs w:val="21"/>
                <w:highlight w:val="none"/>
              </w:rPr>
            </w:pPr>
          </w:p>
        </w:tc>
      </w:tr>
      <w:tr w14:paraId="3EDD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CCD5384">
            <w:pPr>
              <w:jc w:val="center"/>
              <w:rPr>
                <w:rFonts w:ascii="宋体" w:hAnsi="宋体"/>
                <w:szCs w:val="21"/>
                <w:highlight w:val="none"/>
              </w:rPr>
            </w:pPr>
          </w:p>
        </w:tc>
        <w:tc>
          <w:tcPr>
            <w:tcW w:w="1620" w:type="dxa"/>
            <w:vAlign w:val="center"/>
          </w:tcPr>
          <w:p w14:paraId="07DBD4E9">
            <w:pPr>
              <w:jc w:val="center"/>
              <w:rPr>
                <w:rFonts w:ascii="宋体" w:hAnsi="宋体"/>
                <w:szCs w:val="21"/>
                <w:highlight w:val="none"/>
              </w:rPr>
            </w:pPr>
          </w:p>
        </w:tc>
        <w:tc>
          <w:tcPr>
            <w:tcW w:w="1360" w:type="dxa"/>
            <w:vAlign w:val="center"/>
          </w:tcPr>
          <w:p w14:paraId="6C31EBFF">
            <w:pPr>
              <w:jc w:val="center"/>
              <w:rPr>
                <w:rFonts w:ascii="宋体" w:hAnsi="宋体"/>
                <w:szCs w:val="21"/>
                <w:highlight w:val="none"/>
              </w:rPr>
            </w:pPr>
          </w:p>
        </w:tc>
        <w:tc>
          <w:tcPr>
            <w:tcW w:w="1587" w:type="dxa"/>
            <w:vAlign w:val="center"/>
          </w:tcPr>
          <w:p w14:paraId="2792ADC7">
            <w:pPr>
              <w:jc w:val="center"/>
              <w:rPr>
                <w:rFonts w:ascii="宋体" w:hAnsi="宋体"/>
                <w:szCs w:val="21"/>
                <w:highlight w:val="none"/>
              </w:rPr>
            </w:pPr>
          </w:p>
        </w:tc>
        <w:tc>
          <w:tcPr>
            <w:tcW w:w="1133" w:type="dxa"/>
            <w:vAlign w:val="center"/>
          </w:tcPr>
          <w:p w14:paraId="4491E4E6">
            <w:pPr>
              <w:jc w:val="center"/>
              <w:rPr>
                <w:rFonts w:ascii="宋体" w:hAnsi="宋体"/>
                <w:szCs w:val="21"/>
                <w:highlight w:val="none"/>
              </w:rPr>
            </w:pPr>
          </w:p>
        </w:tc>
        <w:tc>
          <w:tcPr>
            <w:tcW w:w="1730" w:type="dxa"/>
            <w:vAlign w:val="center"/>
          </w:tcPr>
          <w:p w14:paraId="150F0061">
            <w:pPr>
              <w:jc w:val="center"/>
              <w:rPr>
                <w:rFonts w:ascii="宋体" w:hAnsi="宋体"/>
                <w:szCs w:val="21"/>
                <w:highlight w:val="none"/>
              </w:rPr>
            </w:pPr>
          </w:p>
        </w:tc>
      </w:tr>
      <w:tr w14:paraId="0292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EB44300">
            <w:pPr>
              <w:jc w:val="center"/>
              <w:rPr>
                <w:rFonts w:ascii="宋体" w:hAnsi="宋体"/>
                <w:szCs w:val="21"/>
                <w:highlight w:val="none"/>
              </w:rPr>
            </w:pPr>
          </w:p>
        </w:tc>
        <w:tc>
          <w:tcPr>
            <w:tcW w:w="1620" w:type="dxa"/>
            <w:vAlign w:val="center"/>
          </w:tcPr>
          <w:p w14:paraId="72E4DE25">
            <w:pPr>
              <w:jc w:val="center"/>
              <w:rPr>
                <w:rFonts w:ascii="宋体" w:hAnsi="宋体"/>
                <w:szCs w:val="21"/>
                <w:highlight w:val="none"/>
              </w:rPr>
            </w:pPr>
          </w:p>
        </w:tc>
        <w:tc>
          <w:tcPr>
            <w:tcW w:w="1360" w:type="dxa"/>
            <w:vAlign w:val="center"/>
          </w:tcPr>
          <w:p w14:paraId="3DEA8B0A">
            <w:pPr>
              <w:jc w:val="center"/>
              <w:rPr>
                <w:rFonts w:ascii="宋体" w:hAnsi="宋体"/>
                <w:szCs w:val="21"/>
                <w:highlight w:val="none"/>
              </w:rPr>
            </w:pPr>
          </w:p>
        </w:tc>
        <w:tc>
          <w:tcPr>
            <w:tcW w:w="1587" w:type="dxa"/>
            <w:vAlign w:val="center"/>
          </w:tcPr>
          <w:p w14:paraId="53A43176">
            <w:pPr>
              <w:jc w:val="center"/>
              <w:rPr>
                <w:rFonts w:ascii="宋体" w:hAnsi="宋体"/>
                <w:szCs w:val="21"/>
                <w:highlight w:val="none"/>
              </w:rPr>
            </w:pPr>
          </w:p>
        </w:tc>
        <w:tc>
          <w:tcPr>
            <w:tcW w:w="1133" w:type="dxa"/>
            <w:vAlign w:val="center"/>
          </w:tcPr>
          <w:p w14:paraId="10928E4A">
            <w:pPr>
              <w:jc w:val="center"/>
              <w:rPr>
                <w:rFonts w:ascii="宋体" w:hAnsi="宋体"/>
                <w:szCs w:val="21"/>
                <w:highlight w:val="none"/>
              </w:rPr>
            </w:pPr>
          </w:p>
        </w:tc>
        <w:tc>
          <w:tcPr>
            <w:tcW w:w="1730" w:type="dxa"/>
            <w:vAlign w:val="center"/>
          </w:tcPr>
          <w:p w14:paraId="169B6A5E">
            <w:pPr>
              <w:jc w:val="center"/>
              <w:rPr>
                <w:rFonts w:ascii="宋体" w:hAnsi="宋体"/>
                <w:szCs w:val="21"/>
                <w:highlight w:val="none"/>
              </w:rPr>
            </w:pPr>
          </w:p>
        </w:tc>
      </w:tr>
      <w:tr w14:paraId="3696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45D8EAE">
            <w:pPr>
              <w:jc w:val="center"/>
              <w:rPr>
                <w:rFonts w:ascii="宋体" w:hAnsi="宋体"/>
                <w:szCs w:val="21"/>
                <w:highlight w:val="none"/>
              </w:rPr>
            </w:pPr>
          </w:p>
        </w:tc>
        <w:tc>
          <w:tcPr>
            <w:tcW w:w="1620" w:type="dxa"/>
            <w:vAlign w:val="center"/>
          </w:tcPr>
          <w:p w14:paraId="777AA52A">
            <w:pPr>
              <w:jc w:val="center"/>
              <w:rPr>
                <w:rFonts w:ascii="宋体" w:hAnsi="宋体"/>
                <w:szCs w:val="21"/>
                <w:highlight w:val="none"/>
              </w:rPr>
            </w:pPr>
          </w:p>
        </w:tc>
        <w:tc>
          <w:tcPr>
            <w:tcW w:w="1360" w:type="dxa"/>
            <w:vAlign w:val="center"/>
          </w:tcPr>
          <w:p w14:paraId="4B199136">
            <w:pPr>
              <w:jc w:val="center"/>
              <w:rPr>
                <w:rFonts w:ascii="宋体" w:hAnsi="宋体"/>
                <w:szCs w:val="21"/>
                <w:highlight w:val="none"/>
              </w:rPr>
            </w:pPr>
          </w:p>
        </w:tc>
        <w:tc>
          <w:tcPr>
            <w:tcW w:w="1587" w:type="dxa"/>
            <w:vAlign w:val="center"/>
          </w:tcPr>
          <w:p w14:paraId="4DAB84B9">
            <w:pPr>
              <w:jc w:val="center"/>
              <w:rPr>
                <w:rFonts w:ascii="宋体" w:hAnsi="宋体"/>
                <w:szCs w:val="21"/>
                <w:highlight w:val="none"/>
              </w:rPr>
            </w:pPr>
          </w:p>
        </w:tc>
        <w:tc>
          <w:tcPr>
            <w:tcW w:w="1133" w:type="dxa"/>
            <w:vAlign w:val="center"/>
          </w:tcPr>
          <w:p w14:paraId="66A86AC5">
            <w:pPr>
              <w:jc w:val="center"/>
              <w:rPr>
                <w:rFonts w:ascii="宋体" w:hAnsi="宋体"/>
                <w:szCs w:val="21"/>
                <w:highlight w:val="none"/>
              </w:rPr>
            </w:pPr>
          </w:p>
        </w:tc>
        <w:tc>
          <w:tcPr>
            <w:tcW w:w="1730" w:type="dxa"/>
            <w:vAlign w:val="center"/>
          </w:tcPr>
          <w:p w14:paraId="5C4CC78A">
            <w:pPr>
              <w:jc w:val="center"/>
              <w:rPr>
                <w:rFonts w:ascii="宋体" w:hAnsi="宋体"/>
                <w:szCs w:val="21"/>
                <w:highlight w:val="none"/>
              </w:rPr>
            </w:pPr>
          </w:p>
        </w:tc>
      </w:tr>
      <w:tr w14:paraId="7CEF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86428DB">
            <w:pPr>
              <w:jc w:val="center"/>
              <w:rPr>
                <w:rFonts w:ascii="宋体" w:hAnsi="宋体"/>
                <w:szCs w:val="21"/>
                <w:highlight w:val="none"/>
              </w:rPr>
            </w:pPr>
          </w:p>
        </w:tc>
        <w:tc>
          <w:tcPr>
            <w:tcW w:w="1620" w:type="dxa"/>
            <w:vAlign w:val="center"/>
          </w:tcPr>
          <w:p w14:paraId="1D753559">
            <w:pPr>
              <w:jc w:val="center"/>
              <w:rPr>
                <w:rFonts w:ascii="宋体" w:hAnsi="宋体"/>
                <w:szCs w:val="21"/>
                <w:highlight w:val="none"/>
              </w:rPr>
            </w:pPr>
          </w:p>
        </w:tc>
        <w:tc>
          <w:tcPr>
            <w:tcW w:w="1360" w:type="dxa"/>
            <w:vAlign w:val="center"/>
          </w:tcPr>
          <w:p w14:paraId="78164CA1">
            <w:pPr>
              <w:jc w:val="center"/>
              <w:rPr>
                <w:rFonts w:ascii="宋体" w:hAnsi="宋体"/>
                <w:szCs w:val="21"/>
                <w:highlight w:val="none"/>
              </w:rPr>
            </w:pPr>
          </w:p>
        </w:tc>
        <w:tc>
          <w:tcPr>
            <w:tcW w:w="1587" w:type="dxa"/>
            <w:vAlign w:val="center"/>
          </w:tcPr>
          <w:p w14:paraId="537B4D35">
            <w:pPr>
              <w:jc w:val="center"/>
              <w:rPr>
                <w:rFonts w:ascii="宋体" w:hAnsi="宋体"/>
                <w:szCs w:val="21"/>
                <w:highlight w:val="none"/>
              </w:rPr>
            </w:pPr>
          </w:p>
        </w:tc>
        <w:tc>
          <w:tcPr>
            <w:tcW w:w="1133" w:type="dxa"/>
            <w:vAlign w:val="center"/>
          </w:tcPr>
          <w:p w14:paraId="51A25B86">
            <w:pPr>
              <w:jc w:val="center"/>
              <w:rPr>
                <w:rFonts w:ascii="宋体" w:hAnsi="宋体"/>
                <w:szCs w:val="21"/>
                <w:highlight w:val="none"/>
              </w:rPr>
            </w:pPr>
          </w:p>
        </w:tc>
        <w:tc>
          <w:tcPr>
            <w:tcW w:w="1730" w:type="dxa"/>
            <w:vAlign w:val="center"/>
          </w:tcPr>
          <w:p w14:paraId="736A3224">
            <w:pPr>
              <w:jc w:val="center"/>
              <w:rPr>
                <w:rFonts w:ascii="宋体" w:hAnsi="宋体"/>
                <w:szCs w:val="21"/>
                <w:highlight w:val="none"/>
              </w:rPr>
            </w:pPr>
          </w:p>
        </w:tc>
      </w:tr>
      <w:tr w14:paraId="2082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98C9F07">
            <w:pPr>
              <w:jc w:val="center"/>
              <w:rPr>
                <w:rFonts w:ascii="宋体" w:hAnsi="宋体"/>
                <w:szCs w:val="21"/>
                <w:highlight w:val="none"/>
              </w:rPr>
            </w:pPr>
          </w:p>
        </w:tc>
        <w:tc>
          <w:tcPr>
            <w:tcW w:w="1620" w:type="dxa"/>
            <w:vAlign w:val="center"/>
          </w:tcPr>
          <w:p w14:paraId="3E5DD440">
            <w:pPr>
              <w:jc w:val="center"/>
              <w:rPr>
                <w:rFonts w:ascii="宋体" w:hAnsi="宋体"/>
                <w:szCs w:val="21"/>
                <w:highlight w:val="none"/>
              </w:rPr>
            </w:pPr>
          </w:p>
        </w:tc>
        <w:tc>
          <w:tcPr>
            <w:tcW w:w="1360" w:type="dxa"/>
            <w:vAlign w:val="center"/>
          </w:tcPr>
          <w:p w14:paraId="0899F208">
            <w:pPr>
              <w:jc w:val="center"/>
              <w:rPr>
                <w:rFonts w:ascii="宋体" w:hAnsi="宋体"/>
                <w:szCs w:val="21"/>
                <w:highlight w:val="none"/>
              </w:rPr>
            </w:pPr>
          </w:p>
        </w:tc>
        <w:tc>
          <w:tcPr>
            <w:tcW w:w="1587" w:type="dxa"/>
            <w:vAlign w:val="center"/>
          </w:tcPr>
          <w:p w14:paraId="18629D12">
            <w:pPr>
              <w:jc w:val="center"/>
              <w:rPr>
                <w:rFonts w:ascii="宋体" w:hAnsi="宋体"/>
                <w:szCs w:val="21"/>
                <w:highlight w:val="none"/>
              </w:rPr>
            </w:pPr>
          </w:p>
        </w:tc>
        <w:tc>
          <w:tcPr>
            <w:tcW w:w="1133" w:type="dxa"/>
            <w:vAlign w:val="center"/>
          </w:tcPr>
          <w:p w14:paraId="238B2D71">
            <w:pPr>
              <w:jc w:val="center"/>
              <w:rPr>
                <w:rFonts w:ascii="宋体" w:hAnsi="宋体"/>
                <w:szCs w:val="21"/>
                <w:highlight w:val="none"/>
              </w:rPr>
            </w:pPr>
          </w:p>
        </w:tc>
        <w:tc>
          <w:tcPr>
            <w:tcW w:w="1730" w:type="dxa"/>
            <w:vAlign w:val="center"/>
          </w:tcPr>
          <w:p w14:paraId="52068D95">
            <w:pPr>
              <w:jc w:val="center"/>
              <w:rPr>
                <w:rFonts w:ascii="宋体" w:hAnsi="宋体"/>
                <w:szCs w:val="21"/>
                <w:highlight w:val="none"/>
              </w:rPr>
            </w:pPr>
          </w:p>
        </w:tc>
      </w:tr>
    </w:tbl>
    <w:p w14:paraId="7C23A358">
      <w:pPr>
        <w:rPr>
          <w:rFonts w:ascii="宋体" w:hAnsi="宋体"/>
          <w:szCs w:val="21"/>
          <w:highlight w:val="none"/>
        </w:rPr>
      </w:pPr>
    </w:p>
    <w:p w14:paraId="6C5BF114">
      <w:pPr>
        <w:rPr>
          <w:rFonts w:ascii="宋体" w:hAnsi="宋体"/>
          <w:szCs w:val="21"/>
          <w:highlight w:val="none"/>
        </w:rPr>
      </w:pPr>
      <w:r>
        <w:rPr>
          <w:rFonts w:hint="eastAsia" w:ascii="宋体" w:hAnsi="宋体"/>
          <w:szCs w:val="21"/>
          <w:highlight w:val="none"/>
        </w:rPr>
        <w:t>投标人代表签字：</w:t>
      </w:r>
    </w:p>
    <w:p w14:paraId="3F9ABF24">
      <w:pPr>
        <w:rPr>
          <w:rFonts w:ascii="宋体" w:hAnsi="宋体"/>
          <w:szCs w:val="21"/>
          <w:highlight w:val="none"/>
        </w:rPr>
      </w:pPr>
      <w:r>
        <w:rPr>
          <w:rFonts w:hint="eastAsia" w:ascii="宋体" w:hAnsi="宋体"/>
          <w:szCs w:val="21"/>
          <w:highlight w:val="none"/>
        </w:rPr>
        <w:t>投标人盖章：</w:t>
      </w:r>
    </w:p>
    <w:p w14:paraId="0A6419D2">
      <w:pPr>
        <w:rPr>
          <w:rFonts w:ascii="宋体" w:hAnsi="宋体"/>
          <w:szCs w:val="21"/>
          <w:highlight w:val="none"/>
        </w:rPr>
      </w:pPr>
    </w:p>
    <w:p w14:paraId="2B9F9E3B">
      <w:pPr>
        <w:spacing w:after="0" w:line="360" w:lineRule="auto"/>
        <w:rPr>
          <w:rFonts w:ascii="宋体" w:hAnsi="宋体" w:eastAsia="宋体"/>
          <w:color w:val="auto"/>
          <w:sz w:val="21"/>
          <w:szCs w:val="21"/>
          <w:highlight w:val="none"/>
        </w:rPr>
      </w:pPr>
      <w:r>
        <w:rPr>
          <w:rFonts w:hint="eastAsia" w:ascii="宋体" w:hAnsi="宋体"/>
          <w:szCs w:val="21"/>
          <w:highlight w:val="none"/>
        </w:rPr>
        <w:t>注：</w:t>
      </w:r>
      <w:r>
        <w:rPr>
          <w:rFonts w:hint="eastAsia" w:ascii="宋体" w:hAnsi="宋体"/>
          <w:szCs w:val="21"/>
          <w:highlight w:val="none"/>
          <w:lang w:val="en-US" w:eastAsia="zh-CN"/>
        </w:rPr>
        <w:t>1、</w:t>
      </w:r>
      <w:r>
        <w:rPr>
          <w:rFonts w:hint="eastAsia" w:ascii="宋体" w:hAnsi="宋体"/>
          <w:szCs w:val="21"/>
          <w:highlight w:val="none"/>
        </w:rPr>
        <w:t>投标人应根据“用户需求书”规定的商务要求及技术要求进行填写，如完全符合用户需求书要求，可按如下“示例”进行填写。</w:t>
      </w:r>
      <w:r>
        <w:rPr>
          <w:rFonts w:hint="eastAsia" w:ascii="宋体" w:hAnsi="宋体"/>
          <w:color w:val="auto"/>
          <w:sz w:val="21"/>
          <w:szCs w:val="21"/>
          <w:highlight w:val="none"/>
          <w:lang w:val="en-US" w:eastAsia="zh-CN"/>
        </w:rPr>
        <w:t>2</w:t>
      </w:r>
      <w:r>
        <w:rPr>
          <w:rFonts w:hint="eastAsia" w:ascii="宋体" w:hAnsi="宋体" w:eastAsia="宋体"/>
          <w:color w:val="auto"/>
          <w:sz w:val="21"/>
          <w:szCs w:val="21"/>
          <w:highlight w:val="none"/>
        </w:rPr>
        <w:t>、投标人若未填写完整则视为完全响应招标文件的</w:t>
      </w:r>
      <w:r>
        <w:rPr>
          <w:rFonts w:hint="eastAsia" w:ascii="宋体" w:hAnsi="宋体"/>
          <w:szCs w:val="21"/>
          <w:highlight w:val="none"/>
        </w:rPr>
        <w:t>“用户需求书”规定的商务要求及技术</w:t>
      </w:r>
      <w:r>
        <w:rPr>
          <w:rFonts w:hint="eastAsia" w:ascii="宋体" w:hAnsi="宋体"/>
          <w:szCs w:val="21"/>
          <w:highlight w:val="none"/>
          <w:lang w:val="en-US" w:eastAsia="zh-CN"/>
        </w:rPr>
        <w:t>的所有</w:t>
      </w:r>
      <w:r>
        <w:rPr>
          <w:rFonts w:hint="eastAsia" w:ascii="宋体" w:hAnsi="宋体"/>
          <w:szCs w:val="21"/>
          <w:highlight w:val="none"/>
        </w:rPr>
        <w:t>要求</w:t>
      </w:r>
      <w:r>
        <w:rPr>
          <w:rFonts w:hint="eastAsia" w:ascii="宋体" w:hAnsi="宋体" w:eastAsia="宋体"/>
          <w:color w:val="auto"/>
          <w:sz w:val="21"/>
          <w:szCs w:val="21"/>
          <w:highlight w:val="none"/>
        </w:rPr>
        <w:t>，因此对投标人投标产生负面影响的，投标人自行承担后果。</w:t>
      </w:r>
    </w:p>
    <w:p w14:paraId="2778BDF6">
      <w:pPr>
        <w:rPr>
          <w:rFonts w:ascii="宋体" w:hAnsi="宋体"/>
          <w:szCs w:val="21"/>
          <w:highlight w:val="none"/>
        </w:rPr>
      </w:pPr>
    </w:p>
    <w:p w14:paraId="5B2771A5">
      <w:pPr>
        <w:jc w:val="left"/>
        <w:rPr>
          <w:rFonts w:ascii="宋体" w:hAnsi="宋体"/>
          <w:b/>
          <w:bCs/>
          <w:szCs w:val="21"/>
          <w:highlight w:val="none"/>
        </w:rPr>
      </w:pPr>
    </w:p>
    <w:p w14:paraId="53DAAA8D">
      <w:pPr>
        <w:jc w:val="left"/>
        <w:rPr>
          <w:rFonts w:ascii="宋体" w:hAnsi="宋体" w:cstheme="minorBidi"/>
          <w:b/>
          <w:bCs/>
          <w:szCs w:val="21"/>
          <w:highlight w:val="none"/>
        </w:rPr>
      </w:pPr>
      <w:r>
        <w:rPr>
          <w:rFonts w:hint="eastAsia" w:ascii="宋体" w:hAnsi="宋体" w:cstheme="minorBidi"/>
          <w:b/>
          <w:bCs/>
          <w:szCs w:val="21"/>
          <w:highlight w:val="none"/>
        </w:rPr>
        <w:t>示例</w:t>
      </w:r>
      <w:r>
        <w:rPr>
          <w:rFonts w:hint="eastAsia" w:ascii="宋体" w:hAnsi="宋体"/>
          <w:b/>
          <w:bCs/>
          <w:szCs w:val="21"/>
          <w:highlight w:val="none"/>
        </w:rPr>
        <w:t>：</w:t>
      </w:r>
    </w:p>
    <w:p w14:paraId="1A58BF81">
      <w:pPr>
        <w:jc w:val="center"/>
        <w:rPr>
          <w:rFonts w:hAnsi="宋体" w:cs="宋体"/>
          <w:b/>
          <w:bCs/>
          <w:highlight w:val="none"/>
        </w:rPr>
      </w:pPr>
      <w:r>
        <w:rPr>
          <w:rFonts w:hint="eastAsia" w:hAnsi="宋体" w:cs="宋体"/>
          <w:b/>
          <w:bCs/>
          <w:highlight w:val="none"/>
        </w:rPr>
        <w:t>用户需求条款偏离表</w:t>
      </w:r>
    </w:p>
    <w:tbl>
      <w:tblPr>
        <w:tblStyle w:val="3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026"/>
        <w:gridCol w:w="1291"/>
        <w:gridCol w:w="1739"/>
        <w:gridCol w:w="1005"/>
        <w:gridCol w:w="1748"/>
      </w:tblGrid>
      <w:tr w14:paraId="602B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13" w:type="pct"/>
            <w:vAlign w:val="center"/>
          </w:tcPr>
          <w:p w14:paraId="3C48D887">
            <w:pPr>
              <w:jc w:val="center"/>
              <w:rPr>
                <w:rFonts w:ascii="宋体" w:hAnsi="宋体"/>
                <w:szCs w:val="21"/>
                <w:highlight w:val="none"/>
              </w:rPr>
            </w:pPr>
            <w:r>
              <w:rPr>
                <w:rFonts w:hint="eastAsia" w:ascii="宋体" w:hAnsi="宋体"/>
                <w:szCs w:val="21"/>
                <w:highlight w:val="none"/>
              </w:rPr>
              <w:t>序号</w:t>
            </w:r>
          </w:p>
        </w:tc>
        <w:tc>
          <w:tcPr>
            <w:tcW w:w="1189" w:type="pct"/>
            <w:vAlign w:val="center"/>
          </w:tcPr>
          <w:p w14:paraId="6C73C1FD">
            <w:pPr>
              <w:jc w:val="center"/>
              <w:rPr>
                <w:rFonts w:ascii="宋体" w:hAnsi="宋体"/>
                <w:szCs w:val="21"/>
                <w:highlight w:val="none"/>
              </w:rPr>
            </w:pPr>
            <w:r>
              <w:rPr>
                <w:rFonts w:hint="eastAsia" w:ascii="宋体" w:hAnsi="宋体"/>
                <w:szCs w:val="21"/>
                <w:highlight w:val="none"/>
              </w:rPr>
              <w:t>项目名称</w:t>
            </w:r>
          </w:p>
        </w:tc>
        <w:tc>
          <w:tcPr>
            <w:tcW w:w="758" w:type="pct"/>
            <w:vAlign w:val="center"/>
          </w:tcPr>
          <w:p w14:paraId="14F9DE28">
            <w:pPr>
              <w:jc w:val="center"/>
              <w:rPr>
                <w:rFonts w:ascii="宋体" w:hAnsi="宋体"/>
                <w:szCs w:val="21"/>
                <w:highlight w:val="none"/>
              </w:rPr>
            </w:pPr>
            <w:r>
              <w:rPr>
                <w:rFonts w:hint="eastAsia" w:ascii="宋体" w:hAnsi="宋体"/>
                <w:szCs w:val="21"/>
                <w:highlight w:val="none"/>
              </w:rPr>
              <w:t>采购要求</w:t>
            </w:r>
          </w:p>
        </w:tc>
        <w:tc>
          <w:tcPr>
            <w:tcW w:w="1021" w:type="pct"/>
            <w:vAlign w:val="center"/>
          </w:tcPr>
          <w:p w14:paraId="02DFA5B9">
            <w:pPr>
              <w:jc w:val="center"/>
              <w:rPr>
                <w:rFonts w:ascii="宋体" w:hAnsi="宋体"/>
                <w:szCs w:val="21"/>
                <w:highlight w:val="none"/>
              </w:rPr>
            </w:pPr>
            <w:r>
              <w:rPr>
                <w:rFonts w:hint="eastAsia" w:ascii="宋体" w:hAnsi="宋体"/>
                <w:szCs w:val="21"/>
                <w:highlight w:val="none"/>
              </w:rPr>
              <w:t>投标实际响应</w:t>
            </w:r>
          </w:p>
        </w:tc>
        <w:tc>
          <w:tcPr>
            <w:tcW w:w="590" w:type="pct"/>
            <w:vAlign w:val="center"/>
          </w:tcPr>
          <w:p w14:paraId="7716EB9F">
            <w:pPr>
              <w:jc w:val="center"/>
              <w:rPr>
                <w:rFonts w:ascii="宋体" w:hAnsi="宋体"/>
                <w:szCs w:val="21"/>
                <w:highlight w:val="none"/>
              </w:rPr>
            </w:pPr>
            <w:r>
              <w:rPr>
                <w:rFonts w:hint="eastAsia" w:ascii="宋体" w:hAnsi="宋体"/>
                <w:szCs w:val="21"/>
                <w:highlight w:val="none"/>
              </w:rPr>
              <w:t>是否偏离</w:t>
            </w:r>
          </w:p>
        </w:tc>
        <w:tc>
          <w:tcPr>
            <w:tcW w:w="1026" w:type="pct"/>
            <w:vAlign w:val="center"/>
          </w:tcPr>
          <w:p w14:paraId="679C5CCC">
            <w:pPr>
              <w:jc w:val="center"/>
              <w:rPr>
                <w:rFonts w:ascii="宋体" w:hAnsi="宋体"/>
                <w:szCs w:val="21"/>
                <w:highlight w:val="none"/>
              </w:rPr>
            </w:pPr>
            <w:r>
              <w:rPr>
                <w:rFonts w:hint="eastAsia" w:ascii="宋体" w:hAnsi="宋体"/>
                <w:szCs w:val="21"/>
                <w:highlight w:val="none"/>
              </w:rPr>
              <w:t>说明</w:t>
            </w:r>
          </w:p>
        </w:tc>
      </w:tr>
      <w:tr w14:paraId="4D75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14:paraId="49224C75">
            <w:pPr>
              <w:jc w:val="center"/>
              <w:rPr>
                <w:rFonts w:ascii="宋体" w:hAnsi="宋体"/>
                <w:szCs w:val="21"/>
                <w:highlight w:val="none"/>
              </w:rPr>
            </w:pPr>
            <w:r>
              <w:rPr>
                <w:rFonts w:hint="eastAsia" w:ascii="宋体" w:hAnsi="宋体"/>
                <w:szCs w:val="21"/>
                <w:highlight w:val="none"/>
              </w:rPr>
              <w:t>1</w:t>
            </w:r>
          </w:p>
        </w:tc>
        <w:tc>
          <w:tcPr>
            <w:tcW w:w="1189" w:type="pct"/>
            <w:vAlign w:val="center"/>
          </w:tcPr>
          <w:p w14:paraId="451DEDEA">
            <w:pPr>
              <w:jc w:val="center"/>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东莞市海心沙资源综合利用中心环保热电厂3号线低温SCR脱硝催化技术服务采购项目</w:t>
            </w:r>
          </w:p>
        </w:tc>
        <w:tc>
          <w:tcPr>
            <w:tcW w:w="758" w:type="pct"/>
            <w:vAlign w:val="center"/>
          </w:tcPr>
          <w:p w14:paraId="11519BFE">
            <w:pPr>
              <w:jc w:val="center"/>
              <w:rPr>
                <w:rFonts w:ascii="宋体" w:hAnsi="宋体"/>
                <w:szCs w:val="21"/>
                <w:highlight w:val="none"/>
              </w:rPr>
            </w:pPr>
            <w:r>
              <w:rPr>
                <w:rFonts w:hint="eastAsia" w:ascii="宋体" w:hAnsi="宋体"/>
                <w:szCs w:val="21"/>
                <w:highlight w:val="none"/>
              </w:rPr>
              <w:t>采购文件用户需求书所列的所有条款要求。</w:t>
            </w:r>
          </w:p>
        </w:tc>
        <w:tc>
          <w:tcPr>
            <w:tcW w:w="1021" w:type="pct"/>
            <w:vAlign w:val="center"/>
          </w:tcPr>
          <w:p w14:paraId="449FF86B">
            <w:pPr>
              <w:jc w:val="center"/>
              <w:rPr>
                <w:rFonts w:ascii="宋体" w:hAnsi="宋体"/>
                <w:szCs w:val="21"/>
                <w:highlight w:val="none"/>
              </w:rPr>
            </w:pPr>
            <w:r>
              <w:rPr>
                <w:rFonts w:hint="eastAsia" w:ascii="宋体" w:hAnsi="宋体"/>
                <w:szCs w:val="21"/>
                <w:highlight w:val="none"/>
              </w:rPr>
              <w:t>完全响应采购文件用户需求书所列的所有条款要求</w:t>
            </w:r>
          </w:p>
        </w:tc>
        <w:tc>
          <w:tcPr>
            <w:tcW w:w="590" w:type="pct"/>
            <w:vAlign w:val="center"/>
          </w:tcPr>
          <w:p w14:paraId="526D76C9">
            <w:pPr>
              <w:jc w:val="center"/>
              <w:rPr>
                <w:rFonts w:ascii="宋体" w:hAnsi="宋体"/>
                <w:szCs w:val="21"/>
                <w:highlight w:val="none"/>
              </w:rPr>
            </w:pPr>
            <w:r>
              <w:rPr>
                <w:rFonts w:hint="eastAsia" w:ascii="宋体" w:hAnsi="宋体"/>
                <w:szCs w:val="21"/>
                <w:highlight w:val="none"/>
              </w:rPr>
              <w:t>无</w:t>
            </w:r>
          </w:p>
        </w:tc>
        <w:tc>
          <w:tcPr>
            <w:tcW w:w="1026" w:type="pct"/>
            <w:vAlign w:val="center"/>
          </w:tcPr>
          <w:p w14:paraId="5B766C8C">
            <w:pPr>
              <w:jc w:val="center"/>
              <w:rPr>
                <w:rFonts w:ascii="宋体" w:hAnsi="宋体"/>
                <w:szCs w:val="21"/>
                <w:highlight w:val="none"/>
              </w:rPr>
            </w:pPr>
            <w:r>
              <w:rPr>
                <w:rFonts w:hint="eastAsia" w:ascii="宋体" w:hAnsi="宋体"/>
                <w:szCs w:val="21"/>
                <w:highlight w:val="none"/>
              </w:rPr>
              <w:t>无</w:t>
            </w:r>
          </w:p>
        </w:tc>
      </w:tr>
    </w:tbl>
    <w:p w14:paraId="1D546BEA">
      <w:pPr>
        <w:rPr>
          <w:rFonts w:ascii="宋体" w:hAnsi="宋体"/>
          <w:szCs w:val="21"/>
          <w:highlight w:val="none"/>
        </w:rPr>
      </w:pPr>
    </w:p>
    <w:p w14:paraId="3B1CD0DE">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投标人名称（盖章）：</w:t>
      </w:r>
    </w:p>
    <w:p w14:paraId="357C7FC4">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日期：</w:t>
      </w:r>
    </w:p>
    <w:p w14:paraId="6F72D3BF">
      <w:pPr>
        <w:rPr>
          <w:rFonts w:ascii="宋体" w:hAnsi="宋体"/>
          <w:szCs w:val="21"/>
        </w:rPr>
      </w:pPr>
      <w:r>
        <w:rPr>
          <w:rFonts w:hint="eastAsia" w:ascii="宋体" w:hAnsi="宋体"/>
          <w:szCs w:val="21"/>
          <w:highlight w:val="none"/>
        </w:rPr>
        <w:br w:type="page"/>
      </w:r>
    </w:p>
    <w:p w14:paraId="0C08F385">
      <w:pPr>
        <w:pStyle w:val="6"/>
        <w:widowControl w:val="0"/>
        <w:overflowPunct w:val="0"/>
        <w:spacing w:line="240" w:lineRule="auto"/>
        <w:rPr>
          <w:rFonts w:ascii="宋体" w:hAnsi="宋体"/>
          <w:sz w:val="30"/>
          <w:szCs w:val="30"/>
        </w:rPr>
      </w:pPr>
      <w:bookmarkStart w:id="175" w:name="_Toc22347"/>
      <w:r>
        <w:rPr>
          <w:rFonts w:hint="eastAsia" w:ascii="宋体" w:hAnsi="宋体"/>
          <w:sz w:val="21"/>
          <w:szCs w:val="21"/>
        </w:rPr>
        <w:t>附件1</w:t>
      </w:r>
      <w:r>
        <w:rPr>
          <w:rFonts w:hint="eastAsia" w:ascii="宋体" w:hAnsi="宋体"/>
          <w:sz w:val="21"/>
          <w:szCs w:val="21"/>
          <w:lang w:val="en-US" w:eastAsia="zh-CN"/>
        </w:rPr>
        <w:t>2</w:t>
      </w:r>
      <w:r>
        <w:rPr>
          <w:rFonts w:hint="eastAsia" w:ascii="宋体" w:hAnsi="宋体"/>
          <w:sz w:val="21"/>
          <w:szCs w:val="21"/>
        </w:rPr>
        <w:t>.业绩表</w:t>
      </w:r>
      <w:bookmarkEnd w:id="175"/>
    </w:p>
    <w:p w14:paraId="29D67B6C">
      <w:pPr>
        <w:jc w:val="center"/>
        <w:rPr>
          <w:rFonts w:ascii="黑体" w:eastAsia="黑体"/>
          <w:sz w:val="28"/>
          <w:szCs w:val="28"/>
        </w:rPr>
      </w:pPr>
      <w:r>
        <w:rPr>
          <w:rFonts w:hint="eastAsia" w:ascii="黑体" w:eastAsia="黑体"/>
          <w:sz w:val="28"/>
          <w:szCs w:val="28"/>
        </w:rPr>
        <w:t>业绩表</w:t>
      </w:r>
    </w:p>
    <w:tbl>
      <w:tblPr>
        <w:tblStyle w:val="31"/>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7DA4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3D41BD52">
            <w:pPr>
              <w:adjustRightInd/>
              <w:snapToGrid/>
              <w:jc w:val="center"/>
              <w:rPr>
                <w:rFonts w:ascii="宋体" w:hAnsi="宋体"/>
                <w:szCs w:val="21"/>
              </w:rPr>
            </w:pPr>
            <w:r>
              <w:rPr>
                <w:rFonts w:hint="eastAsia" w:ascii="宋体" w:hAnsi="宋体"/>
                <w:szCs w:val="21"/>
              </w:rPr>
              <w:t>序号</w:t>
            </w:r>
          </w:p>
        </w:tc>
        <w:tc>
          <w:tcPr>
            <w:tcW w:w="1705" w:type="dxa"/>
            <w:vAlign w:val="center"/>
          </w:tcPr>
          <w:p w14:paraId="61EC58EB">
            <w:pPr>
              <w:adjustRightInd/>
              <w:snapToGrid/>
              <w:jc w:val="center"/>
              <w:rPr>
                <w:rFonts w:ascii="宋体" w:hAnsi="宋体"/>
                <w:szCs w:val="21"/>
              </w:rPr>
            </w:pPr>
            <w:r>
              <w:rPr>
                <w:rFonts w:hint="eastAsia" w:ascii="宋体" w:hAnsi="宋体"/>
                <w:szCs w:val="21"/>
              </w:rPr>
              <w:t>项目名称</w:t>
            </w:r>
          </w:p>
        </w:tc>
        <w:tc>
          <w:tcPr>
            <w:tcW w:w="1706" w:type="dxa"/>
            <w:vAlign w:val="center"/>
          </w:tcPr>
          <w:p w14:paraId="09F5A817">
            <w:pPr>
              <w:adjustRightInd/>
              <w:snapToGrid/>
              <w:jc w:val="center"/>
              <w:rPr>
                <w:rFonts w:ascii="宋体" w:hAnsi="宋体"/>
                <w:szCs w:val="21"/>
              </w:rPr>
            </w:pPr>
            <w:r>
              <w:rPr>
                <w:rFonts w:hint="eastAsia" w:ascii="宋体" w:hAnsi="宋体"/>
                <w:szCs w:val="21"/>
              </w:rPr>
              <w:t>项目金额</w:t>
            </w:r>
          </w:p>
        </w:tc>
        <w:tc>
          <w:tcPr>
            <w:tcW w:w="1705" w:type="dxa"/>
            <w:vAlign w:val="center"/>
          </w:tcPr>
          <w:p w14:paraId="5591327A">
            <w:pPr>
              <w:adjustRightInd/>
              <w:snapToGrid/>
              <w:jc w:val="center"/>
              <w:rPr>
                <w:rFonts w:ascii="宋体" w:hAnsi="宋体"/>
                <w:szCs w:val="21"/>
              </w:rPr>
            </w:pPr>
            <w:r>
              <w:rPr>
                <w:rFonts w:hint="eastAsia" w:ascii="宋体" w:hAnsi="宋体"/>
                <w:szCs w:val="21"/>
              </w:rPr>
              <w:t>项目合同签订时间</w:t>
            </w:r>
          </w:p>
        </w:tc>
        <w:tc>
          <w:tcPr>
            <w:tcW w:w="1697" w:type="dxa"/>
            <w:vAlign w:val="center"/>
          </w:tcPr>
          <w:p w14:paraId="403C6802">
            <w:pPr>
              <w:adjustRightInd/>
              <w:snapToGrid/>
              <w:jc w:val="center"/>
              <w:rPr>
                <w:rFonts w:ascii="宋体" w:hAnsi="宋体"/>
                <w:szCs w:val="21"/>
              </w:rPr>
            </w:pPr>
            <w:r>
              <w:rPr>
                <w:rFonts w:hint="eastAsia" w:ascii="宋体" w:hAnsi="宋体"/>
                <w:szCs w:val="21"/>
              </w:rPr>
              <w:t>备注</w:t>
            </w:r>
          </w:p>
        </w:tc>
      </w:tr>
      <w:tr w14:paraId="1D23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5FA0EB1C">
            <w:pPr>
              <w:adjustRightInd/>
              <w:snapToGrid/>
              <w:jc w:val="center"/>
              <w:rPr>
                <w:rFonts w:ascii="宋体" w:hAnsi="宋体"/>
                <w:szCs w:val="21"/>
              </w:rPr>
            </w:pPr>
          </w:p>
        </w:tc>
        <w:tc>
          <w:tcPr>
            <w:tcW w:w="1705" w:type="dxa"/>
            <w:vAlign w:val="center"/>
          </w:tcPr>
          <w:p w14:paraId="425CB098">
            <w:pPr>
              <w:adjustRightInd/>
              <w:snapToGrid/>
              <w:jc w:val="center"/>
              <w:rPr>
                <w:rFonts w:ascii="宋体" w:hAnsi="宋体"/>
                <w:szCs w:val="21"/>
              </w:rPr>
            </w:pPr>
          </w:p>
        </w:tc>
        <w:tc>
          <w:tcPr>
            <w:tcW w:w="1706" w:type="dxa"/>
            <w:vAlign w:val="center"/>
          </w:tcPr>
          <w:p w14:paraId="20642394">
            <w:pPr>
              <w:adjustRightInd/>
              <w:snapToGrid/>
              <w:jc w:val="center"/>
              <w:rPr>
                <w:rFonts w:ascii="宋体" w:hAnsi="宋体"/>
                <w:szCs w:val="21"/>
              </w:rPr>
            </w:pPr>
          </w:p>
        </w:tc>
        <w:tc>
          <w:tcPr>
            <w:tcW w:w="1705" w:type="dxa"/>
            <w:vAlign w:val="center"/>
          </w:tcPr>
          <w:p w14:paraId="186C9F30">
            <w:pPr>
              <w:adjustRightInd/>
              <w:snapToGrid/>
              <w:jc w:val="center"/>
              <w:rPr>
                <w:rFonts w:ascii="宋体" w:hAnsi="宋体"/>
                <w:szCs w:val="21"/>
              </w:rPr>
            </w:pPr>
          </w:p>
        </w:tc>
        <w:tc>
          <w:tcPr>
            <w:tcW w:w="1697" w:type="dxa"/>
            <w:vAlign w:val="center"/>
          </w:tcPr>
          <w:p w14:paraId="09D6FDD3">
            <w:pPr>
              <w:adjustRightInd/>
              <w:snapToGrid/>
              <w:jc w:val="center"/>
              <w:rPr>
                <w:rFonts w:ascii="宋体" w:hAnsi="宋体"/>
                <w:szCs w:val="21"/>
              </w:rPr>
            </w:pPr>
          </w:p>
        </w:tc>
      </w:tr>
      <w:tr w14:paraId="3581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52D2D8F">
            <w:pPr>
              <w:adjustRightInd/>
              <w:snapToGrid/>
              <w:rPr>
                <w:rFonts w:ascii="宋体" w:hAnsi="宋体"/>
                <w:szCs w:val="21"/>
              </w:rPr>
            </w:pPr>
          </w:p>
        </w:tc>
        <w:tc>
          <w:tcPr>
            <w:tcW w:w="1705" w:type="dxa"/>
          </w:tcPr>
          <w:p w14:paraId="1C4B6AA8">
            <w:pPr>
              <w:adjustRightInd/>
              <w:snapToGrid/>
              <w:rPr>
                <w:rFonts w:ascii="宋体" w:hAnsi="宋体"/>
                <w:szCs w:val="21"/>
              </w:rPr>
            </w:pPr>
          </w:p>
        </w:tc>
        <w:tc>
          <w:tcPr>
            <w:tcW w:w="1706" w:type="dxa"/>
          </w:tcPr>
          <w:p w14:paraId="7E7AD4B9">
            <w:pPr>
              <w:adjustRightInd/>
              <w:snapToGrid/>
              <w:rPr>
                <w:rFonts w:ascii="宋体" w:hAnsi="宋体"/>
                <w:szCs w:val="21"/>
              </w:rPr>
            </w:pPr>
          </w:p>
        </w:tc>
        <w:tc>
          <w:tcPr>
            <w:tcW w:w="1705" w:type="dxa"/>
          </w:tcPr>
          <w:p w14:paraId="08539C97">
            <w:pPr>
              <w:adjustRightInd/>
              <w:snapToGrid/>
              <w:rPr>
                <w:rFonts w:ascii="宋体" w:hAnsi="宋体"/>
                <w:szCs w:val="21"/>
              </w:rPr>
            </w:pPr>
          </w:p>
        </w:tc>
        <w:tc>
          <w:tcPr>
            <w:tcW w:w="1697" w:type="dxa"/>
          </w:tcPr>
          <w:p w14:paraId="1D9F41F4">
            <w:pPr>
              <w:adjustRightInd/>
              <w:snapToGrid/>
              <w:rPr>
                <w:rFonts w:ascii="宋体" w:hAnsi="宋体"/>
                <w:szCs w:val="21"/>
              </w:rPr>
            </w:pPr>
          </w:p>
        </w:tc>
      </w:tr>
      <w:tr w14:paraId="1226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3ECBBFF1">
            <w:pPr>
              <w:adjustRightInd/>
              <w:snapToGrid/>
              <w:rPr>
                <w:rFonts w:ascii="宋体" w:hAnsi="宋体"/>
                <w:szCs w:val="21"/>
              </w:rPr>
            </w:pPr>
          </w:p>
        </w:tc>
        <w:tc>
          <w:tcPr>
            <w:tcW w:w="1705" w:type="dxa"/>
          </w:tcPr>
          <w:p w14:paraId="69554B8B">
            <w:pPr>
              <w:adjustRightInd/>
              <w:snapToGrid/>
              <w:rPr>
                <w:rFonts w:ascii="宋体" w:hAnsi="宋体"/>
                <w:szCs w:val="21"/>
              </w:rPr>
            </w:pPr>
          </w:p>
        </w:tc>
        <w:tc>
          <w:tcPr>
            <w:tcW w:w="1706" w:type="dxa"/>
          </w:tcPr>
          <w:p w14:paraId="75A6F34D">
            <w:pPr>
              <w:adjustRightInd/>
              <w:snapToGrid/>
              <w:rPr>
                <w:rFonts w:ascii="宋体" w:hAnsi="宋体"/>
                <w:szCs w:val="21"/>
              </w:rPr>
            </w:pPr>
          </w:p>
        </w:tc>
        <w:tc>
          <w:tcPr>
            <w:tcW w:w="1705" w:type="dxa"/>
          </w:tcPr>
          <w:p w14:paraId="11B15DE7">
            <w:pPr>
              <w:adjustRightInd/>
              <w:snapToGrid/>
              <w:rPr>
                <w:rFonts w:ascii="宋体" w:hAnsi="宋体"/>
                <w:szCs w:val="21"/>
              </w:rPr>
            </w:pPr>
          </w:p>
        </w:tc>
        <w:tc>
          <w:tcPr>
            <w:tcW w:w="1697" w:type="dxa"/>
          </w:tcPr>
          <w:p w14:paraId="2D1DDA62">
            <w:pPr>
              <w:adjustRightInd/>
              <w:snapToGrid/>
              <w:rPr>
                <w:rFonts w:ascii="宋体" w:hAnsi="宋体"/>
                <w:szCs w:val="21"/>
              </w:rPr>
            </w:pPr>
          </w:p>
        </w:tc>
      </w:tr>
      <w:tr w14:paraId="479F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C3FF25B">
            <w:pPr>
              <w:adjustRightInd/>
              <w:snapToGrid/>
              <w:rPr>
                <w:rFonts w:ascii="宋体" w:hAnsi="宋体"/>
                <w:szCs w:val="21"/>
              </w:rPr>
            </w:pPr>
          </w:p>
        </w:tc>
        <w:tc>
          <w:tcPr>
            <w:tcW w:w="1705" w:type="dxa"/>
          </w:tcPr>
          <w:p w14:paraId="0F57CBD8">
            <w:pPr>
              <w:adjustRightInd/>
              <w:snapToGrid/>
              <w:rPr>
                <w:rFonts w:ascii="宋体" w:hAnsi="宋体"/>
                <w:szCs w:val="21"/>
              </w:rPr>
            </w:pPr>
          </w:p>
        </w:tc>
        <w:tc>
          <w:tcPr>
            <w:tcW w:w="1706" w:type="dxa"/>
          </w:tcPr>
          <w:p w14:paraId="724C1C31">
            <w:pPr>
              <w:adjustRightInd/>
              <w:snapToGrid/>
              <w:rPr>
                <w:rFonts w:ascii="宋体" w:hAnsi="宋体"/>
                <w:szCs w:val="21"/>
              </w:rPr>
            </w:pPr>
          </w:p>
        </w:tc>
        <w:tc>
          <w:tcPr>
            <w:tcW w:w="1705" w:type="dxa"/>
          </w:tcPr>
          <w:p w14:paraId="087A8335">
            <w:pPr>
              <w:adjustRightInd/>
              <w:snapToGrid/>
              <w:rPr>
                <w:rFonts w:ascii="宋体" w:hAnsi="宋体"/>
                <w:szCs w:val="21"/>
              </w:rPr>
            </w:pPr>
          </w:p>
        </w:tc>
        <w:tc>
          <w:tcPr>
            <w:tcW w:w="1697" w:type="dxa"/>
          </w:tcPr>
          <w:p w14:paraId="080ED2A7">
            <w:pPr>
              <w:adjustRightInd/>
              <w:snapToGrid/>
              <w:rPr>
                <w:rFonts w:ascii="宋体" w:hAnsi="宋体"/>
                <w:szCs w:val="21"/>
              </w:rPr>
            </w:pPr>
          </w:p>
        </w:tc>
      </w:tr>
      <w:tr w14:paraId="242D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9394009">
            <w:pPr>
              <w:adjustRightInd/>
              <w:snapToGrid/>
              <w:rPr>
                <w:rFonts w:ascii="宋体" w:hAnsi="宋体"/>
                <w:szCs w:val="21"/>
              </w:rPr>
            </w:pPr>
          </w:p>
        </w:tc>
        <w:tc>
          <w:tcPr>
            <w:tcW w:w="1705" w:type="dxa"/>
          </w:tcPr>
          <w:p w14:paraId="15B4274E">
            <w:pPr>
              <w:adjustRightInd/>
              <w:snapToGrid/>
              <w:rPr>
                <w:rFonts w:ascii="宋体" w:hAnsi="宋体"/>
                <w:szCs w:val="21"/>
              </w:rPr>
            </w:pPr>
          </w:p>
        </w:tc>
        <w:tc>
          <w:tcPr>
            <w:tcW w:w="1706" w:type="dxa"/>
          </w:tcPr>
          <w:p w14:paraId="04031FB7">
            <w:pPr>
              <w:adjustRightInd/>
              <w:snapToGrid/>
              <w:rPr>
                <w:rFonts w:ascii="宋体" w:hAnsi="宋体"/>
                <w:szCs w:val="21"/>
              </w:rPr>
            </w:pPr>
          </w:p>
        </w:tc>
        <w:tc>
          <w:tcPr>
            <w:tcW w:w="1705" w:type="dxa"/>
          </w:tcPr>
          <w:p w14:paraId="3E74363E">
            <w:pPr>
              <w:adjustRightInd/>
              <w:snapToGrid/>
              <w:rPr>
                <w:rFonts w:ascii="宋体" w:hAnsi="宋体"/>
                <w:szCs w:val="21"/>
              </w:rPr>
            </w:pPr>
          </w:p>
        </w:tc>
        <w:tc>
          <w:tcPr>
            <w:tcW w:w="1697" w:type="dxa"/>
          </w:tcPr>
          <w:p w14:paraId="47CA9986">
            <w:pPr>
              <w:adjustRightInd/>
              <w:snapToGrid/>
              <w:rPr>
                <w:rFonts w:ascii="宋体" w:hAnsi="宋体"/>
                <w:szCs w:val="21"/>
              </w:rPr>
            </w:pPr>
          </w:p>
        </w:tc>
      </w:tr>
      <w:tr w14:paraId="0C9E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BC18E1A">
            <w:pPr>
              <w:adjustRightInd/>
              <w:snapToGrid/>
              <w:rPr>
                <w:rFonts w:ascii="宋体" w:hAnsi="宋体"/>
                <w:szCs w:val="21"/>
              </w:rPr>
            </w:pPr>
          </w:p>
        </w:tc>
        <w:tc>
          <w:tcPr>
            <w:tcW w:w="1705" w:type="dxa"/>
          </w:tcPr>
          <w:p w14:paraId="5611E172">
            <w:pPr>
              <w:adjustRightInd/>
              <w:snapToGrid/>
              <w:rPr>
                <w:rFonts w:ascii="宋体" w:hAnsi="宋体"/>
                <w:szCs w:val="21"/>
              </w:rPr>
            </w:pPr>
          </w:p>
        </w:tc>
        <w:tc>
          <w:tcPr>
            <w:tcW w:w="1706" w:type="dxa"/>
          </w:tcPr>
          <w:p w14:paraId="23AC88EE">
            <w:pPr>
              <w:adjustRightInd/>
              <w:snapToGrid/>
              <w:rPr>
                <w:rFonts w:ascii="宋体" w:hAnsi="宋体"/>
                <w:szCs w:val="21"/>
              </w:rPr>
            </w:pPr>
          </w:p>
        </w:tc>
        <w:tc>
          <w:tcPr>
            <w:tcW w:w="1705" w:type="dxa"/>
          </w:tcPr>
          <w:p w14:paraId="0D148DDE">
            <w:pPr>
              <w:adjustRightInd/>
              <w:snapToGrid/>
              <w:rPr>
                <w:rFonts w:ascii="宋体" w:hAnsi="宋体"/>
                <w:szCs w:val="21"/>
              </w:rPr>
            </w:pPr>
          </w:p>
        </w:tc>
        <w:tc>
          <w:tcPr>
            <w:tcW w:w="1697" w:type="dxa"/>
          </w:tcPr>
          <w:p w14:paraId="54F6B25B">
            <w:pPr>
              <w:adjustRightInd/>
              <w:snapToGrid/>
              <w:rPr>
                <w:rFonts w:ascii="宋体" w:hAnsi="宋体"/>
                <w:szCs w:val="21"/>
              </w:rPr>
            </w:pPr>
          </w:p>
        </w:tc>
      </w:tr>
    </w:tbl>
    <w:p w14:paraId="1573533D">
      <w:pPr>
        <w:pStyle w:val="42"/>
        <w:rPr>
          <w:rFonts w:ascii="宋体" w:hAnsi="宋体"/>
          <w:szCs w:val="21"/>
        </w:rPr>
      </w:pPr>
    </w:p>
    <w:p w14:paraId="5A3A4325">
      <w:pPr>
        <w:pStyle w:val="42"/>
        <w:rPr>
          <w:rFonts w:ascii="宋体" w:hAnsi="宋体"/>
          <w:szCs w:val="21"/>
        </w:rPr>
      </w:pPr>
      <w:r>
        <w:rPr>
          <w:rFonts w:hint="eastAsia" w:ascii="宋体" w:hAnsi="宋体"/>
          <w:szCs w:val="21"/>
        </w:rPr>
        <w:t>注：</w:t>
      </w:r>
    </w:p>
    <w:p w14:paraId="12612999">
      <w:pPr>
        <w:pStyle w:val="42"/>
        <w:numPr>
          <w:ilvl w:val="0"/>
          <w:numId w:val="36"/>
        </w:numPr>
        <w:rPr>
          <w:rFonts w:ascii="宋体" w:hAnsi="宋体"/>
          <w:szCs w:val="21"/>
        </w:rPr>
      </w:pPr>
      <w:r>
        <w:rPr>
          <w:rFonts w:hint="eastAsia" w:ascii="宋体" w:hAnsi="宋体"/>
          <w:szCs w:val="21"/>
        </w:rPr>
        <w:t>该表格为参考格式，投标人可按实际情况自行制订。</w:t>
      </w:r>
    </w:p>
    <w:p w14:paraId="386BC496">
      <w:pPr>
        <w:pStyle w:val="42"/>
        <w:numPr>
          <w:ilvl w:val="0"/>
          <w:numId w:val="36"/>
        </w:numPr>
        <w:rPr>
          <w:rFonts w:ascii="宋体" w:hAnsi="宋体"/>
          <w:szCs w:val="21"/>
        </w:rPr>
      </w:pPr>
      <w:r>
        <w:rPr>
          <w:rFonts w:hint="eastAsia" w:ascii="宋体" w:hAnsi="宋体"/>
          <w:szCs w:val="21"/>
        </w:rPr>
        <w:t>业绩表所列出的材料应为真实准确的，并应提供相关证明材料复印件加盖公章。请勿提供虚假、过期材料，否则将依据相关规定严肃处理。</w:t>
      </w:r>
    </w:p>
    <w:p w14:paraId="16D656F7">
      <w:pPr>
        <w:rPr>
          <w:rFonts w:ascii="宋体" w:hAnsi="宋体"/>
          <w:szCs w:val="21"/>
        </w:rPr>
      </w:pPr>
      <w:r>
        <w:rPr>
          <w:rFonts w:hint="eastAsia" w:ascii="宋体" w:hAnsi="宋体"/>
          <w:szCs w:val="21"/>
        </w:rPr>
        <w:br w:type="page"/>
      </w:r>
    </w:p>
    <w:p w14:paraId="55B81429">
      <w:pPr>
        <w:pStyle w:val="2"/>
        <w:rPr>
          <w:szCs w:val="21"/>
        </w:rPr>
        <w:sectPr>
          <w:pgSz w:w="11906" w:h="16838"/>
          <w:pgMar w:top="1440" w:right="1800" w:bottom="1440" w:left="1800" w:header="708" w:footer="708" w:gutter="0"/>
          <w:cols w:space="708" w:num="1"/>
          <w:titlePg/>
          <w:docGrid w:type="lines" w:linePitch="360" w:charSpace="0"/>
        </w:sectPr>
      </w:pPr>
    </w:p>
    <w:p w14:paraId="798459DF">
      <w:pPr>
        <w:pStyle w:val="6"/>
        <w:widowControl w:val="0"/>
        <w:overflowPunct w:val="0"/>
        <w:spacing w:line="240" w:lineRule="auto"/>
        <w:rPr>
          <w:rFonts w:ascii="宋体" w:hAnsi="宋体"/>
          <w:sz w:val="21"/>
          <w:szCs w:val="21"/>
        </w:rPr>
      </w:pPr>
      <w:bookmarkStart w:id="176" w:name="_Toc13819"/>
      <w:r>
        <w:rPr>
          <w:rFonts w:hint="eastAsia" w:ascii="宋体" w:hAnsi="宋体"/>
          <w:sz w:val="21"/>
          <w:szCs w:val="21"/>
        </w:rPr>
        <w:t>附件1</w:t>
      </w:r>
      <w:r>
        <w:rPr>
          <w:rFonts w:hint="eastAsia" w:ascii="宋体" w:hAnsi="宋体"/>
          <w:sz w:val="21"/>
          <w:szCs w:val="21"/>
          <w:lang w:val="en-US" w:eastAsia="zh-CN"/>
        </w:rPr>
        <w:t>3</w:t>
      </w:r>
      <w:r>
        <w:rPr>
          <w:rFonts w:hint="eastAsia" w:ascii="宋体" w:hAnsi="宋体"/>
          <w:sz w:val="21"/>
          <w:szCs w:val="21"/>
        </w:rPr>
        <w:t>.项目实施方案格式</w:t>
      </w:r>
      <w:bookmarkEnd w:id="176"/>
    </w:p>
    <w:p w14:paraId="049B778A">
      <w:pPr>
        <w:jc w:val="center"/>
        <w:rPr>
          <w:rFonts w:ascii="黑体" w:eastAsia="黑体"/>
          <w:sz w:val="32"/>
          <w:szCs w:val="32"/>
        </w:rPr>
      </w:pPr>
    </w:p>
    <w:p w14:paraId="357334EF">
      <w:pPr>
        <w:jc w:val="center"/>
        <w:rPr>
          <w:rFonts w:ascii="黑体" w:eastAsia="黑体"/>
          <w:sz w:val="32"/>
          <w:szCs w:val="32"/>
        </w:rPr>
      </w:pPr>
      <w:r>
        <w:rPr>
          <w:rFonts w:hint="eastAsia" w:ascii="黑体" w:eastAsia="黑体"/>
          <w:sz w:val="32"/>
          <w:szCs w:val="32"/>
        </w:rPr>
        <w:t>项目实施方案</w:t>
      </w:r>
    </w:p>
    <w:p w14:paraId="57D65709">
      <w:pPr>
        <w:jc w:val="center"/>
        <w:rPr>
          <w:rFonts w:ascii="黑体" w:eastAsia="黑体"/>
          <w:sz w:val="32"/>
          <w:szCs w:val="32"/>
        </w:rPr>
      </w:pPr>
    </w:p>
    <w:p w14:paraId="3BB848B7">
      <w:pPr>
        <w:ind w:left="718" w:leftChars="200" w:hanging="298" w:hangingChars="142"/>
        <w:rPr>
          <w:rFonts w:ascii="宋体" w:hAnsi="宋体"/>
          <w:szCs w:val="21"/>
        </w:rPr>
      </w:pPr>
      <w:r>
        <w:rPr>
          <w:rFonts w:hint="eastAsia" w:ascii="宋体" w:hAnsi="宋体"/>
          <w:szCs w:val="21"/>
          <w:lang w:val="en-US" w:eastAsia="zh-CN"/>
        </w:rPr>
        <w:t>1</w:t>
      </w:r>
      <w:r>
        <w:rPr>
          <w:rFonts w:hint="eastAsia" w:ascii="宋体" w:hAnsi="宋体"/>
          <w:szCs w:val="21"/>
        </w:rPr>
        <w:t>、投标人为本项目制定的具体项目实施方案与项目实施流程</w:t>
      </w:r>
    </w:p>
    <w:p w14:paraId="21035D3B">
      <w:pPr>
        <w:ind w:left="718" w:leftChars="200" w:hanging="298" w:hangingChars="142"/>
        <w:rPr>
          <w:rFonts w:ascii="宋体" w:hAnsi="宋体"/>
          <w:szCs w:val="21"/>
        </w:rPr>
      </w:pPr>
      <w:r>
        <w:rPr>
          <w:rFonts w:hint="eastAsia" w:ascii="宋体" w:hAnsi="宋体"/>
          <w:szCs w:val="21"/>
          <w:lang w:val="en-US" w:eastAsia="zh-CN"/>
        </w:rPr>
        <w:t>2</w:t>
      </w:r>
      <w:r>
        <w:rPr>
          <w:rFonts w:hint="eastAsia" w:ascii="宋体" w:hAnsi="宋体"/>
          <w:szCs w:val="21"/>
        </w:rPr>
        <w:t>、服务方案</w:t>
      </w:r>
    </w:p>
    <w:p w14:paraId="27BB9D38">
      <w:pPr>
        <w:ind w:left="718" w:leftChars="200" w:hanging="298" w:hangingChars="142"/>
        <w:rPr>
          <w:rFonts w:ascii="宋体" w:hAnsi="宋体"/>
          <w:szCs w:val="21"/>
        </w:rPr>
      </w:pPr>
      <w:r>
        <w:rPr>
          <w:rFonts w:hint="eastAsia" w:ascii="宋体" w:hAnsi="宋体"/>
          <w:szCs w:val="21"/>
          <w:lang w:val="en-US" w:eastAsia="zh-CN"/>
        </w:rPr>
        <w:t>3</w:t>
      </w:r>
      <w:r>
        <w:rPr>
          <w:rFonts w:hint="eastAsia" w:ascii="宋体" w:hAnsi="宋体"/>
          <w:szCs w:val="21"/>
        </w:rPr>
        <w:t>、..........</w:t>
      </w:r>
    </w:p>
    <w:p w14:paraId="42349B62">
      <w:pPr>
        <w:ind w:left="718" w:leftChars="200" w:hanging="298" w:hangingChars="142"/>
        <w:rPr>
          <w:rFonts w:ascii="宋体" w:hAnsi="宋体" w:cs="Times New Roman"/>
          <w:szCs w:val="21"/>
        </w:rPr>
      </w:pPr>
      <w:r>
        <w:rPr>
          <w:rFonts w:hint="eastAsia" w:ascii="宋体" w:hAnsi="宋体"/>
          <w:szCs w:val="21"/>
        </w:rPr>
        <w:t>自行编写。</w:t>
      </w:r>
    </w:p>
    <w:p w14:paraId="42189CF5">
      <w:pPr>
        <w:ind w:left="718" w:leftChars="200" w:hanging="298" w:hangingChars="142"/>
        <w:rPr>
          <w:rFonts w:ascii="宋体" w:hAnsi="宋体"/>
          <w:szCs w:val="21"/>
        </w:rPr>
      </w:pPr>
    </w:p>
    <w:p w14:paraId="04E94A0C">
      <w:pPr>
        <w:ind w:left="718" w:leftChars="200" w:hanging="298" w:hangingChars="142"/>
        <w:rPr>
          <w:rFonts w:ascii="宋体" w:hAnsi="宋体"/>
          <w:szCs w:val="21"/>
        </w:rPr>
      </w:pPr>
    </w:p>
    <w:p w14:paraId="36FAAA57">
      <w:pPr>
        <w:ind w:left="718" w:leftChars="200" w:hanging="298" w:hangingChars="142"/>
        <w:rPr>
          <w:rFonts w:ascii="宋体" w:hAnsi="宋体"/>
          <w:szCs w:val="21"/>
        </w:rPr>
      </w:pPr>
      <w:r>
        <w:rPr>
          <w:rFonts w:hint="eastAsia" w:ascii="宋体" w:hAnsi="宋体"/>
          <w:szCs w:val="21"/>
        </w:rPr>
        <w:br w:type="page"/>
      </w:r>
    </w:p>
    <w:p w14:paraId="3CD5AADD">
      <w:pPr>
        <w:pStyle w:val="6"/>
        <w:widowControl w:val="0"/>
        <w:overflowPunct w:val="0"/>
        <w:spacing w:line="240" w:lineRule="auto"/>
      </w:pPr>
      <w:bookmarkStart w:id="177" w:name="_Toc15162"/>
      <w:r>
        <w:rPr>
          <w:rFonts w:hint="eastAsia" w:ascii="宋体" w:hAnsi="宋体"/>
          <w:sz w:val="21"/>
          <w:szCs w:val="21"/>
        </w:rPr>
        <w:t>附件1</w:t>
      </w:r>
      <w:r>
        <w:rPr>
          <w:rFonts w:hint="eastAsia" w:ascii="宋体" w:hAnsi="宋体"/>
          <w:sz w:val="21"/>
          <w:szCs w:val="21"/>
          <w:lang w:val="en-US" w:eastAsia="zh-CN"/>
        </w:rPr>
        <w:t>4</w:t>
      </w:r>
      <w:r>
        <w:rPr>
          <w:rFonts w:hint="eastAsia" w:ascii="宋体" w:hAnsi="宋体"/>
          <w:sz w:val="21"/>
          <w:szCs w:val="21"/>
        </w:rPr>
        <w:t>.投标保证金汇入情况说明格式</w:t>
      </w:r>
      <w:bookmarkEnd w:id="177"/>
    </w:p>
    <w:p w14:paraId="303EEF5A"/>
    <w:p w14:paraId="23E5049D">
      <w:pPr>
        <w:jc w:val="center"/>
        <w:rPr>
          <w:rFonts w:ascii="黑体" w:eastAsia="黑体"/>
          <w:sz w:val="28"/>
          <w:szCs w:val="28"/>
        </w:rPr>
      </w:pPr>
      <w:r>
        <w:rPr>
          <w:rFonts w:hint="eastAsia" w:ascii="黑体" w:eastAsia="黑体"/>
          <w:sz w:val="28"/>
          <w:szCs w:val="28"/>
        </w:rPr>
        <w:t>投标保证金汇入情况说明</w:t>
      </w:r>
    </w:p>
    <w:p w14:paraId="1AE9F5E1">
      <w:pPr>
        <w:spacing w:line="480" w:lineRule="auto"/>
        <w:rPr>
          <w:rFonts w:ascii="宋体" w:hAnsi="宋体"/>
          <w:szCs w:val="21"/>
        </w:rPr>
      </w:pPr>
      <w:r>
        <w:rPr>
          <w:rFonts w:hint="eastAsia" w:ascii="宋体" w:hAnsi="宋体"/>
          <w:szCs w:val="21"/>
        </w:rPr>
        <w:t>致：</w:t>
      </w:r>
      <w:r>
        <w:rPr>
          <w:rFonts w:hint="eastAsia" w:ascii="宋体" w:hAnsi="宋体"/>
          <w:szCs w:val="21"/>
          <w:lang w:eastAsia="zh-CN"/>
        </w:rPr>
        <w:t>东莞市新东元环保投资有限公司</w:t>
      </w:r>
      <w:r>
        <w:rPr>
          <w:rFonts w:hint="eastAsia" w:ascii="宋体" w:hAnsi="宋体"/>
          <w:szCs w:val="21"/>
        </w:rPr>
        <w:t>：</w:t>
      </w:r>
    </w:p>
    <w:p w14:paraId="2D47B59F">
      <w:pPr>
        <w:spacing w:line="480" w:lineRule="auto"/>
        <w:ind w:firstLine="420" w:firstLineChars="200"/>
        <w:rPr>
          <w:rFonts w:ascii="宋体" w:hAnsi="宋体"/>
          <w:szCs w:val="21"/>
        </w:rPr>
      </w:pPr>
      <w:r>
        <w:rPr>
          <w:rFonts w:hint="eastAsia" w:ascii="宋体" w:hAnsi="宋体"/>
          <w:szCs w:val="21"/>
        </w:rPr>
        <w:t>本单位已按</w:t>
      </w:r>
      <w:r>
        <w:rPr>
          <w:rFonts w:hint="eastAsia" w:ascii="宋体" w:hAnsi="宋体"/>
          <w:szCs w:val="21"/>
          <w:u w:val="single"/>
        </w:rPr>
        <w:t xml:space="preserve">         </w:t>
      </w:r>
      <w:r>
        <w:rPr>
          <w:rFonts w:hint="eastAsia" w:ascii="宋体" w:hAnsi="宋体"/>
          <w:szCs w:val="21"/>
        </w:rPr>
        <w:t>项目（采购项目编号：）的采购文件要求，于年月日前以</w:t>
      </w:r>
      <w:r>
        <w:rPr>
          <w:rFonts w:hint="eastAsia" w:ascii="宋体" w:hAnsi="宋体"/>
          <w:szCs w:val="21"/>
          <w:u w:val="single"/>
        </w:rPr>
        <w:t xml:space="preserve">           （付款形式）</w:t>
      </w:r>
      <w:r>
        <w:rPr>
          <w:rFonts w:hint="eastAsia" w:ascii="宋体" w:hAnsi="宋体"/>
          <w:szCs w:val="21"/>
        </w:rPr>
        <w:t>方式汇入指定帐户（帐户名称：</w:t>
      </w:r>
      <w:r>
        <w:rPr>
          <w:rFonts w:hint="eastAsia" w:ascii="宋体" w:hAnsi="宋体"/>
          <w:szCs w:val="21"/>
          <w:u w:val="single"/>
        </w:rPr>
        <w:t xml:space="preserve">       </w:t>
      </w:r>
      <w:r>
        <w:rPr>
          <w:rFonts w:hint="eastAsia" w:ascii="宋体" w:hAnsi="宋体"/>
          <w:szCs w:val="21"/>
        </w:rPr>
        <w:t>，帐号：</w:t>
      </w:r>
      <w:r>
        <w:rPr>
          <w:rFonts w:hint="eastAsia" w:ascii="宋体" w:hAnsi="宋体"/>
          <w:szCs w:val="21"/>
          <w:u w:val="single"/>
        </w:rPr>
        <w:t xml:space="preserve">       </w:t>
      </w: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w:t>
      </w:r>
    </w:p>
    <w:p w14:paraId="2562B63A">
      <w:pPr>
        <w:spacing w:line="480" w:lineRule="auto"/>
        <w:ind w:firstLine="420" w:firstLineChars="200"/>
        <w:rPr>
          <w:rFonts w:ascii="宋体" w:hAnsi="宋体"/>
          <w:szCs w:val="21"/>
        </w:rPr>
      </w:pPr>
      <w:r>
        <w:rPr>
          <w:rFonts w:hint="eastAsia" w:ascii="宋体" w:hAnsi="宋体"/>
          <w:szCs w:val="21"/>
        </w:rPr>
        <w:t>本单位投标保证金的汇款情况：（详见附件－投标保证金进帐单）</w:t>
      </w:r>
    </w:p>
    <w:p w14:paraId="3582EF2A">
      <w:pPr>
        <w:spacing w:line="480" w:lineRule="auto"/>
        <w:ind w:firstLine="420" w:firstLineChars="200"/>
        <w:rPr>
          <w:rFonts w:ascii="宋体" w:hAnsi="宋体"/>
          <w:szCs w:val="21"/>
        </w:rPr>
      </w:pPr>
      <w:r>
        <w:rPr>
          <w:rFonts w:hint="eastAsia" w:ascii="宋体" w:hAnsi="宋体"/>
          <w:szCs w:val="21"/>
        </w:rPr>
        <w:t>汇出时间：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03A14AD">
      <w:pPr>
        <w:spacing w:line="480" w:lineRule="auto"/>
        <w:ind w:firstLine="420" w:firstLineChars="200"/>
        <w:rPr>
          <w:rFonts w:ascii="宋体" w:hAnsi="宋体"/>
          <w:szCs w:val="21"/>
        </w:rPr>
      </w:pPr>
      <w:r>
        <w:rPr>
          <w:rFonts w:hint="eastAsia" w:ascii="宋体" w:hAnsi="宋体"/>
          <w:szCs w:val="21"/>
        </w:rPr>
        <w:t>汇款金额：（大写）人民币</w:t>
      </w:r>
      <w:r>
        <w:rPr>
          <w:rFonts w:hint="eastAsia" w:ascii="宋体" w:hAnsi="宋体"/>
          <w:szCs w:val="21"/>
          <w:u w:val="single"/>
        </w:rPr>
        <w:t xml:space="preserve">       </w:t>
      </w:r>
      <w:r>
        <w:rPr>
          <w:rFonts w:hint="eastAsia" w:ascii="宋体" w:hAnsi="宋体"/>
          <w:szCs w:val="21"/>
        </w:rPr>
        <w:t>元（小写：￥</w:t>
      </w:r>
      <w:r>
        <w:rPr>
          <w:rFonts w:hint="eastAsia" w:ascii="宋体" w:hAnsi="宋体"/>
          <w:szCs w:val="21"/>
          <w:u w:val="single"/>
        </w:rPr>
        <w:t xml:space="preserve">       </w:t>
      </w:r>
      <w:r>
        <w:rPr>
          <w:rFonts w:hint="eastAsia" w:ascii="宋体" w:hAnsi="宋体"/>
          <w:szCs w:val="21"/>
        </w:rPr>
        <w:t>元），</w:t>
      </w:r>
    </w:p>
    <w:p w14:paraId="60D66421">
      <w:pPr>
        <w:spacing w:line="480" w:lineRule="auto"/>
        <w:ind w:firstLine="420" w:firstLineChars="200"/>
        <w:rPr>
          <w:rFonts w:ascii="宋体" w:hAnsi="宋体"/>
          <w:szCs w:val="21"/>
        </w:rPr>
      </w:pPr>
      <w:r>
        <w:rPr>
          <w:rFonts w:hint="eastAsia" w:ascii="宋体" w:hAnsi="宋体"/>
          <w:szCs w:val="21"/>
        </w:rPr>
        <w:t>汇款帐户名称：</w:t>
      </w:r>
      <w:r>
        <w:rPr>
          <w:rFonts w:hint="eastAsia" w:ascii="宋体" w:hAnsi="宋体"/>
          <w:szCs w:val="21"/>
          <w:u w:val="single"/>
        </w:rPr>
        <w:t xml:space="preserve">  （必须是投标时使用的帐户名）   </w:t>
      </w:r>
    </w:p>
    <w:p w14:paraId="27223EB6">
      <w:pPr>
        <w:spacing w:line="480" w:lineRule="auto"/>
        <w:ind w:firstLine="420" w:firstLineChars="200"/>
        <w:rPr>
          <w:rFonts w:ascii="宋体" w:hAnsi="宋体"/>
          <w:szCs w:val="21"/>
        </w:rPr>
      </w:pPr>
      <w:r>
        <w:rPr>
          <w:rFonts w:hint="eastAsia" w:ascii="宋体" w:hAnsi="宋体"/>
          <w:szCs w:val="21"/>
        </w:rPr>
        <w:t>帐        号：</w:t>
      </w:r>
      <w:r>
        <w:rPr>
          <w:rFonts w:hint="eastAsia" w:ascii="宋体" w:hAnsi="宋体"/>
          <w:szCs w:val="21"/>
          <w:u w:val="single"/>
        </w:rPr>
        <w:t xml:space="preserve">  （必须是投标时使用的帐号）        </w:t>
      </w:r>
    </w:p>
    <w:p w14:paraId="051444B5">
      <w:pPr>
        <w:spacing w:line="480" w:lineRule="auto"/>
        <w:ind w:firstLine="420" w:firstLineChars="200"/>
        <w:rPr>
          <w:rFonts w:ascii="宋体" w:hAnsi="宋体"/>
          <w:szCs w:val="21"/>
          <w:u w:val="single"/>
        </w:rPr>
      </w:pPr>
      <w:r>
        <w:rPr>
          <w:rFonts w:hint="eastAsia" w:ascii="宋体" w:hAnsi="宋体"/>
          <w:szCs w:val="21"/>
        </w:rPr>
        <w:t>开 户  银 行：</w:t>
      </w:r>
      <w:r>
        <w:rPr>
          <w:rFonts w:hint="eastAsia" w:ascii="宋体" w:hAnsi="宋体"/>
          <w:szCs w:val="21"/>
          <w:u w:val="single"/>
        </w:rPr>
        <w:t xml:space="preserve">  （  XX 银行 XX 分行 XX 支行   ）</w:t>
      </w:r>
    </w:p>
    <w:p w14:paraId="67A9D561">
      <w:pPr>
        <w:spacing w:line="480" w:lineRule="auto"/>
        <w:ind w:firstLine="420" w:firstLineChars="200"/>
        <w:rPr>
          <w:rFonts w:ascii="宋体" w:hAnsi="宋体"/>
          <w:szCs w:val="21"/>
        </w:rPr>
      </w:pPr>
      <w:r>
        <w:rPr>
          <w:rFonts w:hint="eastAsia" w:ascii="宋体" w:hAnsi="宋体"/>
          <w:szCs w:val="21"/>
        </w:rPr>
        <w:t>本单位谨承诺上述资料是正确、真实的，如因上述证明与事实不符导致的一切损失，本单位保证承担赔偿等一切法律责任。</w:t>
      </w:r>
    </w:p>
    <w:p w14:paraId="0AA99A12">
      <w:pPr>
        <w:spacing w:line="480" w:lineRule="auto"/>
        <w:ind w:firstLine="420" w:firstLineChars="200"/>
        <w:rPr>
          <w:rFonts w:ascii="宋体" w:hAnsi="宋体"/>
          <w:szCs w:val="21"/>
        </w:rPr>
      </w:pPr>
      <w:r>
        <w:rPr>
          <w:rFonts w:hint="eastAsia" w:ascii="宋体" w:hAnsi="宋体"/>
          <w:szCs w:val="21"/>
        </w:rPr>
        <w:t>投标保证金退回时，请按上述资料退回。</w:t>
      </w:r>
    </w:p>
    <w:p w14:paraId="6713A861">
      <w:pPr>
        <w:spacing w:line="480" w:lineRule="auto"/>
        <w:ind w:right="844" w:rightChars="402"/>
        <w:jc w:val="right"/>
        <w:rPr>
          <w:rFonts w:ascii="宋体" w:hAnsi="宋体"/>
          <w:szCs w:val="21"/>
        </w:rPr>
      </w:pPr>
      <w:r>
        <w:rPr>
          <w:rFonts w:hint="eastAsia" w:ascii="宋体" w:hAnsi="宋体"/>
          <w:szCs w:val="21"/>
        </w:rPr>
        <w:t>（单位公章）</w:t>
      </w:r>
    </w:p>
    <w:p w14:paraId="016DAAB3">
      <w:pPr>
        <w:spacing w:line="480" w:lineRule="auto"/>
        <w:ind w:right="628" w:rightChars="299"/>
        <w:jc w:val="right"/>
        <w:rPr>
          <w:rFonts w:ascii="宋体" w:hAnsi="宋体"/>
          <w:szCs w:val="21"/>
        </w:rPr>
      </w:pPr>
      <w:r>
        <w:rPr>
          <w:rFonts w:hint="eastAsia" w:ascii="宋体" w:hAnsi="宋体"/>
          <w:szCs w:val="21"/>
        </w:rPr>
        <w:t>年 月 日</w:t>
      </w:r>
    </w:p>
    <w:p w14:paraId="5B06786B">
      <w:pPr>
        <w:spacing w:line="480" w:lineRule="auto"/>
        <w:rPr>
          <w:rFonts w:ascii="宋体" w:hAnsi="宋体"/>
          <w:szCs w:val="21"/>
        </w:rPr>
      </w:pPr>
      <w:r>
        <w:rPr>
          <w:rFonts w:hint="eastAsia" w:ascii="宋体" w:hAnsi="宋体"/>
          <w:szCs w:val="21"/>
        </w:rPr>
        <w:t>单位名称：</w:t>
      </w:r>
    </w:p>
    <w:p w14:paraId="38E4B152">
      <w:pPr>
        <w:spacing w:line="480" w:lineRule="auto"/>
        <w:rPr>
          <w:rFonts w:ascii="宋体" w:hAnsi="宋体"/>
          <w:szCs w:val="21"/>
        </w:rPr>
      </w:pPr>
      <w:r>
        <w:rPr>
          <w:rFonts w:hint="eastAsia" w:ascii="宋体" w:hAnsi="宋体"/>
          <w:szCs w:val="21"/>
        </w:rPr>
        <w:t>单位地址：</w:t>
      </w:r>
    </w:p>
    <w:p w14:paraId="44BF925D">
      <w:pPr>
        <w:spacing w:line="480" w:lineRule="auto"/>
        <w:rPr>
          <w:rFonts w:ascii="宋体" w:hAnsi="宋体"/>
          <w:szCs w:val="21"/>
        </w:rPr>
      </w:pPr>
      <w:r>
        <w:rPr>
          <w:rFonts w:hint="eastAsia" w:ascii="宋体" w:hAnsi="宋体"/>
          <w:szCs w:val="21"/>
        </w:rPr>
        <w:t>联系人：</w:t>
      </w:r>
    </w:p>
    <w:p w14:paraId="73068739">
      <w:pPr>
        <w:spacing w:line="480" w:lineRule="auto"/>
        <w:rPr>
          <w:rFonts w:ascii="宋体" w:hAnsi="宋体"/>
          <w:szCs w:val="21"/>
        </w:rPr>
      </w:pPr>
      <w:r>
        <w:rPr>
          <w:rFonts w:hint="eastAsia" w:ascii="宋体" w:hAnsi="宋体"/>
          <w:szCs w:val="21"/>
        </w:rPr>
        <w:t>单位电话： 联系人手机：</w:t>
      </w:r>
    </w:p>
    <w:p w14:paraId="7C3DF7C6">
      <w:pPr>
        <w:rPr>
          <w:rFonts w:ascii="宋体" w:hAnsi="宋体"/>
          <w:szCs w:val="21"/>
        </w:rPr>
      </w:pPr>
    </w:p>
    <w:p w14:paraId="2F54C8AA">
      <w:pPr>
        <w:spacing w:line="380" w:lineRule="exact"/>
        <w:ind w:firstLine="420" w:firstLineChars="200"/>
        <w:rPr>
          <w:rFonts w:ascii="宋体" w:hAnsi="宋体"/>
          <w:szCs w:val="21"/>
        </w:rPr>
      </w:pPr>
      <w:r>
        <w:rPr>
          <w:rFonts w:hint="eastAsia" w:ascii="宋体" w:hAnsi="宋体"/>
          <w:szCs w:val="21"/>
        </w:rPr>
        <w:br w:type="page"/>
      </w:r>
    </w:p>
    <w:p w14:paraId="64B980A2">
      <w:pPr>
        <w:spacing w:line="380" w:lineRule="exact"/>
        <w:ind w:firstLine="420" w:firstLineChars="200"/>
        <w:rPr>
          <w:rFonts w:ascii="宋体" w:hAnsi="宋体"/>
          <w:szCs w:val="21"/>
        </w:rPr>
      </w:pPr>
      <w:r>
        <w:rPr>
          <w:rFonts w:hint="eastAsia" w:ascii="宋体" w:hAnsi="宋体"/>
          <w:szCs w:val="21"/>
        </w:rPr>
        <w:t>附：我方投标保证金汇款凭证</w:t>
      </w:r>
    </w:p>
    <w:tbl>
      <w:tblPr>
        <w:tblStyle w:val="30"/>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1293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498CE536">
            <w:pPr>
              <w:tabs>
                <w:tab w:val="left" w:pos="3885"/>
              </w:tabs>
              <w:jc w:val="center"/>
              <w:rPr>
                <w:rFonts w:ascii="宋体" w:hAnsi="宋体"/>
                <w:szCs w:val="21"/>
              </w:rPr>
            </w:pPr>
            <w:r>
              <w:rPr>
                <w:rFonts w:hint="eastAsia" w:ascii="宋体" w:hAnsi="宋体"/>
                <w:szCs w:val="21"/>
              </w:rPr>
              <w:t>（粘贴汇款单或转账</w:t>
            </w:r>
            <w:r>
              <w:rPr>
                <w:rFonts w:ascii="宋体" w:hAnsi="宋体"/>
                <w:szCs w:val="21"/>
              </w:rPr>
              <w:t>凭证</w:t>
            </w:r>
            <w:r>
              <w:rPr>
                <w:rFonts w:hint="eastAsia" w:ascii="宋体" w:hAnsi="宋体"/>
                <w:szCs w:val="21"/>
              </w:rPr>
              <w:t>复印件，并在骑缝上加盖投标人公章，或是直接把转账</w:t>
            </w:r>
            <w:r>
              <w:rPr>
                <w:rFonts w:ascii="宋体" w:hAnsi="宋体"/>
                <w:szCs w:val="21"/>
              </w:rPr>
              <w:t>凭证</w:t>
            </w:r>
            <w:r>
              <w:rPr>
                <w:rFonts w:hint="eastAsia" w:ascii="宋体" w:hAnsi="宋体"/>
                <w:szCs w:val="21"/>
              </w:rPr>
              <w:t>复印到此张纸上）</w:t>
            </w:r>
          </w:p>
        </w:tc>
      </w:tr>
    </w:tbl>
    <w:p w14:paraId="3D7413F0">
      <w:pPr>
        <w:spacing w:line="480" w:lineRule="auto"/>
        <w:ind w:firstLine="420" w:firstLineChars="200"/>
        <w:rPr>
          <w:rFonts w:ascii="宋体" w:hAnsi="宋体"/>
          <w:szCs w:val="21"/>
        </w:rPr>
      </w:pPr>
      <w:r>
        <w:rPr>
          <w:rFonts w:hint="eastAsia" w:ascii="宋体" w:hAnsi="宋体"/>
          <w:szCs w:val="21"/>
        </w:rPr>
        <w:t>注：此表既要装订在投标文件中，又要按投标人须知的规定与开标一览表、投标保证金汇款底单复印件及授权委托书一同密封装入唱标信封，唱标信封单独提交。</w:t>
      </w:r>
    </w:p>
    <w:p w14:paraId="3A7F7DD3">
      <w:pPr>
        <w:rPr>
          <w:rFonts w:ascii="宋体" w:hAnsi="宋体"/>
          <w:szCs w:val="21"/>
        </w:rPr>
      </w:pPr>
    </w:p>
    <w:p w14:paraId="0B1CD611">
      <w:pPr>
        <w:rPr>
          <w:rFonts w:ascii="宋体" w:hAnsi="宋体"/>
          <w:szCs w:val="21"/>
        </w:rPr>
      </w:pPr>
    </w:p>
    <w:p w14:paraId="22DEF717">
      <w:pPr>
        <w:rPr>
          <w:rFonts w:ascii="宋体" w:hAnsi="宋体"/>
          <w:szCs w:val="21"/>
        </w:rPr>
      </w:pPr>
    </w:p>
    <w:p w14:paraId="0A2355CD">
      <w:pPr>
        <w:rPr>
          <w:rFonts w:ascii="宋体" w:hAnsi="宋体"/>
          <w:szCs w:val="21"/>
        </w:rPr>
      </w:pPr>
    </w:p>
    <w:p w14:paraId="0F93895F">
      <w:pPr>
        <w:rPr>
          <w:rFonts w:ascii="宋体" w:hAnsi="宋体"/>
          <w:szCs w:val="21"/>
        </w:rPr>
      </w:pPr>
    </w:p>
    <w:p w14:paraId="709C449C">
      <w:pPr>
        <w:rPr>
          <w:rFonts w:ascii="宋体" w:hAnsi="宋体"/>
          <w:szCs w:val="21"/>
        </w:rPr>
      </w:pPr>
    </w:p>
    <w:p w14:paraId="0D4BC915">
      <w:pPr>
        <w:rPr>
          <w:rFonts w:ascii="宋体" w:hAnsi="宋体"/>
          <w:szCs w:val="21"/>
        </w:rPr>
      </w:pPr>
    </w:p>
    <w:p w14:paraId="334DFCAC">
      <w:pPr>
        <w:rPr>
          <w:rFonts w:ascii="宋体" w:hAnsi="宋体"/>
          <w:szCs w:val="21"/>
        </w:rPr>
      </w:pPr>
    </w:p>
    <w:p w14:paraId="0C969991">
      <w:pPr>
        <w:rPr>
          <w:rFonts w:ascii="宋体" w:hAnsi="宋体"/>
          <w:szCs w:val="21"/>
        </w:rPr>
      </w:pPr>
    </w:p>
    <w:p w14:paraId="7E14DE47">
      <w:pPr>
        <w:rPr>
          <w:rFonts w:ascii="宋体" w:hAnsi="宋体"/>
          <w:szCs w:val="21"/>
        </w:rPr>
      </w:pPr>
    </w:p>
    <w:p w14:paraId="61F85BDB">
      <w:pPr>
        <w:rPr>
          <w:rFonts w:ascii="宋体" w:hAnsi="宋体"/>
          <w:szCs w:val="21"/>
        </w:rPr>
      </w:pPr>
    </w:p>
    <w:p w14:paraId="3E6B870B">
      <w:pPr>
        <w:rPr>
          <w:rFonts w:ascii="宋体" w:hAnsi="宋体"/>
          <w:szCs w:val="21"/>
        </w:rPr>
      </w:pPr>
    </w:p>
    <w:p w14:paraId="6F3D4EE4">
      <w:pPr>
        <w:rPr>
          <w:rFonts w:ascii="宋体" w:hAnsi="宋体"/>
          <w:szCs w:val="21"/>
        </w:rPr>
      </w:pPr>
    </w:p>
    <w:p w14:paraId="6CEBF511">
      <w:pPr>
        <w:rPr>
          <w:rFonts w:ascii="宋体" w:hAnsi="宋体"/>
          <w:szCs w:val="21"/>
        </w:rPr>
      </w:pPr>
    </w:p>
    <w:p w14:paraId="39B846E7">
      <w:pPr>
        <w:rPr>
          <w:rFonts w:ascii="宋体" w:hAnsi="宋体"/>
          <w:szCs w:val="21"/>
        </w:rPr>
      </w:pPr>
    </w:p>
    <w:p w14:paraId="3AB1B1FF">
      <w:pPr>
        <w:rPr>
          <w:rFonts w:ascii="宋体" w:hAnsi="宋体"/>
          <w:szCs w:val="21"/>
        </w:rPr>
      </w:pPr>
    </w:p>
    <w:p w14:paraId="6F208275">
      <w:pPr>
        <w:rPr>
          <w:rFonts w:ascii="宋体" w:hAnsi="宋体"/>
          <w:szCs w:val="21"/>
        </w:rPr>
      </w:pPr>
    </w:p>
    <w:p w14:paraId="17A23734">
      <w:pPr>
        <w:rPr>
          <w:rFonts w:ascii="宋体" w:hAnsi="宋体"/>
          <w:szCs w:val="21"/>
        </w:rPr>
      </w:pPr>
    </w:p>
    <w:p w14:paraId="6877E96D">
      <w:pPr>
        <w:rPr>
          <w:rFonts w:ascii="宋体" w:hAnsi="宋体"/>
          <w:szCs w:val="21"/>
        </w:rPr>
      </w:pPr>
    </w:p>
    <w:p w14:paraId="57B14729">
      <w:pPr>
        <w:rPr>
          <w:rFonts w:ascii="宋体" w:hAnsi="宋体"/>
          <w:szCs w:val="21"/>
        </w:rPr>
      </w:pPr>
    </w:p>
    <w:p w14:paraId="4B8E0C5D">
      <w:pPr>
        <w:rPr>
          <w:rFonts w:ascii="宋体" w:hAnsi="宋体"/>
          <w:szCs w:val="21"/>
        </w:rPr>
      </w:pPr>
    </w:p>
    <w:p w14:paraId="07240FBD">
      <w:pPr>
        <w:pStyle w:val="6"/>
        <w:numPr>
          <w:ilvl w:val="255"/>
          <w:numId w:val="0"/>
        </w:numPr>
        <w:tabs>
          <w:tab w:val="left" w:pos="720"/>
          <w:tab w:val="left" w:pos="3840"/>
        </w:tabs>
        <w:ind w:left="283"/>
        <w:jc w:val="both"/>
        <w:rPr>
          <w:rFonts w:ascii="宋体" w:hAnsi="宋体"/>
          <w:sz w:val="21"/>
          <w:szCs w:val="21"/>
        </w:rPr>
      </w:pPr>
      <w:bookmarkStart w:id="178" w:name="_Toc1562"/>
      <w:bookmarkStart w:id="179" w:name="_Toc14605"/>
      <w:bookmarkStart w:id="180" w:name="_Toc25861"/>
      <w:bookmarkStart w:id="181" w:name="_Toc19947"/>
      <w:bookmarkStart w:id="182" w:name="_Toc2801"/>
      <w:bookmarkStart w:id="183" w:name="_Toc18296"/>
      <w:bookmarkStart w:id="184" w:name="_Toc2144"/>
      <w:bookmarkStart w:id="185" w:name="_Toc29855"/>
      <w:bookmarkStart w:id="186" w:name="_Toc17028"/>
      <w:bookmarkStart w:id="187" w:name="_Toc4866"/>
      <w:bookmarkStart w:id="188" w:name="_Toc28623"/>
      <w:r>
        <w:rPr>
          <w:rFonts w:hint="eastAsia" w:ascii="宋体" w:hAnsi="宋体"/>
          <w:sz w:val="21"/>
          <w:szCs w:val="21"/>
        </w:rPr>
        <w:t>附件1</w:t>
      </w:r>
      <w:r>
        <w:rPr>
          <w:rFonts w:hint="eastAsia" w:ascii="宋体" w:hAnsi="宋体"/>
          <w:sz w:val="21"/>
          <w:szCs w:val="21"/>
          <w:lang w:val="en-US" w:eastAsia="zh-CN"/>
        </w:rPr>
        <w:t>5</w:t>
      </w:r>
      <w:r>
        <w:rPr>
          <w:rFonts w:hint="eastAsia" w:ascii="宋体" w:hAnsi="宋体"/>
          <w:sz w:val="21"/>
          <w:szCs w:val="21"/>
        </w:rPr>
        <w:t>.不可撤销履约保函</w:t>
      </w:r>
      <w:bookmarkEnd w:id="178"/>
      <w:bookmarkEnd w:id="179"/>
      <w:bookmarkEnd w:id="180"/>
      <w:bookmarkEnd w:id="181"/>
      <w:bookmarkEnd w:id="182"/>
      <w:bookmarkEnd w:id="183"/>
      <w:bookmarkEnd w:id="184"/>
      <w:bookmarkEnd w:id="185"/>
      <w:bookmarkEnd w:id="186"/>
      <w:bookmarkEnd w:id="187"/>
      <w:bookmarkEnd w:id="188"/>
      <w:r>
        <w:rPr>
          <w:rFonts w:hint="eastAsia" w:ascii="宋体" w:hAnsi="宋体"/>
          <w:sz w:val="21"/>
          <w:szCs w:val="21"/>
        </w:rPr>
        <w:t>（投标时无须提供本模板格式）</w:t>
      </w:r>
    </w:p>
    <w:p w14:paraId="1F790597">
      <w:pPr>
        <w:jc w:val="center"/>
        <w:rPr>
          <w:rFonts w:ascii="宋体" w:hAnsi="宋体"/>
        </w:rPr>
      </w:pPr>
      <w:r>
        <w:rPr>
          <w:rFonts w:hint="eastAsia" w:ascii="宋体" w:hAnsi="宋体"/>
        </w:rPr>
        <w:t>银行编号：</w:t>
      </w:r>
    </w:p>
    <w:p w14:paraId="73FE44A4">
      <w:pPr>
        <w:rPr>
          <w:rFonts w:ascii="宋体" w:hAnsi="宋体"/>
        </w:rPr>
      </w:pPr>
      <w:r>
        <w:rPr>
          <w:rFonts w:ascii="宋体" w:hAnsi="宋体"/>
        </w:rPr>
        <w:t>致：</w:t>
      </w:r>
      <w:r>
        <w:rPr>
          <w:rFonts w:hint="eastAsia" w:ascii="宋体" w:hAnsi="宋体"/>
          <w:u w:val="single"/>
        </w:rPr>
        <w:t xml:space="preserve">                        </w:t>
      </w:r>
      <w:r>
        <w:rPr>
          <w:rFonts w:hint="eastAsia" w:ascii="宋体" w:hAnsi="宋体"/>
        </w:rPr>
        <w:t>（</w:t>
      </w:r>
      <w:r>
        <w:rPr>
          <w:rFonts w:hint="eastAsia"/>
        </w:rPr>
        <w:t>甲方</w:t>
      </w:r>
      <w:r>
        <w:rPr>
          <w:rFonts w:hint="eastAsia" w:ascii="宋体" w:hAnsi="宋体"/>
        </w:rPr>
        <w:t>）</w:t>
      </w:r>
    </w:p>
    <w:p w14:paraId="1B3F5A28">
      <w:pPr>
        <w:ind w:firstLine="420" w:firstLineChars="200"/>
        <w:rPr>
          <w:rFonts w:ascii="宋体" w:hAnsi="宋体"/>
        </w:rPr>
      </w:pPr>
      <w:r>
        <w:rPr>
          <w:rFonts w:hint="eastAsia" w:ascii="宋体" w:hAnsi="宋体"/>
        </w:rPr>
        <w:t>鉴于</w:t>
      </w:r>
      <w:r>
        <w:rPr>
          <w:rFonts w:hint="eastAsia" w:ascii="宋体" w:hAnsi="宋体"/>
          <w:u w:val="single"/>
        </w:rPr>
        <w:t xml:space="preserve">         （地址：          ，下称 “乙方” ）</w:t>
      </w:r>
      <w:r>
        <w:rPr>
          <w:rFonts w:hint="eastAsia" w:ascii="宋体" w:hAnsi="宋体"/>
        </w:rPr>
        <w:t>已保证按</w:t>
      </w:r>
      <w:r>
        <w:rPr>
          <w:rFonts w:hint="eastAsia" w:ascii="宋体" w:hAnsi="宋体"/>
          <w:u w:val="single"/>
        </w:rPr>
        <w:t xml:space="preserve">        承包合同书（合同编号：    ）</w:t>
      </w:r>
      <w:r>
        <w:rPr>
          <w:rFonts w:hint="eastAsia" w:ascii="宋体" w:hAnsi="宋体"/>
        </w:rPr>
        <w:t>中规定的义务履行合同。</w:t>
      </w:r>
    </w:p>
    <w:p w14:paraId="180C1792">
      <w:pPr>
        <w:ind w:firstLine="420" w:firstLineChars="200"/>
        <w:rPr>
          <w:rFonts w:ascii="宋体" w:hAnsi="宋体"/>
        </w:rPr>
      </w:pPr>
      <w:r>
        <w:rPr>
          <w:rFonts w:hint="eastAsia" w:ascii="宋体" w:hAnsi="宋体"/>
        </w:rPr>
        <w:t>根据上述合同约定，乙方应向</w:t>
      </w:r>
      <w:r>
        <w:rPr>
          <w:rFonts w:hint="eastAsia"/>
        </w:rPr>
        <w:t>甲方</w:t>
      </w:r>
      <w:r>
        <w:rPr>
          <w:rFonts w:hint="eastAsia" w:ascii="宋体" w:hAnsi="宋体"/>
        </w:rPr>
        <w:t>提供一份金额为合同总价的10%即</w:t>
      </w:r>
      <w:r>
        <w:rPr>
          <w:rFonts w:hint="eastAsia" w:ascii="宋体" w:hAnsi="宋体"/>
          <w:u w:val="single"/>
        </w:rPr>
        <w:t>人民币      （RMB    元）</w:t>
      </w:r>
      <w:r>
        <w:rPr>
          <w:rFonts w:hint="eastAsia" w:ascii="宋体" w:hAnsi="宋体"/>
        </w:rPr>
        <w:t>的</w:t>
      </w:r>
      <w:r>
        <w:rPr>
          <w:rFonts w:hint="eastAsia" w:ascii="宋体" w:hAnsi="宋体"/>
          <w:bCs/>
        </w:rPr>
        <w:t>不可撤销</w:t>
      </w:r>
      <w:r>
        <w:rPr>
          <w:rFonts w:hint="eastAsia" w:ascii="宋体" w:hAnsi="宋体"/>
        </w:rPr>
        <w:t>银行履约保函，作为乙方履行上述合同的担保。</w:t>
      </w:r>
    </w:p>
    <w:p w14:paraId="0D32493C">
      <w:pPr>
        <w:ind w:firstLine="420" w:firstLineChars="200"/>
        <w:rPr>
          <w:rFonts w:ascii="宋体" w:hAnsi="宋体"/>
        </w:rPr>
      </w:pPr>
      <w:r>
        <w:rPr>
          <w:rFonts w:hint="eastAsia" w:ascii="宋体" w:hAnsi="宋体"/>
        </w:rPr>
        <w:t>我方</w:t>
      </w:r>
      <w:r>
        <w:rPr>
          <w:rFonts w:hint="eastAsia" w:ascii="宋体" w:hAnsi="宋体"/>
          <w:u w:val="single"/>
        </w:rPr>
        <w:t xml:space="preserve">            （银行名称）</w:t>
      </w:r>
      <w:r>
        <w:rPr>
          <w:rFonts w:hint="eastAsia" w:ascii="宋体" w:hAnsi="宋体"/>
        </w:rPr>
        <w:t>，受乙方的委托，不仅作为连带责任保证人而且作为主要的责任人，无条件和不可撤销地同意在</w:t>
      </w:r>
      <w:r>
        <w:rPr>
          <w:rFonts w:hint="eastAsia"/>
        </w:rPr>
        <w:t>甲方</w:t>
      </w:r>
      <w:r>
        <w:rPr>
          <w:rFonts w:hint="eastAsia" w:ascii="宋体" w:hAnsi="宋体"/>
        </w:rPr>
        <w:t>提出因乙方没有履行上述合同规定，而要求扣划保证金的书面要求后，7个工作日内为</w:t>
      </w:r>
      <w:r>
        <w:rPr>
          <w:rFonts w:hint="eastAsia"/>
        </w:rPr>
        <w:t>甲方</w:t>
      </w:r>
      <w:r>
        <w:rPr>
          <w:rFonts w:hint="eastAsia" w:ascii="宋体" w:hAnsi="宋体"/>
        </w:rPr>
        <w:t>扣划金额不超过</w:t>
      </w:r>
      <w:r>
        <w:rPr>
          <w:rFonts w:hint="eastAsia" w:ascii="宋体" w:hAnsi="宋体"/>
          <w:u w:val="single"/>
        </w:rPr>
        <w:t>人民币          （RMB       元）</w:t>
      </w:r>
      <w:r>
        <w:rPr>
          <w:rFonts w:hint="eastAsia" w:ascii="宋体" w:hAnsi="宋体"/>
        </w:rPr>
        <w:t>的保证金。</w:t>
      </w:r>
    </w:p>
    <w:p w14:paraId="1E713D55">
      <w:pPr>
        <w:ind w:firstLine="420" w:firstLineChars="200"/>
      </w:pPr>
      <w:r>
        <w:rPr>
          <w:rFonts w:hint="eastAsia" w:ascii="宋体" w:hAnsi="宋体"/>
        </w:rPr>
        <w:t>我</w:t>
      </w:r>
      <w:r>
        <w:rPr>
          <w:rFonts w:hint="eastAsia"/>
        </w:rPr>
        <w:t>方还同意，任何甲方与乙方之间可能对合同条款的修改、规范或其他合同文件的变动补充，都不能免除我方按本保函所承担的责任。因此，有关上述变动、补充和修改无须通知我方。</w:t>
      </w:r>
    </w:p>
    <w:p w14:paraId="5CC37E5E">
      <w:pPr>
        <w:ind w:firstLine="420" w:firstLineChars="200"/>
      </w:pPr>
      <w:r>
        <w:rPr>
          <w:rFonts w:hint="eastAsia"/>
        </w:rPr>
        <w:t>本保函从上述合同签订之日起至项目服务期结束验收合格并完成结算后，双方签字之日起7天内保持有效。</w:t>
      </w:r>
    </w:p>
    <w:p w14:paraId="3285EC62">
      <w:pPr>
        <w:ind w:firstLine="2824" w:firstLineChars="1345"/>
        <w:rPr>
          <w:rFonts w:ascii="宋体" w:hAnsi="宋体"/>
        </w:rPr>
      </w:pPr>
    </w:p>
    <w:p w14:paraId="47A3EF45">
      <w:pPr>
        <w:ind w:firstLine="5040" w:firstLineChars="2400"/>
        <w:rPr>
          <w:rFonts w:ascii="宋体" w:hAnsi="宋体"/>
        </w:rPr>
      </w:pPr>
      <w:r>
        <w:rPr>
          <w:rFonts w:hint="eastAsia" w:ascii="宋体" w:hAnsi="宋体"/>
        </w:rPr>
        <w:t>保证人：（盖章）</w:t>
      </w:r>
      <w:r>
        <w:rPr>
          <w:rFonts w:hint="eastAsia" w:ascii="宋体" w:hAnsi="宋体"/>
          <w:u w:val="single"/>
        </w:rPr>
        <w:t xml:space="preserve">                        </w:t>
      </w:r>
    </w:p>
    <w:p w14:paraId="1D801DBE">
      <w:pPr>
        <w:ind w:firstLine="5040" w:firstLineChars="2400"/>
        <w:rPr>
          <w:rFonts w:ascii="宋体" w:hAnsi="宋体"/>
        </w:rPr>
      </w:pPr>
      <w:r>
        <w:rPr>
          <w:rFonts w:hint="eastAsia" w:ascii="宋体" w:hAnsi="宋体"/>
        </w:rPr>
        <w:t>负责人：（签字）</w:t>
      </w:r>
      <w:r>
        <w:rPr>
          <w:rFonts w:hint="eastAsia" w:ascii="宋体" w:hAnsi="宋体"/>
          <w:u w:val="single"/>
        </w:rPr>
        <w:t xml:space="preserve">                        </w:t>
      </w:r>
    </w:p>
    <w:p w14:paraId="2BBFA058">
      <w:pPr>
        <w:ind w:firstLine="5040" w:firstLineChars="2400"/>
        <w:rPr>
          <w:rFonts w:ascii="宋体" w:hAnsi="宋体"/>
        </w:rPr>
      </w:pPr>
      <w:r>
        <w:rPr>
          <w:rFonts w:hint="eastAsia" w:ascii="宋体" w:hAnsi="宋体"/>
        </w:rPr>
        <w:t>联系人：</w:t>
      </w:r>
      <w:r>
        <w:rPr>
          <w:rFonts w:hint="eastAsia" w:ascii="宋体" w:hAnsi="宋体"/>
          <w:u w:val="single"/>
        </w:rPr>
        <w:t xml:space="preserve">                               </w:t>
      </w:r>
      <w:r>
        <w:rPr>
          <w:rFonts w:hint="eastAsia" w:ascii="宋体" w:hAnsi="宋体"/>
        </w:rPr>
        <w:t xml:space="preserve">   </w:t>
      </w:r>
    </w:p>
    <w:p w14:paraId="51193544">
      <w:pPr>
        <w:ind w:firstLine="5040" w:firstLineChars="2400"/>
        <w:rPr>
          <w:rFonts w:ascii="宋体" w:hAnsi="宋体"/>
        </w:rPr>
      </w:pPr>
      <w:r>
        <w:rPr>
          <w:rFonts w:hint="eastAsia" w:ascii="宋体" w:hAnsi="宋体"/>
        </w:rPr>
        <w:t>联系电话：</w:t>
      </w:r>
      <w:r>
        <w:rPr>
          <w:rFonts w:hint="eastAsia" w:ascii="宋体" w:hAnsi="宋体"/>
          <w:u w:val="single"/>
        </w:rPr>
        <w:t xml:space="preserve">                             </w:t>
      </w:r>
    </w:p>
    <w:p w14:paraId="07856F04">
      <w:pPr>
        <w:ind w:firstLine="5040" w:firstLineChars="2400"/>
        <w:rPr>
          <w:rFonts w:ascii="宋体" w:hAnsi="宋体"/>
        </w:rPr>
      </w:pPr>
      <w:r>
        <w:rPr>
          <w:rFonts w:hint="eastAsia" w:ascii="宋体" w:hAnsi="宋体"/>
        </w:rPr>
        <w:t>日期：</w:t>
      </w:r>
      <w:r>
        <w:rPr>
          <w:rFonts w:hint="eastAsia" w:ascii="宋体" w:hAnsi="宋体"/>
          <w:u w:val="single"/>
        </w:rPr>
        <w:t xml:space="preserve">                               </w:t>
      </w:r>
    </w:p>
    <w:p w14:paraId="1A051ECB">
      <w:pPr>
        <w:pStyle w:val="11"/>
        <w:rPr>
          <w:szCs w:val="24"/>
        </w:rPr>
      </w:pPr>
      <w:r>
        <w:rPr>
          <w:rFonts w:hint="eastAsia"/>
          <w:szCs w:val="24"/>
        </w:rPr>
        <w:t>说明：投标人在投标时不需提交正式保函，在投标文件中盖投标人公章确认保函格式即可，乙方</w:t>
      </w:r>
      <w:r>
        <w:rPr>
          <w:rFonts w:hint="eastAsia"/>
        </w:rPr>
        <w:t>在签订合同时</w:t>
      </w:r>
      <w:r>
        <w:rPr>
          <w:rFonts w:hint="eastAsia"/>
          <w:szCs w:val="24"/>
        </w:rPr>
        <w:t>提交正式保函。</w:t>
      </w:r>
    </w:p>
    <w:p w14:paraId="4226CCA1">
      <w:pPr>
        <w:rPr>
          <w:rFonts w:ascii="宋体" w:hAnsi="宋体"/>
          <w:szCs w:val="21"/>
        </w:rPr>
      </w:pPr>
    </w:p>
    <w:p w14:paraId="15E91ABE">
      <w:pPr>
        <w:ind w:left="283"/>
        <w:jc w:val="both"/>
        <w:rPr>
          <w:rFonts w:hint="eastAsia" w:ascii="宋体" w:hAnsi="宋体"/>
          <w:sz w:val="21"/>
          <w:szCs w:val="21"/>
        </w:rPr>
      </w:pPr>
      <w:bookmarkStart w:id="189" w:name="_Toc29098"/>
      <w:r>
        <w:rPr>
          <w:rFonts w:hint="eastAsia" w:ascii="宋体" w:hAnsi="宋体"/>
          <w:sz w:val="21"/>
          <w:szCs w:val="21"/>
        </w:rPr>
        <w:br w:type="page"/>
      </w:r>
    </w:p>
    <w:bookmarkEnd w:id="189"/>
    <w:p w14:paraId="1349BF92">
      <w:pPr>
        <w:jc w:val="center"/>
        <w:outlineLvl w:val="1"/>
        <w:rPr>
          <w:rFonts w:eastAsia="黑体"/>
          <w:sz w:val="72"/>
          <w:szCs w:val="72"/>
          <w:highlight w:val="none"/>
        </w:rPr>
      </w:pPr>
      <w:bookmarkStart w:id="190" w:name="_Toc16601"/>
      <w:bookmarkStart w:id="191" w:name="_Toc1968"/>
      <w:r>
        <w:rPr>
          <w:rFonts w:hint="eastAsia" w:eastAsia="黑体"/>
          <w:sz w:val="72"/>
          <w:szCs w:val="72"/>
          <w:highlight w:val="none"/>
        </w:rPr>
        <w:t>唱标信封</w:t>
      </w:r>
      <w:bookmarkEnd w:id="190"/>
    </w:p>
    <w:p w14:paraId="16876651">
      <w:pPr>
        <w:jc w:val="center"/>
        <w:rPr>
          <w:rFonts w:ascii="黑体" w:eastAsia="黑体"/>
          <w:sz w:val="52"/>
          <w:szCs w:val="52"/>
          <w:highlight w:val="none"/>
        </w:rPr>
      </w:pPr>
      <w:r>
        <w:rPr>
          <w:rFonts w:hint="eastAsia" w:ascii="黑体" w:eastAsia="黑体"/>
          <w:sz w:val="52"/>
          <w:szCs w:val="52"/>
          <w:highlight w:val="none"/>
        </w:rPr>
        <w:t>（单独装订成册，单独封装）</w:t>
      </w:r>
    </w:p>
    <w:p w14:paraId="23D24BE9">
      <w:pPr>
        <w:rPr>
          <w:highlight w:val="none"/>
        </w:rPr>
      </w:pPr>
    </w:p>
    <w:p w14:paraId="5EBA56B3">
      <w:pPr>
        <w:pStyle w:val="2"/>
        <w:rPr>
          <w:highlight w:val="none"/>
        </w:rPr>
      </w:pPr>
    </w:p>
    <w:p w14:paraId="62605203">
      <w:pPr>
        <w:pStyle w:val="28"/>
        <w:ind w:firstLine="240"/>
        <w:rPr>
          <w:highlight w:val="none"/>
        </w:rPr>
      </w:pPr>
    </w:p>
    <w:p w14:paraId="2FF55EA5">
      <w:pPr>
        <w:pStyle w:val="29"/>
      </w:pPr>
    </w:p>
    <w:p w14:paraId="58E0ECFC">
      <w:pPr>
        <w:pStyle w:val="28"/>
        <w:ind w:firstLine="240"/>
        <w:rPr>
          <w:highlight w:val="none"/>
        </w:rPr>
      </w:pPr>
    </w:p>
    <w:p w14:paraId="3097312A">
      <w:pPr>
        <w:rPr>
          <w:rFonts w:ascii="宋体" w:hAnsi="宋体" w:cs="宋体"/>
          <w:b/>
          <w:spacing w:val="-6"/>
          <w:sz w:val="32"/>
          <w:szCs w:val="32"/>
          <w:highlight w:val="none"/>
        </w:rPr>
      </w:pPr>
      <w:r>
        <w:rPr>
          <w:rFonts w:hint="eastAsia" w:ascii="宋体" w:hAnsi="宋体" w:cs="宋体"/>
          <w:b/>
          <w:spacing w:val="106"/>
          <w:sz w:val="32"/>
          <w:szCs w:val="32"/>
          <w:highlight w:val="none"/>
        </w:rPr>
        <w:t>项目名</w:t>
      </w:r>
      <w:r>
        <w:rPr>
          <w:rFonts w:hint="eastAsia" w:ascii="宋体" w:hAnsi="宋体" w:cs="宋体"/>
          <w:b/>
          <w:spacing w:val="2"/>
          <w:sz w:val="32"/>
          <w:szCs w:val="32"/>
          <w:highlight w:val="none"/>
        </w:rPr>
        <w:t>称</w:t>
      </w:r>
      <w:r>
        <w:rPr>
          <w:rFonts w:hint="eastAsia" w:ascii="宋体" w:hAnsi="宋体" w:cs="宋体"/>
          <w:b/>
          <w:spacing w:val="-6"/>
          <w:sz w:val="32"/>
          <w:szCs w:val="32"/>
          <w:highlight w:val="none"/>
        </w:rPr>
        <w:t>：</w:t>
      </w:r>
    </w:p>
    <w:p w14:paraId="3C99F925">
      <w:pPr>
        <w:rPr>
          <w:rFonts w:ascii="宋体" w:hAnsi="宋体" w:cs="宋体"/>
          <w:b/>
          <w:sz w:val="32"/>
          <w:szCs w:val="32"/>
          <w:highlight w:val="none"/>
        </w:rPr>
      </w:pPr>
      <w:r>
        <w:rPr>
          <w:rFonts w:hint="eastAsia" w:ascii="宋体" w:hAnsi="宋体" w:cs="宋体"/>
          <w:b/>
          <w:spacing w:val="106"/>
          <w:sz w:val="32"/>
          <w:szCs w:val="32"/>
          <w:highlight w:val="none"/>
        </w:rPr>
        <w:t>项目编</w:t>
      </w:r>
      <w:r>
        <w:rPr>
          <w:rFonts w:hint="eastAsia" w:ascii="宋体" w:hAnsi="宋体" w:cs="宋体"/>
          <w:b/>
          <w:spacing w:val="2"/>
          <w:sz w:val="32"/>
          <w:szCs w:val="32"/>
          <w:highlight w:val="none"/>
        </w:rPr>
        <w:t>号</w:t>
      </w:r>
      <w:r>
        <w:rPr>
          <w:rFonts w:hint="eastAsia" w:ascii="宋体" w:hAnsi="宋体" w:cs="宋体"/>
          <w:b/>
          <w:sz w:val="32"/>
          <w:szCs w:val="32"/>
          <w:highlight w:val="none"/>
        </w:rPr>
        <w:t>：</w:t>
      </w:r>
    </w:p>
    <w:p w14:paraId="6102B271">
      <w:pPr>
        <w:rPr>
          <w:rFonts w:ascii="宋体" w:hAnsi="宋体" w:cs="宋体"/>
          <w:b/>
          <w:sz w:val="32"/>
          <w:szCs w:val="32"/>
          <w:highlight w:val="none"/>
        </w:rPr>
      </w:pPr>
      <w:r>
        <w:rPr>
          <w:rFonts w:hint="eastAsia" w:ascii="宋体" w:hAnsi="宋体" w:cs="宋体"/>
          <w:b/>
          <w:sz w:val="32"/>
          <w:szCs w:val="32"/>
          <w:highlight w:val="none"/>
        </w:rPr>
        <w:t>投标人名称：</w:t>
      </w:r>
    </w:p>
    <w:p w14:paraId="02DFBD09">
      <w:pPr>
        <w:rPr>
          <w:rFonts w:ascii="宋体" w:hAnsi="宋体" w:cs="宋体"/>
          <w:b/>
          <w:sz w:val="32"/>
          <w:szCs w:val="32"/>
        </w:rPr>
      </w:pPr>
      <w:r>
        <w:rPr>
          <w:rFonts w:hint="eastAsia" w:ascii="宋体" w:hAnsi="宋体" w:cs="宋体"/>
          <w:b/>
          <w:spacing w:val="64"/>
          <w:sz w:val="32"/>
          <w:szCs w:val="32"/>
        </w:rPr>
        <w:t xml:space="preserve">日    </w:t>
      </w:r>
      <w:r>
        <w:rPr>
          <w:rFonts w:hint="eastAsia" w:ascii="宋体" w:hAnsi="宋体" w:cs="宋体"/>
          <w:b/>
          <w:sz w:val="32"/>
          <w:szCs w:val="32"/>
        </w:rPr>
        <w:t>期：</w:t>
      </w:r>
    </w:p>
    <w:p w14:paraId="2A642255">
      <w:pPr>
        <w:rPr>
          <w:rFonts w:ascii="宋体" w:hAnsi="宋体"/>
          <w:szCs w:val="21"/>
        </w:rPr>
      </w:pPr>
      <w:r>
        <w:rPr>
          <w:rFonts w:hint="eastAsia" w:ascii="宋体" w:hAnsi="宋体"/>
          <w:szCs w:val="21"/>
        </w:rPr>
        <w:br w:type="page"/>
      </w:r>
    </w:p>
    <w:p w14:paraId="1B36981A">
      <w:pPr>
        <w:outlineLvl w:val="1"/>
        <w:rPr>
          <w:sz w:val="72"/>
          <w:szCs w:val="72"/>
        </w:rPr>
        <w:sectPr>
          <w:pgSz w:w="11906" w:h="16838"/>
          <w:pgMar w:top="1440" w:right="1800" w:bottom="1440" w:left="1800" w:header="708" w:footer="708" w:gutter="0"/>
          <w:cols w:space="708" w:num="1"/>
          <w:titlePg/>
          <w:docGrid w:type="lines" w:linePitch="360" w:charSpace="0"/>
        </w:sectPr>
      </w:pPr>
    </w:p>
    <w:bookmarkEnd w:id="191"/>
    <w:p w14:paraId="4D848210">
      <w:pPr>
        <w:pStyle w:val="6"/>
        <w:numPr>
          <w:ilvl w:val="255"/>
          <w:numId w:val="0"/>
        </w:numPr>
        <w:tabs>
          <w:tab w:val="left" w:pos="720"/>
          <w:tab w:val="left" w:pos="3840"/>
        </w:tabs>
        <w:ind w:left="283"/>
        <w:jc w:val="both"/>
        <w:rPr>
          <w:rFonts w:ascii="宋体" w:hAnsi="宋体"/>
          <w:sz w:val="21"/>
          <w:szCs w:val="21"/>
        </w:rPr>
      </w:pPr>
      <w:bookmarkStart w:id="192" w:name="_Toc31340"/>
      <w:r>
        <w:rPr>
          <w:rFonts w:hint="eastAsia" w:ascii="宋体" w:hAnsi="宋体"/>
          <w:sz w:val="21"/>
          <w:szCs w:val="21"/>
        </w:rPr>
        <w:t>附件</w:t>
      </w:r>
      <w:r>
        <w:rPr>
          <w:rFonts w:hint="eastAsia" w:ascii="宋体" w:hAnsi="宋体"/>
          <w:sz w:val="21"/>
          <w:szCs w:val="21"/>
          <w:lang w:val="en-US" w:eastAsia="zh-CN"/>
        </w:rPr>
        <w:t>16</w:t>
      </w:r>
      <w:r>
        <w:rPr>
          <w:rFonts w:hint="eastAsia" w:ascii="宋体" w:hAnsi="宋体"/>
          <w:sz w:val="21"/>
          <w:szCs w:val="21"/>
        </w:rPr>
        <w:t>.唱标信封内装（内容务必与投标文件正本一致）</w:t>
      </w:r>
      <w:bookmarkEnd w:id="192"/>
    </w:p>
    <w:p w14:paraId="7BE48356">
      <w:pPr>
        <w:numPr>
          <w:ilvl w:val="0"/>
          <w:numId w:val="37"/>
        </w:numPr>
        <w:ind w:firstLineChars="200"/>
        <w:rPr>
          <w:rFonts w:hAnsi="宋体"/>
          <w:szCs w:val="21"/>
        </w:rPr>
      </w:pPr>
      <w:r>
        <w:rPr>
          <w:rFonts w:hint="eastAsia" w:hAnsi="宋体"/>
          <w:szCs w:val="21"/>
        </w:rPr>
        <w:t>开标一览表加盖公章；</w:t>
      </w:r>
    </w:p>
    <w:p w14:paraId="5B9D4780">
      <w:pPr>
        <w:numPr>
          <w:ilvl w:val="0"/>
          <w:numId w:val="37"/>
        </w:numPr>
        <w:ind w:firstLineChars="200"/>
        <w:rPr>
          <w:rFonts w:hAnsi="宋体"/>
          <w:szCs w:val="21"/>
        </w:rPr>
      </w:pPr>
      <w:r>
        <w:rPr>
          <w:rFonts w:hint="eastAsia" w:hAnsi="宋体"/>
          <w:szCs w:val="21"/>
        </w:rPr>
        <w:t>投标保证金汇入情况说明（含银行汇款凭证）或投标保函加盖公章；</w:t>
      </w:r>
    </w:p>
    <w:p w14:paraId="07D60E0D">
      <w:pPr>
        <w:numPr>
          <w:ilvl w:val="0"/>
          <w:numId w:val="37"/>
        </w:numPr>
        <w:ind w:firstLineChars="200"/>
        <w:rPr>
          <w:rFonts w:hAnsi="宋体"/>
          <w:szCs w:val="21"/>
        </w:rPr>
      </w:pPr>
      <w:r>
        <w:rPr>
          <w:rFonts w:hint="eastAsia" w:hAnsi="宋体"/>
          <w:szCs w:val="21"/>
        </w:rPr>
        <w:t>投标文件电子文件（U盘，须含盖章版PDF投标文件和WORD版投标文件各一版，文字采用WORD文档，计算表格采用 EXCEL文档。）</w:t>
      </w:r>
    </w:p>
    <w:p w14:paraId="1A709EFF">
      <w:pPr>
        <w:rPr>
          <w:rFonts w:ascii="宋体" w:hAnsi="宋体" w:cs="宋体"/>
          <w:szCs w:val="21"/>
        </w:rPr>
      </w:pPr>
    </w:p>
    <w:p w14:paraId="5186CE9A">
      <w:pPr>
        <w:pStyle w:val="2"/>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Vivaldi">
    <w:panose1 w:val="03020602050506090804"/>
    <w:charset w:val="00"/>
    <w:family w:val="script"/>
    <w:pitch w:val="default"/>
    <w:sig w:usb0="00000003" w:usb1="00000000" w:usb2="00000000" w:usb3="00000000" w:csb0="2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BCD5">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1E2E7">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B51E2E7">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A84B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C4A5">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A67C0">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9DA67C0">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01A21">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1E813F44">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1E813F44">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DBB5">
    <w:pPr>
      <w:pStyle w:val="17"/>
    </w:pPr>
    <w:r>
      <w:rPr>
        <w:sz w:val="18"/>
      </w:rPr>
      <w:pict>
        <v:shape id="_x0000_s2056" o:spid="_x0000_s2056" o:spt="136" type="#_x0000_t136" style="position:absolute;left:0pt;margin-left:-58.95pt;margin-top:349.9pt;height:85.45pt;width:501.8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新东元20251023" style="font-family:微软雅黑;font-size:36pt;v-same-letter-heights:f;v-text-align:center;"/>
        </v:shape>
      </w:pic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37CD3FB9">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37CD3FB9">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F4572">
    <w:pPr>
      <w:pStyle w:val="18"/>
    </w:pPr>
    <w:r>
      <w:rPr>
        <w:sz w:val="18"/>
      </w:rPr>
      <w:pict>
        <v:shape id="PowerPlusWaterMarkObject24225" o:spid="_x0000_s2053" o:spt="136" type="#_x0000_t136" style="position:absolute;left:0pt;height:85.45pt;width:501.8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新东元20251023"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9C0D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BD09E">
    <w:pPr>
      <w:pStyle w:val="18"/>
    </w:pPr>
    <w:r>
      <w:rPr>
        <w:sz w:val="18"/>
      </w:rPr>
      <w:pict>
        <v:shape id="_x0000_s2054" o:spid="_x0000_s2054" o:spt="136" type="#_x0000_t136" style="position:absolute;left:0pt;height:85.45pt;width:501.8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新东元20251023"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6D52">
    <w:pPr>
      <w:pStyle w:val="18"/>
      <w:jc w:val="left"/>
    </w:pPr>
    <w:r>
      <w:rPr>
        <w:sz w:val="18"/>
      </w:rPr>
      <w:pict>
        <v:shape id="_x0000_s2055" o:spid="_x0000_s2055" o:spt="136" type="#_x0000_t136" style="position:absolute;left:0pt;height:85.45pt;width:501.8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新东元20251023"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3818A">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186D">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E7680"/>
    <w:multiLevelType w:val="singleLevel"/>
    <w:tmpl w:val="8AAE7680"/>
    <w:lvl w:ilvl="0" w:tentative="0">
      <w:start w:val="1"/>
      <w:numFmt w:val="decimal"/>
      <w:lvlText w:val="%1)"/>
      <w:lvlJc w:val="left"/>
      <w:pPr>
        <w:ind w:left="425" w:hanging="425"/>
      </w:pPr>
      <w:rPr>
        <w:rFonts w:hint="default"/>
      </w:rPr>
    </w:lvl>
  </w:abstractNum>
  <w:abstractNum w:abstractNumId="1">
    <w:nsid w:val="AD2819AC"/>
    <w:multiLevelType w:val="singleLevel"/>
    <w:tmpl w:val="AD2819AC"/>
    <w:lvl w:ilvl="0" w:tentative="0">
      <w:start w:val="1"/>
      <w:numFmt w:val="decimal"/>
      <w:lvlText w:val="%1."/>
      <w:lvlJc w:val="left"/>
      <w:pPr>
        <w:ind w:left="425" w:hanging="425"/>
      </w:pPr>
      <w:rPr>
        <w:rFonts w:hint="default"/>
      </w:rPr>
    </w:lvl>
  </w:abstractNum>
  <w:abstractNum w:abstractNumId="2">
    <w:nsid w:val="C27DD8A2"/>
    <w:multiLevelType w:val="singleLevel"/>
    <w:tmpl w:val="C27DD8A2"/>
    <w:lvl w:ilvl="0" w:tentative="0">
      <w:start w:val="1"/>
      <w:numFmt w:val="none"/>
      <w:lvlText w:val="9."/>
      <w:lvlJc w:val="left"/>
      <w:pPr>
        <w:tabs>
          <w:tab w:val="left" w:pos="420"/>
        </w:tabs>
        <w:ind w:left="425" w:hanging="425"/>
      </w:pPr>
      <w:rPr>
        <w:rFonts w:hint="default"/>
      </w:rPr>
    </w:lvl>
  </w:abstractNum>
  <w:abstractNum w:abstractNumId="3">
    <w:nsid w:val="C9555E15"/>
    <w:multiLevelType w:val="singleLevel"/>
    <w:tmpl w:val="C9555E15"/>
    <w:lvl w:ilvl="0" w:tentative="0">
      <w:start w:val="1"/>
      <w:numFmt w:val="decimal"/>
      <w:lvlText w:val="(%1)"/>
      <w:lvlJc w:val="left"/>
      <w:pPr>
        <w:ind w:left="425" w:hanging="425"/>
      </w:pPr>
      <w:rPr>
        <w:rFonts w:hint="default"/>
      </w:rPr>
    </w:lvl>
  </w:abstractNum>
  <w:abstractNum w:abstractNumId="4">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D0047B7E"/>
    <w:multiLevelType w:val="singleLevel"/>
    <w:tmpl w:val="D0047B7E"/>
    <w:lvl w:ilvl="0" w:tentative="0">
      <w:start w:val="1"/>
      <w:numFmt w:val="decimal"/>
      <w:suff w:val="nothing"/>
      <w:lvlText w:val="%1、"/>
      <w:lvlJc w:val="left"/>
    </w:lvl>
  </w:abstractNum>
  <w:abstractNum w:abstractNumId="6">
    <w:nsid w:val="D2923793"/>
    <w:multiLevelType w:val="singleLevel"/>
    <w:tmpl w:val="D2923793"/>
    <w:lvl w:ilvl="0" w:tentative="0">
      <w:start w:val="1"/>
      <w:numFmt w:val="none"/>
      <w:lvlText w:val="11."/>
      <w:lvlJc w:val="left"/>
      <w:pPr>
        <w:tabs>
          <w:tab w:val="left" w:pos="420"/>
        </w:tabs>
        <w:ind w:left="425" w:hanging="425"/>
      </w:pPr>
      <w:rPr>
        <w:rFonts w:hint="default"/>
      </w:rPr>
    </w:lvl>
  </w:abstractNum>
  <w:abstractNum w:abstractNumId="7">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9">
    <w:nsid w:val="063373CA"/>
    <w:multiLevelType w:val="multilevel"/>
    <w:tmpl w:val="063373CA"/>
    <w:lvl w:ilvl="0" w:tentative="0">
      <w:start w:val="1"/>
      <w:numFmt w:val="decimal"/>
      <w:lvlText w:val="%1)"/>
      <w:lvlJc w:val="left"/>
      <w:pPr>
        <w:tabs>
          <w:tab w:val="left" w:pos="1848"/>
        </w:tabs>
        <w:ind w:left="1848"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8B957E8"/>
    <w:multiLevelType w:val="multilevel"/>
    <w:tmpl w:val="08B95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45249B9"/>
    <w:multiLevelType w:val="multilevel"/>
    <w:tmpl w:val="145249B9"/>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0D2348B"/>
    <w:multiLevelType w:val="singleLevel"/>
    <w:tmpl w:val="20D2348B"/>
    <w:lvl w:ilvl="0" w:tentative="0">
      <w:start w:val="1"/>
      <w:numFmt w:val="chineseCounting"/>
      <w:suff w:val="nothing"/>
      <w:lvlText w:val="（%1）"/>
      <w:lvlJc w:val="left"/>
      <w:rPr>
        <w:rFonts w:hint="eastAsia"/>
      </w:rPr>
    </w:lvl>
  </w:abstractNum>
  <w:abstractNum w:abstractNumId="14">
    <w:nsid w:val="27AA7115"/>
    <w:multiLevelType w:val="multilevel"/>
    <w:tmpl w:val="27AA71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284A5AE6"/>
    <w:multiLevelType w:val="multilevel"/>
    <w:tmpl w:val="284A5A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E2F0E49"/>
    <w:multiLevelType w:val="multilevel"/>
    <w:tmpl w:val="2E2F0E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048E292"/>
    <w:multiLevelType w:val="singleLevel"/>
    <w:tmpl w:val="3048E292"/>
    <w:lvl w:ilvl="0" w:tentative="0">
      <w:start w:val="1"/>
      <w:numFmt w:val="none"/>
      <w:lvlText w:val="10."/>
      <w:lvlJc w:val="left"/>
      <w:pPr>
        <w:tabs>
          <w:tab w:val="left" w:pos="420"/>
        </w:tabs>
        <w:ind w:left="425" w:hanging="425"/>
      </w:pPr>
      <w:rPr>
        <w:rFonts w:hint="default"/>
      </w:rPr>
    </w:lvl>
  </w:abstractNum>
  <w:abstractNum w:abstractNumId="19">
    <w:nsid w:val="3E9C347D"/>
    <w:multiLevelType w:val="multilevel"/>
    <w:tmpl w:val="3E9C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0F54389"/>
    <w:multiLevelType w:val="multilevel"/>
    <w:tmpl w:val="40F543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AE62E51"/>
    <w:multiLevelType w:val="multilevel"/>
    <w:tmpl w:val="4AE62E51"/>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bullet"/>
      <w:lvlText w:val="—"/>
      <w:lvlJc w:val="left"/>
      <w:pPr>
        <w:tabs>
          <w:tab w:val="left" w:pos="2268"/>
        </w:tabs>
        <w:ind w:left="2268" w:hanging="420"/>
      </w:pPr>
      <w:rPr>
        <w:rFonts w:hint="default" w:ascii="Vivaldi" w:hAnsi="Vivaldi"/>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abstractNum w:abstractNumId="22">
    <w:nsid w:val="5142289F"/>
    <w:multiLevelType w:val="multilevel"/>
    <w:tmpl w:val="514228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5932DD5"/>
    <w:multiLevelType w:val="multilevel"/>
    <w:tmpl w:val="55932D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5A72853"/>
    <w:multiLevelType w:val="multilevel"/>
    <w:tmpl w:val="55A7285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67E6C43"/>
    <w:multiLevelType w:val="multilevel"/>
    <w:tmpl w:val="567E6C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28">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9">
    <w:nsid w:val="5FB902D1"/>
    <w:multiLevelType w:val="multilevel"/>
    <w:tmpl w:val="5FB902D1"/>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82E7D62"/>
    <w:multiLevelType w:val="multilevel"/>
    <w:tmpl w:val="682E7D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816579"/>
    <w:multiLevelType w:val="multilevel"/>
    <w:tmpl w:val="6C816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1940EDB"/>
    <w:multiLevelType w:val="multilevel"/>
    <w:tmpl w:val="71940E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39315A4"/>
    <w:multiLevelType w:val="multilevel"/>
    <w:tmpl w:val="739315A4"/>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4EC6053"/>
    <w:multiLevelType w:val="multilevel"/>
    <w:tmpl w:val="74EC6053"/>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EA970C7"/>
    <w:multiLevelType w:val="multilevel"/>
    <w:tmpl w:val="7EA970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F50071B"/>
    <w:multiLevelType w:val="multilevel"/>
    <w:tmpl w:val="7F50071B"/>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decimal"/>
      <w:lvlText w:val="（%4）"/>
      <w:lvlJc w:val="left"/>
      <w:pPr>
        <w:tabs>
          <w:tab w:val="left" w:pos="2268"/>
        </w:tabs>
        <w:ind w:left="2268" w:hanging="420"/>
      </w:pPr>
      <w:rPr>
        <w:rFonts w:hint="default"/>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26"/>
  </w:num>
  <w:num w:numId="2">
    <w:abstractNumId w:val="15"/>
  </w:num>
  <w:num w:numId="3">
    <w:abstractNumId w:val="4"/>
  </w:num>
  <w:num w:numId="4">
    <w:abstractNumId w:val="28"/>
  </w:num>
  <w:num w:numId="5">
    <w:abstractNumId w:val="8"/>
  </w:num>
  <w:num w:numId="6">
    <w:abstractNumId w:val="3"/>
  </w:num>
  <w:num w:numId="7">
    <w:abstractNumId w:val="11"/>
  </w:num>
  <w:num w:numId="8">
    <w:abstractNumId w:val="34"/>
  </w:num>
  <w:num w:numId="9">
    <w:abstractNumId w:val="12"/>
  </w:num>
  <w:num w:numId="10">
    <w:abstractNumId w:val="31"/>
  </w:num>
  <w:num w:numId="11">
    <w:abstractNumId w:val="14"/>
  </w:num>
  <w:num w:numId="12">
    <w:abstractNumId w:val="10"/>
  </w:num>
  <w:num w:numId="13">
    <w:abstractNumId w:val="29"/>
  </w:num>
  <w:num w:numId="14">
    <w:abstractNumId w:val="20"/>
  </w:num>
  <w:num w:numId="15">
    <w:abstractNumId w:val="23"/>
  </w:num>
  <w:num w:numId="16">
    <w:abstractNumId w:val="19"/>
  </w:num>
  <w:num w:numId="17">
    <w:abstractNumId w:val="33"/>
  </w:num>
  <w:num w:numId="18">
    <w:abstractNumId w:val="25"/>
  </w:num>
  <w:num w:numId="19">
    <w:abstractNumId w:val="30"/>
  </w:num>
  <w:num w:numId="20">
    <w:abstractNumId w:val="32"/>
  </w:num>
  <w:num w:numId="21">
    <w:abstractNumId w:val="22"/>
  </w:num>
  <w:num w:numId="22">
    <w:abstractNumId w:val="17"/>
  </w:num>
  <w:num w:numId="23">
    <w:abstractNumId w:val="24"/>
  </w:num>
  <w:num w:numId="24">
    <w:abstractNumId w:val="16"/>
  </w:num>
  <w:num w:numId="25">
    <w:abstractNumId w:val="35"/>
  </w:num>
  <w:num w:numId="26">
    <w:abstractNumId w:val="1"/>
  </w:num>
  <w:num w:numId="27">
    <w:abstractNumId w:val="36"/>
  </w:num>
  <w:num w:numId="28">
    <w:abstractNumId w:val="2"/>
  </w:num>
  <w:num w:numId="29">
    <w:abstractNumId w:val="9"/>
  </w:num>
  <w:num w:numId="30">
    <w:abstractNumId w:val="18"/>
  </w:num>
  <w:num w:numId="31">
    <w:abstractNumId w:val="0"/>
  </w:num>
  <w:num w:numId="32">
    <w:abstractNumId w:val="6"/>
  </w:num>
  <w:num w:numId="33">
    <w:abstractNumId w:val="21"/>
  </w:num>
  <w:num w:numId="34">
    <w:abstractNumId w:val="7"/>
  </w:num>
  <w:num w:numId="35">
    <w:abstractNumId w:val="13"/>
  </w:num>
  <w:num w:numId="36">
    <w:abstractNumId w:val="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ZmE1ZTg2YWQyZjkyNDFjNDRlY2FmM2Y3Yzg0ZDMifQ=="/>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3666"/>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1E0E"/>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562A1"/>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049A6"/>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208150E"/>
    <w:rsid w:val="02287D63"/>
    <w:rsid w:val="024179E7"/>
    <w:rsid w:val="0246437B"/>
    <w:rsid w:val="02985CD5"/>
    <w:rsid w:val="02A741FD"/>
    <w:rsid w:val="02C16E5D"/>
    <w:rsid w:val="02D964CF"/>
    <w:rsid w:val="02DE5ECF"/>
    <w:rsid w:val="032E6AB8"/>
    <w:rsid w:val="03707410"/>
    <w:rsid w:val="039170C0"/>
    <w:rsid w:val="039240A3"/>
    <w:rsid w:val="03A0770F"/>
    <w:rsid w:val="03A27726"/>
    <w:rsid w:val="03A448B8"/>
    <w:rsid w:val="03B34A78"/>
    <w:rsid w:val="03C01631"/>
    <w:rsid w:val="03C656A9"/>
    <w:rsid w:val="03F33148"/>
    <w:rsid w:val="04046478"/>
    <w:rsid w:val="042F3419"/>
    <w:rsid w:val="04491596"/>
    <w:rsid w:val="047B4012"/>
    <w:rsid w:val="04822497"/>
    <w:rsid w:val="04974587"/>
    <w:rsid w:val="049A0C65"/>
    <w:rsid w:val="04A07C4B"/>
    <w:rsid w:val="04DF1036"/>
    <w:rsid w:val="04E24985"/>
    <w:rsid w:val="050C01DF"/>
    <w:rsid w:val="05316537"/>
    <w:rsid w:val="053A5A77"/>
    <w:rsid w:val="05457236"/>
    <w:rsid w:val="0599183C"/>
    <w:rsid w:val="05A97DEC"/>
    <w:rsid w:val="05B04774"/>
    <w:rsid w:val="05B23978"/>
    <w:rsid w:val="05C81981"/>
    <w:rsid w:val="05FC20B9"/>
    <w:rsid w:val="060043AE"/>
    <w:rsid w:val="060C3203"/>
    <w:rsid w:val="06281344"/>
    <w:rsid w:val="062D4EC8"/>
    <w:rsid w:val="069B4E4A"/>
    <w:rsid w:val="06A26008"/>
    <w:rsid w:val="06BC41F2"/>
    <w:rsid w:val="06F415CC"/>
    <w:rsid w:val="070E26CD"/>
    <w:rsid w:val="07197D08"/>
    <w:rsid w:val="071E5C55"/>
    <w:rsid w:val="075C1FE5"/>
    <w:rsid w:val="077005AB"/>
    <w:rsid w:val="078F4581"/>
    <w:rsid w:val="07A715F3"/>
    <w:rsid w:val="07BF027F"/>
    <w:rsid w:val="07F06C60"/>
    <w:rsid w:val="08031A31"/>
    <w:rsid w:val="080E2872"/>
    <w:rsid w:val="0829034E"/>
    <w:rsid w:val="08420CAE"/>
    <w:rsid w:val="089A5AE8"/>
    <w:rsid w:val="09061A75"/>
    <w:rsid w:val="09182241"/>
    <w:rsid w:val="09325D4D"/>
    <w:rsid w:val="095F1030"/>
    <w:rsid w:val="09855177"/>
    <w:rsid w:val="09A17D47"/>
    <w:rsid w:val="09EE5125"/>
    <w:rsid w:val="0A3D7585"/>
    <w:rsid w:val="0A462748"/>
    <w:rsid w:val="0A4D0C81"/>
    <w:rsid w:val="0A723E95"/>
    <w:rsid w:val="0A733243"/>
    <w:rsid w:val="0A796830"/>
    <w:rsid w:val="0A834AEA"/>
    <w:rsid w:val="0AA534D5"/>
    <w:rsid w:val="0AA650EB"/>
    <w:rsid w:val="0AA7129C"/>
    <w:rsid w:val="0AF47339"/>
    <w:rsid w:val="0B121934"/>
    <w:rsid w:val="0B1F4D52"/>
    <w:rsid w:val="0B22594B"/>
    <w:rsid w:val="0B27506F"/>
    <w:rsid w:val="0B3061AD"/>
    <w:rsid w:val="0B9610F4"/>
    <w:rsid w:val="0BBF77A4"/>
    <w:rsid w:val="0BD16C8D"/>
    <w:rsid w:val="0BDF26F7"/>
    <w:rsid w:val="0C027DB2"/>
    <w:rsid w:val="0C2B4952"/>
    <w:rsid w:val="0C516C55"/>
    <w:rsid w:val="0C5D161C"/>
    <w:rsid w:val="0C7B2220"/>
    <w:rsid w:val="0CB67D83"/>
    <w:rsid w:val="0CCF79BE"/>
    <w:rsid w:val="0CD20599"/>
    <w:rsid w:val="0CE53018"/>
    <w:rsid w:val="0D0B5B12"/>
    <w:rsid w:val="0D133046"/>
    <w:rsid w:val="0D153F28"/>
    <w:rsid w:val="0D305390"/>
    <w:rsid w:val="0D3A0F98"/>
    <w:rsid w:val="0D5D37FD"/>
    <w:rsid w:val="0D6A4502"/>
    <w:rsid w:val="0D7415CA"/>
    <w:rsid w:val="0D890E47"/>
    <w:rsid w:val="0DAC0DEF"/>
    <w:rsid w:val="0DC64A00"/>
    <w:rsid w:val="0DCF786E"/>
    <w:rsid w:val="0DEB5FFA"/>
    <w:rsid w:val="0DF75C46"/>
    <w:rsid w:val="0DFC60BA"/>
    <w:rsid w:val="0E045D30"/>
    <w:rsid w:val="0E1C06B2"/>
    <w:rsid w:val="0E35000C"/>
    <w:rsid w:val="0E69691B"/>
    <w:rsid w:val="0E7900C2"/>
    <w:rsid w:val="0EBB5484"/>
    <w:rsid w:val="0EBD5AA3"/>
    <w:rsid w:val="0F085784"/>
    <w:rsid w:val="0F5723EF"/>
    <w:rsid w:val="0F7C5FF6"/>
    <w:rsid w:val="0FC63FBD"/>
    <w:rsid w:val="0FDD003F"/>
    <w:rsid w:val="0FF63282"/>
    <w:rsid w:val="0FF87EA4"/>
    <w:rsid w:val="0FFF7484"/>
    <w:rsid w:val="10007DD4"/>
    <w:rsid w:val="100B77ED"/>
    <w:rsid w:val="10305890"/>
    <w:rsid w:val="103D5A1A"/>
    <w:rsid w:val="105724B6"/>
    <w:rsid w:val="106C293C"/>
    <w:rsid w:val="106C564D"/>
    <w:rsid w:val="10767478"/>
    <w:rsid w:val="107B7B8F"/>
    <w:rsid w:val="107C67CE"/>
    <w:rsid w:val="10912D03"/>
    <w:rsid w:val="109D68CB"/>
    <w:rsid w:val="10A949B8"/>
    <w:rsid w:val="10CB4D26"/>
    <w:rsid w:val="11144AFE"/>
    <w:rsid w:val="11200D07"/>
    <w:rsid w:val="116A3F32"/>
    <w:rsid w:val="11786AB5"/>
    <w:rsid w:val="118049D4"/>
    <w:rsid w:val="118561F8"/>
    <w:rsid w:val="11914FAF"/>
    <w:rsid w:val="11A8021A"/>
    <w:rsid w:val="11B21219"/>
    <w:rsid w:val="11B4024C"/>
    <w:rsid w:val="11DA73AF"/>
    <w:rsid w:val="11FC1ECD"/>
    <w:rsid w:val="12457C5E"/>
    <w:rsid w:val="124D097B"/>
    <w:rsid w:val="12511265"/>
    <w:rsid w:val="126561B4"/>
    <w:rsid w:val="127A3FFC"/>
    <w:rsid w:val="127D0E25"/>
    <w:rsid w:val="127E0B34"/>
    <w:rsid w:val="1283614B"/>
    <w:rsid w:val="12856FF3"/>
    <w:rsid w:val="129671FB"/>
    <w:rsid w:val="12A576FF"/>
    <w:rsid w:val="12C60D80"/>
    <w:rsid w:val="130523B3"/>
    <w:rsid w:val="13097496"/>
    <w:rsid w:val="1313335B"/>
    <w:rsid w:val="13154AD2"/>
    <w:rsid w:val="131F7A3A"/>
    <w:rsid w:val="132645D0"/>
    <w:rsid w:val="134312FF"/>
    <w:rsid w:val="13455ABC"/>
    <w:rsid w:val="13530A08"/>
    <w:rsid w:val="1370322B"/>
    <w:rsid w:val="13BA0460"/>
    <w:rsid w:val="13BB41AE"/>
    <w:rsid w:val="13C24F9B"/>
    <w:rsid w:val="13C45A18"/>
    <w:rsid w:val="13C9247B"/>
    <w:rsid w:val="13C92A4D"/>
    <w:rsid w:val="13DE55D1"/>
    <w:rsid w:val="13E0285C"/>
    <w:rsid w:val="143B2E0B"/>
    <w:rsid w:val="147C1943"/>
    <w:rsid w:val="148054E9"/>
    <w:rsid w:val="14892735"/>
    <w:rsid w:val="14906D6C"/>
    <w:rsid w:val="14CC769D"/>
    <w:rsid w:val="14D764D5"/>
    <w:rsid w:val="14F43330"/>
    <w:rsid w:val="152509D7"/>
    <w:rsid w:val="15436F05"/>
    <w:rsid w:val="155541C5"/>
    <w:rsid w:val="15691FE3"/>
    <w:rsid w:val="158B5DDD"/>
    <w:rsid w:val="15A41986"/>
    <w:rsid w:val="15B11221"/>
    <w:rsid w:val="15C16EB3"/>
    <w:rsid w:val="15CB76C9"/>
    <w:rsid w:val="15D359D7"/>
    <w:rsid w:val="160E7A2C"/>
    <w:rsid w:val="16111028"/>
    <w:rsid w:val="161F7731"/>
    <w:rsid w:val="163C77BE"/>
    <w:rsid w:val="16573587"/>
    <w:rsid w:val="1679588C"/>
    <w:rsid w:val="168C2855"/>
    <w:rsid w:val="16903443"/>
    <w:rsid w:val="16994962"/>
    <w:rsid w:val="16A233CF"/>
    <w:rsid w:val="16A71041"/>
    <w:rsid w:val="16AA24BF"/>
    <w:rsid w:val="171D3FE1"/>
    <w:rsid w:val="1742794A"/>
    <w:rsid w:val="17680CAB"/>
    <w:rsid w:val="176E4128"/>
    <w:rsid w:val="1783371F"/>
    <w:rsid w:val="178D7563"/>
    <w:rsid w:val="17B61794"/>
    <w:rsid w:val="17C52CBF"/>
    <w:rsid w:val="17C93012"/>
    <w:rsid w:val="17E62B67"/>
    <w:rsid w:val="18090EA0"/>
    <w:rsid w:val="180F4499"/>
    <w:rsid w:val="182201B4"/>
    <w:rsid w:val="18221ECE"/>
    <w:rsid w:val="18303840"/>
    <w:rsid w:val="183C3D90"/>
    <w:rsid w:val="18504A07"/>
    <w:rsid w:val="1859036F"/>
    <w:rsid w:val="18681814"/>
    <w:rsid w:val="18B0649B"/>
    <w:rsid w:val="18C8297B"/>
    <w:rsid w:val="18D418FC"/>
    <w:rsid w:val="18FC7745"/>
    <w:rsid w:val="190116A3"/>
    <w:rsid w:val="19027053"/>
    <w:rsid w:val="191677A6"/>
    <w:rsid w:val="19353F17"/>
    <w:rsid w:val="19DD405E"/>
    <w:rsid w:val="1A460CF5"/>
    <w:rsid w:val="1A7A6BB4"/>
    <w:rsid w:val="1A7F297D"/>
    <w:rsid w:val="1A9B268C"/>
    <w:rsid w:val="1A9D6244"/>
    <w:rsid w:val="1AAF6004"/>
    <w:rsid w:val="1AB16AC1"/>
    <w:rsid w:val="1ABF1CEA"/>
    <w:rsid w:val="1AE76227"/>
    <w:rsid w:val="1B014DDE"/>
    <w:rsid w:val="1B0320FB"/>
    <w:rsid w:val="1B034A52"/>
    <w:rsid w:val="1B45344E"/>
    <w:rsid w:val="1B591D2B"/>
    <w:rsid w:val="1B5D76FB"/>
    <w:rsid w:val="1B683578"/>
    <w:rsid w:val="1B844009"/>
    <w:rsid w:val="1B8C0040"/>
    <w:rsid w:val="1BBA4E52"/>
    <w:rsid w:val="1BD9519A"/>
    <w:rsid w:val="1BDE2F66"/>
    <w:rsid w:val="1C2A22B3"/>
    <w:rsid w:val="1C750ECE"/>
    <w:rsid w:val="1CA56AF4"/>
    <w:rsid w:val="1CE1575A"/>
    <w:rsid w:val="1D196139"/>
    <w:rsid w:val="1D2E2708"/>
    <w:rsid w:val="1D5E02D1"/>
    <w:rsid w:val="1D7B74A7"/>
    <w:rsid w:val="1D7F0ED0"/>
    <w:rsid w:val="1DA31EB7"/>
    <w:rsid w:val="1DA55D97"/>
    <w:rsid w:val="1DA9615A"/>
    <w:rsid w:val="1DBB6100"/>
    <w:rsid w:val="1DBE6816"/>
    <w:rsid w:val="1DC67725"/>
    <w:rsid w:val="1DCB4FF1"/>
    <w:rsid w:val="1DDC11E4"/>
    <w:rsid w:val="1DF5452A"/>
    <w:rsid w:val="1E010AF7"/>
    <w:rsid w:val="1E1C405A"/>
    <w:rsid w:val="1E2E29E0"/>
    <w:rsid w:val="1E301173"/>
    <w:rsid w:val="1E884D18"/>
    <w:rsid w:val="1ED8781E"/>
    <w:rsid w:val="1EDD3235"/>
    <w:rsid w:val="1EE7283A"/>
    <w:rsid w:val="1F0D16AC"/>
    <w:rsid w:val="1F1102B0"/>
    <w:rsid w:val="1F1A3A29"/>
    <w:rsid w:val="1F2F1047"/>
    <w:rsid w:val="1F43381C"/>
    <w:rsid w:val="1F7D6A3D"/>
    <w:rsid w:val="1FA4148D"/>
    <w:rsid w:val="1FC10FAB"/>
    <w:rsid w:val="1FC65577"/>
    <w:rsid w:val="1FD82385"/>
    <w:rsid w:val="20121621"/>
    <w:rsid w:val="201636E2"/>
    <w:rsid w:val="202E3F6D"/>
    <w:rsid w:val="2032134B"/>
    <w:rsid w:val="20325F7E"/>
    <w:rsid w:val="204778E7"/>
    <w:rsid w:val="204E554F"/>
    <w:rsid w:val="20546774"/>
    <w:rsid w:val="20590035"/>
    <w:rsid w:val="20851B47"/>
    <w:rsid w:val="209A2C3D"/>
    <w:rsid w:val="20E5011E"/>
    <w:rsid w:val="20FC799E"/>
    <w:rsid w:val="21286DA7"/>
    <w:rsid w:val="2134683B"/>
    <w:rsid w:val="21C82E72"/>
    <w:rsid w:val="21DE0801"/>
    <w:rsid w:val="21DE339D"/>
    <w:rsid w:val="22154DDD"/>
    <w:rsid w:val="221D4DB5"/>
    <w:rsid w:val="22336873"/>
    <w:rsid w:val="22396826"/>
    <w:rsid w:val="225471A3"/>
    <w:rsid w:val="225E34DC"/>
    <w:rsid w:val="227D1295"/>
    <w:rsid w:val="229B678A"/>
    <w:rsid w:val="22AB3B7D"/>
    <w:rsid w:val="22AF3A08"/>
    <w:rsid w:val="22F92F75"/>
    <w:rsid w:val="239634D6"/>
    <w:rsid w:val="23BB4E7D"/>
    <w:rsid w:val="23C172D6"/>
    <w:rsid w:val="23CB1286"/>
    <w:rsid w:val="23D77537"/>
    <w:rsid w:val="23E6195D"/>
    <w:rsid w:val="23F04F64"/>
    <w:rsid w:val="242654AA"/>
    <w:rsid w:val="24814CBE"/>
    <w:rsid w:val="24AC168B"/>
    <w:rsid w:val="24BB6664"/>
    <w:rsid w:val="24EC64CB"/>
    <w:rsid w:val="250E1318"/>
    <w:rsid w:val="25103738"/>
    <w:rsid w:val="253F46D8"/>
    <w:rsid w:val="254D0389"/>
    <w:rsid w:val="25884C5D"/>
    <w:rsid w:val="258C3BEC"/>
    <w:rsid w:val="25A03144"/>
    <w:rsid w:val="25B2479F"/>
    <w:rsid w:val="25C15C5D"/>
    <w:rsid w:val="25D329B9"/>
    <w:rsid w:val="25E5427A"/>
    <w:rsid w:val="26276A31"/>
    <w:rsid w:val="26366F9D"/>
    <w:rsid w:val="263B1230"/>
    <w:rsid w:val="2642752B"/>
    <w:rsid w:val="26485508"/>
    <w:rsid w:val="26554808"/>
    <w:rsid w:val="265E685B"/>
    <w:rsid w:val="26607D95"/>
    <w:rsid w:val="26700955"/>
    <w:rsid w:val="26A16AE9"/>
    <w:rsid w:val="26A605D9"/>
    <w:rsid w:val="26AD0500"/>
    <w:rsid w:val="26B121A3"/>
    <w:rsid w:val="26E464C3"/>
    <w:rsid w:val="272969D8"/>
    <w:rsid w:val="272E3097"/>
    <w:rsid w:val="272E6F74"/>
    <w:rsid w:val="273B7A3B"/>
    <w:rsid w:val="277E6655"/>
    <w:rsid w:val="2780046C"/>
    <w:rsid w:val="27933DEA"/>
    <w:rsid w:val="27B36A67"/>
    <w:rsid w:val="27D9633F"/>
    <w:rsid w:val="280B2E27"/>
    <w:rsid w:val="281E404F"/>
    <w:rsid w:val="28302479"/>
    <w:rsid w:val="2846581F"/>
    <w:rsid w:val="284A5CA4"/>
    <w:rsid w:val="286550ED"/>
    <w:rsid w:val="286602C8"/>
    <w:rsid w:val="28665C95"/>
    <w:rsid w:val="28736F5F"/>
    <w:rsid w:val="28B01D1E"/>
    <w:rsid w:val="28C2628C"/>
    <w:rsid w:val="28CC3373"/>
    <w:rsid w:val="28D90B80"/>
    <w:rsid w:val="28F47F99"/>
    <w:rsid w:val="28F579BA"/>
    <w:rsid w:val="290B3EB9"/>
    <w:rsid w:val="292728C1"/>
    <w:rsid w:val="294E392A"/>
    <w:rsid w:val="2950768C"/>
    <w:rsid w:val="295647E3"/>
    <w:rsid w:val="297A5FC4"/>
    <w:rsid w:val="29B51252"/>
    <w:rsid w:val="29E14657"/>
    <w:rsid w:val="29E474B8"/>
    <w:rsid w:val="29ED574B"/>
    <w:rsid w:val="29FA2D3E"/>
    <w:rsid w:val="29FE5CE6"/>
    <w:rsid w:val="2A743AE8"/>
    <w:rsid w:val="2A8D4F8F"/>
    <w:rsid w:val="2A917B34"/>
    <w:rsid w:val="2A9308A8"/>
    <w:rsid w:val="2A9F5AB8"/>
    <w:rsid w:val="2AB10C99"/>
    <w:rsid w:val="2AD74E8C"/>
    <w:rsid w:val="2AE3766F"/>
    <w:rsid w:val="2AEC612E"/>
    <w:rsid w:val="2B0268A7"/>
    <w:rsid w:val="2B060F9E"/>
    <w:rsid w:val="2B0E56AB"/>
    <w:rsid w:val="2B51141C"/>
    <w:rsid w:val="2B590601"/>
    <w:rsid w:val="2B710DB7"/>
    <w:rsid w:val="2B7408CF"/>
    <w:rsid w:val="2B7E4054"/>
    <w:rsid w:val="2BBA6A76"/>
    <w:rsid w:val="2BCC03D1"/>
    <w:rsid w:val="2BDF1FBA"/>
    <w:rsid w:val="2C0C6D59"/>
    <w:rsid w:val="2C4D184B"/>
    <w:rsid w:val="2C5B0D4B"/>
    <w:rsid w:val="2C8903AA"/>
    <w:rsid w:val="2C987C56"/>
    <w:rsid w:val="2CA156F3"/>
    <w:rsid w:val="2CC11460"/>
    <w:rsid w:val="2CC15BAA"/>
    <w:rsid w:val="2CC72A61"/>
    <w:rsid w:val="2CDC3153"/>
    <w:rsid w:val="2CDF621C"/>
    <w:rsid w:val="2CE136D7"/>
    <w:rsid w:val="2CFE7A11"/>
    <w:rsid w:val="2CFF149A"/>
    <w:rsid w:val="2D201865"/>
    <w:rsid w:val="2D2B6EDE"/>
    <w:rsid w:val="2D4B5CEA"/>
    <w:rsid w:val="2D4C5B4C"/>
    <w:rsid w:val="2D542188"/>
    <w:rsid w:val="2D652658"/>
    <w:rsid w:val="2D964A56"/>
    <w:rsid w:val="2DC16E0A"/>
    <w:rsid w:val="2DC80C49"/>
    <w:rsid w:val="2DCA6355"/>
    <w:rsid w:val="2E030E17"/>
    <w:rsid w:val="2E166748"/>
    <w:rsid w:val="2E2054A0"/>
    <w:rsid w:val="2E482374"/>
    <w:rsid w:val="2E491580"/>
    <w:rsid w:val="2E556F01"/>
    <w:rsid w:val="2E59560D"/>
    <w:rsid w:val="2E8345A7"/>
    <w:rsid w:val="2E8E20B4"/>
    <w:rsid w:val="2EAA7BAE"/>
    <w:rsid w:val="2EC1207D"/>
    <w:rsid w:val="2ED06066"/>
    <w:rsid w:val="2ED1223D"/>
    <w:rsid w:val="2EDF3D44"/>
    <w:rsid w:val="2F000139"/>
    <w:rsid w:val="2F1B303D"/>
    <w:rsid w:val="2F3F11F4"/>
    <w:rsid w:val="2F435475"/>
    <w:rsid w:val="2F5E0754"/>
    <w:rsid w:val="2F7E3849"/>
    <w:rsid w:val="2F95176E"/>
    <w:rsid w:val="2F9F42DC"/>
    <w:rsid w:val="2FBB4121"/>
    <w:rsid w:val="2FBC2844"/>
    <w:rsid w:val="2FBE3786"/>
    <w:rsid w:val="2FC32F68"/>
    <w:rsid w:val="2FD6418B"/>
    <w:rsid w:val="2FF37AB3"/>
    <w:rsid w:val="30210B8A"/>
    <w:rsid w:val="30224DC7"/>
    <w:rsid w:val="30313232"/>
    <w:rsid w:val="303B4C3F"/>
    <w:rsid w:val="3073310C"/>
    <w:rsid w:val="309D6BE6"/>
    <w:rsid w:val="30AA1790"/>
    <w:rsid w:val="30EE385E"/>
    <w:rsid w:val="30F85AFE"/>
    <w:rsid w:val="31031402"/>
    <w:rsid w:val="31170995"/>
    <w:rsid w:val="31264A30"/>
    <w:rsid w:val="312651F8"/>
    <w:rsid w:val="31862EE3"/>
    <w:rsid w:val="31884E67"/>
    <w:rsid w:val="31A0275E"/>
    <w:rsid w:val="31A67308"/>
    <w:rsid w:val="31B91526"/>
    <w:rsid w:val="31BA7402"/>
    <w:rsid w:val="31EF0041"/>
    <w:rsid w:val="320107F5"/>
    <w:rsid w:val="324175CB"/>
    <w:rsid w:val="326A0524"/>
    <w:rsid w:val="327B7EDF"/>
    <w:rsid w:val="32A95202"/>
    <w:rsid w:val="32AB70C5"/>
    <w:rsid w:val="32B43AB0"/>
    <w:rsid w:val="32EF2122"/>
    <w:rsid w:val="32F17F41"/>
    <w:rsid w:val="32F455C5"/>
    <w:rsid w:val="332038B4"/>
    <w:rsid w:val="33247607"/>
    <w:rsid w:val="333014B0"/>
    <w:rsid w:val="335D0AF5"/>
    <w:rsid w:val="336917EF"/>
    <w:rsid w:val="336B2EA4"/>
    <w:rsid w:val="336B3E67"/>
    <w:rsid w:val="3370088C"/>
    <w:rsid w:val="33872039"/>
    <w:rsid w:val="339A687B"/>
    <w:rsid w:val="33DC2F78"/>
    <w:rsid w:val="3428227C"/>
    <w:rsid w:val="343230D5"/>
    <w:rsid w:val="3439428E"/>
    <w:rsid w:val="34571EF7"/>
    <w:rsid w:val="347918A5"/>
    <w:rsid w:val="34802E4C"/>
    <w:rsid w:val="349D37D5"/>
    <w:rsid w:val="34A61BDE"/>
    <w:rsid w:val="34BB7B5F"/>
    <w:rsid w:val="34DA5E0E"/>
    <w:rsid w:val="3522586C"/>
    <w:rsid w:val="352A7C75"/>
    <w:rsid w:val="35572473"/>
    <w:rsid w:val="35602226"/>
    <w:rsid w:val="356B72E7"/>
    <w:rsid w:val="356D2AC8"/>
    <w:rsid w:val="3572424F"/>
    <w:rsid w:val="35734CF3"/>
    <w:rsid w:val="35866014"/>
    <w:rsid w:val="359E5CE0"/>
    <w:rsid w:val="35D275C3"/>
    <w:rsid w:val="35E50FBB"/>
    <w:rsid w:val="360A4586"/>
    <w:rsid w:val="360C0E62"/>
    <w:rsid w:val="362B215D"/>
    <w:rsid w:val="366666CA"/>
    <w:rsid w:val="367070F4"/>
    <w:rsid w:val="367801A9"/>
    <w:rsid w:val="367E0717"/>
    <w:rsid w:val="36807FCC"/>
    <w:rsid w:val="36AD519D"/>
    <w:rsid w:val="36B57705"/>
    <w:rsid w:val="36B93E53"/>
    <w:rsid w:val="36DC1DD3"/>
    <w:rsid w:val="36F3711D"/>
    <w:rsid w:val="36FC25DD"/>
    <w:rsid w:val="37090CD6"/>
    <w:rsid w:val="37122320"/>
    <w:rsid w:val="3754697A"/>
    <w:rsid w:val="37636A21"/>
    <w:rsid w:val="376E7C6D"/>
    <w:rsid w:val="377C03A4"/>
    <w:rsid w:val="37A103ED"/>
    <w:rsid w:val="37A367C3"/>
    <w:rsid w:val="37BD33EE"/>
    <w:rsid w:val="37E02B23"/>
    <w:rsid w:val="37E345A6"/>
    <w:rsid w:val="37EA5E6E"/>
    <w:rsid w:val="37EC6A58"/>
    <w:rsid w:val="37F708BD"/>
    <w:rsid w:val="37FB2268"/>
    <w:rsid w:val="37FF016F"/>
    <w:rsid w:val="382A6E2D"/>
    <w:rsid w:val="386E4145"/>
    <w:rsid w:val="387C5ABE"/>
    <w:rsid w:val="38B66D0C"/>
    <w:rsid w:val="38D41643"/>
    <w:rsid w:val="38EB6119"/>
    <w:rsid w:val="39044996"/>
    <w:rsid w:val="392C6D9B"/>
    <w:rsid w:val="393B020C"/>
    <w:rsid w:val="39506E15"/>
    <w:rsid w:val="396678D9"/>
    <w:rsid w:val="39790BE6"/>
    <w:rsid w:val="397A0ADB"/>
    <w:rsid w:val="39844799"/>
    <w:rsid w:val="39954B2B"/>
    <w:rsid w:val="39DA2245"/>
    <w:rsid w:val="39E66E3B"/>
    <w:rsid w:val="39FD4CC2"/>
    <w:rsid w:val="3A51228C"/>
    <w:rsid w:val="3A545E48"/>
    <w:rsid w:val="3A552E60"/>
    <w:rsid w:val="3A5D642F"/>
    <w:rsid w:val="3A744447"/>
    <w:rsid w:val="3A78219D"/>
    <w:rsid w:val="3A995C5C"/>
    <w:rsid w:val="3AB210FC"/>
    <w:rsid w:val="3ADB7381"/>
    <w:rsid w:val="3AF04A37"/>
    <w:rsid w:val="3B003748"/>
    <w:rsid w:val="3B043A1D"/>
    <w:rsid w:val="3B1E01C3"/>
    <w:rsid w:val="3B3E5B8A"/>
    <w:rsid w:val="3B793A48"/>
    <w:rsid w:val="3B7E3699"/>
    <w:rsid w:val="3B85393E"/>
    <w:rsid w:val="3BCA4B8A"/>
    <w:rsid w:val="3BCD72F7"/>
    <w:rsid w:val="3BFC2F5F"/>
    <w:rsid w:val="3C37146A"/>
    <w:rsid w:val="3C3D3625"/>
    <w:rsid w:val="3C414142"/>
    <w:rsid w:val="3C5B725E"/>
    <w:rsid w:val="3C84047F"/>
    <w:rsid w:val="3C88055A"/>
    <w:rsid w:val="3C9E57AB"/>
    <w:rsid w:val="3CAF79B9"/>
    <w:rsid w:val="3CB35097"/>
    <w:rsid w:val="3CE024D8"/>
    <w:rsid w:val="3CF45775"/>
    <w:rsid w:val="3CF737A2"/>
    <w:rsid w:val="3D10295A"/>
    <w:rsid w:val="3D184041"/>
    <w:rsid w:val="3D370C2A"/>
    <w:rsid w:val="3D414FC0"/>
    <w:rsid w:val="3D4F12A7"/>
    <w:rsid w:val="3D7B5F78"/>
    <w:rsid w:val="3D7D049C"/>
    <w:rsid w:val="3DE20EAE"/>
    <w:rsid w:val="3DEF3701"/>
    <w:rsid w:val="3E0572FD"/>
    <w:rsid w:val="3E0720FE"/>
    <w:rsid w:val="3E2819F6"/>
    <w:rsid w:val="3E287A22"/>
    <w:rsid w:val="3E5A7FE7"/>
    <w:rsid w:val="3E7D40EF"/>
    <w:rsid w:val="3E955A6A"/>
    <w:rsid w:val="3E964D81"/>
    <w:rsid w:val="3EF66B2E"/>
    <w:rsid w:val="3F217914"/>
    <w:rsid w:val="3F4B28E7"/>
    <w:rsid w:val="3FD10810"/>
    <w:rsid w:val="3FD70BB0"/>
    <w:rsid w:val="3FFB55AC"/>
    <w:rsid w:val="40017152"/>
    <w:rsid w:val="401C5F9D"/>
    <w:rsid w:val="401C690C"/>
    <w:rsid w:val="401D7195"/>
    <w:rsid w:val="40325841"/>
    <w:rsid w:val="405C1C05"/>
    <w:rsid w:val="407A652F"/>
    <w:rsid w:val="40825D97"/>
    <w:rsid w:val="40836C36"/>
    <w:rsid w:val="40870EA3"/>
    <w:rsid w:val="409928E7"/>
    <w:rsid w:val="40997CFE"/>
    <w:rsid w:val="40C34607"/>
    <w:rsid w:val="40CE3DC0"/>
    <w:rsid w:val="40D7455A"/>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21B6A"/>
    <w:rsid w:val="423E300F"/>
    <w:rsid w:val="425656C8"/>
    <w:rsid w:val="4257273C"/>
    <w:rsid w:val="42687ACE"/>
    <w:rsid w:val="4270145E"/>
    <w:rsid w:val="429E6041"/>
    <w:rsid w:val="42BF4B02"/>
    <w:rsid w:val="42FD694D"/>
    <w:rsid w:val="43034DFA"/>
    <w:rsid w:val="43722DD5"/>
    <w:rsid w:val="437D6687"/>
    <w:rsid w:val="438351F5"/>
    <w:rsid w:val="438D35EA"/>
    <w:rsid w:val="43BC1E57"/>
    <w:rsid w:val="43D23F8D"/>
    <w:rsid w:val="43D43F1D"/>
    <w:rsid w:val="43FA5777"/>
    <w:rsid w:val="44023422"/>
    <w:rsid w:val="441647C1"/>
    <w:rsid w:val="44184A2D"/>
    <w:rsid w:val="441C1611"/>
    <w:rsid w:val="443C440B"/>
    <w:rsid w:val="44514F52"/>
    <w:rsid w:val="44761C8F"/>
    <w:rsid w:val="44906321"/>
    <w:rsid w:val="449722E3"/>
    <w:rsid w:val="449D7B09"/>
    <w:rsid w:val="44AE3FD4"/>
    <w:rsid w:val="44D0586F"/>
    <w:rsid w:val="44FA2D53"/>
    <w:rsid w:val="453C4912"/>
    <w:rsid w:val="45687813"/>
    <w:rsid w:val="4571374F"/>
    <w:rsid w:val="458B1BB0"/>
    <w:rsid w:val="4596514B"/>
    <w:rsid w:val="45A41560"/>
    <w:rsid w:val="45AD31D6"/>
    <w:rsid w:val="45B93426"/>
    <w:rsid w:val="45CF1361"/>
    <w:rsid w:val="464C6420"/>
    <w:rsid w:val="46552F9B"/>
    <w:rsid w:val="467A0297"/>
    <w:rsid w:val="468B7125"/>
    <w:rsid w:val="46B506EF"/>
    <w:rsid w:val="46C4691F"/>
    <w:rsid w:val="46CB53EF"/>
    <w:rsid w:val="46EE513F"/>
    <w:rsid w:val="46F30DEA"/>
    <w:rsid w:val="470F5A71"/>
    <w:rsid w:val="473154FF"/>
    <w:rsid w:val="47685427"/>
    <w:rsid w:val="476C4065"/>
    <w:rsid w:val="4779499C"/>
    <w:rsid w:val="477B6530"/>
    <w:rsid w:val="47801172"/>
    <w:rsid w:val="479D1D34"/>
    <w:rsid w:val="47B609C0"/>
    <w:rsid w:val="47EC3B04"/>
    <w:rsid w:val="47EC6277"/>
    <w:rsid w:val="48021483"/>
    <w:rsid w:val="481A219B"/>
    <w:rsid w:val="482D31EA"/>
    <w:rsid w:val="48447D02"/>
    <w:rsid w:val="485970A0"/>
    <w:rsid w:val="486A6E89"/>
    <w:rsid w:val="48823516"/>
    <w:rsid w:val="48877686"/>
    <w:rsid w:val="488B498B"/>
    <w:rsid w:val="48B176C2"/>
    <w:rsid w:val="48B65C71"/>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84D41"/>
    <w:rsid w:val="4A6D15F8"/>
    <w:rsid w:val="4A7617B6"/>
    <w:rsid w:val="4A8C4FB8"/>
    <w:rsid w:val="4A9A25BD"/>
    <w:rsid w:val="4A9E0551"/>
    <w:rsid w:val="4AB542AE"/>
    <w:rsid w:val="4AEC1DD8"/>
    <w:rsid w:val="4AF72FEA"/>
    <w:rsid w:val="4B1477B3"/>
    <w:rsid w:val="4B1F062C"/>
    <w:rsid w:val="4B243D9D"/>
    <w:rsid w:val="4B281425"/>
    <w:rsid w:val="4B663425"/>
    <w:rsid w:val="4B6F66A1"/>
    <w:rsid w:val="4B85213F"/>
    <w:rsid w:val="4B8C2DEB"/>
    <w:rsid w:val="4BFA3C9F"/>
    <w:rsid w:val="4BFA7F6C"/>
    <w:rsid w:val="4C107F48"/>
    <w:rsid w:val="4C3117D0"/>
    <w:rsid w:val="4C3277BC"/>
    <w:rsid w:val="4C5C442D"/>
    <w:rsid w:val="4C6D42A9"/>
    <w:rsid w:val="4C716A38"/>
    <w:rsid w:val="4CC0351C"/>
    <w:rsid w:val="4CC353EB"/>
    <w:rsid w:val="4CE64E14"/>
    <w:rsid w:val="4CE95EE5"/>
    <w:rsid w:val="4CF36F3C"/>
    <w:rsid w:val="4D007BC8"/>
    <w:rsid w:val="4D0602E5"/>
    <w:rsid w:val="4D1470BD"/>
    <w:rsid w:val="4D154882"/>
    <w:rsid w:val="4D1C3C50"/>
    <w:rsid w:val="4D603399"/>
    <w:rsid w:val="4D6A7284"/>
    <w:rsid w:val="4D6E30E1"/>
    <w:rsid w:val="4D867EE1"/>
    <w:rsid w:val="4DBC4C65"/>
    <w:rsid w:val="4DC9105D"/>
    <w:rsid w:val="4DE2009B"/>
    <w:rsid w:val="4DF86974"/>
    <w:rsid w:val="4E0F235E"/>
    <w:rsid w:val="4E157689"/>
    <w:rsid w:val="4E471216"/>
    <w:rsid w:val="4E533FA5"/>
    <w:rsid w:val="4E550010"/>
    <w:rsid w:val="4E5F14CB"/>
    <w:rsid w:val="4E6808B0"/>
    <w:rsid w:val="4E780BC4"/>
    <w:rsid w:val="4EBA42F2"/>
    <w:rsid w:val="4EC00DDD"/>
    <w:rsid w:val="4EC72456"/>
    <w:rsid w:val="4ED908C5"/>
    <w:rsid w:val="4EF265BE"/>
    <w:rsid w:val="4EFB1C45"/>
    <w:rsid w:val="4F0C2A48"/>
    <w:rsid w:val="4F26273B"/>
    <w:rsid w:val="4F2D3A8A"/>
    <w:rsid w:val="4F32478A"/>
    <w:rsid w:val="4F3705F8"/>
    <w:rsid w:val="4F913A9A"/>
    <w:rsid w:val="4F9714A0"/>
    <w:rsid w:val="4FAA3F91"/>
    <w:rsid w:val="4FAC3540"/>
    <w:rsid w:val="4FCF1583"/>
    <w:rsid w:val="4FD23E66"/>
    <w:rsid w:val="4FD44D1B"/>
    <w:rsid w:val="4FDC066D"/>
    <w:rsid w:val="4FFA7625"/>
    <w:rsid w:val="50453E7E"/>
    <w:rsid w:val="50594CF7"/>
    <w:rsid w:val="507D2599"/>
    <w:rsid w:val="5096229D"/>
    <w:rsid w:val="509E157D"/>
    <w:rsid w:val="50A6165E"/>
    <w:rsid w:val="50DC4184"/>
    <w:rsid w:val="50FB6146"/>
    <w:rsid w:val="512F4CA0"/>
    <w:rsid w:val="51361FFF"/>
    <w:rsid w:val="513D4C38"/>
    <w:rsid w:val="514C3EA7"/>
    <w:rsid w:val="51AC4D00"/>
    <w:rsid w:val="51BE0A70"/>
    <w:rsid w:val="51FF3C99"/>
    <w:rsid w:val="522A20E4"/>
    <w:rsid w:val="52363D4D"/>
    <w:rsid w:val="524A2AC9"/>
    <w:rsid w:val="52521A20"/>
    <w:rsid w:val="528604EC"/>
    <w:rsid w:val="529E2C3A"/>
    <w:rsid w:val="52AC4ABC"/>
    <w:rsid w:val="52C201B9"/>
    <w:rsid w:val="52E57A12"/>
    <w:rsid w:val="52F20B62"/>
    <w:rsid w:val="531C4FCC"/>
    <w:rsid w:val="53827E49"/>
    <w:rsid w:val="538A6BB9"/>
    <w:rsid w:val="539964FD"/>
    <w:rsid w:val="539C1B81"/>
    <w:rsid w:val="539D7755"/>
    <w:rsid w:val="53A447B1"/>
    <w:rsid w:val="53AE750F"/>
    <w:rsid w:val="53D224B3"/>
    <w:rsid w:val="53F81D96"/>
    <w:rsid w:val="541D5DE8"/>
    <w:rsid w:val="541F57C4"/>
    <w:rsid w:val="544B5214"/>
    <w:rsid w:val="546F523C"/>
    <w:rsid w:val="54782FBD"/>
    <w:rsid w:val="5483138F"/>
    <w:rsid w:val="5488523A"/>
    <w:rsid w:val="549A6BFA"/>
    <w:rsid w:val="54C341E7"/>
    <w:rsid w:val="54D933CD"/>
    <w:rsid w:val="551751CF"/>
    <w:rsid w:val="5522558F"/>
    <w:rsid w:val="55244D7F"/>
    <w:rsid w:val="55305397"/>
    <w:rsid w:val="55362287"/>
    <w:rsid w:val="55432F3C"/>
    <w:rsid w:val="55595D76"/>
    <w:rsid w:val="55A37FFD"/>
    <w:rsid w:val="55AE22F1"/>
    <w:rsid w:val="55C3227E"/>
    <w:rsid w:val="55CE1AA9"/>
    <w:rsid w:val="55F6381F"/>
    <w:rsid w:val="55FA2961"/>
    <w:rsid w:val="5602250F"/>
    <w:rsid w:val="564220BA"/>
    <w:rsid w:val="565E7F4F"/>
    <w:rsid w:val="565F3DA6"/>
    <w:rsid w:val="56914056"/>
    <w:rsid w:val="56B61E36"/>
    <w:rsid w:val="56C36589"/>
    <w:rsid w:val="56E65B6C"/>
    <w:rsid w:val="570D55B0"/>
    <w:rsid w:val="57293C95"/>
    <w:rsid w:val="572A6381"/>
    <w:rsid w:val="572B41B4"/>
    <w:rsid w:val="57365868"/>
    <w:rsid w:val="573C1959"/>
    <w:rsid w:val="57554571"/>
    <w:rsid w:val="57F65317"/>
    <w:rsid w:val="57FC2169"/>
    <w:rsid w:val="58024015"/>
    <w:rsid w:val="58096275"/>
    <w:rsid w:val="5819544F"/>
    <w:rsid w:val="582D6D32"/>
    <w:rsid w:val="582E6EF7"/>
    <w:rsid w:val="584E30E6"/>
    <w:rsid w:val="58546EFD"/>
    <w:rsid w:val="587A0B5B"/>
    <w:rsid w:val="5881703E"/>
    <w:rsid w:val="58E26731"/>
    <w:rsid w:val="58EB1371"/>
    <w:rsid w:val="59091D98"/>
    <w:rsid w:val="590E4A97"/>
    <w:rsid w:val="591250FF"/>
    <w:rsid w:val="5920012C"/>
    <w:rsid w:val="593700E7"/>
    <w:rsid w:val="595578DE"/>
    <w:rsid w:val="597B384D"/>
    <w:rsid w:val="59996DA8"/>
    <w:rsid w:val="59C30F1B"/>
    <w:rsid w:val="59CE4759"/>
    <w:rsid w:val="59D90B78"/>
    <w:rsid w:val="5A044157"/>
    <w:rsid w:val="5A246AE4"/>
    <w:rsid w:val="5A814766"/>
    <w:rsid w:val="5A8C20D0"/>
    <w:rsid w:val="5ABC29E4"/>
    <w:rsid w:val="5AC7121C"/>
    <w:rsid w:val="5AD90B8D"/>
    <w:rsid w:val="5AD90F38"/>
    <w:rsid w:val="5AE12927"/>
    <w:rsid w:val="5AE35472"/>
    <w:rsid w:val="5AF41CF3"/>
    <w:rsid w:val="5AF87CC9"/>
    <w:rsid w:val="5B07329F"/>
    <w:rsid w:val="5B4E1A44"/>
    <w:rsid w:val="5B873201"/>
    <w:rsid w:val="5B967767"/>
    <w:rsid w:val="5B9D1624"/>
    <w:rsid w:val="5BBF73E2"/>
    <w:rsid w:val="5BEE5378"/>
    <w:rsid w:val="5C095AB2"/>
    <w:rsid w:val="5C0C2FF6"/>
    <w:rsid w:val="5C1241CC"/>
    <w:rsid w:val="5C286807"/>
    <w:rsid w:val="5C34339E"/>
    <w:rsid w:val="5C355656"/>
    <w:rsid w:val="5C370E72"/>
    <w:rsid w:val="5C446BC8"/>
    <w:rsid w:val="5C4B56E1"/>
    <w:rsid w:val="5C7146B1"/>
    <w:rsid w:val="5C7C2768"/>
    <w:rsid w:val="5CAD3BC1"/>
    <w:rsid w:val="5CAE62DC"/>
    <w:rsid w:val="5CB23AE6"/>
    <w:rsid w:val="5CED5863"/>
    <w:rsid w:val="5D0D6DF5"/>
    <w:rsid w:val="5D4A5E05"/>
    <w:rsid w:val="5D580A8A"/>
    <w:rsid w:val="5D7E6D71"/>
    <w:rsid w:val="5D893B14"/>
    <w:rsid w:val="5DB42C29"/>
    <w:rsid w:val="5E1219F7"/>
    <w:rsid w:val="5E18541D"/>
    <w:rsid w:val="5E291636"/>
    <w:rsid w:val="5E48511F"/>
    <w:rsid w:val="5E655B72"/>
    <w:rsid w:val="5E8B0770"/>
    <w:rsid w:val="5EA06921"/>
    <w:rsid w:val="5EA8585D"/>
    <w:rsid w:val="5EBA259F"/>
    <w:rsid w:val="5EE1082B"/>
    <w:rsid w:val="5EE97BB4"/>
    <w:rsid w:val="5EF55BC9"/>
    <w:rsid w:val="5F085DDA"/>
    <w:rsid w:val="5F2E2D52"/>
    <w:rsid w:val="5F54198B"/>
    <w:rsid w:val="5F6C74C2"/>
    <w:rsid w:val="5F8403D9"/>
    <w:rsid w:val="5F9D1350"/>
    <w:rsid w:val="5FA44AD1"/>
    <w:rsid w:val="5FBE370A"/>
    <w:rsid w:val="5FC61F2E"/>
    <w:rsid w:val="5FC83407"/>
    <w:rsid w:val="5FD56E87"/>
    <w:rsid w:val="5FF0558C"/>
    <w:rsid w:val="60015A45"/>
    <w:rsid w:val="601A27F4"/>
    <w:rsid w:val="60292845"/>
    <w:rsid w:val="606F2632"/>
    <w:rsid w:val="6071543B"/>
    <w:rsid w:val="607921FE"/>
    <w:rsid w:val="607E12CC"/>
    <w:rsid w:val="608F62AE"/>
    <w:rsid w:val="60B775D9"/>
    <w:rsid w:val="60B9251B"/>
    <w:rsid w:val="60E236C1"/>
    <w:rsid w:val="60E37983"/>
    <w:rsid w:val="61260B6B"/>
    <w:rsid w:val="612B3ABB"/>
    <w:rsid w:val="612E1A5D"/>
    <w:rsid w:val="614E5D7E"/>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D03A7C"/>
    <w:rsid w:val="62F42FAE"/>
    <w:rsid w:val="62F648FE"/>
    <w:rsid w:val="63167A4F"/>
    <w:rsid w:val="631D2BD6"/>
    <w:rsid w:val="635356F3"/>
    <w:rsid w:val="637D5B70"/>
    <w:rsid w:val="63825E77"/>
    <w:rsid w:val="63A10995"/>
    <w:rsid w:val="63C23EFA"/>
    <w:rsid w:val="63D255DA"/>
    <w:rsid w:val="63EB2168"/>
    <w:rsid w:val="63F854C1"/>
    <w:rsid w:val="63FB5857"/>
    <w:rsid w:val="64076B79"/>
    <w:rsid w:val="640B7654"/>
    <w:rsid w:val="64116D46"/>
    <w:rsid w:val="643A070A"/>
    <w:rsid w:val="64410A96"/>
    <w:rsid w:val="644C573D"/>
    <w:rsid w:val="64507EFB"/>
    <w:rsid w:val="65032F85"/>
    <w:rsid w:val="651304A7"/>
    <w:rsid w:val="65136B50"/>
    <w:rsid w:val="6531690D"/>
    <w:rsid w:val="65320485"/>
    <w:rsid w:val="655A12F3"/>
    <w:rsid w:val="657E2A35"/>
    <w:rsid w:val="65A94E9D"/>
    <w:rsid w:val="65B756FD"/>
    <w:rsid w:val="65B96B3F"/>
    <w:rsid w:val="65BE1071"/>
    <w:rsid w:val="65C60A92"/>
    <w:rsid w:val="65DB19DF"/>
    <w:rsid w:val="660451CE"/>
    <w:rsid w:val="664B3BEB"/>
    <w:rsid w:val="665346B7"/>
    <w:rsid w:val="667C7CCE"/>
    <w:rsid w:val="66A12460"/>
    <w:rsid w:val="66BE2423"/>
    <w:rsid w:val="66DD6702"/>
    <w:rsid w:val="66E856F1"/>
    <w:rsid w:val="66FB0BAD"/>
    <w:rsid w:val="671B1623"/>
    <w:rsid w:val="671E6EBA"/>
    <w:rsid w:val="6731269C"/>
    <w:rsid w:val="675352AA"/>
    <w:rsid w:val="6759400B"/>
    <w:rsid w:val="675E528D"/>
    <w:rsid w:val="676C598C"/>
    <w:rsid w:val="67966EFB"/>
    <w:rsid w:val="679E7FA1"/>
    <w:rsid w:val="67A32389"/>
    <w:rsid w:val="67B768D0"/>
    <w:rsid w:val="67BB4B46"/>
    <w:rsid w:val="67C779FD"/>
    <w:rsid w:val="67C85DAF"/>
    <w:rsid w:val="68281CFE"/>
    <w:rsid w:val="682A2352"/>
    <w:rsid w:val="682A2630"/>
    <w:rsid w:val="682E4A5B"/>
    <w:rsid w:val="682E7AFD"/>
    <w:rsid w:val="68707071"/>
    <w:rsid w:val="687A4379"/>
    <w:rsid w:val="687B015C"/>
    <w:rsid w:val="687E3889"/>
    <w:rsid w:val="6884222C"/>
    <w:rsid w:val="68A957C8"/>
    <w:rsid w:val="68AD17BB"/>
    <w:rsid w:val="68BE2A7C"/>
    <w:rsid w:val="68D6620B"/>
    <w:rsid w:val="68D94D22"/>
    <w:rsid w:val="68F06F2B"/>
    <w:rsid w:val="69011241"/>
    <w:rsid w:val="692B2E4A"/>
    <w:rsid w:val="69595BEA"/>
    <w:rsid w:val="696A0B34"/>
    <w:rsid w:val="69821807"/>
    <w:rsid w:val="698D6A17"/>
    <w:rsid w:val="699026E3"/>
    <w:rsid w:val="699E0BED"/>
    <w:rsid w:val="699F0522"/>
    <w:rsid w:val="69D37590"/>
    <w:rsid w:val="69F954C1"/>
    <w:rsid w:val="6A1E1E73"/>
    <w:rsid w:val="6A2031B6"/>
    <w:rsid w:val="6A2F57D7"/>
    <w:rsid w:val="6A3924BB"/>
    <w:rsid w:val="6A3C1D40"/>
    <w:rsid w:val="6A6432E1"/>
    <w:rsid w:val="6AA23DFF"/>
    <w:rsid w:val="6AAA6F38"/>
    <w:rsid w:val="6AC61F6F"/>
    <w:rsid w:val="6AD34E53"/>
    <w:rsid w:val="6AD83EA1"/>
    <w:rsid w:val="6ADE74F0"/>
    <w:rsid w:val="6B1D62E8"/>
    <w:rsid w:val="6B723594"/>
    <w:rsid w:val="6B805156"/>
    <w:rsid w:val="6B945E48"/>
    <w:rsid w:val="6B972F3B"/>
    <w:rsid w:val="6B974A7B"/>
    <w:rsid w:val="6BD50977"/>
    <w:rsid w:val="6BE450D3"/>
    <w:rsid w:val="6BE60C84"/>
    <w:rsid w:val="6C4F0900"/>
    <w:rsid w:val="6C6C32E1"/>
    <w:rsid w:val="6C6E3E15"/>
    <w:rsid w:val="6C8B1F5D"/>
    <w:rsid w:val="6CA85D3A"/>
    <w:rsid w:val="6CAA3931"/>
    <w:rsid w:val="6CE2512E"/>
    <w:rsid w:val="6CEA06D7"/>
    <w:rsid w:val="6CF70607"/>
    <w:rsid w:val="6D325918"/>
    <w:rsid w:val="6D3933CA"/>
    <w:rsid w:val="6D401810"/>
    <w:rsid w:val="6D6261FE"/>
    <w:rsid w:val="6D7B222A"/>
    <w:rsid w:val="6D7B61EC"/>
    <w:rsid w:val="6D8E03AA"/>
    <w:rsid w:val="6DBB089F"/>
    <w:rsid w:val="6DC63038"/>
    <w:rsid w:val="6DDC5608"/>
    <w:rsid w:val="6DE30DE0"/>
    <w:rsid w:val="6DE6130A"/>
    <w:rsid w:val="6E09491E"/>
    <w:rsid w:val="6E0D3655"/>
    <w:rsid w:val="6E1A437E"/>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60742"/>
    <w:rsid w:val="7030610F"/>
    <w:rsid w:val="70612DB4"/>
    <w:rsid w:val="706516C3"/>
    <w:rsid w:val="70660714"/>
    <w:rsid w:val="70896E68"/>
    <w:rsid w:val="708A4844"/>
    <w:rsid w:val="70BF7006"/>
    <w:rsid w:val="70C94DCA"/>
    <w:rsid w:val="70E05E9D"/>
    <w:rsid w:val="71073061"/>
    <w:rsid w:val="711A201F"/>
    <w:rsid w:val="71215AE9"/>
    <w:rsid w:val="712864E5"/>
    <w:rsid w:val="71396ACC"/>
    <w:rsid w:val="715B60E9"/>
    <w:rsid w:val="716F0EE9"/>
    <w:rsid w:val="71896C8F"/>
    <w:rsid w:val="7196674D"/>
    <w:rsid w:val="719E245E"/>
    <w:rsid w:val="71BA3FE5"/>
    <w:rsid w:val="71EA1FED"/>
    <w:rsid w:val="72165C6B"/>
    <w:rsid w:val="722021E3"/>
    <w:rsid w:val="72290340"/>
    <w:rsid w:val="722C6DDA"/>
    <w:rsid w:val="72515945"/>
    <w:rsid w:val="729243CB"/>
    <w:rsid w:val="72E661B1"/>
    <w:rsid w:val="730313F6"/>
    <w:rsid w:val="730E4732"/>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5E7D35"/>
    <w:rsid w:val="7465362D"/>
    <w:rsid w:val="746D2E3E"/>
    <w:rsid w:val="7475188D"/>
    <w:rsid w:val="749E16A8"/>
    <w:rsid w:val="74B42AE4"/>
    <w:rsid w:val="74C54993"/>
    <w:rsid w:val="74EB68F6"/>
    <w:rsid w:val="750A429D"/>
    <w:rsid w:val="752739E7"/>
    <w:rsid w:val="75432CEF"/>
    <w:rsid w:val="75474B47"/>
    <w:rsid w:val="75533AB0"/>
    <w:rsid w:val="75614792"/>
    <w:rsid w:val="75761866"/>
    <w:rsid w:val="75784473"/>
    <w:rsid w:val="75B10995"/>
    <w:rsid w:val="75B161B3"/>
    <w:rsid w:val="75DC6C44"/>
    <w:rsid w:val="75F05CC0"/>
    <w:rsid w:val="76214E05"/>
    <w:rsid w:val="762F6A19"/>
    <w:rsid w:val="76341B33"/>
    <w:rsid w:val="76736B32"/>
    <w:rsid w:val="76807C04"/>
    <w:rsid w:val="76AF35EE"/>
    <w:rsid w:val="76BB31AD"/>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2A3EA3"/>
    <w:rsid w:val="78490703"/>
    <w:rsid w:val="78A50513"/>
    <w:rsid w:val="78C43087"/>
    <w:rsid w:val="78D37FAF"/>
    <w:rsid w:val="78EF7AB5"/>
    <w:rsid w:val="790D6849"/>
    <w:rsid w:val="795767E3"/>
    <w:rsid w:val="79586707"/>
    <w:rsid w:val="796518DD"/>
    <w:rsid w:val="79724BEF"/>
    <w:rsid w:val="797264AC"/>
    <w:rsid w:val="79AA0532"/>
    <w:rsid w:val="79BC4EE7"/>
    <w:rsid w:val="79FA22BC"/>
    <w:rsid w:val="79FE1DDD"/>
    <w:rsid w:val="7A075767"/>
    <w:rsid w:val="7A0C15B3"/>
    <w:rsid w:val="7A212062"/>
    <w:rsid w:val="7A2522C9"/>
    <w:rsid w:val="7A282A11"/>
    <w:rsid w:val="7A3A59B8"/>
    <w:rsid w:val="7A5D0F75"/>
    <w:rsid w:val="7A715CD2"/>
    <w:rsid w:val="7A921E9A"/>
    <w:rsid w:val="7A9E53BF"/>
    <w:rsid w:val="7AA914B9"/>
    <w:rsid w:val="7ABF2475"/>
    <w:rsid w:val="7AC21562"/>
    <w:rsid w:val="7AD474A4"/>
    <w:rsid w:val="7AFC38DE"/>
    <w:rsid w:val="7B303E8C"/>
    <w:rsid w:val="7B7D6B6D"/>
    <w:rsid w:val="7B865D50"/>
    <w:rsid w:val="7B8D34C3"/>
    <w:rsid w:val="7B971D84"/>
    <w:rsid w:val="7BAB0CB7"/>
    <w:rsid w:val="7BB4028F"/>
    <w:rsid w:val="7BC1107E"/>
    <w:rsid w:val="7BF32F03"/>
    <w:rsid w:val="7BF50D2C"/>
    <w:rsid w:val="7C066F4E"/>
    <w:rsid w:val="7C1724A5"/>
    <w:rsid w:val="7C3C3FB0"/>
    <w:rsid w:val="7C4F0314"/>
    <w:rsid w:val="7C8561DF"/>
    <w:rsid w:val="7CA54112"/>
    <w:rsid w:val="7CA553D9"/>
    <w:rsid w:val="7CAB27F5"/>
    <w:rsid w:val="7CAF438A"/>
    <w:rsid w:val="7CCE726D"/>
    <w:rsid w:val="7CD71EA3"/>
    <w:rsid w:val="7CE50CE4"/>
    <w:rsid w:val="7CE94EE1"/>
    <w:rsid w:val="7CF877E9"/>
    <w:rsid w:val="7D134762"/>
    <w:rsid w:val="7D244CB3"/>
    <w:rsid w:val="7D2E5ABF"/>
    <w:rsid w:val="7D4A45B8"/>
    <w:rsid w:val="7D535AC7"/>
    <w:rsid w:val="7D964A74"/>
    <w:rsid w:val="7DFB43EA"/>
    <w:rsid w:val="7E007625"/>
    <w:rsid w:val="7E0737C8"/>
    <w:rsid w:val="7E131C51"/>
    <w:rsid w:val="7E176B90"/>
    <w:rsid w:val="7E2142A2"/>
    <w:rsid w:val="7E240411"/>
    <w:rsid w:val="7E48335A"/>
    <w:rsid w:val="7E797DE5"/>
    <w:rsid w:val="7E7B0BF2"/>
    <w:rsid w:val="7E8D75B6"/>
    <w:rsid w:val="7E8E672B"/>
    <w:rsid w:val="7EA27DDF"/>
    <w:rsid w:val="7EC67BB0"/>
    <w:rsid w:val="7ED809AD"/>
    <w:rsid w:val="7EF760EE"/>
    <w:rsid w:val="7F2536B5"/>
    <w:rsid w:val="7F2C3CE7"/>
    <w:rsid w:val="7F5A01CA"/>
    <w:rsid w:val="7F75661B"/>
    <w:rsid w:val="7F7E4885"/>
    <w:rsid w:val="7FAE3C9B"/>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link w:val="74"/>
    <w:qFormat/>
    <w:uiPriority w:val="9"/>
    <w:pPr>
      <w:keepNext/>
      <w:keepLines/>
      <w:spacing w:before="340" w:after="330" w:line="576" w:lineRule="auto"/>
      <w:outlineLvl w:val="0"/>
    </w:pPr>
    <w:rPr>
      <w:b/>
      <w:kern w:val="44"/>
      <w:sz w:val="44"/>
    </w:rPr>
  </w:style>
  <w:style w:type="paragraph" w:styleId="4">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3"/>
    <w:unhideWhenUsed/>
    <w:qFormat/>
    <w:uiPriority w:val="9"/>
    <w:pPr>
      <w:keepNext/>
      <w:keepLines/>
      <w:outlineLvl w:val="3"/>
    </w:pPr>
    <w:rPr>
      <w:rFonts w:asciiTheme="majorHAnsi" w:hAnsiTheme="majorHAnsi" w:cstheme="majorBidi"/>
      <w:b/>
      <w:bCs/>
      <w:sz w:val="24"/>
      <w:szCs w:val="28"/>
    </w:rPr>
  </w:style>
  <w:style w:type="paragraph" w:styleId="7">
    <w:name w:val="heading 5"/>
    <w:basedOn w:val="1"/>
    <w:next w:val="1"/>
    <w:link w:val="73"/>
    <w:semiHidden/>
    <w:unhideWhenUsed/>
    <w:qFormat/>
    <w:uiPriority w:val="9"/>
    <w:pPr>
      <w:keepNext/>
      <w:keepLines/>
      <w:spacing w:before="280" w:after="290" w:line="372" w:lineRule="auto"/>
      <w:outlineLvl w:val="4"/>
    </w:pPr>
    <w:rPr>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1"/>
    <w:pPr>
      <w:spacing w:before="161"/>
      <w:ind w:left="120"/>
    </w:pPr>
    <w:rPr>
      <w:rFonts w:ascii="宋体" w:hAnsi="宋体" w:cs="宋体"/>
      <w:sz w:val="24"/>
      <w:lang w:val="zh-CN" w:bidi="zh-CN"/>
    </w:rPr>
  </w:style>
  <w:style w:type="paragraph" w:styleId="8">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9">
    <w:name w:val="Normal Indent"/>
    <w:basedOn w:val="1"/>
    <w:qFormat/>
    <w:uiPriority w:val="0"/>
    <w:pPr>
      <w:ind w:firstLine="961" w:firstLineChars="200"/>
    </w:pPr>
  </w:style>
  <w:style w:type="paragraph" w:styleId="10">
    <w:name w:val="annotation text"/>
    <w:basedOn w:val="1"/>
    <w:link w:val="62"/>
    <w:unhideWhenUsed/>
    <w:qFormat/>
    <w:uiPriority w:val="99"/>
  </w:style>
  <w:style w:type="paragraph" w:styleId="11">
    <w:name w:val="Body Text Indent"/>
    <w:basedOn w:val="1"/>
    <w:qFormat/>
    <w:uiPriority w:val="0"/>
    <w:pPr>
      <w:ind w:left="359" w:leftChars="171" w:firstLine="179" w:firstLineChars="85"/>
    </w:pPr>
    <w:rPr>
      <w:rFonts w:ascii="宋体" w:hAnsi="宋体"/>
      <w:b/>
      <w:bCs/>
      <w:szCs w:val="26"/>
    </w:rPr>
  </w:style>
  <w:style w:type="paragraph" w:styleId="12">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3">
    <w:name w:val="toc 3"/>
    <w:basedOn w:val="1"/>
    <w:next w:val="1"/>
    <w:unhideWhenUsed/>
    <w:qFormat/>
    <w:uiPriority w:val="39"/>
    <w:pPr>
      <w:tabs>
        <w:tab w:val="right" w:leader="dot" w:pos="8296"/>
      </w:tabs>
      <w:ind w:left="838" w:leftChars="381"/>
    </w:pPr>
    <w:rPr>
      <w:szCs w:val="21"/>
    </w:rPr>
  </w:style>
  <w:style w:type="paragraph" w:styleId="14">
    <w:name w:val="Plain Text"/>
    <w:basedOn w:val="1"/>
    <w:link w:val="54"/>
    <w:qFormat/>
    <w:uiPriority w:val="0"/>
    <w:pPr>
      <w:widowControl w:val="0"/>
      <w:adjustRightInd/>
      <w:snapToGrid/>
      <w:jc w:val="both"/>
    </w:pPr>
    <w:rPr>
      <w:rFonts w:ascii="宋体" w:hAnsi="Courier New" w:cs="Times New Roman"/>
      <w:b/>
      <w:kern w:val="2"/>
      <w:szCs w:val="20"/>
    </w:rPr>
  </w:style>
  <w:style w:type="paragraph" w:styleId="15">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6">
    <w:name w:val="Balloon Text"/>
    <w:basedOn w:val="1"/>
    <w:link w:val="57"/>
    <w:semiHidden/>
    <w:unhideWhenUsed/>
    <w:qFormat/>
    <w:uiPriority w:val="99"/>
    <w:rPr>
      <w:sz w:val="18"/>
      <w:szCs w:val="18"/>
    </w:rPr>
  </w:style>
  <w:style w:type="paragraph" w:styleId="17">
    <w:name w:val="footer"/>
    <w:basedOn w:val="1"/>
    <w:link w:val="56"/>
    <w:unhideWhenUsed/>
    <w:qFormat/>
    <w:uiPriority w:val="99"/>
    <w:pPr>
      <w:tabs>
        <w:tab w:val="center" w:pos="4153"/>
        <w:tab w:val="right" w:pos="8306"/>
      </w:tabs>
    </w:pPr>
    <w:rPr>
      <w:sz w:val="18"/>
      <w:szCs w:val="18"/>
    </w:rPr>
  </w:style>
  <w:style w:type="paragraph" w:styleId="18">
    <w:name w:val="header"/>
    <w:basedOn w:val="1"/>
    <w:link w:val="55"/>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tabs>
        <w:tab w:val="right" w:leader="dot" w:pos="8296"/>
      </w:tabs>
      <w:spacing w:after="120"/>
      <w:ind w:left="1320" w:leftChars="600"/>
    </w:pPr>
  </w:style>
  <w:style w:type="paragraph" w:styleId="21">
    <w:name w:val="footnote text"/>
    <w:basedOn w:val="1"/>
    <w:semiHidden/>
    <w:unhideWhenUsed/>
    <w:qFormat/>
    <w:uiPriority w:val="99"/>
    <w:rPr>
      <w:sz w:val="18"/>
    </w:rPr>
  </w:style>
  <w:style w:type="paragraph" w:styleId="22">
    <w:name w:val="toc 6"/>
    <w:basedOn w:val="1"/>
    <w:next w:val="1"/>
    <w:qFormat/>
    <w:uiPriority w:val="39"/>
    <w:pPr>
      <w:ind w:left="1200"/>
    </w:pPr>
    <w:rPr>
      <w:rFonts w:ascii="Calibri" w:cs="Calibri"/>
      <w:sz w:val="18"/>
      <w:szCs w:val="18"/>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Normal (Web)"/>
    <w:basedOn w:val="1"/>
    <w:link w:val="59"/>
    <w:qFormat/>
    <w:uiPriority w:val="0"/>
    <w:pPr>
      <w:widowControl w:val="0"/>
      <w:adjustRightInd/>
      <w:snapToGrid/>
      <w:jc w:val="both"/>
    </w:pPr>
    <w:rPr>
      <w:rFonts w:asciiTheme="minorHAnsi" w:hAnsiTheme="minorHAnsi"/>
      <w:kern w:val="2"/>
      <w:sz w:val="24"/>
      <w:szCs w:val="24"/>
    </w:rPr>
  </w:style>
  <w:style w:type="paragraph" w:styleId="26">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7">
    <w:name w:val="annotation subject"/>
    <w:basedOn w:val="10"/>
    <w:next w:val="10"/>
    <w:link w:val="63"/>
    <w:semiHidden/>
    <w:unhideWhenUsed/>
    <w:qFormat/>
    <w:uiPriority w:val="99"/>
    <w:rPr>
      <w:b/>
      <w:bCs/>
    </w:rPr>
  </w:style>
  <w:style w:type="paragraph" w:styleId="28">
    <w:name w:val="Body Text First Indent"/>
    <w:basedOn w:val="2"/>
    <w:next w:val="29"/>
    <w:qFormat/>
    <w:uiPriority w:val="0"/>
    <w:pPr>
      <w:spacing w:after="120"/>
      <w:ind w:firstLine="420" w:firstLineChars="100"/>
    </w:pPr>
    <w:rPr>
      <w:bCs/>
      <w:szCs w:val="21"/>
    </w:rPr>
  </w:style>
  <w:style w:type="paragraph" w:customStyle="1" w:styleId="29">
    <w:name w:val="样式 正文首行缩进 + 首行缩进:  1 字符"/>
    <w:basedOn w:val="1"/>
    <w:next w:val="1"/>
    <w:qFormat/>
    <w:uiPriority w:val="0"/>
    <w:pPr>
      <w:ind w:firstLine="200" w:firstLineChars="200"/>
    </w:pPr>
    <w:rPr>
      <w:rFonts w:cs="宋体"/>
      <w:szCs w:val="20"/>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Emphasis"/>
    <w:basedOn w:val="32"/>
    <w:qFormat/>
    <w:uiPriority w:val="20"/>
    <w:rPr>
      <w:i/>
      <w:iCs/>
    </w:rPr>
  </w:style>
  <w:style w:type="character" w:styleId="36">
    <w:name w:val="Hyperlink"/>
    <w:qFormat/>
    <w:uiPriority w:val="99"/>
    <w:rPr>
      <w:rFonts w:hint="eastAsia" w:ascii="宋体" w:hAnsi="宋体" w:eastAsia="宋体" w:cs="宋体"/>
      <w:b/>
      <w:color w:val="0031C1"/>
      <w:kern w:val="0"/>
      <w:sz w:val="18"/>
      <w:szCs w:val="18"/>
      <w:u w:val="none"/>
      <w:lang w:eastAsia="en-US"/>
    </w:rPr>
  </w:style>
  <w:style w:type="character" w:styleId="37">
    <w:name w:val="annotation reference"/>
    <w:basedOn w:val="32"/>
    <w:semiHidden/>
    <w:unhideWhenUsed/>
    <w:qFormat/>
    <w:uiPriority w:val="99"/>
    <w:rPr>
      <w:sz w:val="21"/>
      <w:szCs w:val="21"/>
    </w:rPr>
  </w:style>
  <w:style w:type="character" w:styleId="38">
    <w:name w:val="footnote reference"/>
    <w:basedOn w:val="32"/>
    <w:semiHidden/>
    <w:unhideWhenUsed/>
    <w:qFormat/>
    <w:uiPriority w:val="99"/>
    <w:rPr>
      <w:vertAlign w:val="superscript"/>
    </w:rPr>
  </w:style>
  <w:style w:type="paragraph" w:customStyle="1" w:styleId="39">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0">
    <w:name w:val="标题 2 字符"/>
    <w:basedOn w:val="32"/>
    <w:link w:val="4"/>
    <w:qFormat/>
    <w:uiPriority w:val="9"/>
    <w:rPr>
      <w:rFonts w:asciiTheme="majorHAnsi" w:hAnsiTheme="majorHAnsi" w:eastAsiaTheme="majorEastAsia" w:cstheme="majorBidi"/>
      <w:b/>
      <w:bCs/>
      <w:sz w:val="32"/>
      <w:szCs w:val="32"/>
    </w:rPr>
  </w:style>
  <w:style w:type="character" w:customStyle="1" w:styleId="41">
    <w:name w:val="标题 3 字符"/>
    <w:basedOn w:val="32"/>
    <w:link w:val="5"/>
    <w:qFormat/>
    <w:uiPriority w:val="9"/>
    <w:rPr>
      <w:rFonts w:ascii="Tahoma" w:hAnsi="Tahoma"/>
      <w:b/>
      <w:bCs/>
      <w:sz w:val="32"/>
      <w:szCs w:val="32"/>
    </w:rPr>
  </w:style>
  <w:style w:type="paragraph" w:styleId="42">
    <w:name w:val="List Paragraph"/>
    <w:basedOn w:val="1"/>
    <w:link w:val="64"/>
    <w:qFormat/>
    <w:uiPriority w:val="0"/>
    <w:pPr>
      <w:ind w:firstLine="420" w:firstLineChars="200"/>
    </w:pPr>
  </w:style>
  <w:style w:type="character" w:customStyle="1" w:styleId="43">
    <w:name w:val="标题 4 字符"/>
    <w:basedOn w:val="32"/>
    <w:link w:val="6"/>
    <w:qFormat/>
    <w:uiPriority w:val="9"/>
    <w:rPr>
      <w:rFonts w:eastAsia="宋体" w:asciiTheme="majorHAnsi" w:hAnsiTheme="majorHAnsi" w:cstheme="majorBidi"/>
      <w:b/>
      <w:bCs/>
      <w:sz w:val="24"/>
      <w:szCs w:val="28"/>
    </w:rPr>
  </w:style>
  <w:style w:type="character" w:customStyle="1" w:styleId="44">
    <w:name w:val="正文缩进2格 Char"/>
    <w:link w:val="45"/>
    <w:qFormat/>
    <w:uiPriority w:val="0"/>
    <w:rPr>
      <w:rFonts w:ascii="仿宋_GB2312" w:hAnsi="宋体" w:eastAsia="仿宋_GB2312"/>
      <w:kern w:val="2"/>
      <w:sz w:val="31"/>
    </w:rPr>
  </w:style>
  <w:style w:type="paragraph" w:customStyle="1" w:styleId="45">
    <w:name w:val="正文缩进2格"/>
    <w:basedOn w:val="1"/>
    <w:link w:val="44"/>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6">
    <w:name w:val="正文缩进4格"/>
    <w:basedOn w:val="45"/>
    <w:qFormat/>
    <w:uiPriority w:val="0"/>
    <w:pPr>
      <w:ind w:left="2" w:firstLine="538" w:firstLineChars="192"/>
    </w:pPr>
    <w:rPr>
      <w:color w:val="0000FF"/>
      <w:sz w:val="28"/>
    </w:rPr>
  </w:style>
  <w:style w:type="character" w:customStyle="1" w:styleId="47">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8">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9">
    <w:name w:val="标题1"/>
    <w:qFormat/>
    <w:uiPriority w:val="0"/>
    <w:rPr>
      <w:rFonts w:ascii="Times New Roman" w:hAnsi="Times New Roman" w:eastAsia="宋体" w:cs="Times New Roman"/>
      <w:b/>
      <w:kern w:val="0"/>
      <w:sz w:val="24"/>
      <w:szCs w:val="20"/>
      <w:lang w:eastAsia="en-US"/>
    </w:rPr>
  </w:style>
  <w:style w:type="character" w:customStyle="1" w:styleId="50">
    <w:name w:val="标题 3.1 Char"/>
    <w:link w:val="51"/>
    <w:qFormat/>
    <w:uiPriority w:val="0"/>
    <w:rPr>
      <w:rFonts w:ascii="宋体" w:hAnsi="宋体" w:eastAsia="宋体"/>
      <w:b/>
      <w:color w:val="FF0000"/>
      <w:kern w:val="2"/>
      <w:sz w:val="32"/>
    </w:rPr>
  </w:style>
  <w:style w:type="paragraph" w:customStyle="1" w:styleId="51">
    <w:name w:val="标题 3.1"/>
    <w:basedOn w:val="5"/>
    <w:link w:val="50"/>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2">
    <w:name w:val="样式 楷体_GB2312 小四"/>
    <w:qFormat/>
    <w:uiPriority w:val="0"/>
    <w:rPr>
      <w:rFonts w:ascii="楷体_GB2312" w:hAnsi="楷体_GB2312" w:eastAsia="仿宋_GB2312"/>
      <w:sz w:val="24"/>
    </w:rPr>
  </w:style>
  <w:style w:type="character" w:customStyle="1" w:styleId="53">
    <w:name w:val="纯文本 Char"/>
    <w:qFormat/>
    <w:uiPriority w:val="0"/>
    <w:rPr>
      <w:rFonts w:ascii="宋体" w:hAnsi="Courier New" w:eastAsia="宋体" w:cs="Times New Roman"/>
      <w:b/>
      <w:kern w:val="2"/>
      <w:sz w:val="21"/>
      <w:szCs w:val="20"/>
    </w:rPr>
  </w:style>
  <w:style w:type="character" w:customStyle="1" w:styleId="54">
    <w:name w:val="纯文本 字符"/>
    <w:basedOn w:val="32"/>
    <w:link w:val="14"/>
    <w:semiHidden/>
    <w:qFormat/>
    <w:uiPriority w:val="99"/>
    <w:rPr>
      <w:rFonts w:ascii="宋体" w:hAnsi="Courier New" w:eastAsia="宋体" w:cs="Courier New"/>
      <w:sz w:val="21"/>
      <w:szCs w:val="21"/>
    </w:rPr>
  </w:style>
  <w:style w:type="character" w:customStyle="1" w:styleId="55">
    <w:name w:val="页眉 字符"/>
    <w:basedOn w:val="32"/>
    <w:link w:val="18"/>
    <w:qFormat/>
    <w:uiPriority w:val="99"/>
    <w:rPr>
      <w:rFonts w:ascii="Tahoma" w:hAnsi="Tahoma"/>
      <w:sz w:val="18"/>
      <w:szCs w:val="18"/>
    </w:rPr>
  </w:style>
  <w:style w:type="character" w:customStyle="1" w:styleId="56">
    <w:name w:val="页脚 字符"/>
    <w:basedOn w:val="32"/>
    <w:link w:val="17"/>
    <w:qFormat/>
    <w:uiPriority w:val="99"/>
    <w:rPr>
      <w:rFonts w:ascii="Tahoma" w:hAnsi="Tahoma"/>
      <w:sz w:val="18"/>
      <w:szCs w:val="18"/>
    </w:rPr>
  </w:style>
  <w:style w:type="character" w:customStyle="1" w:styleId="57">
    <w:name w:val="批注框文本 字符"/>
    <w:basedOn w:val="32"/>
    <w:link w:val="16"/>
    <w:semiHidden/>
    <w:qFormat/>
    <w:uiPriority w:val="99"/>
    <w:rPr>
      <w:rFonts w:ascii="Tahoma" w:hAnsi="Tahoma"/>
      <w:sz w:val="18"/>
      <w:szCs w:val="18"/>
    </w:rPr>
  </w:style>
  <w:style w:type="paragraph" w:customStyle="1" w:styleId="58">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9">
    <w:name w:val="普通(网站) 字符"/>
    <w:link w:val="25"/>
    <w:qFormat/>
    <w:uiPriority w:val="0"/>
    <w:rPr>
      <w:rFonts w:eastAsia="宋体"/>
      <w:kern w:val="2"/>
      <w:sz w:val="24"/>
      <w:szCs w:val="24"/>
    </w:rPr>
  </w:style>
  <w:style w:type="paragraph" w:customStyle="1" w:styleId="60">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1">
    <w:name w:val="p141"/>
    <w:qFormat/>
    <w:uiPriority w:val="0"/>
    <w:rPr>
      <w:sz w:val="21"/>
      <w:szCs w:val="21"/>
    </w:rPr>
  </w:style>
  <w:style w:type="character" w:customStyle="1" w:styleId="62">
    <w:name w:val="批注文字 字符"/>
    <w:basedOn w:val="32"/>
    <w:link w:val="10"/>
    <w:qFormat/>
    <w:uiPriority w:val="99"/>
    <w:rPr>
      <w:rFonts w:ascii="Tahoma" w:hAnsi="Tahoma" w:eastAsia="微软雅黑" w:cstheme="minorBidi"/>
      <w:sz w:val="22"/>
      <w:szCs w:val="22"/>
    </w:rPr>
  </w:style>
  <w:style w:type="character" w:customStyle="1" w:styleId="63">
    <w:name w:val="批注主题 字符"/>
    <w:basedOn w:val="62"/>
    <w:link w:val="27"/>
    <w:semiHidden/>
    <w:qFormat/>
    <w:uiPriority w:val="99"/>
    <w:rPr>
      <w:rFonts w:ascii="Tahoma" w:hAnsi="Tahoma" w:eastAsia="微软雅黑" w:cstheme="minorBidi"/>
      <w:b/>
      <w:bCs/>
      <w:sz w:val="22"/>
      <w:szCs w:val="22"/>
    </w:rPr>
  </w:style>
  <w:style w:type="character" w:customStyle="1" w:styleId="64">
    <w:name w:val="列表段落 字符"/>
    <w:link w:val="42"/>
    <w:qFormat/>
    <w:uiPriority w:val="0"/>
    <w:rPr>
      <w:rFonts w:ascii="Tahoma" w:hAnsi="Tahoma" w:eastAsia="微软雅黑" w:cstheme="minorBidi"/>
      <w:sz w:val="22"/>
      <w:szCs w:val="22"/>
    </w:rPr>
  </w:style>
  <w:style w:type="character" w:customStyle="1" w:styleId="65">
    <w:name w:val="正文文本 字符"/>
    <w:basedOn w:val="32"/>
    <w:link w:val="2"/>
    <w:qFormat/>
    <w:uiPriority w:val="1"/>
    <w:rPr>
      <w:rFonts w:ascii="宋体" w:hAnsi="宋体" w:cs="宋体"/>
      <w:sz w:val="24"/>
      <w:szCs w:val="22"/>
      <w:lang w:val="zh-CN" w:bidi="zh-CN"/>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_Style 1"/>
    <w:basedOn w:val="1"/>
    <w:qFormat/>
    <w:uiPriority w:val="0"/>
    <w:pPr>
      <w:ind w:firstLine="420" w:firstLineChars="200"/>
    </w:pPr>
  </w:style>
  <w:style w:type="paragraph" w:customStyle="1" w:styleId="68">
    <w:name w:val="列出段落2"/>
    <w:basedOn w:val="1"/>
    <w:qFormat/>
    <w:uiPriority w:val="0"/>
    <w:pPr>
      <w:ind w:firstLine="420" w:firstLineChars="200"/>
    </w:pPr>
  </w:style>
  <w:style w:type="paragraph" w:customStyle="1" w:styleId="69">
    <w:name w:val="p0"/>
    <w:basedOn w:val="1"/>
    <w:qFormat/>
    <w:uiPriority w:val="0"/>
    <w:rPr>
      <w:szCs w:val="21"/>
    </w:rPr>
  </w:style>
  <w:style w:type="paragraph" w:customStyle="1" w:styleId="70">
    <w:name w:val="正文文本缩进 21"/>
    <w:basedOn w:val="1"/>
    <w:qFormat/>
    <w:uiPriority w:val="0"/>
    <w:pPr>
      <w:spacing w:line="480" w:lineRule="auto"/>
      <w:ind w:firstLine="540"/>
    </w:pPr>
    <w:rPr>
      <w:rFonts w:ascii="Calibri" w:hAnsi="Calibri"/>
      <w:sz w:val="20"/>
      <w:szCs w:val="20"/>
    </w:rPr>
  </w:style>
  <w:style w:type="paragraph" w:customStyle="1" w:styleId="71">
    <w:name w:val="_Style 2"/>
    <w:basedOn w:val="1"/>
    <w:qFormat/>
    <w:uiPriority w:val="0"/>
    <w:pPr>
      <w:ind w:firstLine="420" w:firstLineChars="200"/>
    </w:pPr>
  </w:style>
  <w:style w:type="paragraph" w:customStyle="1" w:styleId="72">
    <w:name w:val="msolistparagraph"/>
    <w:basedOn w:val="1"/>
    <w:qFormat/>
    <w:uiPriority w:val="0"/>
    <w:pPr>
      <w:ind w:firstLine="420" w:firstLineChars="200"/>
    </w:pPr>
    <w:rPr>
      <w:rFonts w:hint="eastAsia" w:hAnsi="宋体"/>
    </w:rPr>
  </w:style>
  <w:style w:type="character" w:customStyle="1" w:styleId="73">
    <w:name w:val="标题 5 字符"/>
    <w:link w:val="7"/>
    <w:qFormat/>
    <w:uiPriority w:val="0"/>
    <w:rPr>
      <w:b/>
      <w:sz w:val="28"/>
    </w:rPr>
  </w:style>
  <w:style w:type="character" w:customStyle="1" w:styleId="74">
    <w:name w:val="标题 1 字符"/>
    <w:link w:val="3"/>
    <w:qFormat/>
    <w:uiPriority w:val="9"/>
    <w:rPr>
      <w:b/>
      <w:kern w:val="44"/>
      <w:sz w:val="44"/>
    </w:rPr>
  </w:style>
  <w:style w:type="paragraph" w:customStyle="1" w:styleId="75">
    <w:name w:val="修订1"/>
    <w:hidden/>
    <w:semiHidden/>
    <w:qFormat/>
    <w:uiPriority w:val="99"/>
    <w:rPr>
      <w:rFonts w:ascii="Tahoma" w:hAnsi="Tahoma" w:eastAsia="宋体" w:cstheme="minorBidi"/>
      <w:sz w:val="21"/>
      <w:szCs w:val="22"/>
      <w:lang w:val="en-US" w:eastAsia="zh-CN" w:bidi="ar-SA"/>
    </w:rPr>
  </w:style>
  <w:style w:type="paragraph" w:customStyle="1" w:styleId="76">
    <w:name w:val="表格文字"/>
    <w:basedOn w:val="1"/>
    <w:qFormat/>
    <w:uiPriority w:val="0"/>
    <w:pPr>
      <w:adjustRightInd/>
      <w:spacing w:before="25" w:after="25"/>
    </w:pPr>
    <w:rPr>
      <w:rFonts w:ascii="Times New Roman"/>
      <w:bCs/>
      <w:spacing w:val="10"/>
      <w:szCs w:val="20"/>
    </w:rPr>
  </w:style>
  <w:style w:type="paragraph" w:customStyle="1" w:styleId="77">
    <w:name w:val="纯文本1"/>
    <w:basedOn w:val="78"/>
    <w:qFormat/>
    <w:uiPriority w:val="0"/>
    <w:rPr>
      <w:rFonts w:ascii="宋体" w:hAnsi="Courier New"/>
      <w:szCs w:val="20"/>
    </w:rPr>
  </w:style>
  <w:style w:type="paragraph" w:customStyle="1" w:styleId="78">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9">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0">
    <w:name w:val="Table Normal"/>
    <w:semiHidden/>
    <w:unhideWhenUsed/>
    <w:qFormat/>
    <w:uiPriority w:val="2"/>
    <w:tblPr>
      <w:tblCellMar>
        <w:top w:w="0" w:type="dxa"/>
        <w:left w:w="0" w:type="dxa"/>
        <w:bottom w:w="0" w:type="dxa"/>
        <w:right w:w="0" w:type="dxa"/>
      </w:tblCellMar>
    </w:tblPr>
  </w:style>
  <w:style w:type="paragraph" w:customStyle="1" w:styleId="81">
    <w:name w:val="Table Paragraph"/>
    <w:basedOn w:val="1"/>
    <w:qFormat/>
    <w:uiPriority w:val="1"/>
  </w:style>
  <w:style w:type="paragraph" w:customStyle="1" w:styleId="82">
    <w:name w:val="正文文本缩进1"/>
    <w:basedOn w:val="78"/>
    <w:qFormat/>
    <w:uiPriority w:val="0"/>
    <w:pPr>
      <w:spacing w:after="120"/>
      <w:ind w:left="420" w:leftChars="200"/>
    </w:pPr>
  </w:style>
  <w:style w:type="paragraph" w:customStyle="1" w:styleId="83">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4">
    <w:name w:val="纯文本2"/>
    <w:basedOn w:val="78"/>
    <w:qFormat/>
    <w:uiPriority w:val="0"/>
    <w:rPr>
      <w:rFonts w:ascii="宋体" w:hAnsi="Courier New"/>
      <w:szCs w:val="20"/>
    </w:rPr>
  </w:style>
  <w:style w:type="character" w:customStyle="1" w:styleId="85">
    <w:name w:val="font141"/>
    <w:qFormat/>
    <w:uiPriority w:val="0"/>
    <w:rPr>
      <w:rFonts w:hint="default" w:ascii="Times New Roman" w:hAnsi="Times New Roman" w:cs="Times New Roman"/>
      <w:color w:val="000000"/>
      <w:sz w:val="18"/>
      <w:szCs w:val="18"/>
      <w:u w:val="none"/>
    </w:rPr>
  </w:style>
  <w:style w:type="character" w:customStyle="1" w:styleId="86">
    <w:name w:val="font71"/>
    <w:qFormat/>
    <w:uiPriority w:val="0"/>
    <w:rPr>
      <w:rFonts w:hint="eastAsia" w:ascii="宋体" w:hAnsi="宋体" w:eastAsia="宋体" w:cs="宋体"/>
      <w:color w:val="000000"/>
      <w:sz w:val="18"/>
      <w:szCs w:val="18"/>
      <w:u w:val="none"/>
    </w:rPr>
  </w:style>
  <w:style w:type="paragraph" w:customStyle="1" w:styleId="8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3"/>
    <customShpInfo spid="_x0000_s2054"/>
    <customShpInfo spid="_x0000_s1026" textRotate="1"/>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5778</Words>
  <Characters>6384</Characters>
  <Lines>66</Lines>
  <Paragraphs>65</Paragraphs>
  <TotalTime>4</TotalTime>
  <ScaleCrop>false</ScaleCrop>
  <LinksUpToDate>false</LinksUpToDate>
  <CharactersWithSpaces>6584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 </cp:lastModifiedBy>
  <cp:lastPrinted>2025-10-23T02:28:21Z</cp:lastPrinted>
  <dcterms:modified xsi:type="dcterms:W3CDTF">2025-10-23T02:28:28Z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96C7DD481E484E9E824761FC28007A09_13</vt:lpwstr>
  </property>
  <property fmtid="{D5CDD505-2E9C-101B-9397-08002B2CF9AE}" pid="4" name="KSOTemplateDocerSaveRecord">
    <vt:lpwstr>eyJoZGlkIjoiN2ZmNGE0NjRjYTU2OTJjMjE3ZjcyYmQ3ZmYzYmY2NjciLCJ1c2VySWQiOiIxNjEyMzQ1MDU4In0=</vt:lpwstr>
  </property>
</Properties>
</file>