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ascii="宋体" w:cs="宋体"/>
          <w:color w:val="auto"/>
          <w:sz w:val="28"/>
          <w:szCs w:val="28"/>
          <w:highlight w:val="none"/>
        </w:rPr>
      </w:pPr>
    </w:p>
    <w:p>
      <w:pPr>
        <w:spacing w:line="360" w:lineRule="auto"/>
        <w:ind w:firstLine="560"/>
        <w:rPr>
          <w:rFonts w:ascii="宋体" w:cs="宋体"/>
          <w:color w:val="auto"/>
          <w:sz w:val="28"/>
          <w:szCs w:val="28"/>
          <w:highlight w:val="none"/>
        </w:rPr>
      </w:pPr>
    </w:p>
    <w:p>
      <w:pPr>
        <w:spacing w:line="360" w:lineRule="auto"/>
        <w:ind w:firstLine="560"/>
        <w:rPr>
          <w:rFonts w:ascii="宋体" w:cs="宋体"/>
          <w:color w:val="auto"/>
          <w:sz w:val="28"/>
          <w:szCs w:val="28"/>
          <w:highlight w:val="none"/>
        </w:rPr>
      </w:pPr>
    </w:p>
    <w:p>
      <w:pPr>
        <w:spacing w:line="360" w:lineRule="auto"/>
        <w:ind w:firstLine="560"/>
        <w:jc w:val="left"/>
        <w:rPr>
          <w:rFonts w:ascii="宋体" w:cs="宋体"/>
          <w:color w:val="auto"/>
          <w:sz w:val="28"/>
          <w:szCs w:val="28"/>
          <w:highlight w:val="none"/>
        </w:rPr>
      </w:pPr>
    </w:p>
    <w:p>
      <w:pPr>
        <w:jc w:val="center"/>
        <w:rPr>
          <w:rFonts w:hint="eastAsia" w:ascii="黑体" w:eastAsia="黑体"/>
          <w:color w:val="auto"/>
          <w:sz w:val="36"/>
          <w:szCs w:val="36"/>
          <w:highlight w:val="none"/>
          <w:lang w:eastAsia="zh-CN"/>
        </w:rPr>
      </w:pPr>
      <w:r>
        <w:rPr>
          <w:rFonts w:hint="eastAsia" w:ascii="黑体" w:eastAsia="黑体"/>
          <w:color w:val="auto"/>
          <w:sz w:val="36"/>
          <w:szCs w:val="36"/>
          <w:highlight w:val="none"/>
          <w:lang w:eastAsia="zh-CN"/>
        </w:rPr>
        <w:t>东莞市海心沙资源综合利用中心环保热电厂循环水膜处理系统采购项目（重新采购）</w:t>
      </w:r>
    </w:p>
    <w:p>
      <w:pPr>
        <w:jc w:val="center"/>
        <w:rPr>
          <w:rFonts w:ascii="黑体" w:eastAsia="黑体"/>
          <w:color w:val="auto"/>
          <w:sz w:val="28"/>
          <w:szCs w:val="28"/>
          <w:highlight w:val="none"/>
        </w:rPr>
      </w:pPr>
      <w:r>
        <w:rPr>
          <w:rFonts w:hint="eastAsia" w:ascii="黑体" w:eastAsia="黑体"/>
          <w:color w:val="auto"/>
          <w:sz w:val="28"/>
          <w:szCs w:val="28"/>
          <w:highlight w:val="none"/>
        </w:rPr>
        <w:t>项目编号：XDY-XJ-2025-020</w:t>
      </w:r>
    </w:p>
    <w:p>
      <w:pPr>
        <w:rPr>
          <w:color w:val="auto"/>
          <w:sz w:val="28"/>
          <w:szCs w:val="28"/>
          <w:highlight w:val="none"/>
        </w:rPr>
      </w:pPr>
    </w:p>
    <w:p>
      <w:pPr>
        <w:rPr>
          <w:color w:val="auto"/>
          <w:sz w:val="28"/>
          <w:szCs w:val="28"/>
          <w:highlight w:val="none"/>
        </w:rPr>
      </w:pPr>
    </w:p>
    <w:p>
      <w:pPr>
        <w:jc w:val="center"/>
        <w:rPr>
          <w:rFonts w:ascii="黑体" w:eastAsia="黑体"/>
          <w:color w:val="auto"/>
          <w:sz w:val="44"/>
          <w:szCs w:val="44"/>
          <w:highlight w:val="none"/>
        </w:rPr>
      </w:pPr>
      <w:r>
        <w:rPr>
          <w:rFonts w:hint="eastAsia" w:ascii="黑体" w:eastAsia="黑体"/>
          <w:color w:val="auto"/>
          <w:sz w:val="44"/>
          <w:szCs w:val="44"/>
          <w:highlight w:val="none"/>
        </w:rPr>
        <w:t>询价文件</w:t>
      </w: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采购人：</w:t>
      </w:r>
      <w:r>
        <w:rPr>
          <w:rFonts w:hint="eastAsia" w:ascii="黑体" w:eastAsia="黑体"/>
          <w:color w:val="auto"/>
          <w:sz w:val="28"/>
          <w:szCs w:val="28"/>
          <w:highlight w:val="none"/>
          <w:u w:val="single"/>
        </w:rPr>
        <w:t>东莞市新东元环保投资有限公司</w:t>
      </w:r>
      <w:r>
        <w:rPr>
          <w:rFonts w:hint="eastAsia" w:ascii="黑体" w:eastAsia="黑体"/>
          <w:color w:val="auto"/>
          <w:sz w:val="28"/>
          <w:szCs w:val="28"/>
          <w:highlight w:val="none"/>
        </w:rPr>
        <w:t>（盖单位章）</w:t>
      </w:r>
    </w:p>
    <w:p>
      <w:pPr>
        <w:jc w:val="center"/>
        <w:rPr>
          <w:rFonts w:ascii="黑体" w:eastAsia="黑体"/>
          <w:color w:val="auto"/>
          <w:sz w:val="28"/>
          <w:szCs w:val="28"/>
          <w:highlight w:val="none"/>
        </w:rPr>
      </w:pPr>
      <w:r>
        <w:rPr>
          <w:rFonts w:hint="eastAsia" w:ascii="黑体" w:eastAsia="黑体"/>
          <w:color w:val="auto"/>
          <w:sz w:val="28"/>
          <w:szCs w:val="28"/>
          <w:highlight w:val="none"/>
        </w:rPr>
        <w:t>采购代理机构：</w:t>
      </w:r>
      <w:r>
        <w:rPr>
          <w:rFonts w:hint="eastAsia" w:ascii="黑体" w:eastAsia="黑体"/>
          <w:color w:val="auto"/>
          <w:sz w:val="28"/>
          <w:szCs w:val="28"/>
          <w:highlight w:val="none"/>
          <w:u w:val="single"/>
          <w:lang w:val="en-US" w:eastAsia="zh-CN"/>
        </w:rPr>
        <w:t>三方诚信招标有限公司东莞分公司</w:t>
      </w:r>
      <w:r>
        <w:rPr>
          <w:rFonts w:hint="eastAsia" w:ascii="黑体" w:eastAsia="黑体"/>
          <w:color w:val="auto"/>
          <w:sz w:val="28"/>
          <w:szCs w:val="28"/>
          <w:highlight w:val="none"/>
        </w:rPr>
        <w:t>（盖单位章）</w:t>
      </w:r>
    </w:p>
    <w:p>
      <w:pPr>
        <w:jc w:val="center"/>
        <w:rPr>
          <w:rFonts w:ascii="黑体" w:eastAsia="黑体"/>
          <w:color w:val="auto"/>
          <w:sz w:val="28"/>
          <w:szCs w:val="28"/>
          <w:highlight w:val="none"/>
        </w:rPr>
      </w:pPr>
      <w:r>
        <w:rPr>
          <w:rFonts w:ascii="黑体" w:eastAsia="黑体"/>
          <w:color w:val="auto"/>
          <w:sz w:val="28"/>
          <w:szCs w:val="28"/>
          <w:highlight w:val="non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2025</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10</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月</w:t>
      </w:r>
    </w:p>
    <w:p>
      <w:pPr>
        <w:jc w:val="center"/>
        <w:rPr>
          <w:rFonts w:ascii="黑体" w:eastAsia="黑体"/>
          <w:color w:val="auto"/>
          <w:sz w:val="28"/>
          <w:szCs w:val="28"/>
          <w:highlight w:val="none"/>
        </w:rPr>
      </w:pPr>
      <w:r>
        <w:rPr>
          <w:rFonts w:eastAsia="华文隶书"/>
          <w:color w:val="auto"/>
          <w:sz w:val="44"/>
          <w:szCs w:val="44"/>
          <w:highlight w:val="none"/>
        </w:rPr>
        <w:br w:type="page"/>
      </w:r>
      <w:r>
        <w:rPr>
          <w:rFonts w:hint="eastAsia" w:ascii="黑体" w:eastAsia="黑体"/>
          <w:color w:val="auto"/>
          <w:sz w:val="28"/>
          <w:szCs w:val="28"/>
          <w:highlight w:val="none"/>
        </w:rPr>
        <w:t>目</w:t>
      </w:r>
      <w:r>
        <w:rPr>
          <w:rFonts w:ascii="黑体" w:eastAsia="黑体"/>
          <w:color w:val="auto"/>
          <w:sz w:val="28"/>
          <w:szCs w:val="28"/>
          <w:highlight w:val="none"/>
        </w:rPr>
        <w:t xml:space="preserve"> </w:t>
      </w:r>
      <w:r>
        <w:rPr>
          <w:rFonts w:hint="eastAsia" w:ascii="黑体" w:eastAsia="黑体"/>
          <w:color w:val="auto"/>
          <w:sz w:val="28"/>
          <w:szCs w:val="28"/>
          <w:highlight w:val="none"/>
        </w:rPr>
        <w:t>录</w:t>
      </w:r>
    </w:p>
    <w:p>
      <w:pPr>
        <w:pStyle w:val="26"/>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第一章  询价公告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第二章 询价响应须知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询价响应须知前附表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_Toc12353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询价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_Toc32021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公开唱标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_Toc32021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 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 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8.合同签订</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9.采购代理服务费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 纪律和监督</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 需要补充的其他内容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评审办法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评审办法前附表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1．评审方法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3．评审程序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_Toc5207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第四章 </w:t>
      </w:r>
      <w:r>
        <w:rPr>
          <w:rFonts w:hint="eastAsia" w:ascii="宋体" w:hAnsi="宋体" w:eastAsia="宋体" w:cs="宋体"/>
          <w:color w:val="auto"/>
          <w:sz w:val="21"/>
          <w:szCs w:val="21"/>
          <w:highlight w:val="none"/>
          <w:lang w:val="en-US" w:eastAsia="zh-CN"/>
        </w:rPr>
        <w:t>用户需求</w:t>
      </w:r>
      <w:r>
        <w:rPr>
          <w:rFonts w:hint="eastAsia" w:ascii="宋体" w:hAnsi="宋体" w:eastAsia="宋体" w:cs="宋体"/>
          <w:color w:val="auto"/>
          <w:sz w:val="21"/>
          <w:szCs w:val="21"/>
          <w:highlight w:val="none"/>
        </w:rPr>
        <w:t>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_Toc6903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_Toc7577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第一部分  技术商务部分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一、评审索引表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二、询价响应函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四、法定代表人身份证明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五、法定代表人授权委托书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_Toc29391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六、项目实施方案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七、项目管理机构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八、实质性条款偏离表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九、技术条款偏离表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_Toc25075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十、资格审查资料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_Toc25075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十一、其他需要补充的资料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  经济部分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一、报价一览表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二、分项报价表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_Toc24709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_Toc21443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  唱标信封（单独密封）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第四部分 其他格式文件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color w:val="auto"/>
          <w:sz w:val="28"/>
          <w:szCs w:val="28"/>
          <w:highlight w:val="none"/>
        </w:rPr>
      </w:pPr>
      <w:r>
        <w:rPr>
          <w:rFonts w:hint="eastAsia" w:ascii="宋体" w:hAnsi="宋体" w:eastAsia="宋体" w:cs="宋体"/>
          <w:color w:val="auto"/>
          <w:sz w:val="21"/>
          <w:szCs w:val="21"/>
          <w:highlight w:val="none"/>
        </w:rPr>
        <w:fldChar w:fldCharType="end"/>
      </w:r>
    </w:p>
    <w:p>
      <w:pPr>
        <w:jc w:val="center"/>
        <w:rPr>
          <w:rFonts w:ascii="黑体" w:eastAsia="黑体"/>
          <w:color w:val="auto"/>
          <w:sz w:val="28"/>
          <w:szCs w:val="28"/>
          <w:highlight w:val="none"/>
        </w:rPr>
      </w:pPr>
    </w:p>
    <w:p>
      <w:pPr>
        <w:jc w:val="center"/>
        <w:rPr>
          <w:rFonts w:ascii="黑体" w:eastAsia="黑体"/>
          <w:color w:val="auto"/>
          <w:sz w:val="28"/>
          <w:szCs w:val="28"/>
          <w:highlight w:val="none"/>
        </w:rPr>
      </w:pPr>
    </w:p>
    <w:p>
      <w:pPr>
        <w:rPr>
          <w:rFonts w:ascii="黑体" w:eastAsia="黑体"/>
          <w:color w:val="auto"/>
          <w:sz w:val="28"/>
          <w:szCs w:val="28"/>
          <w:highlight w:val="none"/>
        </w:rPr>
      </w:pPr>
    </w:p>
    <w:p>
      <w:pPr>
        <w:pStyle w:val="79"/>
        <w:rPr>
          <w:rFonts w:ascii="宋体" w:hAnsi="宋体" w:eastAsia="宋体" w:cs="宋体"/>
          <w:b/>
          <w:color w:val="auto"/>
          <w:kern w:val="0"/>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0" w:name="_Toc456551871"/>
      <w:bookmarkStart w:id="1" w:name="_Toc227057880"/>
    </w:p>
    <w:p>
      <w:pPr>
        <w:pStyle w:val="79"/>
        <w:rPr>
          <w:rFonts w:ascii="宋体" w:hAnsi="宋体" w:eastAsia="宋体" w:cs="宋体"/>
          <w:b/>
          <w:color w:val="auto"/>
          <w:kern w:val="0"/>
          <w:sz w:val="28"/>
          <w:szCs w:val="28"/>
          <w:highlight w:val="none"/>
        </w:rPr>
      </w:pPr>
      <w:bookmarkStart w:id="2" w:name="_Toc2861"/>
      <w:r>
        <w:rPr>
          <w:rFonts w:hint="eastAsia" w:ascii="宋体" w:hAnsi="宋体" w:eastAsia="宋体" w:cs="宋体"/>
          <w:b/>
          <w:color w:val="auto"/>
          <w:kern w:val="0"/>
          <w:sz w:val="28"/>
          <w:szCs w:val="28"/>
          <w:highlight w:val="none"/>
        </w:rPr>
        <w:t>第一章</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询价公告</w:t>
      </w:r>
      <w:bookmarkEnd w:id="2"/>
    </w:p>
    <w:p>
      <w:pPr>
        <w:spacing w:line="44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lang w:eastAsia="zh-CN"/>
        </w:rPr>
        <w:t>东莞市海心沙资源综合利用中心环保热电厂循环水膜处理系统采购项目（重新采购）</w:t>
      </w:r>
      <w:r>
        <w:rPr>
          <w:rFonts w:hint="eastAsia" w:ascii="黑体" w:hAnsi="黑体" w:eastAsia="黑体" w:cs="宋体"/>
          <w:color w:val="auto"/>
          <w:sz w:val="28"/>
          <w:szCs w:val="28"/>
          <w:highlight w:val="none"/>
        </w:rPr>
        <w:t>询价公告</w:t>
      </w:r>
      <w:r>
        <w:rPr>
          <w:rFonts w:ascii="黑体" w:hAnsi="黑体" w:eastAsia="黑体" w:cs="宋体"/>
          <w:color w:val="auto"/>
          <w:sz w:val="28"/>
          <w:szCs w:val="28"/>
          <w:highlight w:val="none"/>
        </w:rPr>
        <w:t xml:space="preserve"> </w:t>
      </w:r>
    </w:p>
    <w:p>
      <w:pPr>
        <w:spacing w:line="440" w:lineRule="exact"/>
        <w:jc w:val="center"/>
        <w:rPr>
          <w:rFonts w:ascii="黑体" w:hAnsi="黑体" w:eastAsia="黑体" w:cs="宋体"/>
          <w:color w:val="auto"/>
          <w:sz w:val="28"/>
          <w:szCs w:val="28"/>
          <w:highlight w:val="none"/>
        </w:rPr>
      </w:pPr>
    </w:p>
    <w:p>
      <w:pPr>
        <w:spacing w:after="1" w:line="322" w:lineRule="auto"/>
        <w:ind w:left="-14" w:right="162" w:firstLine="630"/>
        <w:rPr>
          <w:color w:val="auto"/>
          <w:highlight w:val="none"/>
        </w:rPr>
      </w:pPr>
      <w:r>
        <w:rPr>
          <w:rFonts w:hint="eastAsia"/>
          <w:color w:val="auto"/>
          <w:highlight w:val="none"/>
          <w:u w:val="single"/>
          <w:lang w:eastAsia="zh-CN"/>
        </w:rPr>
        <w:t>东莞市海心沙资源综合利用中心环保热电厂循环水膜处理系统采购项目（重新采购）</w:t>
      </w:r>
      <w:r>
        <w:rPr>
          <w:rFonts w:hint="eastAsia"/>
          <w:color w:val="auto"/>
          <w:highlight w:val="none"/>
        </w:rPr>
        <w:t>采购人为</w:t>
      </w:r>
      <w:r>
        <w:rPr>
          <w:color w:val="auto"/>
          <w:highlight w:val="none"/>
          <w:u w:val="single"/>
        </w:rPr>
        <w:t xml:space="preserve"> </w:t>
      </w:r>
      <w:r>
        <w:rPr>
          <w:rFonts w:hint="eastAsia"/>
          <w:color w:val="auto"/>
          <w:highlight w:val="none"/>
          <w:u w:val="single"/>
        </w:rPr>
        <w:t>东莞市新东元环保投资有限公司</w:t>
      </w:r>
      <w:r>
        <w:rPr>
          <w:color w:val="auto"/>
          <w:highlight w:val="none"/>
          <w:u w:val="single"/>
        </w:rPr>
        <w:t xml:space="preserve"> </w:t>
      </w:r>
      <w:r>
        <w:rPr>
          <w:rFonts w:hint="eastAsia"/>
          <w:color w:val="auto"/>
          <w:highlight w:val="none"/>
        </w:rPr>
        <w:t>，采购代理机构为</w:t>
      </w:r>
      <w:r>
        <w:rPr>
          <w:rFonts w:hint="eastAsia"/>
          <w:color w:val="auto"/>
          <w:highlight w:val="none"/>
          <w:u w:val="single"/>
        </w:rPr>
        <w:t>三方诚信招标有限公司东莞分公司</w:t>
      </w:r>
      <w:r>
        <w:rPr>
          <w:rFonts w:hint="eastAsia"/>
          <w:color w:val="auto"/>
          <w:highlight w:val="none"/>
        </w:rPr>
        <w:t>，已具备采购条件，现进行公开询价。</w:t>
      </w:r>
    </w:p>
    <w:p>
      <w:pPr>
        <w:rPr>
          <w:rFonts w:ascii="黑体" w:eastAsia="黑体"/>
          <w:b/>
          <w:color w:val="auto"/>
          <w:sz w:val="28"/>
          <w:szCs w:val="28"/>
          <w:highlight w:val="none"/>
        </w:rPr>
      </w:pPr>
      <w:r>
        <w:rPr>
          <w:rFonts w:hint="eastAsia" w:ascii="黑体" w:eastAsia="黑体"/>
          <w:b/>
          <w:color w:val="auto"/>
          <w:sz w:val="28"/>
          <w:szCs w:val="28"/>
          <w:highlight w:val="none"/>
        </w:rPr>
        <w:t>一、</w:t>
      </w:r>
      <w:r>
        <w:rPr>
          <w:rFonts w:ascii="黑体" w:eastAsia="黑体"/>
          <w:b/>
          <w:color w:val="auto"/>
          <w:sz w:val="28"/>
          <w:szCs w:val="28"/>
          <w:highlight w:val="none"/>
        </w:rPr>
        <w:t xml:space="preserve"> </w:t>
      </w:r>
      <w:r>
        <w:rPr>
          <w:rFonts w:hint="eastAsia" w:ascii="黑体" w:eastAsia="黑体"/>
          <w:b/>
          <w:color w:val="auto"/>
          <w:sz w:val="28"/>
          <w:szCs w:val="28"/>
          <w:highlight w:val="none"/>
        </w:rPr>
        <w:t>项目名称及采购内容</w:t>
      </w:r>
      <w:r>
        <w:rPr>
          <w:rFonts w:ascii="黑体" w:eastAsia="黑体"/>
          <w:b/>
          <w:color w:val="auto"/>
          <w:sz w:val="28"/>
          <w:szCs w:val="28"/>
          <w:highlight w:val="none"/>
        </w:rPr>
        <w:t xml:space="preserve"> </w:t>
      </w:r>
    </w:p>
    <w:p>
      <w:pPr>
        <w:numPr>
          <w:ilvl w:val="1"/>
          <w:numId w:val="3"/>
        </w:numPr>
        <w:spacing w:line="300" w:lineRule="auto"/>
        <w:ind w:left="0" w:firstLine="425"/>
        <w:rPr>
          <w:rFonts w:asci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东莞市海心沙资源综合利用中心环保热电厂循环水膜处理系统采购项目（重新采购）</w:t>
      </w:r>
      <w:r>
        <w:rPr>
          <w:rFonts w:hint="eastAsia" w:ascii="宋体" w:hAnsi="宋体"/>
          <w:color w:val="auto"/>
          <w:szCs w:val="21"/>
          <w:highlight w:val="none"/>
        </w:rPr>
        <w:t>；</w:t>
      </w:r>
    </w:p>
    <w:p>
      <w:pPr>
        <w:numPr>
          <w:ilvl w:val="1"/>
          <w:numId w:val="3"/>
        </w:numPr>
        <w:spacing w:line="300" w:lineRule="auto"/>
        <w:ind w:left="0" w:firstLine="425"/>
        <w:rPr>
          <w:rFonts w:ascii="宋体"/>
          <w:color w:val="auto"/>
          <w:szCs w:val="21"/>
          <w:highlight w:val="none"/>
        </w:rPr>
      </w:pPr>
      <w:r>
        <w:rPr>
          <w:rFonts w:hint="eastAsia" w:ascii="宋体" w:hAnsi="宋体"/>
          <w:color w:val="auto"/>
          <w:szCs w:val="21"/>
          <w:highlight w:val="none"/>
        </w:rPr>
        <w:t>采购范围：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详见第四章《用户需求书》</w:t>
      </w:r>
      <w:r>
        <w:rPr>
          <w:rFonts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3"/>
        </w:numPr>
        <w:spacing w:line="300" w:lineRule="auto"/>
        <w:ind w:left="0" w:firstLine="425"/>
        <w:rPr>
          <w:rFonts w:ascii="宋体"/>
          <w:color w:val="auto"/>
          <w:szCs w:val="21"/>
          <w:highlight w:val="none"/>
        </w:rPr>
      </w:pPr>
      <w:r>
        <w:rPr>
          <w:rFonts w:hint="eastAsia" w:ascii="宋体" w:hAnsi="宋体"/>
          <w:color w:val="auto"/>
          <w:szCs w:val="21"/>
          <w:highlight w:val="none"/>
        </w:rPr>
        <w:t>项目地点：</w:t>
      </w:r>
      <w:r>
        <w:rPr>
          <w:rFonts w:ascii="宋体" w:hAnsi="宋体"/>
          <w:color w:val="auto"/>
          <w:szCs w:val="21"/>
          <w:highlight w:val="none"/>
          <w:u w:val="single"/>
        </w:rPr>
        <w:t xml:space="preserve"> </w:t>
      </w:r>
      <w:r>
        <w:rPr>
          <w:rFonts w:hint="eastAsia" w:ascii="宋体" w:hAnsi="宋体"/>
          <w:color w:val="auto"/>
          <w:szCs w:val="21"/>
          <w:highlight w:val="none"/>
          <w:u w:val="single"/>
        </w:rPr>
        <w:t>东莞市麻涌镇大步村海心沙岛</w:t>
      </w:r>
      <w:r>
        <w:rPr>
          <w:rFonts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3"/>
        </w:numPr>
        <w:spacing w:line="300" w:lineRule="auto"/>
        <w:ind w:left="0" w:firstLine="425"/>
        <w:rPr>
          <w:rFonts w:ascii="宋体"/>
          <w:color w:val="auto"/>
          <w:szCs w:val="21"/>
          <w:highlight w:val="none"/>
        </w:rPr>
      </w:pPr>
      <w:r>
        <w:rPr>
          <w:rFonts w:hint="eastAsia" w:ascii="宋体" w:hAnsi="宋体"/>
          <w:color w:val="auto"/>
          <w:szCs w:val="21"/>
          <w:highlight w:val="none"/>
        </w:rPr>
        <w:t>服务时间（供货时间</w:t>
      </w:r>
      <w:r>
        <w:rPr>
          <w:rFonts w:ascii="宋体" w:hAnsi="宋体"/>
          <w:color w:val="auto"/>
          <w:szCs w:val="21"/>
          <w:highlight w:val="none"/>
        </w:rPr>
        <w:t>/</w:t>
      </w:r>
      <w:r>
        <w:rPr>
          <w:rFonts w:hint="eastAsia" w:ascii="宋体" w:hAnsi="宋体"/>
          <w:color w:val="auto"/>
          <w:szCs w:val="21"/>
          <w:highlight w:val="none"/>
        </w:rPr>
        <w:t>工期）：自合同签订之日起90个日历天；</w:t>
      </w:r>
    </w:p>
    <w:p>
      <w:pPr>
        <w:numPr>
          <w:ilvl w:val="1"/>
          <w:numId w:val="3"/>
        </w:numPr>
        <w:spacing w:line="300" w:lineRule="auto"/>
        <w:ind w:left="0" w:firstLine="425"/>
        <w:rPr>
          <w:rFonts w:ascii="宋体"/>
          <w:color w:val="auto"/>
          <w:szCs w:val="21"/>
          <w:highlight w:val="none"/>
        </w:rPr>
      </w:pPr>
      <w:r>
        <w:rPr>
          <w:rFonts w:hint="eastAsia" w:ascii="宋体" w:hAnsi="宋体"/>
          <w:color w:val="auto"/>
          <w:szCs w:val="21"/>
          <w:highlight w:val="none"/>
        </w:rPr>
        <w:t>预算金额：</w:t>
      </w:r>
      <w:r>
        <w:rPr>
          <w:rFonts w:ascii="宋体" w:hAnsi="宋体"/>
          <w:color w:val="auto"/>
          <w:szCs w:val="21"/>
          <w:highlight w:val="none"/>
          <w:u w:val="single"/>
        </w:rPr>
        <w:t xml:space="preserve"> </w:t>
      </w:r>
      <w:r>
        <w:rPr>
          <w:rFonts w:hint="eastAsia" w:ascii="宋体" w:hAnsi="宋体"/>
          <w:color w:val="auto"/>
          <w:szCs w:val="21"/>
          <w:highlight w:val="none"/>
          <w:u w:val="single"/>
        </w:rPr>
        <w:t>¥2,800,000.00元（含税）</w:t>
      </w:r>
      <w:r>
        <w:rPr>
          <w:rFonts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3"/>
        </w:numPr>
        <w:spacing w:line="300" w:lineRule="auto"/>
        <w:ind w:left="0" w:firstLine="425"/>
        <w:rPr>
          <w:rFonts w:ascii="宋体"/>
          <w:color w:val="auto"/>
          <w:szCs w:val="21"/>
          <w:highlight w:val="none"/>
        </w:rPr>
      </w:pPr>
      <w:r>
        <w:rPr>
          <w:rFonts w:hint="eastAsia" w:ascii="宋体" w:hAnsi="宋体"/>
          <w:color w:val="auto"/>
          <w:szCs w:val="21"/>
          <w:highlight w:val="none"/>
        </w:rPr>
        <w:t>最高限价：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3"/>
        </w:numPr>
        <w:spacing w:line="300" w:lineRule="auto"/>
        <w:ind w:left="0" w:firstLine="425"/>
        <w:rPr>
          <w:rFonts w:ascii="宋体"/>
          <w:color w:val="auto"/>
          <w:szCs w:val="21"/>
          <w:highlight w:val="none"/>
        </w:rPr>
      </w:pPr>
      <w:r>
        <w:rPr>
          <w:rFonts w:hint="eastAsia" w:ascii="宋体" w:hAnsi="宋体"/>
          <w:color w:val="auto"/>
          <w:szCs w:val="21"/>
          <w:highlight w:val="none"/>
        </w:rPr>
        <w:t>标包划分：</w:t>
      </w:r>
      <w:r>
        <w:rPr>
          <w:rStyle w:val="45"/>
          <w:rFonts w:hint="eastAsia"/>
          <w:color w:val="auto"/>
          <w:szCs w:val="21"/>
          <w:highlight w:val="none"/>
        </w:rPr>
        <w:t>本项目</w:t>
      </w:r>
      <w:r>
        <w:rPr>
          <w:rStyle w:val="45"/>
          <w:rFonts w:hint="eastAsia"/>
          <w:color w:val="auto"/>
          <w:szCs w:val="21"/>
          <w:highlight w:val="none"/>
          <w:lang w:val="en-US" w:eastAsia="zh-CN"/>
        </w:rPr>
        <w:t>不</w:t>
      </w:r>
      <w:r>
        <w:rPr>
          <w:rStyle w:val="45"/>
          <w:rFonts w:hint="eastAsia"/>
          <w:color w:val="auto"/>
          <w:szCs w:val="21"/>
          <w:highlight w:val="none"/>
          <w:u w:val="single"/>
        </w:rPr>
        <w:t>划分</w:t>
      </w:r>
      <w:r>
        <w:rPr>
          <w:rStyle w:val="45"/>
          <w:rFonts w:hint="eastAsia"/>
          <w:color w:val="auto"/>
          <w:szCs w:val="21"/>
          <w:highlight w:val="none"/>
        </w:rPr>
        <w:t>标包</w:t>
      </w:r>
      <w:r>
        <w:rPr>
          <w:rFonts w:hint="eastAsia" w:ascii="宋体" w:hAnsi="宋体"/>
          <w:color w:val="auto"/>
          <w:spacing w:val="2"/>
          <w:szCs w:val="21"/>
          <w:highlight w:val="none"/>
        </w:rPr>
        <w:t>。</w:t>
      </w:r>
    </w:p>
    <w:p>
      <w:pPr>
        <w:rPr>
          <w:rFonts w:ascii="黑体" w:eastAsia="黑体"/>
          <w:b/>
          <w:color w:val="auto"/>
          <w:sz w:val="28"/>
          <w:szCs w:val="28"/>
          <w:highlight w:val="none"/>
        </w:rPr>
      </w:pPr>
      <w:r>
        <w:rPr>
          <w:rFonts w:hint="eastAsia" w:ascii="黑体" w:eastAsia="黑体"/>
          <w:b/>
          <w:color w:val="auto"/>
          <w:sz w:val="28"/>
          <w:szCs w:val="28"/>
          <w:highlight w:val="none"/>
        </w:rPr>
        <w:t>二、</w:t>
      </w:r>
      <w:r>
        <w:rPr>
          <w:rFonts w:ascii="黑体" w:eastAsia="黑体"/>
          <w:b/>
          <w:color w:val="auto"/>
          <w:sz w:val="28"/>
          <w:szCs w:val="28"/>
          <w:highlight w:val="none"/>
        </w:rPr>
        <w:t xml:space="preserve"> </w:t>
      </w:r>
      <w:r>
        <w:rPr>
          <w:rFonts w:hint="eastAsia" w:ascii="黑体" w:eastAsia="黑体"/>
          <w:b/>
          <w:color w:val="auto"/>
          <w:sz w:val="28"/>
          <w:szCs w:val="28"/>
          <w:highlight w:val="none"/>
        </w:rPr>
        <w:t>响应人资格要求</w:t>
      </w:r>
    </w:p>
    <w:p>
      <w:pPr>
        <w:numPr>
          <w:ilvl w:val="1"/>
          <w:numId w:val="4"/>
        </w:numPr>
        <w:spacing w:line="400" w:lineRule="exact"/>
        <w:ind w:left="851" w:hanging="425"/>
        <w:rPr>
          <w:rFonts w:ascii="宋体"/>
          <w:color w:val="auto"/>
          <w:szCs w:val="21"/>
          <w:highlight w:val="none"/>
        </w:rPr>
      </w:pPr>
      <w:r>
        <w:rPr>
          <w:rFonts w:hint="eastAsia" w:ascii="宋体" w:hAnsi="宋体"/>
          <w:color w:val="auto"/>
          <w:szCs w:val="21"/>
          <w:highlight w:val="none"/>
        </w:rPr>
        <w:t>响应人须为在中华人民共和国境内登记注册的具有独立承担民事责任能力的法人或其他组织。【提供《营业执照》复印件（加盖公章）或《事业单位法人证书》复印件（加盖公章）或其他主体证书复印件（加盖公章）】</w:t>
      </w:r>
    </w:p>
    <w:p>
      <w:pPr>
        <w:numPr>
          <w:ilvl w:val="1"/>
          <w:numId w:val="4"/>
        </w:numPr>
        <w:spacing w:line="400" w:lineRule="exact"/>
        <w:ind w:left="851" w:hanging="425"/>
        <w:rPr>
          <w:rFonts w:ascii="宋体"/>
          <w:color w:val="auto"/>
          <w:szCs w:val="21"/>
          <w:highlight w:val="none"/>
        </w:rPr>
      </w:pPr>
      <w:r>
        <w:rPr>
          <w:rFonts w:hint="eastAsia" w:ascii="宋体" w:hAnsi="宋体"/>
          <w:color w:val="auto"/>
          <w:szCs w:val="21"/>
          <w:highlight w:val="none"/>
        </w:rPr>
        <w:t>业绩要求：</w:t>
      </w:r>
      <w:r>
        <w:rPr>
          <w:color w:val="auto"/>
          <w:szCs w:val="21"/>
          <w:highlight w:val="none"/>
          <w:u w:val="single"/>
        </w:rPr>
        <w:t xml:space="preserve"> </w:t>
      </w:r>
      <w:r>
        <w:rPr>
          <w:rFonts w:hint="eastAsia"/>
          <w:color w:val="auto"/>
          <w:szCs w:val="21"/>
          <w:highlight w:val="none"/>
          <w:u w:val="single"/>
          <w:lang w:val="en-US" w:eastAsia="zh-CN"/>
        </w:rPr>
        <w:t>2020</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日起</w:t>
      </w:r>
      <w:r>
        <w:rPr>
          <w:rFonts w:hint="eastAsia"/>
          <w:color w:val="auto"/>
          <w:szCs w:val="21"/>
          <w:highlight w:val="none"/>
          <w:lang w:val="en-US" w:eastAsia="zh-CN"/>
        </w:rPr>
        <w:t>至今</w:t>
      </w:r>
      <w:r>
        <w:rPr>
          <w:rFonts w:hint="eastAsia"/>
          <w:color w:val="auto"/>
          <w:szCs w:val="21"/>
          <w:highlight w:val="none"/>
        </w:rPr>
        <w:t>，完成至少</w:t>
      </w:r>
      <w:r>
        <w:rPr>
          <w:color w:val="auto"/>
          <w:szCs w:val="21"/>
          <w:highlight w:val="none"/>
        </w:rPr>
        <w:t>1</w:t>
      </w:r>
      <w:r>
        <w:rPr>
          <w:rFonts w:hint="eastAsia"/>
          <w:color w:val="auto"/>
          <w:szCs w:val="21"/>
          <w:highlight w:val="none"/>
        </w:rPr>
        <w:t>个</w:t>
      </w:r>
      <w:r>
        <w:rPr>
          <w:rFonts w:hint="eastAsia"/>
          <w:color w:val="auto"/>
          <w:szCs w:val="21"/>
          <w:highlight w:val="none"/>
          <w:u w:val="single"/>
        </w:rPr>
        <w:t>垃圾焚烧发电厂或火力发电厂循环水排水回用加膜法处理系统的供货、安装或施工</w:t>
      </w:r>
      <w:r>
        <w:rPr>
          <w:rFonts w:hint="eastAsia"/>
          <w:color w:val="auto"/>
          <w:szCs w:val="21"/>
          <w:highlight w:val="none"/>
        </w:rPr>
        <w:t>业绩。</w:t>
      </w:r>
      <w:r>
        <w:rPr>
          <w:rFonts w:hint="eastAsia" w:ascii="宋体" w:hAnsi="宋体"/>
          <w:color w:val="auto"/>
          <w:szCs w:val="21"/>
          <w:highlight w:val="none"/>
        </w:rPr>
        <w:t>【按合同签订时间为准，须提供：①合同关键页复印件（包含但不限于合同首页、合同金额页、合同签字页等，须体现循环水排水经处理后回用的相关内容）、②对应每个业绩项目合同期内任意一期已开具的发票证明材料加盖公章】</w:t>
      </w:r>
    </w:p>
    <w:p>
      <w:pPr>
        <w:numPr>
          <w:ilvl w:val="1"/>
          <w:numId w:val="4"/>
        </w:numPr>
        <w:spacing w:line="400" w:lineRule="exact"/>
        <w:ind w:left="851" w:hanging="425"/>
        <w:rPr>
          <w:rFonts w:ascii="宋体"/>
          <w:color w:val="auto"/>
          <w:szCs w:val="21"/>
          <w:highlight w:val="none"/>
        </w:rPr>
      </w:pPr>
      <w:r>
        <w:rPr>
          <w:rFonts w:hint="eastAsia" w:ascii="宋体" w:hAnsi="宋体"/>
          <w:color w:val="auto"/>
          <w:szCs w:val="21"/>
          <w:highlight w:val="none"/>
        </w:rPr>
        <w:t>响应人的单位负责人为同一人或者存在直接控股、管理关系的不同响应人，不得参加同一合同项下的采购活动。</w:t>
      </w:r>
    </w:p>
    <w:p>
      <w:pPr>
        <w:numPr>
          <w:ilvl w:val="1"/>
          <w:numId w:val="4"/>
        </w:numPr>
        <w:spacing w:line="400" w:lineRule="exact"/>
        <w:ind w:left="851" w:hanging="425"/>
        <w:rPr>
          <w:rFonts w:ascii="宋体"/>
          <w:color w:val="auto"/>
          <w:szCs w:val="21"/>
          <w:highlight w:val="none"/>
        </w:rPr>
      </w:pPr>
      <w:r>
        <w:rPr>
          <w:rFonts w:hint="eastAsia" w:ascii="宋体" w:hAnsi="宋体"/>
          <w:color w:val="auto"/>
          <w:szCs w:val="21"/>
          <w:highlight w:val="none"/>
        </w:rPr>
        <w:t>响应人参加采购活动前三年内，在经营活动中没有重大违法记录。【提供书面声明】</w:t>
      </w:r>
    </w:p>
    <w:p>
      <w:pPr>
        <w:numPr>
          <w:ilvl w:val="1"/>
          <w:numId w:val="4"/>
        </w:numPr>
        <w:spacing w:line="400" w:lineRule="exact"/>
        <w:ind w:left="851" w:hanging="425"/>
        <w:rPr>
          <w:rFonts w:ascii="宋体"/>
          <w:color w:val="auto"/>
          <w:szCs w:val="21"/>
          <w:highlight w:val="none"/>
        </w:rPr>
      </w:pPr>
      <w:r>
        <w:rPr>
          <w:rFonts w:hint="eastAsia" w:ascii="宋体" w:hAnsi="宋体"/>
          <w:color w:val="auto"/>
          <w:szCs w:val="21"/>
          <w:highlight w:val="none"/>
        </w:rPr>
        <w:t>响应人未被列入“信用中国”网站</w:t>
      </w:r>
      <w:r>
        <w:rPr>
          <w:rFonts w:ascii="宋体" w:hAnsi="宋体"/>
          <w:color w:val="auto"/>
          <w:szCs w:val="21"/>
          <w:highlight w:val="none"/>
        </w:rPr>
        <w:t>(www.creditchina.gov.cn)</w:t>
      </w:r>
      <w:r>
        <w:rPr>
          <w:rFonts w:hint="eastAsia" w:ascii="宋体" w:hAnsi="宋体"/>
          <w:color w:val="auto"/>
          <w:szCs w:val="21"/>
          <w:highlight w:val="none"/>
        </w:rPr>
        <w:t>“记录失信被执行人或重大税收违法案件当事人名单或政府采购严重违法失信行为”记录名单。【以响应截止日当天在“信用中国”网站（</w:t>
      </w:r>
      <w:r>
        <w:rPr>
          <w:rFonts w:ascii="宋体" w:hAnsi="宋体"/>
          <w:color w:val="auto"/>
          <w:szCs w:val="21"/>
          <w:highlight w:val="none"/>
        </w:rPr>
        <w:t>www.creditchina.gov.cn</w:t>
      </w:r>
      <w:r>
        <w:rPr>
          <w:rFonts w:hint="eastAsia" w:ascii="宋体" w:hAnsi="宋体"/>
          <w:color w:val="auto"/>
          <w:szCs w:val="21"/>
          <w:highlight w:val="none"/>
        </w:rPr>
        <w:t>）查询结果为准，如相关失信记录已失效，响应人需提供相关证明资料】</w:t>
      </w:r>
    </w:p>
    <w:p>
      <w:pPr>
        <w:numPr>
          <w:ilvl w:val="1"/>
          <w:numId w:val="4"/>
        </w:numPr>
        <w:spacing w:line="400" w:lineRule="exact"/>
        <w:ind w:left="851" w:hanging="425"/>
        <w:rPr>
          <w:rFonts w:ascii="宋体"/>
          <w:color w:val="auto"/>
          <w:szCs w:val="21"/>
          <w:highlight w:val="none"/>
        </w:rPr>
      </w:pPr>
      <w:r>
        <w:rPr>
          <w:rFonts w:hint="eastAsia" w:ascii="宋体"/>
          <w:color w:val="auto"/>
          <w:szCs w:val="21"/>
          <w:highlight w:val="none"/>
        </w:rPr>
        <w:t>响应人须提供报价截止日前6个月内任意1个月依法缴纳税收及无欠税的证明材料。如依法免税的，须提供相应证明材料。</w:t>
      </w:r>
      <w:r>
        <w:rPr>
          <w:rFonts w:hint="eastAsia" w:ascii="宋体"/>
          <w:color w:val="auto"/>
          <w:szCs w:val="21"/>
          <w:highlight w:val="none"/>
          <w:lang w:eastAsia="zh-CN"/>
        </w:rPr>
        <w:t>【</w:t>
      </w:r>
      <w:r>
        <w:rPr>
          <w:rFonts w:hint="eastAsia" w:ascii="宋体" w:hAnsi="宋体"/>
          <w:color w:val="auto"/>
          <w:szCs w:val="21"/>
          <w:highlight w:val="none"/>
        </w:rPr>
        <w:t>①</w:t>
      </w:r>
      <w:r>
        <w:rPr>
          <w:rFonts w:hint="eastAsia" w:ascii="宋体"/>
          <w:color w:val="auto"/>
          <w:szCs w:val="21"/>
          <w:highlight w:val="none"/>
          <w:lang w:val="en-US" w:eastAsia="zh-CN"/>
        </w:rPr>
        <w:t>依法缴纳税收证明材料为响应人的纳税凭证或完税证明；</w:t>
      </w:r>
      <w:r>
        <w:rPr>
          <w:rFonts w:hint="eastAsia" w:ascii="宋体" w:hAnsi="宋体"/>
          <w:color w:val="auto"/>
          <w:szCs w:val="21"/>
          <w:highlight w:val="none"/>
        </w:rPr>
        <w:t>②</w:t>
      </w:r>
      <w:r>
        <w:rPr>
          <w:rFonts w:hint="eastAsia" w:ascii="宋体"/>
          <w:color w:val="auto"/>
          <w:szCs w:val="21"/>
          <w:highlight w:val="none"/>
        </w:rPr>
        <w:t>无欠税证明</w:t>
      </w:r>
      <w:r>
        <w:rPr>
          <w:rFonts w:hint="eastAsia" w:ascii="宋体"/>
          <w:color w:val="auto"/>
          <w:szCs w:val="21"/>
          <w:highlight w:val="none"/>
          <w:lang w:val="en-US" w:eastAsia="zh-CN"/>
        </w:rPr>
        <w:t>在在全国统一规范电子税务局平台开具。以上</w:t>
      </w:r>
      <w:r>
        <w:rPr>
          <w:rFonts w:hint="eastAsia" w:ascii="宋体"/>
          <w:color w:val="auto"/>
          <w:szCs w:val="21"/>
          <w:highlight w:val="none"/>
        </w:rPr>
        <w:t>证明材料</w:t>
      </w:r>
      <w:r>
        <w:rPr>
          <w:rFonts w:hint="eastAsia" w:ascii="宋体"/>
          <w:color w:val="auto"/>
          <w:szCs w:val="21"/>
          <w:highlight w:val="none"/>
          <w:lang w:val="en-US" w:eastAsia="zh-CN"/>
        </w:rPr>
        <w:t>均</w:t>
      </w:r>
      <w:r>
        <w:rPr>
          <w:rFonts w:hint="eastAsia" w:ascii="宋体"/>
          <w:color w:val="auto"/>
          <w:szCs w:val="21"/>
          <w:highlight w:val="none"/>
        </w:rPr>
        <w:t>须加盖公章</w:t>
      </w:r>
      <w:r>
        <w:rPr>
          <w:rFonts w:hint="eastAsia" w:ascii="宋体"/>
          <w:color w:val="auto"/>
          <w:szCs w:val="21"/>
          <w:highlight w:val="none"/>
          <w:lang w:eastAsia="zh-CN"/>
        </w:rPr>
        <w:t>】</w:t>
      </w:r>
    </w:p>
    <w:p>
      <w:pPr>
        <w:numPr>
          <w:ilvl w:val="1"/>
          <w:numId w:val="4"/>
        </w:numPr>
        <w:spacing w:line="400" w:lineRule="exact"/>
        <w:ind w:left="851" w:hanging="425"/>
        <w:rPr>
          <w:rFonts w:ascii="宋体"/>
          <w:color w:val="auto"/>
          <w:szCs w:val="21"/>
          <w:highlight w:val="none"/>
        </w:rPr>
      </w:pPr>
      <w:bookmarkStart w:id="3" w:name="_Hlk75444257"/>
      <w:r>
        <w:rPr>
          <w:rFonts w:hint="eastAsia" w:ascii="宋体" w:hAnsi="宋体"/>
          <w:color w:val="auto"/>
          <w:szCs w:val="21"/>
          <w:highlight w:val="none"/>
          <w:lang w:val="en-US" w:eastAsia="zh-CN"/>
        </w:rPr>
        <w:t>响应人</w:t>
      </w:r>
      <w:r>
        <w:rPr>
          <w:rFonts w:hint="eastAsia" w:ascii="宋体" w:hAnsi="宋体"/>
          <w:color w:val="auto"/>
          <w:szCs w:val="21"/>
          <w:highlight w:val="none"/>
        </w:rPr>
        <w:t>未被列入</w:t>
      </w:r>
      <w:bookmarkEnd w:id="3"/>
      <w:r>
        <w:rPr>
          <w:rFonts w:hint="eastAsia" w:ascii="宋体" w:hAnsi="宋体"/>
          <w:color w:val="auto"/>
          <w:szCs w:val="21"/>
          <w:highlight w:val="none"/>
        </w:rPr>
        <w:t>东实环境及下属企业相关领域黑名单。</w:t>
      </w:r>
    </w:p>
    <w:p>
      <w:pPr>
        <w:numPr>
          <w:ilvl w:val="1"/>
          <w:numId w:val="4"/>
        </w:numPr>
        <w:spacing w:line="400" w:lineRule="exact"/>
        <w:ind w:left="851" w:hanging="425"/>
        <w:rPr>
          <w:rFonts w:asci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联合体响应。</w:t>
      </w:r>
    </w:p>
    <w:p>
      <w:pPr>
        <w:rPr>
          <w:rFonts w:ascii="黑体" w:eastAsia="黑体"/>
          <w:b/>
          <w:color w:val="auto"/>
          <w:sz w:val="28"/>
          <w:szCs w:val="28"/>
          <w:highlight w:val="none"/>
        </w:rPr>
      </w:pPr>
      <w:r>
        <w:rPr>
          <w:rFonts w:hint="eastAsia" w:ascii="黑体" w:eastAsia="黑体"/>
          <w:b/>
          <w:color w:val="auto"/>
          <w:sz w:val="28"/>
          <w:szCs w:val="28"/>
          <w:highlight w:val="none"/>
        </w:rPr>
        <w:t>三、</w:t>
      </w:r>
      <w:r>
        <w:rPr>
          <w:rFonts w:ascii="黑体" w:eastAsia="黑体"/>
          <w:b/>
          <w:color w:val="auto"/>
          <w:sz w:val="28"/>
          <w:szCs w:val="28"/>
          <w:highlight w:val="none"/>
        </w:rPr>
        <w:t xml:space="preserve"> </w:t>
      </w:r>
      <w:r>
        <w:rPr>
          <w:rFonts w:hint="eastAsia" w:ascii="黑体" w:eastAsia="黑体"/>
          <w:b/>
          <w:color w:val="auto"/>
          <w:sz w:val="28"/>
          <w:szCs w:val="28"/>
          <w:highlight w:val="none"/>
        </w:rPr>
        <w:t>询价文件的获取</w:t>
      </w:r>
      <w:r>
        <w:rPr>
          <w:rFonts w:ascii="黑体" w:eastAsia="黑体"/>
          <w:b/>
          <w:color w:val="auto"/>
          <w:sz w:val="28"/>
          <w:szCs w:val="28"/>
          <w:highlight w:val="none"/>
        </w:rPr>
        <w:t xml:space="preserve"> </w:t>
      </w:r>
    </w:p>
    <w:p>
      <w:pPr>
        <w:pStyle w:val="113"/>
        <w:ind w:left="850" w:leftChars="208" w:hanging="413" w:hangingChars="197"/>
        <w:rPr>
          <w:rFonts w:ascii="宋体"/>
          <w:color w:val="auto"/>
          <w:szCs w:val="21"/>
          <w:highlight w:val="none"/>
        </w:rPr>
      </w:pPr>
      <w:r>
        <w:rPr>
          <w:rFonts w:ascii="宋体" w:hAnsi="宋体"/>
          <w:color w:val="auto"/>
          <w:szCs w:val="21"/>
          <w:highlight w:val="none"/>
        </w:rPr>
        <w:t>3.1</w:t>
      </w:r>
      <w:r>
        <w:rPr>
          <w:rFonts w:hint="eastAsia" w:ascii="宋体" w:hAnsi="宋体"/>
          <w:color w:val="auto"/>
          <w:szCs w:val="21"/>
          <w:highlight w:val="none"/>
        </w:rPr>
        <w:t>询价文件获取时间：</w:t>
      </w:r>
      <w:r>
        <w:rPr>
          <w:color w:val="auto"/>
          <w:highlight w:val="none"/>
        </w:rPr>
        <w:t>20</w:t>
      </w:r>
      <w:r>
        <w:rPr>
          <w:rFonts w:hint="eastAsia"/>
          <w:color w:val="auto"/>
          <w:highlight w:val="none"/>
          <w:u w:val="single"/>
          <w:lang w:val="en-US" w:eastAsia="zh-CN"/>
        </w:rPr>
        <w:t>25</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u w:val="single"/>
          <w:lang w:val="en-US" w:eastAsia="zh-CN"/>
        </w:rPr>
        <w:t>10</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u w:val="single"/>
          <w:lang w:val="en-US" w:eastAsia="zh-CN"/>
        </w:rPr>
        <w:t>23</w:t>
      </w:r>
      <w:r>
        <w:rPr>
          <w:color w:val="auto"/>
          <w:highlight w:val="none"/>
          <w:u w:val="single"/>
        </w:rPr>
        <w:t xml:space="preserve"> </w:t>
      </w:r>
      <w:r>
        <w:rPr>
          <w:rFonts w:hint="eastAsia"/>
          <w:color w:val="auto"/>
          <w:highlight w:val="none"/>
        </w:rPr>
        <w:t>日至</w:t>
      </w:r>
      <w:r>
        <w:rPr>
          <w:color w:val="auto"/>
          <w:highlight w:val="none"/>
        </w:rPr>
        <w:t>20</w:t>
      </w:r>
      <w:r>
        <w:rPr>
          <w:rFonts w:hint="eastAsia"/>
          <w:color w:val="auto"/>
          <w:highlight w:val="none"/>
          <w:u w:val="single"/>
          <w:lang w:val="en-US" w:eastAsia="zh-CN"/>
        </w:rPr>
        <w:t>25</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u w:val="single"/>
          <w:lang w:val="en-US" w:eastAsia="zh-CN"/>
        </w:rPr>
        <w:t>10</w:t>
      </w:r>
      <w:r>
        <w:rPr>
          <w:color w:val="auto"/>
          <w:highlight w:val="none"/>
          <w:u w:val="single"/>
        </w:rPr>
        <w:t xml:space="preserve"> </w:t>
      </w:r>
      <w:r>
        <w:rPr>
          <w:color w:val="auto"/>
          <w:highlight w:val="none"/>
        </w:rPr>
        <w:t xml:space="preserve"> </w:t>
      </w:r>
      <w:r>
        <w:rPr>
          <w:rFonts w:hint="eastAsia"/>
          <w:color w:val="auto"/>
          <w:highlight w:val="none"/>
        </w:rPr>
        <w:t>月</w:t>
      </w:r>
      <w:r>
        <w:rPr>
          <w:color w:val="auto"/>
          <w:highlight w:val="none"/>
          <w:u w:val="single"/>
        </w:rPr>
        <w:t xml:space="preserve"> </w:t>
      </w:r>
      <w:r>
        <w:rPr>
          <w:rFonts w:hint="eastAsia"/>
          <w:color w:val="auto"/>
          <w:highlight w:val="none"/>
          <w:u w:val="single"/>
          <w:lang w:val="en-US" w:eastAsia="zh-CN"/>
        </w:rPr>
        <w:t>31</w:t>
      </w:r>
      <w:r>
        <w:rPr>
          <w:color w:val="auto"/>
          <w:highlight w:val="none"/>
          <w:u w:val="single"/>
        </w:rPr>
        <w:t xml:space="preserve"> </w:t>
      </w:r>
      <w:r>
        <w:rPr>
          <w:rFonts w:hint="eastAsia"/>
          <w:color w:val="auto"/>
          <w:highlight w:val="none"/>
        </w:rPr>
        <w:t>日。</w:t>
      </w:r>
    </w:p>
    <w:p>
      <w:pPr>
        <w:pStyle w:val="113"/>
        <w:ind w:left="850" w:leftChars="208" w:hanging="413" w:hangingChars="197"/>
        <w:rPr>
          <w:color w:val="auto"/>
          <w:highlight w:val="none"/>
        </w:rPr>
      </w:pPr>
      <w:r>
        <w:rPr>
          <w:rFonts w:ascii="宋体" w:hAnsi="宋体"/>
          <w:color w:val="auto"/>
          <w:szCs w:val="21"/>
          <w:highlight w:val="none"/>
        </w:rPr>
        <w:t>3.2</w:t>
      </w:r>
      <w:r>
        <w:rPr>
          <w:rFonts w:hint="eastAsia"/>
          <w:color w:val="auto"/>
          <w:highlight w:val="none"/>
        </w:rPr>
        <w:t>询价文件获取地点：</w:t>
      </w:r>
      <w:r>
        <w:rPr>
          <w:rFonts w:hint="eastAsia"/>
          <w:color w:val="auto"/>
          <w:highlight w:val="none"/>
          <w:u w:val="single"/>
          <w:lang w:val="en-US" w:eastAsia="zh-CN"/>
        </w:rPr>
        <w:t xml:space="preserve"> </w:t>
      </w:r>
      <w:r>
        <w:rPr>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pPr>
        <w:pStyle w:val="113"/>
        <w:ind w:left="850" w:leftChars="208" w:hanging="413" w:hangingChars="197"/>
        <w:rPr>
          <w:color w:val="auto"/>
          <w:highlight w:val="none"/>
        </w:rPr>
      </w:pPr>
      <w:r>
        <w:rPr>
          <w:rFonts w:ascii="宋体" w:hAnsi="宋体"/>
          <w:color w:val="auto"/>
          <w:szCs w:val="21"/>
          <w:highlight w:val="none"/>
        </w:rPr>
        <w:t>3.3</w:t>
      </w:r>
      <w:r>
        <w:rPr>
          <w:rFonts w:hint="eastAsia" w:ascii="宋体" w:hAnsi="宋体"/>
          <w:color w:val="auto"/>
          <w:szCs w:val="21"/>
          <w:highlight w:val="none"/>
        </w:rPr>
        <w:t>询</w:t>
      </w:r>
      <w:r>
        <w:rPr>
          <w:rFonts w:hint="eastAsia"/>
          <w:color w:val="auto"/>
          <w:highlight w:val="none"/>
        </w:rPr>
        <w:t>价文件获取方式：</w:t>
      </w:r>
      <w:r>
        <w:rPr>
          <w:rFonts w:hint="eastAsia"/>
          <w:color w:val="auto"/>
          <w:highlight w:val="none"/>
          <w:u w:val="single"/>
        </w:rPr>
        <w:t>中国招标投标公共服务平台（http</w:t>
      </w:r>
      <w:r>
        <w:rPr>
          <w:rFonts w:hint="eastAsia"/>
          <w:color w:val="auto"/>
          <w:highlight w:val="none"/>
          <w:u w:val="single"/>
          <w:lang w:eastAsia="zh-CN"/>
        </w:rPr>
        <w:t>：</w:t>
      </w:r>
      <w:r>
        <w:rPr>
          <w:rFonts w:hint="eastAsia"/>
          <w:color w:val="auto"/>
          <w:highlight w:val="none"/>
          <w:u w:val="single"/>
        </w:rPr>
        <w:t>//www.cebpubservice.com/）、东莞实业投资控股集团有限公司-招标采购栏目（http</w:t>
      </w:r>
      <w:r>
        <w:rPr>
          <w:rFonts w:hint="eastAsia"/>
          <w:color w:val="auto"/>
          <w:highlight w:val="none"/>
          <w:u w:val="single"/>
          <w:lang w:eastAsia="zh-CN"/>
        </w:rPr>
        <w:t>：</w:t>
      </w:r>
      <w:r>
        <w:rPr>
          <w:rFonts w:hint="eastAsia"/>
          <w:color w:val="auto"/>
          <w:highlight w:val="none"/>
          <w:u w:val="single"/>
        </w:rPr>
        <w:t>//www.dgsy.com.cn/）、广东东实环境股份有限公司官网—招标公告（http</w:t>
      </w:r>
      <w:r>
        <w:rPr>
          <w:rFonts w:hint="eastAsia"/>
          <w:color w:val="auto"/>
          <w:highlight w:val="none"/>
          <w:u w:val="single"/>
          <w:lang w:eastAsia="zh-CN"/>
        </w:rPr>
        <w:t>：</w:t>
      </w:r>
      <w:r>
        <w:rPr>
          <w:rFonts w:hint="eastAsia"/>
          <w:color w:val="auto"/>
          <w:highlight w:val="none"/>
          <w:u w:val="single"/>
        </w:rPr>
        <w:t>//www.dshuanbao.com.cn/）、三方诚信招标有限网站(http</w:t>
      </w:r>
      <w:r>
        <w:rPr>
          <w:rFonts w:hint="eastAsia"/>
          <w:color w:val="auto"/>
          <w:highlight w:val="none"/>
          <w:u w:val="single"/>
          <w:lang w:eastAsia="zh-CN"/>
        </w:rPr>
        <w:t>：</w:t>
      </w:r>
      <w:r>
        <w:rPr>
          <w:rFonts w:hint="eastAsia"/>
          <w:color w:val="auto"/>
          <w:highlight w:val="none"/>
          <w:u w:val="single"/>
        </w:rPr>
        <w:t>//www.sfcx.cn/）</w:t>
      </w:r>
      <w:r>
        <w:rPr>
          <w:rFonts w:hint="eastAsia"/>
          <w:color w:val="auto"/>
          <w:highlight w:val="none"/>
        </w:rPr>
        <w:t>不记名免费下载。</w:t>
      </w:r>
    </w:p>
    <w:p>
      <w:pPr>
        <w:rPr>
          <w:rFonts w:ascii="黑体" w:eastAsia="黑体"/>
          <w:b/>
          <w:color w:val="auto"/>
          <w:sz w:val="28"/>
          <w:szCs w:val="28"/>
          <w:highlight w:val="none"/>
        </w:rPr>
      </w:pPr>
      <w:r>
        <w:rPr>
          <w:rFonts w:hint="eastAsia" w:ascii="黑体" w:eastAsia="黑体"/>
          <w:b/>
          <w:color w:val="auto"/>
          <w:sz w:val="28"/>
          <w:szCs w:val="28"/>
          <w:highlight w:val="none"/>
        </w:rPr>
        <w:t>四、</w:t>
      </w:r>
      <w:r>
        <w:rPr>
          <w:rFonts w:ascii="黑体" w:eastAsia="黑体"/>
          <w:b/>
          <w:color w:val="auto"/>
          <w:sz w:val="28"/>
          <w:szCs w:val="28"/>
          <w:highlight w:val="none"/>
        </w:rPr>
        <w:t xml:space="preserve"> </w:t>
      </w:r>
      <w:r>
        <w:rPr>
          <w:rFonts w:hint="eastAsia" w:ascii="黑体" w:eastAsia="黑体"/>
          <w:b/>
          <w:color w:val="auto"/>
          <w:sz w:val="28"/>
          <w:szCs w:val="28"/>
          <w:highlight w:val="none"/>
        </w:rPr>
        <w:t>响应文件的递交</w:t>
      </w:r>
      <w:r>
        <w:rPr>
          <w:rFonts w:ascii="黑体" w:eastAsia="黑体"/>
          <w:b/>
          <w:color w:val="auto"/>
          <w:sz w:val="28"/>
          <w:szCs w:val="28"/>
          <w:highlight w:val="none"/>
        </w:rPr>
        <w:t xml:space="preserve"> </w:t>
      </w:r>
    </w:p>
    <w:p>
      <w:pPr>
        <w:pStyle w:val="113"/>
        <w:ind w:left="850" w:leftChars="208" w:hanging="413" w:hangingChars="197"/>
        <w:rPr>
          <w:color w:val="auto"/>
          <w:highlight w:val="none"/>
        </w:rPr>
      </w:pPr>
      <w:r>
        <w:rPr>
          <w:rFonts w:ascii="宋体" w:hAnsi="宋体"/>
          <w:color w:val="auto"/>
          <w:szCs w:val="21"/>
          <w:highlight w:val="none"/>
        </w:rPr>
        <w:t>4</w:t>
      </w:r>
      <w:r>
        <w:rPr>
          <w:rFonts w:ascii="宋体"/>
          <w:color w:val="auto"/>
          <w:szCs w:val="21"/>
          <w:highlight w:val="none"/>
        </w:rPr>
        <w:t>.</w:t>
      </w:r>
      <w:r>
        <w:rPr>
          <w:rFonts w:ascii="宋体" w:hAnsi="宋体"/>
          <w:color w:val="auto"/>
          <w:szCs w:val="21"/>
          <w:highlight w:val="none"/>
        </w:rPr>
        <w:t>1</w:t>
      </w:r>
      <w:r>
        <w:rPr>
          <w:rFonts w:hint="eastAsia"/>
          <w:color w:val="auto"/>
          <w:highlight w:val="none"/>
        </w:rPr>
        <w:t>响应文件递交的截止时间为</w:t>
      </w:r>
      <w:r>
        <w:rPr>
          <w:color w:val="auto"/>
          <w:highlight w:val="none"/>
        </w:rPr>
        <w:t>20</w:t>
      </w:r>
      <w:r>
        <w:rPr>
          <w:rFonts w:hint="eastAsia"/>
          <w:color w:val="auto"/>
          <w:highlight w:val="none"/>
          <w:u w:val="single"/>
          <w:lang w:val="en-US" w:eastAsia="zh-CN"/>
        </w:rPr>
        <w:t>25</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u w:val="single"/>
          <w:lang w:val="en-US" w:eastAsia="zh-CN"/>
        </w:rPr>
        <w:t>10</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u w:val="single"/>
          <w:lang w:val="en-US" w:eastAsia="zh-CN"/>
        </w:rPr>
        <w:t>31</w:t>
      </w:r>
      <w:bookmarkStart w:id="419" w:name="_GoBack"/>
      <w:bookmarkEnd w:id="419"/>
      <w:r>
        <w:rPr>
          <w:color w:val="auto"/>
          <w:highlight w:val="none"/>
          <w:u w:val="single"/>
        </w:rPr>
        <w:t xml:space="preserve"> </w:t>
      </w:r>
      <w:r>
        <w:rPr>
          <w:rFonts w:hint="eastAsia"/>
          <w:color w:val="auto"/>
          <w:highlight w:val="none"/>
        </w:rPr>
        <w:t>日</w:t>
      </w:r>
      <w:r>
        <w:rPr>
          <w:color w:val="auto"/>
          <w:highlight w:val="none"/>
          <w:u w:val="single"/>
        </w:rPr>
        <w:t xml:space="preserve"> </w:t>
      </w:r>
      <w:r>
        <w:rPr>
          <w:rFonts w:hint="eastAsia"/>
          <w:color w:val="auto"/>
          <w:highlight w:val="none"/>
          <w:u w:val="single"/>
          <w:lang w:val="en-US" w:eastAsia="zh-CN"/>
        </w:rPr>
        <w:t>14</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color w:val="auto"/>
          <w:highlight w:val="none"/>
        </w:rPr>
        <w:t>分，递交地点为</w:t>
      </w:r>
      <w:r>
        <w:rPr>
          <w:color w:val="auto"/>
          <w:highlight w:val="none"/>
          <w:u w:val="single"/>
        </w:rPr>
        <w:t xml:space="preserve"> </w:t>
      </w:r>
      <w:r>
        <w:rPr>
          <w:rFonts w:hint="eastAsia"/>
          <w:color w:val="auto"/>
          <w:highlight w:val="none"/>
          <w:u w:val="single"/>
        </w:rPr>
        <w:t>广东省东莞市南城街道鸿福西路国际商会大厦 601 室</w:t>
      </w:r>
      <w:r>
        <w:rPr>
          <w:color w:val="auto"/>
          <w:highlight w:val="none"/>
          <w:u w:val="single"/>
        </w:rPr>
        <w:t xml:space="preserve"> </w:t>
      </w:r>
      <w:r>
        <w:rPr>
          <w:rFonts w:hint="eastAsia"/>
          <w:color w:val="auto"/>
          <w:highlight w:val="none"/>
        </w:rPr>
        <w:t>。（询价文件发布之日起至响应文件递交截止时间至少3个工作日）</w:t>
      </w:r>
    </w:p>
    <w:p>
      <w:pPr>
        <w:pStyle w:val="113"/>
        <w:ind w:left="850" w:leftChars="208" w:hanging="413" w:hangingChars="197"/>
        <w:rPr>
          <w:rFonts w:asci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出现以下情形时，采购人</w:t>
      </w:r>
      <w:r>
        <w:rPr>
          <w:rFonts w:ascii="宋体" w:hAnsi="宋体"/>
          <w:color w:val="auto"/>
          <w:szCs w:val="21"/>
          <w:highlight w:val="none"/>
        </w:rPr>
        <w:t>/</w:t>
      </w:r>
      <w:r>
        <w:rPr>
          <w:rFonts w:hint="eastAsia" w:ascii="宋体" w:hAnsi="宋体"/>
          <w:color w:val="auto"/>
          <w:szCs w:val="21"/>
          <w:highlight w:val="none"/>
        </w:rPr>
        <w:t>采购代理机构不予接收响应文件：</w:t>
      </w:r>
    </w:p>
    <w:p>
      <w:pPr>
        <w:pStyle w:val="113"/>
        <w:ind w:left="850" w:leftChars="208" w:hanging="413" w:hangingChars="197"/>
        <w:rPr>
          <w:rFonts w:ascii="宋体"/>
          <w:color w:val="auto"/>
          <w:highlight w:val="none"/>
        </w:rPr>
      </w:pPr>
      <w:r>
        <w:rPr>
          <w:rFonts w:ascii="宋体" w:hAnsi="宋体"/>
          <w:color w:val="auto"/>
          <w:highlight w:val="none"/>
        </w:rPr>
        <w:t>4.2.1</w:t>
      </w:r>
      <w:r>
        <w:rPr>
          <w:rFonts w:hint="eastAsia" w:ascii="宋体" w:hAnsi="宋体"/>
          <w:color w:val="auto"/>
          <w:highlight w:val="none"/>
        </w:rPr>
        <w:t>逾期送达或者未送达指定地点的；</w:t>
      </w:r>
    </w:p>
    <w:p>
      <w:pPr>
        <w:pStyle w:val="113"/>
        <w:ind w:left="850" w:leftChars="208" w:hanging="413" w:hangingChars="197"/>
        <w:rPr>
          <w:rFonts w:ascii="宋体"/>
          <w:color w:val="auto"/>
          <w:highlight w:val="none"/>
        </w:rPr>
      </w:pPr>
      <w:r>
        <w:rPr>
          <w:rFonts w:ascii="宋体" w:hAnsi="宋体"/>
          <w:color w:val="auto"/>
          <w:highlight w:val="none"/>
        </w:rPr>
        <w:t>4.2.2</w:t>
      </w:r>
      <w:r>
        <w:rPr>
          <w:rFonts w:hint="eastAsia" w:ascii="宋体" w:hAnsi="宋体"/>
          <w:color w:val="auto"/>
          <w:highlight w:val="none"/>
        </w:rPr>
        <w:t>未按询价文件要求密封的。</w:t>
      </w:r>
    </w:p>
    <w:p>
      <w:pPr>
        <w:rPr>
          <w:rFonts w:ascii="黑体" w:eastAsia="黑体"/>
          <w:b/>
          <w:color w:val="auto"/>
          <w:sz w:val="28"/>
          <w:szCs w:val="28"/>
          <w:highlight w:val="none"/>
        </w:rPr>
      </w:pPr>
      <w:r>
        <w:rPr>
          <w:rFonts w:hint="eastAsia" w:ascii="黑体" w:eastAsia="黑体"/>
          <w:b/>
          <w:color w:val="auto"/>
          <w:sz w:val="28"/>
          <w:szCs w:val="28"/>
          <w:highlight w:val="none"/>
        </w:rPr>
        <w:t>五、</w:t>
      </w:r>
      <w:r>
        <w:rPr>
          <w:rFonts w:ascii="黑体" w:eastAsia="黑体"/>
          <w:b/>
          <w:color w:val="auto"/>
          <w:sz w:val="28"/>
          <w:szCs w:val="28"/>
          <w:highlight w:val="none"/>
        </w:rPr>
        <w:t xml:space="preserve"> </w:t>
      </w:r>
      <w:r>
        <w:rPr>
          <w:rFonts w:hint="eastAsia" w:ascii="黑体" w:eastAsia="黑体"/>
          <w:b/>
          <w:color w:val="auto"/>
          <w:sz w:val="28"/>
          <w:szCs w:val="28"/>
          <w:highlight w:val="none"/>
        </w:rPr>
        <w:t>发布公告的媒介</w:t>
      </w:r>
      <w:r>
        <w:rPr>
          <w:rFonts w:ascii="黑体" w:eastAsia="黑体"/>
          <w:b/>
          <w:color w:val="auto"/>
          <w:sz w:val="28"/>
          <w:szCs w:val="28"/>
          <w:highlight w:val="none"/>
        </w:rPr>
        <w:t xml:space="preserve"> </w:t>
      </w:r>
    </w:p>
    <w:p>
      <w:pPr>
        <w:ind w:left="641" w:firstLine="0"/>
        <w:rPr>
          <w:color w:val="auto"/>
          <w:highlight w:val="none"/>
        </w:rPr>
      </w:pPr>
      <w:r>
        <w:rPr>
          <w:rFonts w:hint="eastAsia"/>
          <w:color w:val="auto"/>
          <w:highlight w:val="none"/>
        </w:rPr>
        <w:t>本次公告在</w:t>
      </w:r>
      <w:r>
        <w:rPr>
          <w:rFonts w:hint="eastAsia" w:eastAsia="宋体"/>
          <w:color w:val="auto"/>
          <w:highlight w:val="none"/>
          <w:u w:val="single"/>
        </w:rPr>
        <w:t>中国招标投标公共服务平台（http</w:t>
      </w:r>
      <w:r>
        <w:rPr>
          <w:rFonts w:hint="eastAsia"/>
          <w:color w:val="auto"/>
          <w:highlight w:val="none"/>
          <w:u w:val="single"/>
          <w:lang w:eastAsia="zh-CN"/>
        </w:rPr>
        <w:t>：</w:t>
      </w:r>
      <w:r>
        <w:rPr>
          <w:rFonts w:hint="eastAsia" w:eastAsia="宋体"/>
          <w:color w:val="auto"/>
          <w:highlight w:val="none"/>
          <w:u w:val="single"/>
        </w:rPr>
        <w:t>//www.cebpubservice.com/）、东莞实业投资控股集团有限公司-招标采购栏目（http</w:t>
      </w:r>
      <w:r>
        <w:rPr>
          <w:rFonts w:hint="eastAsia"/>
          <w:color w:val="auto"/>
          <w:highlight w:val="none"/>
          <w:u w:val="single"/>
          <w:lang w:eastAsia="zh-CN"/>
        </w:rPr>
        <w:t>：</w:t>
      </w:r>
      <w:r>
        <w:rPr>
          <w:rFonts w:hint="eastAsia" w:eastAsia="宋体"/>
          <w:color w:val="auto"/>
          <w:highlight w:val="none"/>
          <w:u w:val="single"/>
        </w:rPr>
        <w:t>//www.dgsy.com.cn/）、广东东实环境股份有限公司官网—招标公告（http</w:t>
      </w:r>
      <w:r>
        <w:rPr>
          <w:rFonts w:hint="eastAsia"/>
          <w:color w:val="auto"/>
          <w:highlight w:val="none"/>
          <w:u w:val="single"/>
          <w:lang w:eastAsia="zh-CN"/>
        </w:rPr>
        <w:t>：</w:t>
      </w:r>
      <w:r>
        <w:rPr>
          <w:rFonts w:hint="eastAsia" w:eastAsia="宋体"/>
          <w:color w:val="auto"/>
          <w:highlight w:val="none"/>
          <w:u w:val="single"/>
        </w:rPr>
        <w:t>//www.dshuanbao.com.cn/）、</w:t>
      </w:r>
      <w:r>
        <w:rPr>
          <w:rFonts w:hint="eastAsia" w:eastAsia="宋体"/>
          <w:color w:val="auto"/>
          <w:highlight w:val="none"/>
          <w:u w:val="single"/>
          <w:lang w:eastAsia="zh-CN"/>
        </w:rPr>
        <w:t>三方诚信招标有限网站</w:t>
      </w:r>
      <w:r>
        <w:rPr>
          <w:rFonts w:hint="eastAsia" w:eastAsia="宋体"/>
          <w:color w:val="auto"/>
          <w:highlight w:val="none"/>
          <w:u w:val="single"/>
        </w:rPr>
        <w:t>(</w:t>
      </w:r>
      <w:r>
        <w:rPr>
          <w:rFonts w:hint="eastAsia" w:eastAsia="宋体"/>
          <w:color w:val="auto"/>
          <w:highlight w:val="none"/>
          <w:u w:val="single"/>
          <w:lang w:eastAsia="zh-CN"/>
        </w:rPr>
        <w:t>http</w:t>
      </w:r>
      <w:r>
        <w:rPr>
          <w:rFonts w:hint="eastAsia"/>
          <w:color w:val="auto"/>
          <w:highlight w:val="none"/>
          <w:u w:val="single"/>
          <w:lang w:eastAsia="zh-CN"/>
        </w:rPr>
        <w:t>：</w:t>
      </w:r>
      <w:r>
        <w:rPr>
          <w:rFonts w:hint="eastAsia" w:eastAsia="宋体"/>
          <w:color w:val="auto"/>
          <w:highlight w:val="none"/>
          <w:u w:val="single"/>
          <w:lang w:eastAsia="zh-CN"/>
        </w:rPr>
        <w:t>//www.sfcx.cn/</w:t>
      </w:r>
      <w:r>
        <w:rPr>
          <w:rFonts w:hint="eastAsia" w:eastAsia="宋体"/>
          <w:color w:val="auto"/>
          <w:highlight w:val="none"/>
          <w:u w:val="single"/>
        </w:rPr>
        <w:t>）</w:t>
      </w:r>
      <w:r>
        <w:rPr>
          <w:rFonts w:hint="eastAsia" w:eastAsia="宋体"/>
          <w:color w:val="auto"/>
          <w:highlight w:val="none"/>
        </w:rPr>
        <w:t>。</w:t>
      </w:r>
    </w:p>
    <w:p>
      <w:pPr>
        <w:rPr>
          <w:rFonts w:ascii="黑体" w:eastAsia="黑体"/>
          <w:b/>
          <w:color w:val="auto"/>
          <w:sz w:val="28"/>
          <w:szCs w:val="28"/>
          <w:highlight w:val="none"/>
        </w:rPr>
      </w:pPr>
      <w:r>
        <w:rPr>
          <w:rFonts w:hint="eastAsia" w:ascii="黑体" w:eastAsia="黑体"/>
          <w:b/>
          <w:color w:val="auto"/>
          <w:sz w:val="28"/>
          <w:szCs w:val="28"/>
          <w:highlight w:val="none"/>
        </w:rPr>
        <w:t>六、</w:t>
      </w:r>
      <w:r>
        <w:rPr>
          <w:rFonts w:ascii="黑体" w:eastAsia="黑体"/>
          <w:b/>
          <w:color w:val="auto"/>
          <w:sz w:val="28"/>
          <w:szCs w:val="28"/>
          <w:highlight w:val="none"/>
        </w:rPr>
        <w:t xml:space="preserve"> </w:t>
      </w:r>
      <w:r>
        <w:rPr>
          <w:rFonts w:hint="eastAsia" w:ascii="黑体" w:eastAsia="黑体"/>
          <w:b/>
          <w:color w:val="auto"/>
          <w:sz w:val="28"/>
          <w:szCs w:val="28"/>
          <w:highlight w:val="none"/>
        </w:rPr>
        <w:t>询价保证金</w:t>
      </w:r>
      <w:r>
        <w:rPr>
          <w:rFonts w:ascii="黑体" w:eastAsia="黑体"/>
          <w:b/>
          <w:color w:val="auto"/>
          <w:sz w:val="28"/>
          <w:szCs w:val="28"/>
          <w:highlight w:val="none"/>
        </w:rPr>
        <w:t xml:space="preserve"> </w:t>
      </w:r>
    </w:p>
    <w:p>
      <w:pPr>
        <w:pStyle w:val="113"/>
        <w:ind w:left="850" w:leftChars="208" w:hanging="413" w:hangingChars="197"/>
        <w:rPr>
          <w:rFonts w:ascii="宋体"/>
          <w:color w:val="auto"/>
          <w:highlight w:val="none"/>
        </w:rPr>
      </w:pPr>
      <w:r>
        <w:rPr>
          <w:rFonts w:ascii="宋体" w:hAnsi="宋体"/>
          <w:color w:val="auto"/>
          <w:highlight w:val="none"/>
        </w:rPr>
        <w:t>6.1.</w:t>
      </w:r>
      <w:r>
        <w:rPr>
          <w:rFonts w:hint="eastAsia" w:ascii="宋体" w:hAnsi="宋体"/>
          <w:color w:val="auto"/>
          <w:highlight w:val="none"/>
        </w:rPr>
        <w:t>询价保证金金额：</w:t>
      </w:r>
      <w:r>
        <w:rPr>
          <w:rFonts w:ascii="宋体" w:hAnsi="宋体"/>
          <w:color w:val="auto"/>
          <w:highlight w:val="none"/>
          <w:u w:val="single"/>
        </w:rPr>
        <w:t xml:space="preserve"> </w:t>
      </w:r>
      <w:r>
        <w:rPr>
          <w:rFonts w:hint="eastAsia" w:ascii="宋体" w:hAnsi="宋体"/>
          <w:color w:val="auto"/>
          <w:highlight w:val="none"/>
          <w:u w:val="single"/>
        </w:rPr>
        <w:t>56,000.00</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元。</w:t>
      </w:r>
    </w:p>
    <w:p>
      <w:pPr>
        <w:pStyle w:val="113"/>
        <w:ind w:left="850" w:leftChars="208" w:hanging="413" w:hangingChars="197"/>
        <w:rPr>
          <w:rFonts w:ascii="宋体"/>
          <w:color w:val="auto"/>
          <w:highlight w:val="none"/>
        </w:rPr>
      </w:pPr>
      <w:r>
        <w:rPr>
          <w:rFonts w:ascii="宋体" w:hAnsi="宋体"/>
          <w:color w:val="auto"/>
          <w:highlight w:val="none"/>
        </w:rPr>
        <w:t>6.2.</w:t>
      </w:r>
      <w:r>
        <w:rPr>
          <w:rFonts w:hint="eastAsia" w:ascii="宋体" w:hAnsi="宋体"/>
          <w:color w:val="auto"/>
          <w:highlight w:val="none"/>
        </w:rPr>
        <w:t>询价保证金缴纳方式：银行转账或电汇。</w:t>
      </w:r>
    </w:p>
    <w:p>
      <w:pPr>
        <w:rPr>
          <w:rFonts w:ascii="黑体" w:eastAsia="黑体"/>
          <w:b/>
          <w:color w:val="auto"/>
          <w:sz w:val="28"/>
          <w:szCs w:val="28"/>
          <w:highlight w:val="none"/>
        </w:rPr>
      </w:pPr>
      <w:r>
        <w:rPr>
          <w:rFonts w:hint="eastAsia" w:ascii="黑体" w:eastAsia="黑体"/>
          <w:b/>
          <w:color w:val="auto"/>
          <w:sz w:val="28"/>
          <w:szCs w:val="28"/>
          <w:highlight w:val="none"/>
        </w:rPr>
        <w:t>七、</w:t>
      </w:r>
      <w:r>
        <w:rPr>
          <w:rFonts w:ascii="黑体" w:eastAsia="黑体"/>
          <w:b/>
          <w:color w:val="auto"/>
          <w:sz w:val="28"/>
          <w:szCs w:val="28"/>
          <w:highlight w:val="none"/>
        </w:rPr>
        <w:t xml:space="preserve"> </w:t>
      </w:r>
      <w:r>
        <w:rPr>
          <w:rFonts w:hint="eastAsia" w:ascii="黑体" w:eastAsia="黑体"/>
          <w:b/>
          <w:color w:val="auto"/>
          <w:sz w:val="28"/>
          <w:szCs w:val="28"/>
          <w:highlight w:val="none"/>
        </w:rPr>
        <w:t>联系方式</w:t>
      </w:r>
      <w:r>
        <w:rPr>
          <w:rFonts w:ascii="黑体" w:eastAsia="黑体"/>
          <w:b/>
          <w:color w:val="auto"/>
          <w:sz w:val="28"/>
          <w:szCs w:val="28"/>
          <w:highlight w:val="none"/>
        </w:rPr>
        <w:t xml:space="preserve"> </w:t>
      </w:r>
    </w:p>
    <w:p>
      <w:pPr>
        <w:tabs>
          <w:tab w:val="left" w:pos="900"/>
          <w:tab w:val="left" w:pos="1262"/>
        </w:tabs>
        <w:spacing w:line="440" w:lineRule="exact"/>
        <w:ind w:left="142" w:firstLine="424" w:firstLineChars="202"/>
        <w:rPr>
          <w:rFonts w:ascii="宋体"/>
          <w:color w:val="auto"/>
          <w:szCs w:val="21"/>
          <w:highlight w:val="none"/>
        </w:rPr>
      </w:pPr>
      <w:r>
        <w:rPr>
          <w:rFonts w:hint="eastAsia" w:ascii="宋体" w:hAnsi="宋体"/>
          <w:color w:val="auto"/>
          <w:szCs w:val="21"/>
          <w:highlight w:val="none"/>
        </w:rPr>
        <w:t>采购人名称：东莞市新东元环保投资有限公司</w:t>
      </w:r>
    </w:p>
    <w:p>
      <w:pPr>
        <w:tabs>
          <w:tab w:val="left" w:pos="900"/>
          <w:tab w:val="left" w:pos="1262"/>
        </w:tabs>
        <w:spacing w:line="440" w:lineRule="exact"/>
        <w:ind w:left="142" w:firstLine="424" w:firstLineChars="202"/>
        <w:rPr>
          <w:rFonts w:ascii="宋体"/>
          <w:color w:val="auto"/>
          <w:szCs w:val="21"/>
          <w:highlight w:val="none"/>
        </w:rPr>
      </w:pPr>
      <w:r>
        <w:rPr>
          <w:rFonts w:hint="eastAsia" w:ascii="宋体" w:hAnsi="宋体"/>
          <w:color w:val="auto"/>
          <w:szCs w:val="21"/>
          <w:highlight w:val="none"/>
        </w:rPr>
        <w:t>采购人地址：</w:t>
      </w:r>
      <w:r>
        <w:rPr>
          <w:rFonts w:hint="eastAsia" w:asciiTheme="minorEastAsia" w:hAnsiTheme="minorEastAsia" w:eastAsiaTheme="minorEastAsia"/>
          <w:bCs/>
          <w:color w:val="auto"/>
          <w:szCs w:val="21"/>
          <w:highlight w:val="none"/>
        </w:rPr>
        <w:t>东莞市麻涌镇大步村海心沙岛</w:t>
      </w:r>
    </w:p>
    <w:p>
      <w:pPr>
        <w:tabs>
          <w:tab w:val="left" w:pos="900"/>
          <w:tab w:val="left" w:pos="1262"/>
        </w:tabs>
        <w:spacing w:line="440" w:lineRule="exact"/>
        <w:ind w:left="142" w:firstLine="424" w:firstLineChars="202"/>
        <w:rPr>
          <w:rFonts w:hint="default" w:ascii="宋体" w:eastAsia="宋体"/>
          <w:color w:val="auto"/>
          <w:szCs w:val="21"/>
          <w:highlight w:val="none"/>
          <w:lang w:val="en-US" w:eastAsia="zh-CN"/>
        </w:rPr>
      </w:pPr>
      <w:r>
        <w:rPr>
          <w:rFonts w:hint="eastAsia" w:ascii="宋体" w:hAnsi="宋体"/>
          <w:color w:val="auto"/>
          <w:szCs w:val="21"/>
          <w:highlight w:val="none"/>
        </w:rPr>
        <w:t>联系人：徐小姐</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罗小姐</w:t>
      </w:r>
    </w:p>
    <w:p>
      <w:pPr>
        <w:tabs>
          <w:tab w:val="left" w:pos="900"/>
          <w:tab w:val="left" w:pos="1262"/>
        </w:tabs>
        <w:spacing w:line="440" w:lineRule="exact"/>
        <w:ind w:left="142" w:firstLine="424" w:firstLineChars="202"/>
        <w:rPr>
          <w:rFonts w:ascii="宋体"/>
          <w:color w:val="auto"/>
          <w:szCs w:val="21"/>
          <w:highlight w:val="none"/>
        </w:rPr>
      </w:pPr>
      <w:r>
        <w:rPr>
          <w:rFonts w:hint="eastAsia" w:ascii="宋体" w:hAnsi="宋体"/>
          <w:color w:val="auto"/>
          <w:szCs w:val="21"/>
          <w:highlight w:val="none"/>
        </w:rPr>
        <w:t>联系电话：0769-81219261、0769-39028727</w:t>
      </w:r>
    </w:p>
    <w:p>
      <w:pPr>
        <w:tabs>
          <w:tab w:val="left" w:pos="900"/>
          <w:tab w:val="left" w:pos="1262"/>
        </w:tabs>
        <w:spacing w:line="440" w:lineRule="exact"/>
        <w:ind w:left="142" w:firstLine="424" w:firstLineChars="202"/>
        <w:rPr>
          <w:rFonts w:hint="eastAsia" w:ascii="宋体" w:eastAsia="宋体"/>
          <w:color w:val="auto"/>
          <w:szCs w:val="21"/>
          <w:highlight w:val="none"/>
          <w:lang w:val="en-US" w:eastAsia="zh-CN"/>
        </w:rPr>
      </w:pPr>
      <w:r>
        <w:rPr>
          <w:rFonts w:hint="eastAsia" w:ascii="宋体" w:hAnsi="宋体"/>
          <w:color w:val="auto"/>
          <w:szCs w:val="21"/>
          <w:highlight w:val="none"/>
        </w:rPr>
        <w:t>电子邮件：</w:t>
      </w:r>
      <w:r>
        <w:rPr>
          <w:rFonts w:hint="eastAsia" w:ascii="宋体" w:hAnsi="宋体"/>
          <w:color w:val="auto"/>
          <w:szCs w:val="21"/>
          <w:highlight w:val="none"/>
          <w:lang w:val="en-US" w:eastAsia="zh-CN"/>
        </w:rPr>
        <w:t>/</w:t>
      </w:r>
    </w:p>
    <w:p>
      <w:pPr>
        <w:tabs>
          <w:tab w:val="left" w:pos="900"/>
          <w:tab w:val="left" w:pos="1262"/>
        </w:tabs>
        <w:spacing w:line="440" w:lineRule="exact"/>
        <w:ind w:left="142" w:firstLine="424" w:firstLineChars="202"/>
        <w:rPr>
          <w:rFonts w:ascii="宋体"/>
          <w:color w:val="auto"/>
          <w:szCs w:val="21"/>
          <w:highlight w:val="none"/>
        </w:rPr>
      </w:pPr>
    </w:p>
    <w:p>
      <w:pPr>
        <w:tabs>
          <w:tab w:val="left" w:pos="900"/>
          <w:tab w:val="left" w:pos="1262"/>
        </w:tabs>
        <w:spacing w:line="440" w:lineRule="exact"/>
        <w:ind w:left="142" w:firstLine="424" w:firstLineChars="202"/>
        <w:rPr>
          <w:rFonts w:ascii="宋体"/>
          <w:color w:val="auto"/>
          <w:szCs w:val="21"/>
          <w:highlight w:val="none"/>
        </w:rPr>
      </w:pPr>
      <w:r>
        <w:rPr>
          <w:rFonts w:hint="eastAsia" w:ascii="宋体" w:hAnsi="宋体"/>
          <w:color w:val="auto"/>
          <w:szCs w:val="21"/>
          <w:highlight w:val="none"/>
        </w:rPr>
        <w:t>采购人采购代理机构名称：三方诚信招标有限公司东莞分公司</w:t>
      </w:r>
    </w:p>
    <w:p>
      <w:pPr>
        <w:tabs>
          <w:tab w:val="left" w:pos="900"/>
          <w:tab w:val="left" w:pos="1262"/>
        </w:tabs>
        <w:spacing w:line="440" w:lineRule="exact"/>
        <w:ind w:left="142" w:firstLine="424" w:firstLineChars="202"/>
        <w:rPr>
          <w:rFonts w:ascii="宋体" w:hAnsi="宋体"/>
          <w:color w:val="auto"/>
          <w:szCs w:val="21"/>
          <w:highlight w:val="none"/>
        </w:rPr>
      </w:pPr>
      <w:r>
        <w:rPr>
          <w:rFonts w:hint="eastAsia" w:ascii="宋体" w:hAnsi="宋体"/>
          <w:color w:val="auto"/>
          <w:szCs w:val="21"/>
          <w:highlight w:val="none"/>
        </w:rPr>
        <w:t>采购代理机构地址：广东省东莞市南城街道鸿福西路国际商会大厦706室</w:t>
      </w:r>
    </w:p>
    <w:p>
      <w:pPr>
        <w:tabs>
          <w:tab w:val="left" w:pos="900"/>
          <w:tab w:val="left" w:pos="1262"/>
        </w:tabs>
        <w:spacing w:line="440" w:lineRule="exact"/>
        <w:ind w:left="142" w:firstLine="424" w:firstLineChars="202"/>
        <w:rPr>
          <w:rFonts w:ascii="宋体" w:hAnsi="宋体"/>
          <w:color w:val="auto"/>
          <w:szCs w:val="21"/>
          <w:highlight w:val="none"/>
        </w:rPr>
      </w:pPr>
      <w:r>
        <w:rPr>
          <w:rFonts w:hint="eastAsia" w:ascii="宋体" w:hAnsi="宋体"/>
          <w:color w:val="auto"/>
          <w:szCs w:val="21"/>
          <w:highlight w:val="none"/>
        </w:rPr>
        <w:t>联系人：陈先生</w:t>
      </w:r>
    </w:p>
    <w:p>
      <w:pPr>
        <w:tabs>
          <w:tab w:val="left" w:pos="900"/>
          <w:tab w:val="left" w:pos="1262"/>
        </w:tabs>
        <w:spacing w:line="440" w:lineRule="exact"/>
        <w:ind w:left="142" w:firstLine="424" w:firstLineChars="202"/>
        <w:rPr>
          <w:rFonts w:ascii="宋体" w:hAnsi="宋体"/>
          <w:color w:val="auto"/>
          <w:szCs w:val="21"/>
          <w:highlight w:val="none"/>
        </w:rPr>
      </w:pPr>
      <w:r>
        <w:rPr>
          <w:rFonts w:hint="eastAsia" w:ascii="宋体" w:hAnsi="宋体"/>
          <w:color w:val="auto"/>
          <w:szCs w:val="21"/>
          <w:highlight w:val="none"/>
        </w:rPr>
        <w:t>联系电话：0769-21682660</w:t>
      </w:r>
    </w:p>
    <w:p>
      <w:pPr>
        <w:tabs>
          <w:tab w:val="left" w:pos="900"/>
          <w:tab w:val="left" w:pos="1262"/>
        </w:tabs>
        <w:spacing w:line="440" w:lineRule="exact"/>
        <w:ind w:left="142" w:firstLine="424" w:firstLineChars="202"/>
        <w:rPr>
          <w:rFonts w:ascii="宋体" w:hAnsi="宋体"/>
          <w:color w:val="auto"/>
          <w:szCs w:val="21"/>
          <w:highlight w:val="none"/>
        </w:rPr>
      </w:pPr>
      <w:r>
        <w:rPr>
          <w:rFonts w:hint="eastAsia" w:ascii="宋体" w:hAnsi="宋体"/>
          <w:color w:val="auto"/>
          <w:szCs w:val="21"/>
          <w:highlight w:val="none"/>
        </w:rPr>
        <w:t>电子邮件：2726688173@qq.com</w:t>
      </w:r>
    </w:p>
    <w:p>
      <w:pPr>
        <w:tabs>
          <w:tab w:val="left" w:pos="900"/>
          <w:tab w:val="left" w:pos="1262"/>
        </w:tabs>
        <w:spacing w:line="440" w:lineRule="exact"/>
        <w:ind w:left="142" w:firstLine="424" w:firstLineChars="202"/>
        <w:jc w:val="right"/>
        <w:rPr>
          <w:rFonts w:hint="eastAsia" w:ascii="宋体" w:hAnsi="宋体"/>
          <w:color w:val="auto"/>
          <w:szCs w:val="21"/>
          <w:highlight w:val="none"/>
        </w:rPr>
      </w:pPr>
    </w:p>
    <w:p>
      <w:pPr>
        <w:tabs>
          <w:tab w:val="left" w:pos="900"/>
          <w:tab w:val="left" w:pos="1262"/>
        </w:tabs>
        <w:spacing w:line="440" w:lineRule="exact"/>
        <w:ind w:left="142" w:firstLine="424" w:firstLineChars="202"/>
        <w:jc w:val="right"/>
        <w:rPr>
          <w:rFonts w:hint="eastAsia" w:ascii="宋体" w:hAnsi="宋体"/>
          <w:color w:val="auto"/>
          <w:szCs w:val="21"/>
          <w:highlight w:val="none"/>
        </w:rPr>
      </w:pPr>
    </w:p>
    <w:p>
      <w:pPr>
        <w:tabs>
          <w:tab w:val="left" w:pos="900"/>
          <w:tab w:val="left" w:pos="1262"/>
        </w:tabs>
        <w:spacing w:line="440" w:lineRule="exact"/>
        <w:ind w:left="142" w:firstLine="424" w:firstLineChars="202"/>
        <w:jc w:val="right"/>
        <w:rPr>
          <w:rFonts w:hint="eastAsia" w:ascii="宋体" w:eastAsia="宋体"/>
          <w:color w:val="auto"/>
          <w:szCs w:val="21"/>
          <w:highlight w:val="none"/>
          <w:lang w:val="en-US" w:eastAsia="zh-CN"/>
        </w:rPr>
      </w:pPr>
      <w:r>
        <w:rPr>
          <w:rFonts w:hint="eastAsia" w:ascii="宋体" w:hAnsi="宋体"/>
          <w:color w:val="auto"/>
          <w:szCs w:val="21"/>
          <w:highlight w:val="none"/>
        </w:rPr>
        <w:t>采购人：</w:t>
      </w:r>
      <w:r>
        <w:rPr>
          <w:rFonts w:hint="eastAsia" w:ascii="宋体" w:eastAsia="宋体"/>
          <w:color w:val="auto"/>
          <w:szCs w:val="21"/>
          <w:highlight w:val="none"/>
          <w:lang w:val="en-US" w:eastAsia="zh-CN"/>
        </w:rPr>
        <w:t>东莞市新东元环保投资有限公司</w:t>
      </w:r>
    </w:p>
    <w:p>
      <w:pPr>
        <w:tabs>
          <w:tab w:val="left" w:pos="900"/>
          <w:tab w:val="left" w:pos="1262"/>
        </w:tabs>
        <w:spacing w:line="440" w:lineRule="exact"/>
        <w:ind w:left="142" w:firstLine="424" w:firstLineChars="202"/>
        <w:jc w:val="right"/>
        <w:rPr>
          <w:rFonts w:hint="eastAsia" w:ascii="宋体" w:eastAsia="宋体"/>
          <w:color w:val="auto"/>
          <w:szCs w:val="21"/>
          <w:highlight w:val="none"/>
          <w:lang w:val="en-US" w:eastAsia="zh-CN"/>
        </w:rPr>
      </w:pPr>
    </w:p>
    <w:p>
      <w:pPr>
        <w:tabs>
          <w:tab w:val="left" w:pos="900"/>
          <w:tab w:val="left" w:pos="1262"/>
        </w:tabs>
        <w:spacing w:line="440" w:lineRule="exact"/>
        <w:ind w:left="142" w:firstLine="424" w:firstLineChars="202"/>
        <w:jc w:val="right"/>
        <w:rPr>
          <w:rFonts w:hint="eastAsia" w:ascii="宋体" w:eastAsia="宋体"/>
          <w:color w:val="auto"/>
          <w:szCs w:val="21"/>
          <w:highlight w:val="none"/>
          <w:lang w:val="en-US" w:eastAsia="zh-CN"/>
        </w:rPr>
      </w:pPr>
      <w:r>
        <w:rPr>
          <w:rFonts w:hint="eastAsia" w:ascii="宋体" w:hAnsi="宋体"/>
          <w:color w:val="auto"/>
          <w:szCs w:val="21"/>
          <w:highlight w:val="none"/>
        </w:rPr>
        <w:t>采购代理机构</w:t>
      </w:r>
      <w:r>
        <w:rPr>
          <w:rFonts w:hint="eastAsia" w:ascii="宋体" w:hAnsi="宋体"/>
          <w:color w:val="auto"/>
          <w:szCs w:val="21"/>
          <w:highlight w:val="none"/>
          <w:lang w:eastAsia="zh-CN"/>
        </w:rPr>
        <w:t>：</w:t>
      </w:r>
      <w:r>
        <w:rPr>
          <w:rFonts w:hint="eastAsia" w:ascii="宋体" w:eastAsia="宋体"/>
          <w:color w:val="auto"/>
          <w:szCs w:val="21"/>
          <w:highlight w:val="none"/>
          <w:lang w:val="en-US" w:eastAsia="zh-CN"/>
        </w:rPr>
        <w:t>三方诚信招标有限公司东莞分公司</w:t>
      </w:r>
    </w:p>
    <w:p>
      <w:pPr>
        <w:tabs>
          <w:tab w:val="left" w:pos="900"/>
          <w:tab w:val="left" w:pos="1262"/>
        </w:tabs>
        <w:spacing w:line="440" w:lineRule="exact"/>
        <w:ind w:left="142" w:firstLine="424" w:firstLineChars="202"/>
        <w:jc w:val="right"/>
        <w:rPr>
          <w:rFonts w:hint="eastAsia" w:ascii="宋体" w:eastAsia="宋体"/>
          <w:color w:val="auto"/>
          <w:szCs w:val="21"/>
          <w:highlight w:val="none"/>
          <w:lang w:val="en-US" w:eastAsia="zh-CN"/>
        </w:rPr>
      </w:pPr>
    </w:p>
    <w:p>
      <w:pPr>
        <w:tabs>
          <w:tab w:val="left" w:pos="900"/>
          <w:tab w:val="left" w:pos="1262"/>
        </w:tabs>
        <w:wordWrap w:val="0"/>
        <w:spacing w:line="440" w:lineRule="exact"/>
        <w:ind w:left="142" w:firstLine="424" w:firstLineChars="202"/>
        <w:jc w:val="right"/>
        <w:rPr>
          <w:rFonts w:ascii="黑体" w:eastAsia="黑体"/>
          <w:b/>
          <w:color w:val="auto"/>
          <w:sz w:val="28"/>
          <w:szCs w:val="28"/>
          <w:highlight w:val="none"/>
        </w:rPr>
      </w:pP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2025</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23</w:t>
      </w:r>
      <w:r>
        <w:rPr>
          <w:rFonts w:ascii="宋体" w:hAnsi="宋体"/>
          <w:color w:val="auto"/>
          <w:szCs w:val="21"/>
          <w:highlight w:val="none"/>
          <w:u w:val="single"/>
        </w:rPr>
        <w:t xml:space="preserve"> </w:t>
      </w:r>
      <w:r>
        <w:rPr>
          <w:rFonts w:hint="eastAsia" w:ascii="宋体" w:hAnsi="宋体"/>
          <w:color w:val="auto"/>
          <w:szCs w:val="21"/>
          <w:highlight w:val="none"/>
        </w:rPr>
        <w:t>日</w:t>
      </w:r>
    </w:p>
    <w:p>
      <w:pPr>
        <w:ind w:left="-14" w:firstLine="640"/>
        <w:jc w:val="right"/>
        <w:rPr>
          <w:color w:val="auto"/>
          <w:highlight w:val="none"/>
        </w:rPr>
      </w:pPr>
      <w:r>
        <w:rPr>
          <w:color w:val="auto"/>
          <w:highlight w:val="none"/>
        </w:rPr>
        <w:t xml:space="preserve">                                     </w:t>
      </w:r>
    </w:p>
    <w:p>
      <w:pPr>
        <w:pStyle w:val="79"/>
        <w:rPr>
          <w:rFonts w:ascii="宋体" w:hAnsi="宋体" w:eastAsia="宋体" w:cs="宋体"/>
          <w:b/>
          <w:color w:val="auto"/>
          <w:kern w:val="0"/>
          <w:sz w:val="28"/>
          <w:szCs w:val="28"/>
          <w:highlight w:val="none"/>
        </w:rPr>
      </w:pPr>
      <w:r>
        <w:rPr>
          <w:b/>
          <w:color w:val="auto"/>
          <w:sz w:val="28"/>
          <w:szCs w:val="28"/>
          <w:highlight w:val="none"/>
        </w:rPr>
        <w:br w:type="page"/>
      </w:r>
      <w:bookmarkEnd w:id="0"/>
      <w:bookmarkEnd w:id="1"/>
      <w:bookmarkStart w:id="4" w:name="_Toc456551874"/>
      <w:bookmarkStart w:id="5" w:name="_Toc22816"/>
      <w:r>
        <w:rPr>
          <w:rFonts w:hint="eastAsia" w:ascii="宋体" w:hAnsi="宋体" w:eastAsia="宋体" w:cs="宋体"/>
          <w:b/>
          <w:color w:val="auto"/>
          <w:kern w:val="0"/>
          <w:sz w:val="28"/>
          <w:szCs w:val="28"/>
          <w:highlight w:val="none"/>
        </w:rPr>
        <w:t>第二章</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询价响应须知</w:t>
      </w:r>
      <w:bookmarkEnd w:id="4"/>
      <w:bookmarkEnd w:id="5"/>
    </w:p>
    <w:p>
      <w:pPr>
        <w:pStyle w:val="3"/>
        <w:spacing w:line="240" w:lineRule="auto"/>
        <w:jc w:val="left"/>
        <w:rPr>
          <w:color w:val="auto"/>
          <w:sz w:val="28"/>
          <w:szCs w:val="28"/>
          <w:highlight w:val="none"/>
        </w:rPr>
      </w:pPr>
      <w:bookmarkStart w:id="6" w:name="_Toc456551875"/>
      <w:bookmarkStart w:id="7" w:name="_Toc11886"/>
      <w:r>
        <w:rPr>
          <w:rFonts w:hint="eastAsia"/>
          <w:color w:val="auto"/>
          <w:sz w:val="28"/>
          <w:szCs w:val="28"/>
          <w:highlight w:val="none"/>
        </w:rPr>
        <w:t>询价响应须知前附表</w:t>
      </w:r>
      <w:bookmarkEnd w:id="6"/>
      <w:bookmarkEnd w:id="7"/>
    </w:p>
    <w:p>
      <w:pPr>
        <w:spacing w:line="440" w:lineRule="exact"/>
        <w:ind w:right="-340" w:rightChars="-162"/>
        <w:jc w:val="left"/>
        <w:rPr>
          <w:color w:val="auto"/>
          <w:szCs w:val="21"/>
          <w:highlight w:val="none"/>
        </w:rPr>
      </w:pPr>
      <w:r>
        <w:rPr>
          <w:rFonts w:hint="eastAsia"/>
          <w:color w:val="auto"/>
          <w:szCs w:val="21"/>
          <w:highlight w:val="none"/>
        </w:rPr>
        <w:t>本询价响应须知前附表是对询价响应须知正文的具体补充和修改，如有矛盾，以本前附表为准。</w:t>
      </w:r>
    </w:p>
    <w:tbl>
      <w:tblPr>
        <w:tblStyle w:val="38"/>
        <w:tblW w:w="8931" w:type="dxa"/>
        <w:tblInd w:w="-176" w:type="dxa"/>
        <w:tblLayout w:type="fixed"/>
        <w:tblCellMar>
          <w:top w:w="0" w:type="dxa"/>
          <w:left w:w="108" w:type="dxa"/>
          <w:bottom w:w="0" w:type="dxa"/>
          <w:right w:w="108" w:type="dxa"/>
        </w:tblCellMar>
      </w:tblPr>
      <w:tblGrid>
        <w:gridCol w:w="993"/>
        <w:gridCol w:w="1843"/>
        <w:gridCol w:w="6095"/>
      </w:tblGrid>
      <w:tr>
        <w:tc>
          <w:tcPr>
            <w:tcW w:w="993"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highlight w:val="none"/>
              </w:rPr>
            </w:pPr>
            <w:r>
              <w:rPr>
                <w:rFonts w:hint="eastAsia"/>
                <w:b/>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highlight w:val="none"/>
              </w:rPr>
            </w:pP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款</w:t>
            </w:r>
            <w:r>
              <w:rPr>
                <w:b/>
                <w:color w:val="auto"/>
                <w:szCs w:val="21"/>
                <w:highlight w:val="none"/>
              </w:rPr>
              <w:t xml:space="preserve">  </w:t>
            </w:r>
            <w:r>
              <w:rPr>
                <w:rFonts w:hint="eastAsia"/>
                <w:b/>
                <w:color w:val="auto"/>
                <w:szCs w:val="21"/>
                <w:highlight w:val="none"/>
              </w:rPr>
              <w:t>名</w:t>
            </w:r>
            <w:r>
              <w:rPr>
                <w:b/>
                <w:color w:val="auto"/>
                <w:szCs w:val="21"/>
                <w:highlight w:val="none"/>
              </w:rPr>
              <w:t xml:space="preserve">  </w:t>
            </w:r>
            <w:r>
              <w:rPr>
                <w:rFonts w:hint="eastAsia"/>
                <w:b/>
                <w:color w:val="auto"/>
                <w:szCs w:val="21"/>
                <w:highlight w:val="none"/>
              </w:rPr>
              <w:t>称</w:t>
            </w:r>
          </w:p>
        </w:tc>
        <w:tc>
          <w:tcPr>
            <w:tcW w:w="6095"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highlight w:val="none"/>
              </w:rPr>
            </w:pPr>
            <w:r>
              <w:rPr>
                <w:rFonts w:hint="eastAsia"/>
                <w:b/>
                <w:color w:val="auto"/>
                <w:szCs w:val="21"/>
                <w:highlight w:val="none"/>
              </w:rPr>
              <w:t>编</w:t>
            </w:r>
            <w:r>
              <w:rPr>
                <w:b/>
                <w:color w:val="auto"/>
                <w:szCs w:val="21"/>
                <w:highlight w:val="none"/>
              </w:rPr>
              <w:t xml:space="preserve">  </w:t>
            </w:r>
            <w:r>
              <w:rPr>
                <w:rFonts w:hint="eastAsia"/>
                <w:b/>
                <w:color w:val="auto"/>
                <w:szCs w:val="21"/>
                <w:highlight w:val="none"/>
              </w:rPr>
              <w:t>列</w:t>
            </w:r>
            <w:r>
              <w:rPr>
                <w:b/>
                <w:color w:val="auto"/>
                <w:szCs w:val="21"/>
                <w:highlight w:val="none"/>
              </w:rPr>
              <w:t xml:space="preserve">  </w:t>
            </w:r>
            <w:r>
              <w:rPr>
                <w:rFonts w:hint="eastAsia"/>
                <w:b/>
                <w:color w:val="auto"/>
                <w:szCs w:val="21"/>
                <w:highlight w:val="none"/>
              </w:rPr>
              <w:t>内</w:t>
            </w:r>
            <w:r>
              <w:rPr>
                <w:b/>
                <w:color w:val="auto"/>
                <w:szCs w:val="21"/>
                <w:highlight w:val="none"/>
              </w:rPr>
              <w:t xml:space="preserve">  </w:t>
            </w:r>
            <w:r>
              <w:rPr>
                <w:rFonts w:hint="eastAsia"/>
                <w:b/>
                <w:color w:val="auto"/>
                <w:szCs w:val="21"/>
                <w:highlight w:val="none"/>
              </w:rPr>
              <w:t>容</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1.1.5</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highlight w:val="none"/>
              </w:rPr>
              <w:t>项目承包方式</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olor w:val="auto"/>
                <w:szCs w:val="21"/>
                <w:highlight w:val="none"/>
              </w:rPr>
            </w:pPr>
            <w:r>
              <w:rPr>
                <w:rFonts w:hint="eastAsia"/>
                <w:color w:val="auto"/>
                <w:szCs w:val="21"/>
                <w:highlight w:val="none"/>
              </w:rPr>
              <w:t>■</w:t>
            </w:r>
            <w:r>
              <w:rPr>
                <w:rFonts w:hint="eastAsia" w:ascii="宋体" w:hAnsi="宋体"/>
                <w:color w:val="auto"/>
                <w:szCs w:val="21"/>
                <w:highlight w:val="none"/>
              </w:rPr>
              <w:t>固定总价包干</w:t>
            </w:r>
          </w:p>
          <w:p>
            <w:pPr>
              <w:autoSpaceDE w:val="0"/>
              <w:autoSpaceDN w:val="0"/>
              <w:rPr>
                <w:rFonts w:ascii="宋体"/>
                <w:color w:val="auto"/>
                <w:szCs w:val="21"/>
                <w:highlight w:val="none"/>
              </w:rPr>
            </w:pPr>
            <w:r>
              <w:rPr>
                <w:rFonts w:hint="eastAsia" w:ascii="宋体" w:hAnsi="宋体"/>
                <w:color w:val="auto"/>
                <w:szCs w:val="21"/>
                <w:highlight w:val="none"/>
              </w:rPr>
              <w:t>□固定单价暂定总价包干</w:t>
            </w:r>
          </w:p>
          <w:p>
            <w:pPr>
              <w:autoSpaceDE w:val="0"/>
              <w:autoSpaceDN w:val="0"/>
              <w:rPr>
                <w:rFonts w:ascii="宋体"/>
                <w:color w:val="auto"/>
                <w:szCs w:val="21"/>
                <w:highlight w:val="none"/>
              </w:rPr>
            </w:pPr>
            <w:r>
              <w:rPr>
                <w:rFonts w:hint="eastAsia" w:ascii="宋体" w:hAnsi="宋体"/>
                <w:color w:val="auto"/>
                <w:szCs w:val="21"/>
                <w:highlight w:val="none"/>
              </w:rPr>
              <w:t>□其他，</w:t>
            </w:r>
            <w:r>
              <w:rPr>
                <w:rFonts w:ascii="宋体" w:hAnsi="宋体"/>
                <w:color w:val="auto"/>
                <w:szCs w:val="21"/>
                <w:highlight w:val="none"/>
                <w:u w:val="single"/>
              </w:rPr>
              <w:t xml:space="preserve">             </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szCs w:val="21"/>
                <w:highlight w:val="none"/>
              </w:rPr>
              <w:t>企业自筹</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1.3.5</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质量要求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szCs w:val="21"/>
                <w:highlight w:val="none"/>
              </w:rPr>
              <w:t>达到国家或行业质量检验评定的合格标准</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1.6.3</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联合体响应</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不接受</w:t>
            </w:r>
          </w:p>
          <w:p>
            <w:pPr>
              <w:autoSpaceDE w:val="0"/>
              <w:autoSpaceDN w:val="0"/>
              <w:rPr>
                <w:rFonts w:asci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接受，</w:t>
            </w:r>
            <w:r>
              <w:rPr>
                <w:rFonts w:hint="eastAsia" w:ascii="宋体" w:hAnsi="宋体"/>
                <w:color w:val="auto"/>
                <w:szCs w:val="21"/>
                <w:highlight w:val="none"/>
              </w:rPr>
              <w:t>联合体响应的，应满足下列要求：</w:t>
            </w:r>
            <w:r>
              <w:rPr>
                <w:rFonts w:ascii="宋体" w:hAnsi="宋体"/>
                <w:color w:val="auto"/>
                <w:szCs w:val="21"/>
                <w:highlight w:val="none"/>
                <w:u w:val="single"/>
              </w:rPr>
              <w:t xml:space="preserve">         </w:t>
            </w:r>
            <w:r>
              <w:rPr>
                <w:rFonts w:hint="eastAsia" w:ascii="宋体" w:hAnsi="宋体"/>
                <w:color w:val="auto"/>
                <w:szCs w:val="21"/>
                <w:highlight w:val="none"/>
              </w:rPr>
              <w:t>。</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ascii="宋体" w:hAnsi="宋体" w:cs="宋体"/>
                <w:color w:val="auto"/>
                <w:szCs w:val="21"/>
                <w:highlight w:val="none"/>
              </w:rPr>
              <w:t>1.12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踏勘现场</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不组织</w:t>
            </w:r>
          </w:p>
          <w:p>
            <w:pPr>
              <w:autoSpaceDE w:val="0"/>
              <w:autoSpaceDN w:val="0"/>
              <w:rPr>
                <w:rFonts w:asci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组织，踏勘现场时间、地点：</w:t>
            </w:r>
            <w:r>
              <w:rPr>
                <w:rFonts w:ascii="宋体" w:hAnsi="宋体" w:cs="宋体"/>
                <w:color w:val="auto"/>
                <w:szCs w:val="21"/>
                <w:highlight w:val="none"/>
                <w:u w:val="single"/>
              </w:rPr>
              <w:t xml:space="preserve">                         </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ascii="宋体" w:hAnsi="宋体" w:cs="宋体"/>
                <w:color w:val="auto"/>
                <w:szCs w:val="21"/>
                <w:highlight w:val="none"/>
              </w:rPr>
              <w:t>2.1.3</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实质性要求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cs="宋体"/>
                <w:color w:val="auto"/>
                <w:szCs w:val="21"/>
                <w:highlight w:val="none"/>
              </w:rPr>
            </w:pPr>
            <w:r>
              <w:rPr>
                <w:rFonts w:hint="eastAsia" w:ascii="宋体" w:hAnsi="宋体" w:cs="宋体"/>
                <w:color w:val="auto"/>
                <w:szCs w:val="21"/>
                <w:highlight w:val="none"/>
              </w:rPr>
              <w:t>询价文件中标识“</w:t>
            </w:r>
            <w:r>
              <w:rPr>
                <w:rFonts w:eastAsia="黑体"/>
                <w:color w:val="auto"/>
                <w:sz w:val="32"/>
                <w:szCs w:val="32"/>
                <w:highlight w:val="none"/>
              </w:rPr>
              <w:sym w:font="Wingdings" w:char="F0AB"/>
            </w:r>
            <w:r>
              <w:rPr>
                <w:rFonts w:hint="eastAsia" w:ascii="宋体" w:hAnsi="宋体" w:cs="宋体"/>
                <w:color w:val="auto"/>
                <w:szCs w:val="21"/>
                <w:highlight w:val="none"/>
              </w:rPr>
              <w:t>”的条款，均为实质性条款，任何不满足实质性条款的询价将被否决。</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ascii="宋体" w:hAnsi="宋体" w:cs="宋体"/>
                <w:color w:val="auto"/>
                <w:szCs w:val="21"/>
                <w:highlight w:val="none"/>
              </w:rPr>
              <w:t>2.2.1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响应人提出澄清要求的截止时间和方式</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szCs w:val="21"/>
                <w:highlight w:val="none"/>
              </w:rPr>
              <w:t>响应人应当在提交响应文件截止时间至少</w:t>
            </w:r>
            <w:r>
              <w:rPr>
                <w:rFonts w:ascii="宋体" w:hAnsi="宋体" w:cs="宋体"/>
                <w:color w:val="auto"/>
                <w:szCs w:val="21"/>
                <w:highlight w:val="none"/>
              </w:rPr>
              <w:t>2</w:t>
            </w:r>
            <w:r>
              <w:rPr>
                <w:rFonts w:hint="eastAsia" w:ascii="宋体" w:hAnsi="宋体" w:cs="宋体"/>
                <w:color w:val="auto"/>
                <w:szCs w:val="21"/>
                <w:highlight w:val="none"/>
              </w:rPr>
              <w:t>日前提出澄清要求。</w:t>
            </w:r>
          </w:p>
          <w:p>
            <w:pPr>
              <w:autoSpaceDE w:val="0"/>
              <w:autoSpaceDN w:val="0"/>
              <w:rPr>
                <w:rFonts w:ascii="宋体" w:cs="宋体"/>
                <w:color w:val="auto"/>
                <w:szCs w:val="21"/>
                <w:highlight w:val="none"/>
              </w:rPr>
            </w:pPr>
            <w:r>
              <w:rPr>
                <w:rFonts w:hint="eastAsia" w:ascii="宋体" w:hAnsi="宋体" w:cs="宋体"/>
                <w:color w:val="auto"/>
                <w:szCs w:val="21"/>
                <w:highlight w:val="none"/>
              </w:rPr>
              <w:t>提出澄清要求的方式：书面方式</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ascii="宋体" w:hAnsi="宋体" w:cs="宋体"/>
                <w:color w:val="auto"/>
                <w:szCs w:val="21"/>
                <w:highlight w:val="none"/>
              </w:rPr>
              <w:t>2.2</w:t>
            </w:r>
            <w:r>
              <w:rPr>
                <w:rFonts w:ascii="宋体" w:cs="宋体"/>
                <w:color w:val="auto"/>
                <w:szCs w:val="21"/>
                <w:highlight w:val="none"/>
              </w:rPr>
              <w:t>.</w:t>
            </w:r>
            <w:r>
              <w:rPr>
                <w:rFonts w:ascii="宋体" w:hAnsi="宋体" w:cs="宋体"/>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采购人澄清或修改发布方式</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color w:val="auto"/>
                <w:highlight w:val="none"/>
              </w:rPr>
            </w:pPr>
            <w:r>
              <w:rPr>
                <w:rFonts w:hint="eastAsia" w:ascii="宋体" w:hAnsi="宋体" w:cs="宋体"/>
                <w:color w:val="auto"/>
                <w:szCs w:val="21"/>
                <w:highlight w:val="none"/>
              </w:rPr>
              <w:t>采购人发出的澄清或修改内容统一以补充通知文件形式发布在</w:t>
            </w:r>
            <w:r>
              <w:rPr>
                <w:rFonts w:hint="eastAsia"/>
                <w:color w:val="auto"/>
                <w:highlight w:val="none"/>
                <w:u w:val="single"/>
              </w:rPr>
              <w:t>中国招标投标公共服务平台（http</w:t>
            </w:r>
            <w:r>
              <w:rPr>
                <w:rFonts w:hint="eastAsia"/>
                <w:color w:val="auto"/>
                <w:highlight w:val="none"/>
                <w:u w:val="single"/>
                <w:lang w:eastAsia="zh-CN"/>
              </w:rPr>
              <w:t>：</w:t>
            </w:r>
            <w:r>
              <w:rPr>
                <w:rFonts w:hint="eastAsia"/>
                <w:color w:val="auto"/>
                <w:highlight w:val="none"/>
                <w:u w:val="single"/>
              </w:rPr>
              <w:t>//www.cebpubservice.com/）、东莞实业投资控股集团有限公司-招标采购栏目（http</w:t>
            </w:r>
            <w:r>
              <w:rPr>
                <w:rFonts w:hint="eastAsia"/>
                <w:color w:val="auto"/>
                <w:highlight w:val="none"/>
                <w:u w:val="single"/>
                <w:lang w:eastAsia="zh-CN"/>
              </w:rPr>
              <w:t>：</w:t>
            </w:r>
            <w:r>
              <w:rPr>
                <w:rFonts w:hint="eastAsia"/>
                <w:color w:val="auto"/>
                <w:highlight w:val="none"/>
                <w:u w:val="single"/>
              </w:rPr>
              <w:t>//www.dgsy.com.cn/）、广东东实环境股份有限公司官网—招标公告（http</w:t>
            </w:r>
            <w:r>
              <w:rPr>
                <w:rFonts w:hint="eastAsia"/>
                <w:color w:val="auto"/>
                <w:highlight w:val="none"/>
                <w:u w:val="single"/>
                <w:lang w:eastAsia="zh-CN"/>
              </w:rPr>
              <w:t>：</w:t>
            </w:r>
            <w:r>
              <w:rPr>
                <w:rFonts w:hint="eastAsia"/>
                <w:color w:val="auto"/>
                <w:highlight w:val="none"/>
                <w:u w:val="single"/>
              </w:rPr>
              <w:t>//www.dshuanbao.com.cn/）、三方诚信招标有限网站(http</w:t>
            </w:r>
            <w:r>
              <w:rPr>
                <w:rFonts w:hint="eastAsia"/>
                <w:color w:val="auto"/>
                <w:highlight w:val="none"/>
                <w:u w:val="single"/>
                <w:lang w:eastAsia="zh-CN"/>
              </w:rPr>
              <w:t>：</w:t>
            </w:r>
            <w:r>
              <w:rPr>
                <w:rFonts w:hint="eastAsia"/>
                <w:color w:val="auto"/>
                <w:highlight w:val="none"/>
                <w:u w:val="single"/>
              </w:rPr>
              <w:t>//www.sfcx.cn/）</w:t>
            </w:r>
            <w:r>
              <w:rPr>
                <w:rFonts w:hint="eastAsia"/>
                <w:color w:val="auto"/>
                <w:highlight w:val="none"/>
              </w:rPr>
              <w:t>，视为潜在询价响应人已获取相关文件。</w:t>
            </w:r>
          </w:p>
          <w:p>
            <w:pPr>
              <w:autoSpaceDE w:val="0"/>
              <w:autoSpaceDN w:val="0"/>
              <w:rPr>
                <w:rFonts w:ascii="宋体" w:cs="宋体"/>
                <w:color w:val="auto"/>
                <w:szCs w:val="21"/>
                <w:highlight w:val="none"/>
              </w:rPr>
            </w:pPr>
            <w:r>
              <w:rPr>
                <w:rFonts w:hint="eastAsia"/>
                <w:color w:val="auto"/>
                <w:highlight w:val="none"/>
              </w:rPr>
              <w:t>若潜在询价响应人未留意或未及时获取</w:t>
            </w:r>
            <w:r>
              <w:rPr>
                <w:rFonts w:hint="eastAsia" w:ascii="宋体" w:hAnsi="宋体" w:cs="宋体"/>
                <w:color w:val="auto"/>
                <w:szCs w:val="21"/>
                <w:highlight w:val="none"/>
              </w:rPr>
              <w:t>补充通知文件</w:t>
            </w:r>
            <w:r>
              <w:rPr>
                <w:rFonts w:hint="eastAsia"/>
                <w:color w:val="auto"/>
                <w:highlight w:val="none"/>
              </w:rPr>
              <w:t>，一切后果由询价响应人自行承担。</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3.2.2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响应文件响应和编写</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szCs w:val="21"/>
                <w:highlight w:val="none"/>
              </w:rPr>
              <w:t>本条款增加规定：</w:t>
            </w:r>
          </w:p>
          <w:p>
            <w:pPr>
              <w:numPr>
                <w:ilvl w:val="0"/>
                <w:numId w:val="5"/>
              </w:numPr>
              <w:tabs>
                <w:tab w:val="left" w:pos="318"/>
              </w:tabs>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响应人应对询价文件中的《“</w:t>
            </w:r>
            <w:r>
              <w:rPr>
                <w:rFonts w:hint="eastAsia" w:ascii="宋体" w:hAnsi="宋体" w:eastAsia="宋体" w:cs="宋体"/>
                <w:bCs/>
                <w:color w:val="auto"/>
                <w:szCs w:val="21"/>
                <w:highlight w:val="none"/>
              </w:rPr>
              <w:sym w:font="Wingdings" w:char="F0AB"/>
            </w:r>
            <w:r>
              <w:rPr>
                <w:rFonts w:hint="eastAsia" w:ascii="宋体" w:hAnsi="宋体" w:eastAsia="宋体" w:cs="宋体"/>
                <w:bCs/>
                <w:color w:val="auto"/>
                <w:szCs w:val="21"/>
                <w:highlight w:val="none"/>
              </w:rPr>
              <w:t>”号条款响应表》填写实质性条款响应情况。</w:t>
            </w:r>
            <w:r>
              <w:rPr>
                <w:rFonts w:hint="eastAsia" w:ascii="宋体" w:hAnsi="宋体" w:eastAsia="宋体" w:cs="宋体"/>
                <w:b/>
                <w:bCs w:val="0"/>
                <w:color w:val="auto"/>
                <w:szCs w:val="21"/>
                <w:highlight w:val="none"/>
              </w:rPr>
              <w:t>响应人若有一项带“★”的条款未响应或不满足，将按无效响应处理。</w:t>
            </w:r>
          </w:p>
          <w:p>
            <w:pPr>
              <w:numPr>
                <w:ilvl w:val="0"/>
                <w:numId w:val="5"/>
              </w:numPr>
              <w:tabs>
                <w:tab w:val="left" w:pos="318"/>
              </w:tabs>
              <w:rPr>
                <w:color w:val="auto"/>
                <w:szCs w:val="21"/>
                <w:highlight w:val="none"/>
              </w:rPr>
            </w:pPr>
            <w:r>
              <w:rPr>
                <w:rFonts w:hint="eastAsia" w:ascii="宋体" w:hAnsi="宋体" w:cs="宋体"/>
                <w:bCs/>
                <w:color w:val="auto"/>
                <w:szCs w:val="21"/>
                <w:highlight w:val="none"/>
              </w:rPr>
              <w:t>询价响应人对询价文件中</w:t>
            </w:r>
            <w:r>
              <w:rPr>
                <w:rFonts w:hint="eastAsia" w:ascii="宋体"/>
                <w:color w:val="auto"/>
                <w:szCs w:val="21"/>
                <w:highlight w:val="none"/>
              </w:rPr>
              <w:t>“</w:t>
            </w:r>
            <w:r>
              <w:rPr>
                <w:rFonts w:hint="eastAsia" w:ascii="宋体" w:hAnsi="宋体"/>
                <w:color w:val="auto"/>
                <w:szCs w:val="21"/>
                <w:highlight w:val="none"/>
              </w:rPr>
              <w:t>合同条款</w:t>
            </w:r>
            <w:r>
              <w:rPr>
                <w:rFonts w:hint="eastAsia" w:ascii="宋体"/>
                <w:color w:val="auto"/>
                <w:szCs w:val="21"/>
                <w:highlight w:val="none"/>
              </w:rPr>
              <w:t>”</w:t>
            </w:r>
            <w:r>
              <w:rPr>
                <w:rFonts w:hint="eastAsia" w:ascii="宋体" w:hAnsi="宋体"/>
                <w:color w:val="auto"/>
                <w:szCs w:val="21"/>
                <w:highlight w:val="none"/>
              </w:rPr>
              <w:t>、“用户需求书</w:t>
            </w:r>
            <w:r>
              <w:rPr>
                <w:rFonts w:ascii="宋体" w:hAnsi="宋体"/>
                <w:color w:val="auto"/>
                <w:szCs w:val="21"/>
                <w:highlight w:val="none"/>
              </w:rPr>
              <w:t>/</w:t>
            </w:r>
            <w:r>
              <w:rPr>
                <w:rFonts w:hint="eastAsia" w:ascii="宋体" w:hAnsi="宋体"/>
                <w:color w:val="auto"/>
                <w:szCs w:val="21"/>
                <w:highlight w:val="none"/>
              </w:rPr>
              <w:t>技术规范书”</w:t>
            </w:r>
            <w:r>
              <w:rPr>
                <w:rFonts w:hint="eastAsia" w:ascii="宋体" w:hAnsi="宋体" w:cs="宋体"/>
                <w:bCs/>
                <w:color w:val="auto"/>
                <w:szCs w:val="21"/>
                <w:highlight w:val="none"/>
              </w:rPr>
              <w:t>作出的负偏离，采购人如不接受，可要求响应人以询价文件中的要求为准，如询价响应人拒绝的，采购人有权取消其成交资格或取消合同，采购人不作任何补偿。</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3.2.4</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响应文件的盖章</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szCs w:val="21"/>
                <w:highlight w:val="none"/>
              </w:rPr>
              <w:t>本条款增加规定：</w:t>
            </w:r>
          </w:p>
          <w:p>
            <w:pPr>
              <w:numPr>
                <w:ilvl w:val="0"/>
                <w:numId w:val="6"/>
              </w:numPr>
              <w:rPr>
                <w:rFonts w:ascii="宋体"/>
                <w:b/>
                <w:color w:val="auto"/>
                <w:szCs w:val="21"/>
                <w:highlight w:val="none"/>
              </w:rPr>
            </w:pPr>
            <w:r>
              <w:rPr>
                <w:rFonts w:hint="eastAsia" w:ascii="宋体" w:hAnsi="宋体"/>
                <w:b/>
                <w:color w:val="auto"/>
                <w:szCs w:val="21"/>
                <w:highlight w:val="none"/>
              </w:rPr>
              <w:t>响应文件中凡出现响应人单位落款的地方应盖单位公章，如使用依照国家行政部门要求已备案的投标专用章、业务专用章的，应提供所使用印章的合法备案证明（复印件需加盖公章）。</w:t>
            </w:r>
          </w:p>
          <w:p>
            <w:pPr>
              <w:numPr>
                <w:ilvl w:val="0"/>
                <w:numId w:val="6"/>
              </w:numPr>
              <w:rPr>
                <w:rFonts w:ascii="宋体"/>
                <w:color w:val="auto"/>
                <w:szCs w:val="21"/>
                <w:highlight w:val="none"/>
              </w:rPr>
            </w:pPr>
            <w:r>
              <w:rPr>
                <w:rFonts w:hint="eastAsia" w:ascii="宋体" w:hAnsi="宋体"/>
                <w:color w:val="auto"/>
                <w:szCs w:val="21"/>
                <w:highlight w:val="none"/>
              </w:rPr>
              <w:t>同时响应文件盖章必须符合以下其中一种：</w:t>
            </w:r>
          </w:p>
          <w:p>
            <w:pPr>
              <w:numPr>
                <w:ilvl w:val="0"/>
                <w:numId w:val="7"/>
              </w:numPr>
              <w:ind w:left="381" w:hanging="381"/>
              <w:rPr>
                <w:rFonts w:ascii="宋体"/>
                <w:color w:val="auto"/>
                <w:szCs w:val="21"/>
                <w:highlight w:val="none"/>
              </w:rPr>
            </w:pPr>
            <w:r>
              <w:rPr>
                <w:rFonts w:hint="eastAsia" w:ascii="宋体" w:hAnsi="宋体"/>
                <w:color w:val="auto"/>
                <w:szCs w:val="21"/>
                <w:highlight w:val="none"/>
              </w:rPr>
              <w:t>加盖响应人单位骑缝章；</w:t>
            </w:r>
          </w:p>
          <w:p>
            <w:pPr>
              <w:numPr>
                <w:ilvl w:val="0"/>
                <w:numId w:val="7"/>
              </w:numPr>
              <w:ind w:left="381" w:hanging="381"/>
              <w:rPr>
                <w:rFonts w:ascii="宋体"/>
                <w:color w:val="auto"/>
                <w:szCs w:val="21"/>
                <w:highlight w:val="none"/>
              </w:rPr>
            </w:pPr>
            <w:r>
              <w:rPr>
                <w:rFonts w:hint="eastAsia" w:ascii="宋体" w:hAnsi="宋体"/>
                <w:color w:val="auto"/>
                <w:szCs w:val="21"/>
                <w:highlight w:val="none"/>
              </w:rPr>
              <w:t>逐页加盖响应人单位印章。</w:t>
            </w:r>
            <w:r>
              <w:rPr>
                <w:rFonts w:ascii="宋体" w:hAnsi="宋体"/>
                <w:color w:val="auto"/>
                <w:szCs w:val="21"/>
                <w:highlight w:val="none"/>
              </w:rPr>
              <w:t xml:space="preserve"> </w:t>
            </w:r>
          </w:p>
          <w:p>
            <w:pPr>
              <w:pStyle w:val="78"/>
              <w:ind w:firstLine="0" w:firstLineChars="0"/>
              <w:rPr>
                <w:color w:val="auto"/>
                <w:szCs w:val="21"/>
                <w:highlight w:val="none"/>
              </w:rPr>
            </w:pPr>
            <w:r>
              <w:rPr>
                <w:rFonts w:hint="eastAsia" w:ascii="宋体" w:hAnsi="宋体"/>
                <w:b/>
                <w:color w:val="auto"/>
                <w:szCs w:val="21"/>
                <w:highlight w:val="none"/>
              </w:rPr>
              <w:t>请按上述要求制作响应文件，否则其询价响应将被否决。</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Cs w:val="21"/>
                <w:highlight w:val="none"/>
              </w:rPr>
            </w:pPr>
            <w:r>
              <w:rPr>
                <w:rFonts w:hint="eastAsia" w:ascii="宋体" w:hAnsi="宋体"/>
                <w:color w:val="auto"/>
                <w:szCs w:val="21"/>
                <w:highlight w:val="none"/>
              </w:rPr>
              <w:t>报价方式及具体要求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szCs w:val="21"/>
                <w:highlight w:val="none"/>
              </w:rPr>
              <w:t>本条款增加规定：</w:t>
            </w:r>
          </w:p>
          <w:p>
            <w:pPr>
              <w:numPr>
                <w:ilvl w:val="0"/>
                <w:numId w:val="8"/>
              </w:numPr>
              <w:rPr>
                <w:rFonts w:ascii="宋体"/>
                <w:color w:val="auto"/>
                <w:szCs w:val="21"/>
                <w:highlight w:val="none"/>
              </w:rPr>
            </w:pPr>
            <w:r>
              <w:rPr>
                <w:rFonts w:hint="eastAsia" w:ascii="宋体" w:hAnsi="宋体"/>
                <w:color w:val="auto"/>
                <w:szCs w:val="21"/>
                <w:highlight w:val="none"/>
              </w:rPr>
              <w:t>本项目采用价税分离的报价方式。</w:t>
            </w:r>
          </w:p>
          <w:p>
            <w:pPr>
              <w:numPr>
                <w:ilvl w:val="0"/>
                <w:numId w:val="8"/>
              </w:numPr>
              <w:rPr>
                <w:rFonts w:ascii="宋体"/>
                <w:color w:val="auto"/>
                <w:szCs w:val="21"/>
                <w:highlight w:val="none"/>
              </w:rPr>
            </w:pPr>
            <w:r>
              <w:rPr>
                <w:rFonts w:hint="eastAsia" w:ascii="宋体" w:hAnsi="宋体"/>
                <w:b/>
                <w:color w:val="auto"/>
                <w:szCs w:val="21"/>
                <w:highlight w:val="none"/>
              </w:rPr>
              <w:t>本项目询价报价</w:t>
            </w:r>
            <w:r>
              <w:rPr>
                <w:rFonts w:ascii="宋体" w:hAnsi="宋体"/>
                <w:b/>
                <w:color w:val="auto"/>
                <w:szCs w:val="21"/>
                <w:highlight w:val="none"/>
              </w:rPr>
              <w:t>(</w:t>
            </w:r>
            <w:r>
              <w:rPr>
                <w:rFonts w:hint="eastAsia" w:ascii="宋体" w:hAnsi="宋体"/>
                <w:b/>
                <w:color w:val="auto"/>
                <w:szCs w:val="21"/>
                <w:highlight w:val="none"/>
              </w:rPr>
              <w:t>含税）不得超过最高限价。</w:t>
            </w:r>
            <w:r>
              <w:rPr>
                <w:rFonts w:hint="eastAsia" w:ascii="宋体" w:hAnsi="宋体"/>
                <w:color w:val="auto"/>
                <w:szCs w:val="21"/>
                <w:highlight w:val="none"/>
              </w:rPr>
              <w:t>若询价报价</w:t>
            </w:r>
            <w:r>
              <w:rPr>
                <w:rFonts w:ascii="宋体" w:hAnsi="宋体"/>
                <w:color w:val="auto"/>
                <w:szCs w:val="21"/>
                <w:highlight w:val="none"/>
              </w:rPr>
              <w:t>(</w:t>
            </w:r>
            <w:r>
              <w:rPr>
                <w:rFonts w:hint="eastAsia" w:ascii="宋体" w:hAnsi="宋体"/>
                <w:color w:val="auto"/>
                <w:szCs w:val="21"/>
                <w:highlight w:val="none"/>
              </w:rPr>
              <w:t>含税）超过询价最高限价的，或询价小组按询价文件的要求对询价报价</w:t>
            </w:r>
            <w:r>
              <w:rPr>
                <w:rFonts w:ascii="宋体" w:hAnsi="宋体"/>
                <w:color w:val="auto"/>
                <w:szCs w:val="21"/>
                <w:highlight w:val="none"/>
              </w:rPr>
              <w:t>(</w:t>
            </w:r>
            <w:r>
              <w:rPr>
                <w:rFonts w:hint="eastAsia" w:ascii="宋体" w:hAnsi="宋体"/>
                <w:color w:val="auto"/>
                <w:szCs w:val="21"/>
                <w:highlight w:val="none"/>
              </w:rPr>
              <w:t>含税）进行修正后的修正价格超过询价最高限价的，将作否决询价处理。</w:t>
            </w:r>
          </w:p>
          <w:p>
            <w:pPr>
              <w:numPr>
                <w:ilvl w:val="0"/>
                <w:numId w:val="8"/>
              </w:numPr>
              <w:rPr>
                <w:rFonts w:ascii="宋体"/>
                <w:color w:val="auto"/>
                <w:szCs w:val="21"/>
                <w:highlight w:val="none"/>
              </w:rPr>
            </w:pPr>
            <w:r>
              <w:rPr>
                <w:rFonts w:hint="eastAsia" w:ascii="宋体" w:hAnsi="宋体"/>
                <w:color w:val="auto"/>
                <w:szCs w:val="21"/>
                <w:highlight w:val="none"/>
              </w:rPr>
              <w:t>询价报价应包括但不限于：完成本项目的成本、利润、税金等在项目过程中可能产生的一切费用。</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3.4.1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询价</w:t>
            </w:r>
            <w:r>
              <w:rPr>
                <w:rFonts w:hint="eastAsia"/>
                <w:color w:val="auto"/>
                <w:szCs w:val="21"/>
                <w:highlight w:val="none"/>
              </w:rPr>
              <w:t>有效期</w:t>
            </w:r>
          </w:p>
        </w:tc>
        <w:tc>
          <w:tcPr>
            <w:tcW w:w="6095"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ascii="宋体" w:hAnsi="宋体" w:cs="宋体"/>
                <w:color w:val="auto"/>
                <w:szCs w:val="21"/>
                <w:highlight w:val="none"/>
              </w:rPr>
              <w:t>询价有效期：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ascii="宋体" w:hAnsi="宋体" w:cs="宋体"/>
                <w:color w:val="auto"/>
                <w:szCs w:val="21"/>
                <w:highlight w:val="none"/>
                <w:u w:val="single"/>
              </w:rPr>
              <w:t xml:space="preserve">  </w:t>
            </w:r>
            <w:r>
              <w:rPr>
                <w:rFonts w:hint="eastAsia" w:ascii="宋体" w:hAnsi="宋体" w:cs="宋体"/>
                <w:color w:val="auto"/>
                <w:szCs w:val="21"/>
                <w:highlight w:val="none"/>
              </w:rPr>
              <w:t>天。</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3.5.1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询价保证金金额</w:t>
            </w:r>
          </w:p>
        </w:tc>
        <w:tc>
          <w:tcPr>
            <w:tcW w:w="6095"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ascii="宋体" w:hAnsi="宋体" w:cs="宋体"/>
                <w:color w:val="auto"/>
                <w:szCs w:val="21"/>
                <w:highlight w:val="none"/>
              </w:rPr>
              <w:t>询价保证金金额：</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56,000.00</w:t>
            </w:r>
            <w:r>
              <w:rPr>
                <w:rFonts w:hint="eastAsia" w:ascii="宋体" w:hAnsi="宋体" w:cs="宋体"/>
                <w:color w:val="auto"/>
                <w:szCs w:val="21"/>
                <w:highlight w:val="none"/>
                <w:u w:val="single"/>
                <w:lang w:val="en-US" w:eastAsia="zh-CN"/>
              </w:rPr>
              <w:t>元</w:t>
            </w:r>
            <w:r>
              <w:rPr>
                <w:rFonts w:ascii="宋体" w:hAnsi="宋体" w:cs="宋体"/>
                <w:color w:val="auto"/>
                <w:szCs w:val="21"/>
                <w:highlight w:val="none"/>
                <w:u w:val="single"/>
              </w:rPr>
              <w:t xml:space="preserve"> </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3.5.2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询价保证金形式</w:t>
            </w:r>
          </w:p>
        </w:tc>
        <w:tc>
          <w:tcPr>
            <w:tcW w:w="6095"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r>
              <w:rPr>
                <w:rFonts w:hint="eastAsia"/>
                <w:color w:val="auto"/>
                <w:szCs w:val="21"/>
                <w:highlight w:val="none"/>
              </w:rPr>
              <w:t>询价保证金的形式：银行转账或电汇。</w:t>
            </w:r>
          </w:p>
          <w:p>
            <w:pPr>
              <w:rPr>
                <w:color w:val="auto"/>
                <w:szCs w:val="21"/>
                <w:highlight w:val="none"/>
              </w:rPr>
            </w:pPr>
            <w:r>
              <w:rPr>
                <w:color w:val="auto"/>
                <w:szCs w:val="21"/>
                <w:highlight w:val="none"/>
              </w:rPr>
              <w:t>2.</w:t>
            </w:r>
            <w:r>
              <w:rPr>
                <w:rFonts w:hint="eastAsia"/>
                <w:color w:val="auto"/>
                <w:szCs w:val="21"/>
                <w:highlight w:val="none"/>
              </w:rPr>
              <w:t>响应文件中须提供询价保证金缴纳凭证复印件。唱标同时将公开展示询价保证金凭证。</w:t>
            </w:r>
          </w:p>
          <w:p>
            <w:pPr>
              <w:rPr>
                <w:color w:val="auto"/>
                <w:szCs w:val="21"/>
                <w:highlight w:val="none"/>
              </w:rPr>
            </w:pPr>
            <w:r>
              <w:rPr>
                <w:color w:val="auto"/>
                <w:szCs w:val="21"/>
                <w:highlight w:val="none"/>
              </w:rPr>
              <w:t>3.</w:t>
            </w:r>
            <w:r>
              <w:rPr>
                <w:rFonts w:hint="eastAsia"/>
                <w:color w:val="auto"/>
                <w:szCs w:val="21"/>
                <w:highlight w:val="none"/>
              </w:rPr>
              <w:t>询价保证金有效期与询价有效期一致。</w:t>
            </w:r>
          </w:p>
          <w:p>
            <w:pPr>
              <w:rPr>
                <w:color w:val="auto"/>
                <w:szCs w:val="21"/>
                <w:highlight w:val="none"/>
              </w:rPr>
            </w:pPr>
            <w:r>
              <w:rPr>
                <w:color w:val="auto"/>
                <w:szCs w:val="21"/>
                <w:highlight w:val="none"/>
              </w:rPr>
              <w:t>4.</w:t>
            </w:r>
            <w:r>
              <w:rPr>
                <w:rFonts w:hint="eastAsia"/>
                <w:color w:val="auto"/>
                <w:szCs w:val="21"/>
                <w:highlight w:val="none"/>
              </w:rPr>
              <w:t>提交询价保证金帐户信息：</w:t>
            </w:r>
          </w:p>
          <w:p>
            <w:pPr>
              <w:rPr>
                <w:color w:val="auto"/>
                <w:szCs w:val="21"/>
                <w:highlight w:val="none"/>
              </w:rPr>
            </w:pPr>
            <w:r>
              <w:rPr>
                <w:rFonts w:hint="eastAsia"/>
                <w:color w:val="auto"/>
                <w:szCs w:val="21"/>
                <w:highlight w:val="none"/>
              </w:rPr>
              <w:t>开户名：广东东实环境股份有限公司</w:t>
            </w:r>
          </w:p>
          <w:p>
            <w:pPr>
              <w:rPr>
                <w:color w:val="auto"/>
                <w:szCs w:val="21"/>
                <w:highlight w:val="none"/>
              </w:rPr>
            </w:pPr>
            <w:r>
              <w:rPr>
                <w:rFonts w:hint="eastAsia"/>
                <w:color w:val="auto"/>
                <w:szCs w:val="21"/>
                <w:highlight w:val="none"/>
              </w:rPr>
              <w:t>开户银行：东莞农村商业银行中心支行</w:t>
            </w:r>
          </w:p>
          <w:p>
            <w:pPr>
              <w:rPr>
                <w:color w:val="auto"/>
                <w:szCs w:val="21"/>
                <w:highlight w:val="none"/>
              </w:rPr>
            </w:pPr>
            <w:r>
              <w:rPr>
                <w:rFonts w:hint="eastAsia"/>
                <w:color w:val="auto"/>
                <w:szCs w:val="21"/>
                <w:highlight w:val="none"/>
              </w:rPr>
              <w:t>账号：380010190010009298</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3.6.1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响应文件份数</w:t>
            </w:r>
          </w:p>
        </w:tc>
        <w:tc>
          <w:tcPr>
            <w:tcW w:w="6095" w:type="dxa"/>
            <w:tcBorders>
              <w:top w:val="single" w:color="auto" w:sz="4" w:space="0"/>
              <w:left w:val="single" w:color="auto" w:sz="4" w:space="0"/>
              <w:bottom w:val="single" w:color="auto" w:sz="4" w:space="0"/>
              <w:right w:val="single" w:color="auto" w:sz="4" w:space="0"/>
            </w:tcBorders>
            <w:vAlign w:val="center"/>
          </w:tcPr>
          <w:p>
            <w:pPr>
              <w:rPr>
                <w:rFonts w:hAnsi="宋体" w:cs="宋体"/>
                <w:b/>
                <w:color w:val="auto"/>
                <w:szCs w:val="21"/>
                <w:highlight w:val="none"/>
              </w:rPr>
            </w:pPr>
            <w:r>
              <w:rPr>
                <w:rFonts w:hint="eastAsia" w:hAnsi="宋体" w:cs="宋体"/>
                <w:b/>
                <w:color w:val="auto"/>
                <w:szCs w:val="21"/>
                <w:highlight w:val="none"/>
              </w:rPr>
              <w:t>正本</w:t>
            </w:r>
            <w:r>
              <w:rPr>
                <w:rFonts w:hAnsi="宋体" w:cs="宋体"/>
                <w:b/>
                <w:color w:val="auto"/>
                <w:szCs w:val="21"/>
                <w:highlight w:val="none"/>
                <w:u w:val="single"/>
              </w:rPr>
              <w:t>1</w:t>
            </w:r>
            <w:r>
              <w:rPr>
                <w:rFonts w:hint="eastAsia" w:hAnsi="宋体" w:cs="宋体"/>
                <w:b/>
                <w:color w:val="auto"/>
                <w:szCs w:val="21"/>
                <w:highlight w:val="none"/>
              </w:rPr>
              <w:t>份、副本</w:t>
            </w:r>
            <w:r>
              <w:rPr>
                <w:rFonts w:hAnsi="宋体" w:cs="宋体"/>
                <w:b/>
                <w:color w:val="auto"/>
                <w:szCs w:val="21"/>
                <w:highlight w:val="none"/>
                <w:u w:val="single"/>
              </w:rPr>
              <w:t>2</w:t>
            </w:r>
            <w:r>
              <w:rPr>
                <w:rFonts w:hint="eastAsia" w:hAnsi="宋体" w:cs="宋体"/>
                <w:b/>
                <w:color w:val="auto"/>
                <w:szCs w:val="21"/>
                <w:highlight w:val="none"/>
              </w:rPr>
              <w:t>份，唱标信封</w:t>
            </w:r>
            <w:r>
              <w:rPr>
                <w:rFonts w:hAnsi="宋体" w:cs="宋体"/>
                <w:b/>
                <w:color w:val="auto"/>
                <w:szCs w:val="21"/>
                <w:highlight w:val="none"/>
                <w:u w:val="single"/>
              </w:rPr>
              <w:t>1</w:t>
            </w:r>
            <w:r>
              <w:rPr>
                <w:rFonts w:hint="eastAsia" w:hAnsi="宋体" w:cs="宋体"/>
                <w:b/>
                <w:color w:val="auto"/>
                <w:szCs w:val="21"/>
                <w:highlight w:val="none"/>
              </w:rPr>
              <w:t>份。</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3.6.6</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响应文件的密封和标记要求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szCs w:val="21"/>
                <w:highlight w:val="none"/>
              </w:rPr>
              <w:t>本条款增加规定：</w:t>
            </w:r>
          </w:p>
          <w:p>
            <w:pPr>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）商务技术响应文件及经济响应文件应分别装订，密封后，加贴封条，在封口处加盖骑缝章</w:t>
            </w:r>
            <w:r>
              <w:rPr>
                <w:rFonts w:hint="eastAsia"/>
                <w:color w:val="auto"/>
                <w:szCs w:val="21"/>
                <w:highlight w:val="none"/>
              </w:rPr>
              <w:t>或者由响应人的法定代表人或其委托代理人签字</w:t>
            </w:r>
            <w:r>
              <w:rPr>
                <w:rFonts w:hint="eastAsia" w:ascii="宋体" w:hAnsi="宋体" w:cs="宋体"/>
                <w:color w:val="auto"/>
                <w:szCs w:val="21"/>
                <w:highlight w:val="none"/>
              </w:rPr>
              <w:t>。</w:t>
            </w:r>
          </w:p>
          <w:p>
            <w:pPr>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）商务技术竞询价响应文件里不能含有任何有关询价报价信息。</w:t>
            </w:r>
          </w:p>
          <w:p>
            <w:pPr>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）响应文件</w:t>
            </w:r>
            <w:r>
              <w:rPr>
                <w:rFonts w:hint="eastAsia"/>
                <w:color w:val="auto"/>
                <w:szCs w:val="21"/>
                <w:highlight w:val="none"/>
              </w:rPr>
              <w:t>外层包封</w:t>
            </w:r>
            <w:r>
              <w:rPr>
                <w:rFonts w:hint="eastAsia" w:ascii="宋体" w:hAnsi="宋体" w:cs="宋体"/>
                <w:color w:val="auto"/>
                <w:szCs w:val="21"/>
                <w:highlight w:val="none"/>
              </w:rPr>
              <w:t>上应写明的内容如下：</w:t>
            </w:r>
          </w:p>
          <w:p>
            <w:pPr>
              <w:rPr>
                <w:rFonts w:ascii="宋体"/>
                <w:b/>
                <w:color w:val="auto"/>
                <w:szCs w:val="21"/>
                <w:highlight w:val="none"/>
              </w:rPr>
            </w:pPr>
            <w:r>
              <w:rPr>
                <w:rFonts w:hint="eastAsia" w:ascii="宋体" w:hAnsi="宋体"/>
                <w:b/>
                <w:color w:val="auto"/>
                <w:szCs w:val="21"/>
                <w:highlight w:val="none"/>
              </w:rPr>
              <w:t>采购人名称：</w:t>
            </w:r>
            <w:r>
              <w:rPr>
                <w:rFonts w:ascii="宋体" w:hAnsi="宋体"/>
                <w:b/>
                <w:color w:val="auto"/>
                <w:szCs w:val="21"/>
                <w:highlight w:val="none"/>
              </w:rPr>
              <w:t xml:space="preserve"> </w:t>
            </w:r>
          </w:p>
          <w:p>
            <w:pPr>
              <w:rPr>
                <w:rFonts w:ascii="宋体"/>
                <w:b/>
                <w:color w:val="auto"/>
                <w:szCs w:val="21"/>
                <w:highlight w:val="none"/>
              </w:rPr>
            </w:pPr>
            <w:r>
              <w:rPr>
                <w:rFonts w:hint="eastAsia" w:ascii="宋体" w:hAnsi="宋体"/>
                <w:b/>
                <w:color w:val="auto"/>
                <w:szCs w:val="21"/>
                <w:highlight w:val="none"/>
              </w:rPr>
              <w:t>采购代理机构名称：</w:t>
            </w:r>
          </w:p>
          <w:p>
            <w:pPr>
              <w:rPr>
                <w:rFonts w:ascii="宋体"/>
                <w:b/>
                <w:color w:val="auto"/>
                <w:szCs w:val="21"/>
                <w:highlight w:val="none"/>
              </w:rPr>
            </w:pPr>
            <w:r>
              <w:rPr>
                <w:rFonts w:hint="eastAsia" w:ascii="宋体" w:hAnsi="宋体"/>
                <w:b/>
                <w:color w:val="auto"/>
                <w:szCs w:val="21"/>
                <w:highlight w:val="none"/>
              </w:rPr>
              <w:t>递交响应文件地址：</w:t>
            </w:r>
          </w:p>
          <w:p>
            <w:pPr>
              <w:rPr>
                <w:rFonts w:ascii="宋体"/>
                <w:b/>
                <w:color w:val="auto"/>
                <w:szCs w:val="21"/>
                <w:highlight w:val="none"/>
              </w:rPr>
            </w:pPr>
            <w:r>
              <w:rPr>
                <w:rFonts w:ascii="宋体" w:hAnsi="宋体"/>
                <w:b/>
                <w:color w:val="auto"/>
                <w:szCs w:val="21"/>
                <w:highlight w:val="none"/>
                <w:u w:val="single"/>
              </w:rPr>
              <w:t xml:space="preserve">            </w:t>
            </w:r>
            <w:r>
              <w:rPr>
                <w:rFonts w:hint="eastAsia" w:ascii="宋体" w:hAnsi="宋体"/>
                <w:b/>
                <w:color w:val="auto"/>
                <w:szCs w:val="21"/>
                <w:highlight w:val="none"/>
              </w:rPr>
              <w:t>（项目名称）响应文件</w:t>
            </w:r>
          </w:p>
          <w:p>
            <w:pPr>
              <w:rPr>
                <w:rFonts w:ascii="宋体"/>
                <w:b/>
                <w:color w:val="auto"/>
                <w:szCs w:val="21"/>
                <w:highlight w:val="none"/>
              </w:rPr>
            </w:pPr>
            <w:r>
              <w:rPr>
                <w:rFonts w:hint="eastAsia" w:ascii="宋体" w:hAnsi="宋体"/>
                <w:b/>
                <w:color w:val="auto"/>
                <w:szCs w:val="21"/>
                <w:highlight w:val="none"/>
              </w:rPr>
              <w:t>响应人名称：</w:t>
            </w:r>
          </w:p>
          <w:p>
            <w:pPr>
              <w:rPr>
                <w:rFonts w:ascii="宋体"/>
                <w:b/>
                <w:color w:val="auto"/>
                <w:szCs w:val="21"/>
                <w:highlight w:val="none"/>
              </w:rPr>
            </w:pPr>
            <w:r>
              <w:rPr>
                <w:rFonts w:hint="eastAsia" w:ascii="宋体" w:hAnsi="宋体"/>
                <w:b/>
                <w:color w:val="auto"/>
                <w:szCs w:val="21"/>
                <w:highlight w:val="none"/>
              </w:rPr>
              <w:t>联系人：</w:t>
            </w:r>
          </w:p>
          <w:p>
            <w:pPr>
              <w:rPr>
                <w:rFonts w:ascii="宋体"/>
                <w:b/>
                <w:color w:val="auto"/>
                <w:szCs w:val="21"/>
                <w:highlight w:val="none"/>
              </w:rPr>
            </w:pPr>
            <w:r>
              <w:rPr>
                <w:rFonts w:hint="eastAsia" w:ascii="宋体" w:hAnsi="宋体"/>
                <w:b/>
                <w:color w:val="auto"/>
                <w:szCs w:val="21"/>
                <w:highlight w:val="none"/>
              </w:rPr>
              <w:t>联系方式：</w:t>
            </w:r>
          </w:p>
          <w:p>
            <w:pPr>
              <w:rPr>
                <w:color w:val="auto"/>
                <w:szCs w:val="21"/>
                <w:highlight w:val="none"/>
              </w:rPr>
            </w:pPr>
            <w:r>
              <w:rPr>
                <w:rFonts w:hint="eastAsia" w:ascii="宋体" w:hAnsi="宋体"/>
                <w:b/>
                <w:color w:val="auto"/>
                <w:szCs w:val="21"/>
                <w:highlight w:val="none"/>
              </w:rPr>
              <w:t>在</w:t>
            </w:r>
            <w:r>
              <w:rPr>
                <w:rFonts w:ascii="宋体" w:hAnsi="宋体"/>
                <w:b/>
                <w:color w:val="auto"/>
                <w:szCs w:val="21"/>
                <w:highlight w:val="none"/>
                <w:u w:val="single"/>
              </w:rPr>
              <w:t xml:space="preserve">  </w:t>
            </w:r>
            <w:r>
              <w:rPr>
                <w:rFonts w:hint="eastAsia" w:ascii="宋体" w:hAnsi="宋体"/>
                <w:b/>
                <w:color w:val="auto"/>
                <w:szCs w:val="21"/>
                <w:highlight w:val="none"/>
              </w:rPr>
              <w:t>年</w:t>
            </w:r>
            <w:r>
              <w:rPr>
                <w:rFonts w:ascii="宋体" w:hAnsi="宋体"/>
                <w:b/>
                <w:color w:val="auto"/>
                <w:szCs w:val="21"/>
                <w:highlight w:val="none"/>
                <w:u w:val="single"/>
              </w:rPr>
              <w:t xml:space="preserve">  </w:t>
            </w:r>
            <w:r>
              <w:rPr>
                <w:rFonts w:hint="eastAsia" w:ascii="宋体" w:hAnsi="宋体"/>
                <w:b/>
                <w:color w:val="auto"/>
                <w:szCs w:val="21"/>
                <w:highlight w:val="none"/>
              </w:rPr>
              <w:t>月</w:t>
            </w:r>
            <w:r>
              <w:rPr>
                <w:rFonts w:ascii="宋体" w:hAnsi="宋体"/>
                <w:b/>
                <w:color w:val="auto"/>
                <w:szCs w:val="21"/>
                <w:highlight w:val="none"/>
                <w:u w:val="single"/>
              </w:rPr>
              <w:t xml:space="preserve">  </w:t>
            </w:r>
            <w:r>
              <w:rPr>
                <w:rFonts w:hint="eastAsia" w:ascii="宋体" w:hAnsi="宋体"/>
                <w:b/>
                <w:color w:val="auto"/>
                <w:szCs w:val="21"/>
                <w:highlight w:val="none"/>
              </w:rPr>
              <w:t>日</w:t>
            </w:r>
            <w:r>
              <w:rPr>
                <w:rFonts w:ascii="宋体" w:hAnsi="宋体"/>
                <w:b/>
                <w:color w:val="auto"/>
                <w:szCs w:val="21"/>
                <w:highlight w:val="none"/>
                <w:u w:val="single"/>
              </w:rPr>
              <w:t xml:space="preserve">  </w:t>
            </w:r>
            <w:r>
              <w:rPr>
                <w:rFonts w:hint="eastAsia" w:ascii="宋体" w:hAnsi="宋体"/>
                <w:b/>
                <w:color w:val="auto"/>
                <w:szCs w:val="21"/>
                <w:highlight w:val="none"/>
              </w:rPr>
              <w:t>时</w:t>
            </w:r>
            <w:r>
              <w:rPr>
                <w:rFonts w:ascii="宋体" w:hAnsi="宋体"/>
                <w:b/>
                <w:color w:val="auto"/>
                <w:szCs w:val="21"/>
                <w:highlight w:val="none"/>
                <w:u w:val="single"/>
              </w:rPr>
              <w:t xml:space="preserve">  </w:t>
            </w:r>
            <w:r>
              <w:rPr>
                <w:rFonts w:hint="eastAsia" w:ascii="宋体" w:hAnsi="宋体"/>
                <w:b/>
                <w:color w:val="auto"/>
                <w:szCs w:val="21"/>
                <w:highlight w:val="none"/>
              </w:rPr>
              <w:t>分前不得开启</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4.1.1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hAnsi="宋体"/>
                <w:color w:val="auto"/>
                <w:szCs w:val="21"/>
                <w:highlight w:val="none"/>
              </w:rPr>
              <w:t>响应文件递交截止时间</w:t>
            </w:r>
          </w:p>
        </w:tc>
        <w:tc>
          <w:tcPr>
            <w:tcW w:w="6095" w:type="dxa"/>
            <w:tcBorders>
              <w:top w:val="single" w:color="auto" w:sz="4" w:space="0"/>
              <w:left w:val="single" w:color="auto" w:sz="4" w:space="0"/>
              <w:bottom w:val="single" w:color="auto" w:sz="4" w:space="0"/>
              <w:right w:val="single" w:color="auto" w:sz="4" w:space="0"/>
            </w:tcBorders>
            <w:vAlign w:val="center"/>
          </w:tcPr>
          <w:p>
            <w:pPr>
              <w:pStyle w:val="78"/>
              <w:ind w:firstLine="0" w:firstLineChars="0"/>
              <w:rPr>
                <w:rFonts w:hAnsi="宋体"/>
                <w:color w:val="auto"/>
                <w:szCs w:val="21"/>
                <w:highlight w:val="none"/>
              </w:rPr>
            </w:pPr>
            <w:r>
              <w:rPr>
                <w:rFonts w:hint="eastAsia" w:ascii="宋体" w:hAnsi="宋体" w:cs="宋体"/>
                <w:color w:val="auto"/>
                <w:szCs w:val="21"/>
                <w:highlight w:val="none"/>
              </w:rPr>
              <w:t>详见询价公告</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4.1.2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auto"/>
                <w:szCs w:val="21"/>
                <w:highlight w:val="none"/>
              </w:rPr>
            </w:pPr>
            <w:r>
              <w:rPr>
                <w:rFonts w:hint="eastAsia" w:hAnsi="宋体"/>
                <w:color w:val="auto"/>
                <w:szCs w:val="21"/>
                <w:highlight w:val="none"/>
              </w:rPr>
              <w:t>响应文件递交地点</w:t>
            </w:r>
          </w:p>
        </w:tc>
        <w:tc>
          <w:tcPr>
            <w:tcW w:w="6095" w:type="dxa"/>
            <w:tcBorders>
              <w:top w:val="single" w:color="auto" w:sz="4" w:space="0"/>
              <w:left w:val="single" w:color="auto" w:sz="4" w:space="0"/>
              <w:bottom w:val="single" w:color="auto" w:sz="4" w:space="0"/>
              <w:right w:val="single" w:color="auto" w:sz="4" w:space="0"/>
            </w:tcBorders>
            <w:vAlign w:val="center"/>
          </w:tcPr>
          <w:p>
            <w:pPr>
              <w:pStyle w:val="78"/>
              <w:ind w:firstLine="0" w:firstLineChars="0"/>
              <w:rPr>
                <w:rFonts w:ascii="宋体" w:cs="宋体"/>
                <w:color w:val="auto"/>
                <w:szCs w:val="21"/>
                <w:highlight w:val="none"/>
                <w:u w:val="single"/>
              </w:rPr>
            </w:pPr>
            <w:r>
              <w:rPr>
                <w:rFonts w:hint="eastAsia" w:ascii="宋体" w:hAnsi="宋体" w:cs="宋体"/>
                <w:color w:val="auto"/>
                <w:szCs w:val="21"/>
                <w:highlight w:val="none"/>
              </w:rPr>
              <w:t>详见询价公告</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4.1.4</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auto"/>
                <w:szCs w:val="21"/>
                <w:highlight w:val="none"/>
              </w:rPr>
            </w:pPr>
            <w:r>
              <w:rPr>
                <w:rFonts w:hint="eastAsia" w:hAnsi="宋体"/>
                <w:color w:val="auto"/>
                <w:szCs w:val="21"/>
                <w:highlight w:val="none"/>
              </w:rPr>
              <w:t>响应文件退还</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u w:val="single"/>
              </w:rPr>
            </w:pPr>
            <w:r>
              <w:rPr>
                <w:rFonts w:hint="eastAsia" w:ascii="宋体" w:hAnsi="宋体" w:cs="宋体"/>
                <w:color w:val="auto"/>
                <w:szCs w:val="21"/>
                <w:highlight w:val="none"/>
              </w:rPr>
              <w:t>不退还</w:t>
            </w:r>
          </w:p>
        </w:tc>
      </w:tr>
      <w:tr>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5.1</w:t>
            </w:r>
          </w:p>
        </w:tc>
        <w:tc>
          <w:tcPr>
            <w:tcW w:w="1843" w:type="dxa"/>
            <w:tcBorders>
              <w:top w:val="single" w:color="auto" w:sz="4" w:space="0"/>
              <w:left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唱标时间和地点</w:t>
            </w:r>
          </w:p>
        </w:tc>
        <w:tc>
          <w:tcPr>
            <w:tcW w:w="6095" w:type="dxa"/>
            <w:tcBorders>
              <w:top w:val="single" w:color="auto" w:sz="4" w:space="0"/>
              <w:left w:val="single" w:color="auto" w:sz="4" w:space="0"/>
              <w:right w:val="single" w:color="auto" w:sz="4" w:space="0"/>
            </w:tcBorders>
            <w:vAlign w:val="center"/>
          </w:tcPr>
          <w:p>
            <w:pPr>
              <w:rPr>
                <w:color w:val="auto"/>
                <w:szCs w:val="21"/>
                <w:highlight w:val="none"/>
              </w:rPr>
            </w:pPr>
            <w:r>
              <w:rPr>
                <w:rFonts w:hint="eastAsia" w:ascii="宋体" w:hAnsi="宋体" w:cs="宋体"/>
                <w:color w:val="auto"/>
                <w:szCs w:val="21"/>
                <w:highlight w:val="none"/>
              </w:rPr>
              <w:t>同响应文件递交截止时间和地点</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6.1.1</w:t>
            </w:r>
          </w:p>
        </w:tc>
        <w:tc>
          <w:tcPr>
            <w:tcW w:w="1843" w:type="dxa"/>
            <w:tcBorders>
              <w:top w:val="single" w:color="auto" w:sz="4" w:space="0"/>
              <w:left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询价小组组成人数</w:t>
            </w:r>
          </w:p>
        </w:tc>
        <w:tc>
          <w:tcPr>
            <w:tcW w:w="6095" w:type="dxa"/>
            <w:tcBorders>
              <w:top w:val="single" w:color="auto" w:sz="4" w:space="0"/>
              <w:left w:val="single" w:color="auto" w:sz="4" w:space="0"/>
              <w:right w:val="single" w:color="auto" w:sz="4" w:space="0"/>
            </w:tcBorders>
            <w:vAlign w:val="center"/>
          </w:tcPr>
          <w:p>
            <w:pPr>
              <w:rPr>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人以上单数</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6.3</w:t>
            </w:r>
          </w:p>
        </w:tc>
        <w:tc>
          <w:tcPr>
            <w:tcW w:w="1843" w:type="dxa"/>
            <w:tcBorders>
              <w:top w:val="single" w:color="auto" w:sz="4" w:space="0"/>
              <w:left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评审方法</w:t>
            </w:r>
          </w:p>
        </w:tc>
        <w:tc>
          <w:tcPr>
            <w:tcW w:w="6095" w:type="dxa"/>
            <w:tcBorders>
              <w:top w:val="single" w:color="auto" w:sz="4" w:space="0"/>
              <w:left w:val="single" w:color="auto" w:sz="4" w:space="0"/>
              <w:right w:val="single" w:color="auto" w:sz="4" w:space="0"/>
            </w:tcBorders>
            <w:vAlign w:val="center"/>
          </w:tcPr>
          <w:p>
            <w:pPr>
              <w:rPr>
                <w:rFonts w:ascii="宋体" w:cs="宋体"/>
                <w:color w:val="auto"/>
                <w:szCs w:val="21"/>
                <w:highlight w:val="none"/>
              </w:rPr>
            </w:pPr>
            <w:r>
              <w:rPr>
                <w:rFonts w:ascii="宋体" w:hAnsi="宋体" w:cs="宋体"/>
                <w:color w:val="auto"/>
                <w:szCs w:val="21"/>
                <w:highlight w:val="none"/>
              </w:rPr>
              <w:t>最低评标价法</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6.4</w:t>
            </w:r>
          </w:p>
        </w:tc>
        <w:tc>
          <w:tcPr>
            <w:tcW w:w="1843" w:type="dxa"/>
            <w:tcBorders>
              <w:top w:val="single" w:color="auto" w:sz="4" w:space="0"/>
              <w:left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推荐成交候选人原则</w:t>
            </w:r>
          </w:p>
        </w:tc>
        <w:tc>
          <w:tcPr>
            <w:tcW w:w="6095" w:type="dxa"/>
            <w:tcBorders>
              <w:top w:val="single" w:color="auto" w:sz="4" w:space="0"/>
              <w:left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s="宋体"/>
                <w:color w:val="auto"/>
                <w:kern w:val="0"/>
                <w:highlight w:val="none"/>
              </w:rPr>
              <w:t>本项目推荐</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名成交候选单位。</w:t>
            </w:r>
            <w:r>
              <w:rPr>
                <w:rFonts w:hint="eastAsia"/>
                <w:color w:val="auto"/>
                <w:szCs w:val="21"/>
                <w:highlight w:val="none"/>
              </w:rPr>
              <w:t>根据符合采购需求、质量和服务且报价最低的原则按顺序排列推荐成交侯选人</w:t>
            </w:r>
            <w:r>
              <w:rPr>
                <w:rFonts w:hint="eastAsia" w:ascii="宋体" w:hAnsi="宋体" w:cs="宋体"/>
                <w:color w:val="auto"/>
                <w:kern w:val="0"/>
                <w:highlight w:val="none"/>
              </w:rPr>
              <w:t>。</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7.1</w:t>
            </w:r>
          </w:p>
        </w:tc>
        <w:tc>
          <w:tcPr>
            <w:tcW w:w="1843" w:type="dxa"/>
            <w:tcBorders>
              <w:top w:val="single" w:color="auto" w:sz="4" w:space="0"/>
              <w:left w:val="single" w:color="auto" w:sz="4" w:space="0"/>
              <w:right w:val="single" w:color="auto" w:sz="4" w:space="0"/>
            </w:tcBorders>
            <w:vAlign w:val="center"/>
          </w:tcPr>
          <w:p>
            <w:pPr>
              <w:jc w:val="left"/>
              <w:rPr>
                <w:rFonts w:ascii="宋体" w:cs="宋体"/>
                <w:color w:val="auto"/>
                <w:szCs w:val="21"/>
                <w:highlight w:val="none"/>
              </w:rPr>
            </w:pPr>
            <w:r>
              <w:rPr>
                <w:rStyle w:val="93"/>
                <w:rFonts w:hint="eastAsia"/>
                <w:color w:val="auto"/>
                <w:szCs w:val="21"/>
                <w:highlight w:val="none"/>
              </w:rPr>
              <w:t>成交候选人公示媒介</w:t>
            </w:r>
          </w:p>
        </w:tc>
        <w:tc>
          <w:tcPr>
            <w:tcW w:w="6095" w:type="dxa"/>
            <w:tcBorders>
              <w:top w:val="single" w:color="auto" w:sz="4" w:space="0"/>
              <w:left w:val="single" w:color="auto" w:sz="4" w:space="0"/>
              <w:right w:val="single" w:color="auto" w:sz="4" w:space="0"/>
            </w:tcBorders>
            <w:vAlign w:val="center"/>
          </w:tcPr>
          <w:p>
            <w:pPr>
              <w:autoSpaceDE w:val="0"/>
              <w:autoSpaceDN w:val="0"/>
              <w:rPr>
                <w:rFonts w:hint="eastAsia" w:ascii="宋体" w:eastAsia="宋体" w:cs="宋体"/>
                <w:color w:val="auto"/>
                <w:kern w:val="0"/>
                <w:highlight w:val="none"/>
                <w:lang w:eastAsia="zh-CN"/>
              </w:rPr>
            </w:pPr>
            <w:r>
              <w:rPr>
                <w:rFonts w:hint="eastAsia"/>
                <w:color w:val="auto"/>
                <w:highlight w:val="none"/>
                <w:u w:val="single"/>
              </w:rPr>
              <w:t>东莞实业投资控股集团有限公司网站（网址：</w:t>
            </w:r>
            <w:r>
              <w:rPr>
                <w:color w:val="auto"/>
                <w:highlight w:val="none"/>
                <w:u w:val="single"/>
              </w:rPr>
              <w:t>http</w:t>
            </w:r>
            <w:r>
              <w:rPr>
                <w:rFonts w:hint="eastAsia"/>
                <w:color w:val="auto"/>
                <w:highlight w:val="none"/>
                <w:u w:val="single"/>
                <w:lang w:eastAsia="zh-CN"/>
              </w:rPr>
              <w:t>：</w:t>
            </w:r>
            <w:r>
              <w:rPr>
                <w:color w:val="auto"/>
                <w:highlight w:val="none"/>
                <w:u w:val="single"/>
              </w:rPr>
              <w:t>//www.dgsy.com.cn/</w:t>
            </w:r>
            <w:r>
              <w:rPr>
                <w:rFonts w:hint="eastAsia"/>
                <w:color w:val="auto"/>
                <w:highlight w:val="none"/>
                <w:u w:val="single"/>
              </w:rPr>
              <w:t>）</w:t>
            </w:r>
            <w:r>
              <w:rPr>
                <w:rFonts w:hint="eastAsia"/>
                <w:color w:val="auto"/>
                <w:highlight w:val="none"/>
                <w:u w:val="single"/>
                <w:lang w:eastAsia="zh-CN"/>
              </w:rPr>
              <w:t>。</w:t>
            </w:r>
          </w:p>
        </w:tc>
      </w:tr>
      <w:tr>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7.3.1</w:t>
            </w:r>
          </w:p>
        </w:tc>
        <w:tc>
          <w:tcPr>
            <w:tcW w:w="1843" w:type="dxa"/>
            <w:tcBorders>
              <w:top w:val="single" w:color="auto" w:sz="4" w:space="0"/>
              <w:left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成交人确定</w:t>
            </w:r>
          </w:p>
        </w:tc>
        <w:tc>
          <w:tcPr>
            <w:tcW w:w="6095" w:type="dxa"/>
            <w:tcBorders>
              <w:top w:val="single" w:color="auto" w:sz="4" w:space="0"/>
              <w:left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询价小组直接确定成交人</w:t>
            </w:r>
            <w:r>
              <w:rPr>
                <w:rFonts w:hint="eastAsia" w:ascii="宋体" w:hAnsi="宋体" w:cs="宋体"/>
                <w:color w:val="auto"/>
                <w:szCs w:val="21"/>
                <w:highlight w:val="none"/>
              </w:rPr>
              <w:t>，</w:t>
            </w:r>
            <w:r>
              <w:rPr>
                <w:rFonts w:hint="eastAsia" w:hAnsi="宋体"/>
                <w:color w:val="auto"/>
                <w:szCs w:val="21"/>
                <w:highlight w:val="none"/>
              </w:rPr>
              <w:t>成交人数量：</w:t>
            </w:r>
            <w:r>
              <w:rPr>
                <w:rFonts w:ascii="宋体" w:hAnsi="宋体" w:cs="宋体"/>
                <w:color w:val="auto"/>
                <w:szCs w:val="21"/>
                <w:highlight w:val="none"/>
                <w:u w:val="single"/>
              </w:rPr>
              <w:t xml:space="preserve">    </w:t>
            </w:r>
            <w:r>
              <w:rPr>
                <w:rFonts w:hint="eastAsia" w:ascii="宋体" w:hAnsi="宋体" w:cs="宋体"/>
                <w:color w:val="auto"/>
                <w:szCs w:val="21"/>
                <w:highlight w:val="none"/>
              </w:rPr>
              <w:t>人</w:t>
            </w:r>
          </w:p>
          <w:p>
            <w:pPr>
              <w:autoSpaceDE w:val="0"/>
              <w:autoSpaceDN w:val="0"/>
              <w:rPr>
                <w:rFonts w:asci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采购人确定成交人，</w:t>
            </w:r>
            <w:r>
              <w:rPr>
                <w:rFonts w:hint="eastAsia" w:hAnsi="宋体"/>
                <w:color w:val="auto"/>
                <w:szCs w:val="21"/>
                <w:highlight w:val="none"/>
              </w:rPr>
              <w:t>成交人数量：</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ascii="宋体" w:hAnsi="宋体" w:cs="宋体"/>
                <w:color w:val="auto"/>
                <w:szCs w:val="21"/>
                <w:highlight w:val="none"/>
                <w:u w:val="single"/>
              </w:rPr>
              <w:t xml:space="preserve">  </w:t>
            </w:r>
            <w:r>
              <w:rPr>
                <w:rFonts w:hint="eastAsia" w:ascii="宋体" w:hAnsi="宋体" w:cs="宋体"/>
                <w:color w:val="auto"/>
                <w:szCs w:val="21"/>
                <w:highlight w:val="none"/>
              </w:rPr>
              <w:t>人</w:t>
            </w:r>
          </w:p>
        </w:tc>
      </w:tr>
      <w:tr>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7.3.2</w:t>
            </w:r>
          </w:p>
        </w:tc>
        <w:tc>
          <w:tcPr>
            <w:tcW w:w="1843" w:type="dxa"/>
            <w:tcBorders>
              <w:top w:val="single" w:color="auto" w:sz="4" w:space="0"/>
              <w:left w:val="single" w:color="auto" w:sz="4" w:space="0"/>
              <w:right w:val="single" w:color="auto" w:sz="4" w:space="0"/>
            </w:tcBorders>
            <w:vAlign w:val="center"/>
          </w:tcPr>
          <w:p>
            <w:pPr>
              <w:jc w:val="left"/>
              <w:rPr>
                <w:rFonts w:ascii="宋体" w:cs="宋体"/>
                <w:color w:val="auto"/>
                <w:szCs w:val="21"/>
                <w:highlight w:val="none"/>
              </w:rPr>
            </w:pPr>
            <w:r>
              <w:rPr>
                <w:rFonts w:hint="eastAsia" w:ascii="宋体" w:hAnsi="宋体" w:cs="宋体"/>
                <w:color w:val="auto"/>
                <w:szCs w:val="21"/>
                <w:highlight w:val="none"/>
              </w:rPr>
              <w:t>成交原则</w:t>
            </w:r>
          </w:p>
        </w:tc>
        <w:tc>
          <w:tcPr>
            <w:tcW w:w="6095" w:type="dxa"/>
            <w:tcBorders>
              <w:top w:val="single" w:color="auto" w:sz="4" w:space="0"/>
              <w:left w:val="single" w:color="auto" w:sz="4" w:space="0"/>
              <w:right w:val="single" w:color="auto" w:sz="4" w:space="0"/>
            </w:tcBorders>
            <w:vAlign w:val="center"/>
          </w:tcPr>
          <w:p>
            <w:pPr>
              <w:autoSpaceDE w:val="0"/>
              <w:autoSpaceDN w:val="0"/>
              <w:rPr>
                <w:rFonts w:ascii="宋体" w:cs="宋体"/>
                <w:color w:val="auto"/>
                <w:kern w:val="0"/>
                <w:szCs w:val="21"/>
                <w:highlight w:val="none"/>
              </w:rPr>
            </w:pPr>
            <w:r>
              <w:rPr>
                <w:rFonts w:hint="eastAsia"/>
                <w:color w:val="auto"/>
                <w:szCs w:val="21"/>
                <w:highlight w:val="none"/>
              </w:rPr>
              <w:t>采购人根据询价小组推荐的成交候选人名单排序依次确定成交人。</w:t>
            </w:r>
          </w:p>
          <w:p>
            <w:pPr>
              <w:autoSpaceDE w:val="0"/>
              <w:autoSpaceDN w:val="0"/>
              <w:jc w:val="left"/>
              <w:rPr>
                <w:rFonts w:ascii="宋体" w:hAnsi="宋体" w:cs="宋体"/>
                <w:color w:val="auto"/>
                <w:szCs w:val="21"/>
                <w:highlight w:val="none"/>
              </w:rPr>
            </w:pPr>
            <w:r>
              <w:rPr>
                <w:rFonts w:hint="eastAsia" w:ascii="宋体" w:hAnsi="宋体" w:cs="宋体"/>
                <w:color w:val="auto"/>
                <w:szCs w:val="21"/>
                <w:highlight w:val="none"/>
              </w:rPr>
              <w:t>（划分标包询价的，增加以下内容）</w:t>
            </w:r>
          </w:p>
          <w:p>
            <w:pPr>
              <w:autoSpaceDE w:val="0"/>
              <w:autoSpaceDN w:val="0"/>
              <w:jc w:val="left"/>
              <w:rPr>
                <w:rFonts w:ascii="宋体" w:cs="宋体"/>
                <w:color w:val="auto"/>
                <w:szCs w:val="21"/>
                <w:highlight w:val="none"/>
              </w:rPr>
            </w:pP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8.1.1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履约担保金额和方式</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履约担保金额：合同金额的</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ascii="宋体" w:hAnsi="宋体" w:cs="宋体"/>
                <w:color w:val="auto"/>
                <w:szCs w:val="21"/>
                <w:highlight w:val="none"/>
                <w:u w:val="single"/>
              </w:rPr>
              <w:t xml:space="preserve">  </w:t>
            </w:r>
            <w:r>
              <w:rPr>
                <w:rFonts w:ascii="宋体" w:hAnsi="宋体" w:cs="宋体"/>
                <w:color w:val="auto"/>
                <w:szCs w:val="21"/>
                <w:highlight w:val="none"/>
              </w:rPr>
              <w:t>%</w:t>
            </w:r>
          </w:p>
          <w:p>
            <w:pPr>
              <w:rPr>
                <w:rFonts w:ascii="宋体" w:cs="宋体"/>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履约担保方式：</w:t>
            </w:r>
            <w:r>
              <w:rPr>
                <w:rFonts w:hint="eastAsia" w:ascii="宋体" w:hAnsi="宋体" w:cs="宋体"/>
                <w:color w:val="auto"/>
                <w:szCs w:val="21"/>
                <w:highlight w:val="none"/>
                <w:u w:val="single"/>
                <w:lang w:val="en-US" w:eastAsia="zh-CN"/>
              </w:rPr>
              <w:t>银行对公转账或</w:t>
            </w:r>
            <w:r>
              <w:rPr>
                <w:rFonts w:hint="eastAsia" w:ascii="宋体" w:hAnsi="宋体" w:cs="宋体"/>
                <w:color w:val="auto"/>
                <w:szCs w:val="21"/>
                <w:highlight w:val="none"/>
                <w:u w:val="single"/>
              </w:rPr>
              <w:t>银行保函</w:t>
            </w:r>
          </w:p>
          <w:p>
            <w:pPr>
              <w:rPr>
                <w:rFonts w:hAnsi="宋体"/>
                <w:color w:val="auto"/>
                <w:szCs w:val="21"/>
                <w:highlight w:val="none"/>
                <w:lang w:val="zh-CN"/>
              </w:rPr>
            </w:pPr>
            <w:r>
              <w:rPr>
                <w:rFonts w:hAnsi="宋体"/>
                <w:color w:val="auto"/>
                <w:szCs w:val="21"/>
                <w:highlight w:val="none"/>
                <w:lang w:val="zh-CN"/>
              </w:rPr>
              <w:t>3.</w:t>
            </w:r>
            <w:r>
              <w:rPr>
                <w:rFonts w:hint="eastAsia" w:hAnsi="宋体"/>
                <w:color w:val="auto"/>
                <w:szCs w:val="21"/>
                <w:highlight w:val="none"/>
                <w:lang w:val="zh-CN"/>
              </w:rPr>
              <w:t>响应人在合同签订前提交履约担保，履约担保金额不超过成交合同金额的</w:t>
            </w:r>
            <w:r>
              <w:rPr>
                <w:rFonts w:hAnsi="宋体"/>
                <w:color w:val="auto"/>
                <w:szCs w:val="21"/>
                <w:highlight w:val="none"/>
                <w:lang w:val="zh-CN"/>
              </w:rPr>
              <w:t>10%</w:t>
            </w:r>
            <w:r>
              <w:rPr>
                <w:rFonts w:hint="eastAsia" w:hAnsi="宋体"/>
                <w:color w:val="auto"/>
                <w:szCs w:val="21"/>
                <w:highlight w:val="none"/>
                <w:lang w:val="zh-CN"/>
              </w:rPr>
              <w:t>，如果成交人提交的履约保函的有效期先于合同要求的履约保函有效期到达，成交人应在原提交的履约保函有效期满前</w:t>
            </w:r>
            <w:r>
              <w:rPr>
                <w:rFonts w:hAnsi="宋体"/>
                <w:color w:val="auto"/>
                <w:szCs w:val="21"/>
                <w:highlight w:val="none"/>
                <w:lang w:val="zh-CN"/>
              </w:rPr>
              <w:t>15</w:t>
            </w:r>
            <w:r>
              <w:rPr>
                <w:rFonts w:hint="eastAsia" w:hAnsi="宋体"/>
                <w:color w:val="auto"/>
                <w:szCs w:val="21"/>
                <w:highlight w:val="none"/>
                <w:lang w:val="zh-CN"/>
              </w:rPr>
              <w:t>天，无条件办理保函延期手续。否则，视为成交人违约，采购人可在保函到期前将保函金额转为现金存入履约保证金帐户。</w:t>
            </w:r>
          </w:p>
          <w:p>
            <w:pPr>
              <w:rPr>
                <w:rFonts w:hAnsi="宋体"/>
                <w:color w:val="auto"/>
                <w:szCs w:val="21"/>
                <w:highlight w:val="none"/>
                <w:lang w:val="zh-CN"/>
              </w:rPr>
            </w:pPr>
            <w:r>
              <w:rPr>
                <w:rFonts w:hAnsi="宋体"/>
                <w:color w:val="auto"/>
                <w:szCs w:val="21"/>
                <w:highlight w:val="none"/>
                <w:lang w:val="zh-CN"/>
              </w:rPr>
              <w:t>4.</w:t>
            </w:r>
            <w:r>
              <w:rPr>
                <w:rFonts w:hint="eastAsia" w:hAnsi="宋体"/>
                <w:color w:val="auto"/>
                <w:szCs w:val="21"/>
                <w:highlight w:val="none"/>
                <w:lang w:val="zh-CN"/>
              </w:rPr>
              <w:t>履约担保期限</w:t>
            </w:r>
            <w:r>
              <w:rPr>
                <w:rFonts w:hint="eastAsia" w:hAnsi="宋体"/>
                <w:color w:val="auto"/>
                <w:szCs w:val="21"/>
                <w:highlight w:val="none"/>
                <w:u w:val="single"/>
                <w:lang w:val="zh-CN"/>
              </w:rPr>
              <w:t>从合同签订之日起至项目完工验收合格并结算完毕后，经双方签字</w:t>
            </w:r>
            <w:r>
              <w:rPr>
                <w:rFonts w:hAnsi="宋体"/>
                <w:color w:val="auto"/>
                <w:szCs w:val="21"/>
                <w:highlight w:val="none"/>
                <w:u w:val="single"/>
                <w:lang w:val="zh-CN"/>
              </w:rPr>
              <w:t>7</w:t>
            </w:r>
            <w:r>
              <w:rPr>
                <w:rFonts w:hint="eastAsia" w:hAnsi="宋体"/>
                <w:color w:val="auto"/>
                <w:szCs w:val="21"/>
                <w:highlight w:val="none"/>
                <w:u w:val="single"/>
                <w:lang w:val="zh-CN"/>
              </w:rPr>
              <w:t>天内保持有效</w:t>
            </w:r>
            <w:r>
              <w:rPr>
                <w:rFonts w:hint="eastAsia" w:hAnsi="宋体"/>
                <w:color w:val="auto"/>
                <w:szCs w:val="21"/>
                <w:highlight w:val="none"/>
                <w:lang w:val="zh-CN"/>
              </w:rPr>
              <w:t>。</w:t>
            </w:r>
          </w:p>
          <w:p>
            <w:pPr>
              <w:rPr>
                <w:rFonts w:hAnsi="宋体"/>
                <w:color w:val="auto"/>
                <w:szCs w:val="21"/>
                <w:highlight w:val="none"/>
                <w:lang w:val="zh-CN"/>
              </w:rPr>
            </w:pPr>
            <w:r>
              <w:rPr>
                <w:rFonts w:hAnsi="宋体"/>
                <w:color w:val="auto"/>
                <w:szCs w:val="21"/>
                <w:highlight w:val="none"/>
                <w:lang w:val="zh-CN"/>
              </w:rPr>
              <w:t>5.</w:t>
            </w:r>
            <w:r>
              <w:rPr>
                <w:rFonts w:hint="eastAsia" w:hAnsi="宋体"/>
                <w:color w:val="auto"/>
                <w:szCs w:val="21"/>
                <w:highlight w:val="none"/>
                <w:lang w:val="zh-CN"/>
              </w:rPr>
              <w:t>履约担保要求：</w:t>
            </w:r>
          </w:p>
          <w:p>
            <w:pPr>
              <w:rPr>
                <w:rFonts w:hAnsi="宋体"/>
                <w:color w:val="auto"/>
                <w:szCs w:val="21"/>
                <w:highlight w:val="none"/>
                <w:lang w:val="zh-CN"/>
              </w:rPr>
            </w:pPr>
            <w:r>
              <w:rPr>
                <w:rFonts w:hint="eastAsia" w:hAnsi="宋体"/>
                <w:color w:val="auto"/>
                <w:szCs w:val="21"/>
                <w:highlight w:val="none"/>
                <w:lang w:val="zh-CN"/>
              </w:rPr>
              <w:t>（</w:t>
            </w:r>
            <w:r>
              <w:rPr>
                <w:rFonts w:hAnsi="宋体"/>
                <w:color w:val="auto"/>
                <w:szCs w:val="21"/>
                <w:highlight w:val="none"/>
                <w:lang w:val="zh-CN"/>
              </w:rPr>
              <w:t>1</w:t>
            </w:r>
            <w:r>
              <w:rPr>
                <w:rFonts w:hint="eastAsia" w:hAnsi="宋体"/>
                <w:color w:val="auto"/>
                <w:szCs w:val="21"/>
                <w:highlight w:val="none"/>
                <w:lang w:val="zh-CN"/>
              </w:rPr>
              <w:t>）履约保函。如果响应人的履约担保是以银行保函形式提供的，则该银行保函应：</w:t>
            </w:r>
          </w:p>
          <w:p>
            <w:pPr>
              <w:rPr>
                <w:rFonts w:hAnsi="宋体"/>
                <w:color w:val="auto"/>
                <w:szCs w:val="21"/>
                <w:highlight w:val="none"/>
                <w:lang w:val="zh-CN"/>
              </w:rPr>
            </w:pPr>
            <w:r>
              <w:rPr>
                <w:rFonts w:hint="eastAsia" w:hAnsi="宋体"/>
                <w:color w:val="auto"/>
                <w:szCs w:val="21"/>
                <w:highlight w:val="none"/>
                <w:lang w:val="zh-CN"/>
              </w:rPr>
              <w:t>①保函应由银行支行或以上银行机构开具。</w:t>
            </w:r>
          </w:p>
          <w:p>
            <w:pPr>
              <w:rPr>
                <w:rFonts w:hAnsi="宋体"/>
                <w:color w:val="auto"/>
                <w:szCs w:val="21"/>
                <w:highlight w:val="none"/>
                <w:lang w:val="zh-CN"/>
              </w:rPr>
            </w:pPr>
            <w:r>
              <w:rPr>
                <w:rFonts w:hint="eastAsia" w:hAnsi="宋体"/>
                <w:color w:val="auto"/>
                <w:szCs w:val="21"/>
                <w:highlight w:val="none"/>
                <w:lang w:val="zh-CN"/>
              </w:rPr>
              <w:t>②保函的格式参考询价文件中提供的无条件不可撤销履约保函格式，保函担保期内若项目未能按期竣工，保函必须延期，办理延期手续时在银行方面所产生费用由报价人负责。</w:t>
            </w:r>
          </w:p>
          <w:p>
            <w:pPr>
              <w:rPr>
                <w:rFonts w:hAnsi="宋体"/>
                <w:color w:val="auto"/>
                <w:szCs w:val="21"/>
                <w:highlight w:val="none"/>
                <w:lang w:val="zh-CN"/>
              </w:rPr>
            </w:pPr>
            <w:r>
              <w:rPr>
                <w:rFonts w:hint="eastAsia" w:hAnsi="宋体"/>
                <w:color w:val="auto"/>
                <w:szCs w:val="21"/>
                <w:highlight w:val="none"/>
                <w:lang w:val="zh-CN"/>
              </w:rPr>
              <w:t>③履约保函必须打印，手写、涂改无效。</w:t>
            </w:r>
          </w:p>
          <w:p>
            <w:pPr>
              <w:rPr>
                <w:rFonts w:hAnsi="宋体"/>
                <w:color w:val="auto"/>
                <w:szCs w:val="21"/>
                <w:highlight w:val="none"/>
                <w:lang w:val="zh-CN"/>
              </w:rPr>
            </w:pPr>
            <w:r>
              <w:rPr>
                <w:rFonts w:hint="eastAsia" w:hAnsi="宋体"/>
                <w:color w:val="auto"/>
                <w:szCs w:val="21"/>
                <w:highlight w:val="none"/>
                <w:lang w:val="zh-CN"/>
              </w:rPr>
              <w:t>（</w:t>
            </w:r>
            <w:r>
              <w:rPr>
                <w:rFonts w:hAnsi="宋体"/>
                <w:color w:val="auto"/>
                <w:szCs w:val="21"/>
                <w:highlight w:val="none"/>
                <w:lang w:val="zh-CN"/>
              </w:rPr>
              <w:t>2</w:t>
            </w:r>
            <w:r>
              <w:rPr>
                <w:rFonts w:hint="eastAsia" w:hAnsi="宋体"/>
                <w:color w:val="auto"/>
                <w:szCs w:val="21"/>
                <w:highlight w:val="none"/>
                <w:lang w:val="zh-CN"/>
              </w:rPr>
              <w:t>）履约保证金。可采用电汇、银行汇票等银行转帐方式提交，但不可以采用现金方式提交。响应人必须保证履约保证金以响应人名称在</w:t>
            </w:r>
            <w:r>
              <w:rPr>
                <w:rFonts w:hint="eastAsia" w:hAnsi="宋体"/>
                <w:color w:val="auto"/>
                <w:szCs w:val="21"/>
                <w:highlight w:val="none"/>
                <w:u w:val="single"/>
                <w:lang w:val="zh-CN"/>
              </w:rPr>
              <w:t>签订合同</w:t>
            </w:r>
            <w:r>
              <w:rPr>
                <w:rFonts w:hint="eastAsia" w:hAnsi="宋体"/>
                <w:color w:val="auto"/>
                <w:szCs w:val="21"/>
                <w:highlight w:val="none"/>
                <w:lang w:val="zh-CN"/>
              </w:rPr>
              <w:t>前提交至采购人指定账户。</w:t>
            </w:r>
          </w:p>
          <w:p>
            <w:pPr>
              <w:rPr>
                <w:rFonts w:hAnsi="宋体"/>
                <w:color w:val="auto"/>
                <w:szCs w:val="21"/>
                <w:highlight w:val="none"/>
                <w:lang w:val="zh-CN"/>
              </w:rPr>
            </w:pPr>
            <w:r>
              <w:rPr>
                <w:rFonts w:hint="eastAsia" w:hAnsi="宋体"/>
                <w:color w:val="auto"/>
                <w:szCs w:val="21"/>
                <w:highlight w:val="none"/>
                <w:lang w:val="zh-CN"/>
              </w:rPr>
              <w:t>（</w:t>
            </w:r>
            <w:r>
              <w:rPr>
                <w:rFonts w:hAnsi="宋体"/>
                <w:color w:val="auto"/>
                <w:szCs w:val="21"/>
                <w:highlight w:val="none"/>
                <w:lang w:val="zh-CN"/>
              </w:rPr>
              <w:t>3</w:t>
            </w:r>
            <w:r>
              <w:rPr>
                <w:rFonts w:hint="eastAsia" w:hAnsi="宋体"/>
                <w:color w:val="auto"/>
                <w:szCs w:val="21"/>
                <w:highlight w:val="none"/>
                <w:lang w:val="zh-CN"/>
              </w:rPr>
              <w:t>）若成交人不能按询价文件的规定提交履约保证金的，采购人将有权取消成交人的成交资格（采购人可以按照询价小组提出的成交候选人名单排序依次确定其他成交候选人为成交人，也可以重新采购），询价保证金不予退还，给采购人造成的损失如果超过询价保证金数额的，还应当对超过部分予以赔偿。</w:t>
            </w:r>
          </w:p>
          <w:p>
            <w:pPr>
              <w:rPr>
                <w:rFonts w:hAnsi="宋体"/>
                <w:color w:val="auto"/>
                <w:szCs w:val="21"/>
                <w:highlight w:val="none"/>
                <w:lang w:val="zh-CN"/>
              </w:rPr>
            </w:pPr>
            <w:r>
              <w:rPr>
                <w:rFonts w:hint="eastAsia" w:hAnsi="宋体"/>
                <w:color w:val="auto"/>
                <w:szCs w:val="21"/>
                <w:highlight w:val="none"/>
                <w:lang w:val="zh-CN"/>
              </w:rPr>
              <w:t>（</w:t>
            </w:r>
            <w:r>
              <w:rPr>
                <w:rFonts w:hAnsi="宋体"/>
                <w:color w:val="auto"/>
                <w:szCs w:val="21"/>
                <w:highlight w:val="none"/>
                <w:lang w:val="zh-CN"/>
              </w:rPr>
              <w:t>4</w:t>
            </w:r>
            <w:r>
              <w:rPr>
                <w:rFonts w:hint="eastAsia" w:hAnsi="宋体"/>
                <w:color w:val="auto"/>
                <w:szCs w:val="21"/>
                <w:highlight w:val="none"/>
                <w:lang w:val="zh-CN"/>
              </w:rPr>
              <w:t>）为取得履约担保所需的费用，由成交人承担；若工期延误，履约担保时间延长，延长费用由成交人承担。</w:t>
            </w:r>
          </w:p>
          <w:p>
            <w:pPr>
              <w:rPr>
                <w:rFonts w:hAnsi="宋体"/>
                <w:color w:val="auto"/>
                <w:szCs w:val="21"/>
                <w:highlight w:val="none"/>
                <w:lang w:val="zh-CN"/>
              </w:rPr>
            </w:pPr>
            <w:r>
              <w:rPr>
                <w:rFonts w:hint="eastAsia" w:hAnsi="宋体"/>
                <w:color w:val="auto"/>
                <w:szCs w:val="21"/>
                <w:highlight w:val="none"/>
                <w:lang w:val="zh-CN"/>
              </w:rPr>
              <w:t>（</w:t>
            </w:r>
            <w:r>
              <w:rPr>
                <w:rFonts w:hAnsi="宋体"/>
                <w:color w:val="auto"/>
                <w:szCs w:val="21"/>
                <w:highlight w:val="none"/>
                <w:lang w:val="zh-CN"/>
              </w:rPr>
              <w:t>5</w:t>
            </w:r>
            <w:r>
              <w:rPr>
                <w:rFonts w:hint="eastAsia" w:hAnsi="宋体"/>
                <w:color w:val="auto"/>
                <w:szCs w:val="21"/>
                <w:highlight w:val="none"/>
                <w:lang w:val="zh-CN"/>
              </w:rPr>
              <w:t>）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pPr>
              <w:rPr>
                <w:rFonts w:hAnsi="宋体"/>
                <w:color w:val="auto"/>
                <w:szCs w:val="21"/>
                <w:highlight w:val="none"/>
                <w:lang w:val="zh-CN"/>
              </w:rPr>
            </w:pPr>
            <w:r>
              <w:rPr>
                <w:rFonts w:hint="eastAsia" w:hAnsi="宋体"/>
                <w:color w:val="auto"/>
                <w:szCs w:val="21"/>
                <w:highlight w:val="none"/>
                <w:lang w:val="zh-CN"/>
              </w:rPr>
              <w:t>（</w:t>
            </w:r>
            <w:r>
              <w:rPr>
                <w:rFonts w:hAnsi="宋体"/>
                <w:color w:val="auto"/>
                <w:szCs w:val="21"/>
                <w:highlight w:val="none"/>
                <w:lang w:val="zh-CN"/>
              </w:rPr>
              <w:t>6</w:t>
            </w:r>
            <w:r>
              <w:rPr>
                <w:rFonts w:hint="eastAsia" w:hAnsi="宋体"/>
                <w:color w:val="auto"/>
                <w:szCs w:val="21"/>
                <w:highlight w:val="none"/>
                <w:lang w:val="zh-CN"/>
              </w:rPr>
              <w:t>）下列任何情况发生时，采购人有权行使享有的担保权利：</w:t>
            </w:r>
          </w:p>
          <w:p>
            <w:pPr>
              <w:rPr>
                <w:rFonts w:hAnsi="宋体"/>
                <w:color w:val="auto"/>
                <w:szCs w:val="21"/>
                <w:highlight w:val="none"/>
                <w:lang w:val="zh-CN"/>
              </w:rPr>
            </w:pPr>
            <w:r>
              <w:rPr>
                <w:rFonts w:hint="eastAsia" w:hAnsi="宋体"/>
                <w:color w:val="auto"/>
                <w:szCs w:val="21"/>
                <w:highlight w:val="none"/>
                <w:lang w:val="zh-CN"/>
              </w:rPr>
              <w:t>①成交人将本项目转让给他人，或者在报价文件中未说明，且未经采购人同意，将成交项目分包给他人的；</w:t>
            </w:r>
          </w:p>
          <w:p>
            <w:pPr>
              <w:rPr>
                <w:rFonts w:hAnsi="宋体"/>
                <w:color w:val="auto"/>
                <w:szCs w:val="21"/>
                <w:highlight w:val="none"/>
                <w:lang w:val="zh-CN"/>
              </w:rPr>
            </w:pPr>
            <w:r>
              <w:rPr>
                <w:rFonts w:hint="eastAsia" w:hAnsi="宋体"/>
                <w:color w:val="auto"/>
                <w:szCs w:val="21"/>
                <w:highlight w:val="none"/>
                <w:lang w:val="zh-CN"/>
              </w:rPr>
              <w:t>②成交人在履行采购合同期间，违反有关法律法规的规定及合同约定的条款，损害了采购人的利益。</w:t>
            </w:r>
          </w:p>
          <w:p>
            <w:pPr>
              <w:rPr>
                <w:color w:val="auto"/>
                <w:szCs w:val="21"/>
                <w:highlight w:val="none"/>
              </w:rPr>
            </w:pPr>
            <w:r>
              <w:rPr>
                <w:rFonts w:hint="eastAsia" w:hAnsi="宋体"/>
                <w:color w:val="auto"/>
                <w:szCs w:val="21"/>
                <w:highlight w:val="none"/>
                <w:lang w:val="zh-CN"/>
              </w:rPr>
              <w:t>（</w:t>
            </w:r>
            <w:r>
              <w:rPr>
                <w:rFonts w:hAnsi="宋体"/>
                <w:color w:val="auto"/>
                <w:szCs w:val="21"/>
                <w:highlight w:val="none"/>
                <w:lang w:val="zh-CN"/>
              </w:rPr>
              <w:t>7</w:t>
            </w:r>
            <w:r>
              <w:rPr>
                <w:rFonts w:hint="eastAsia" w:hAnsi="宋体"/>
                <w:color w:val="auto"/>
                <w:szCs w:val="21"/>
                <w:highlight w:val="none"/>
                <w:lang w:val="zh-CN"/>
              </w:rPr>
              <w:t>）在整个项目验收合格后，成交人向采购人提交退回履约担保的申请，采购人办理履约担保退还手续。</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9</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采购代理服务费金额、交纳方式和时限</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宋体"/>
                <w:color w:val="auto"/>
                <w:szCs w:val="21"/>
                <w:highlight w:val="none"/>
              </w:rPr>
            </w:pPr>
            <w:r>
              <w:rPr>
                <w:rFonts w:hint="eastAsia"/>
                <w:color w:val="auto"/>
                <w:szCs w:val="21"/>
                <w:highlight w:val="none"/>
              </w:rPr>
              <w:t>■</w:t>
            </w:r>
            <w:r>
              <w:rPr>
                <w:rFonts w:hint="eastAsia" w:hAnsi="宋体"/>
                <w:color w:val="auto"/>
                <w:szCs w:val="21"/>
                <w:highlight w:val="none"/>
              </w:rPr>
              <w:t>由采购人支付</w:t>
            </w:r>
          </w:p>
          <w:p>
            <w:pPr>
              <w:autoSpaceDE w:val="0"/>
              <w:autoSpaceDN w:val="0"/>
              <w:rPr>
                <w:rFonts w:ascii="宋体"/>
                <w:color w:val="auto"/>
                <w:szCs w:val="21"/>
                <w:highlight w:val="none"/>
              </w:rPr>
            </w:pPr>
            <w:r>
              <w:rPr>
                <w:rFonts w:hint="eastAsia" w:ascii="宋体" w:hAnsi="宋体"/>
                <w:color w:val="auto"/>
                <w:szCs w:val="21"/>
                <w:highlight w:val="none"/>
              </w:rPr>
              <w:t>□</w:t>
            </w:r>
            <w:r>
              <w:rPr>
                <w:rFonts w:hint="eastAsia"/>
                <w:color w:val="auto"/>
                <w:szCs w:val="21"/>
                <w:highlight w:val="none"/>
              </w:rPr>
              <w:t>由成交人支付，具体如下：</w:t>
            </w:r>
          </w:p>
          <w:p>
            <w:pPr>
              <w:autoSpaceDE w:val="0"/>
              <w:autoSpaceDN w:val="0"/>
              <w:rPr>
                <w:rFonts w:ascii="宋体" w:cs="宋体"/>
                <w:color w:val="auto"/>
                <w:szCs w:val="21"/>
                <w:highlight w:val="none"/>
              </w:rPr>
            </w:pPr>
            <w:r>
              <w:rPr>
                <w:rFonts w:hint="eastAsia" w:ascii="宋体" w:hAnsi="宋体"/>
                <w:b/>
                <w:color w:val="auto"/>
                <w:szCs w:val="21"/>
                <w:highlight w:val="none"/>
              </w:rPr>
              <w:t>采购代理服务费的金额：</w:t>
            </w:r>
            <w:r>
              <w:rPr>
                <w:rFonts w:hint="eastAsia" w:ascii="宋体" w:hAnsi="宋体"/>
                <w:b/>
                <w:color w:val="auto"/>
                <w:szCs w:val="21"/>
                <w:highlight w:val="none"/>
                <w:u w:val="single"/>
              </w:rPr>
              <w:t>人民币</w:t>
            </w:r>
            <w:r>
              <w:rPr>
                <w:rFonts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w:t>
            </w:r>
            <w:r>
              <w:rPr>
                <w:rFonts w:ascii="宋体" w:hAnsi="宋体"/>
                <w:b/>
                <w:color w:val="auto"/>
                <w:szCs w:val="21"/>
                <w:highlight w:val="none"/>
                <w:u w:val="single"/>
              </w:rPr>
              <w:t xml:space="preserve">   </w:t>
            </w:r>
            <w:r>
              <w:rPr>
                <w:rFonts w:hint="eastAsia" w:ascii="宋体" w:hAnsi="宋体"/>
                <w:b/>
                <w:color w:val="auto"/>
                <w:szCs w:val="21"/>
                <w:highlight w:val="none"/>
                <w:u w:val="single"/>
              </w:rPr>
              <w:t>元整</w:t>
            </w:r>
            <w:r>
              <w:rPr>
                <w:rFonts w:hint="eastAsia" w:ascii="宋体" w:hAnsi="宋体"/>
                <w:b/>
                <w:color w:val="auto"/>
                <w:szCs w:val="21"/>
                <w:highlight w:val="none"/>
              </w:rPr>
              <w:t>。</w:t>
            </w:r>
          </w:p>
          <w:p>
            <w:pPr>
              <w:autoSpaceDE w:val="0"/>
              <w:autoSpaceDN w:val="0"/>
              <w:rPr>
                <w:rFonts w:ascii="宋体" w:cs="宋体"/>
                <w:color w:val="auto"/>
                <w:szCs w:val="21"/>
                <w:highlight w:val="none"/>
              </w:rPr>
            </w:pPr>
            <w:r>
              <w:rPr>
                <w:rFonts w:hint="eastAsia" w:ascii="宋体" w:hAnsi="宋体" w:cs="宋体"/>
                <w:color w:val="auto"/>
                <w:szCs w:val="21"/>
                <w:highlight w:val="none"/>
              </w:rPr>
              <w:t>交纳方式：</w:t>
            </w:r>
            <w:r>
              <w:rPr>
                <w:rFonts w:hint="eastAsia" w:ascii="宋体" w:hAnsi="宋体" w:cs="宋体"/>
                <w:color w:val="auto"/>
                <w:szCs w:val="21"/>
                <w:highlight w:val="none"/>
                <w:u w:val="single"/>
              </w:rPr>
              <w:t>详见第六章响应文件格式</w:t>
            </w:r>
          </w:p>
          <w:p>
            <w:pPr>
              <w:pStyle w:val="78"/>
              <w:autoSpaceDE w:val="0"/>
              <w:autoSpaceDN w:val="0"/>
              <w:ind w:left="0" w:leftChars="0" w:firstLine="0" w:firstLineChars="0"/>
              <w:rPr>
                <w:rFonts w:ascii="宋体"/>
                <w:color w:val="auto"/>
                <w:szCs w:val="21"/>
                <w:highlight w:val="none"/>
              </w:rPr>
            </w:pPr>
            <w:r>
              <w:rPr>
                <w:rFonts w:hint="eastAsia" w:ascii="宋体" w:hAnsi="宋体" w:cs="宋体"/>
                <w:color w:val="auto"/>
                <w:szCs w:val="21"/>
                <w:highlight w:val="none"/>
              </w:rPr>
              <w:t>交纳时限：</w:t>
            </w:r>
            <w:r>
              <w:rPr>
                <w:rFonts w:hint="eastAsia" w:ascii="宋体" w:hAnsi="宋体" w:cs="宋体"/>
                <w:color w:val="auto"/>
                <w:szCs w:val="21"/>
                <w:highlight w:val="none"/>
                <w:u w:val="single"/>
              </w:rPr>
              <w:t>详见第六章响应文件格式</w:t>
            </w:r>
          </w:p>
        </w:tc>
      </w:tr>
    </w:tbl>
    <w:p>
      <w:pPr>
        <w:widowControl/>
        <w:jc w:val="left"/>
        <w:rPr>
          <w:b/>
          <w:color w:val="auto"/>
          <w:highlight w:val="none"/>
        </w:rPr>
      </w:pPr>
    </w:p>
    <w:p>
      <w:pPr>
        <w:widowControl/>
        <w:jc w:val="left"/>
        <w:rPr>
          <w:b/>
          <w:color w:val="auto"/>
          <w:highlight w:val="none"/>
        </w:rPr>
      </w:pPr>
    </w:p>
    <w:p>
      <w:pPr>
        <w:pStyle w:val="4"/>
        <w:rPr>
          <w:rFonts w:ascii="黑体"/>
          <w:color w:val="auto"/>
          <w:highlight w:val="none"/>
        </w:rPr>
      </w:pPr>
      <w:bookmarkStart w:id="8" w:name="_Toc456551876"/>
      <w:r>
        <w:rPr>
          <w:rFonts w:ascii="黑体" w:hAnsi="黑体"/>
          <w:color w:val="auto"/>
          <w:highlight w:val="none"/>
        </w:rPr>
        <w:br w:type="page"/>
      </w:r>
      <w:bookmarkStart w:id="9" w:name="_Toc12353"/>
      <w:r>
        <w:rPr>
          <w:rFonts w:ascii="黑体" w:hAnsi="黑体"/>
          <w:color w:val="auto"/>
          <w:highlight w:val="none"/>
        </w:rPr>
        <w:t xml:space="preserve">1. </w:t>
      </w:r>
      <w:r>
        <w:rPr>
          <w:rFonts w:hint="eastAsia" w:ascii="黑体" w:hAnsi="黑体"/>
          <w:color w:val="auto"/>
          <w:highlight w:val="none"/>
        </w:rPr>
        <w:t>总则</w:t>
      </w:r>
      <w:bookmarkEnd w:id="8"/>
      <w:bookmarkEnd w:id="9"/>
    </w:p>
    <w:p>
      <w:pPr>
        <w:spacing w:line="400" w:lineRule="exact"/>
        <w:rPr>
          <w:rFonts w:ascii="宋体"/>
          <w:b/>
          <w:color w:val="auto"/>
          <w:sz w:val="32"/>
          <w:szCs w:val="32"/>
          <w:highlight w:val="none"/>
        </w:rPr>
      </w:pPr>
      <w:bookmarkStart w:id="10" w:name="_Toc475552123"/>
      <w:bookmarkStart w:id="11" w:name="_Toc456551877"/>
      <w:r>
        <w:rPr>
          <w:rFonts w:ascii="宋体" w:hAnsi="宋体"/>
          <w:b/>
          <w:color w:val="auto"/>
          <w:sz w:val="32"/>
          <w:szCs w:val="32"/>
          <w:highlight w:val="none"/>
        </w:rPr>
        <w:t xml:space="preserve">1.1 </w:t>
      </w:r>
      <w:r>
        <w:rPr>
          <w:rFonts w:hint="eastAsia" w:ascii="宋体" w:hAnsi="宋体"/>
          <w:b/>
          <w:color w:val="auto"/>
          <w:sz w:val="32"/>
          <w:szCs w:val="32"/>
          <w:highlight w:val="none"/>
        </w:rPr>
        <w:t>项目概况</w:t>
      </w:r>
      <w:bookmarkEnd w:id="10"/>
      <w:bookmarkEnd w:id="11"/>
    </w:p>
    <w:p>
      <w:pPr>
        <w:spacing w:line="400" w:lineRule="exact"/>
        <w:ind w:firstLine="420" w:firstLineChars="200"/>
        <w:rPr>
          <w:color w:val="auto"/>
          <w:highlight w:val="none"/>
        </w:rPr>
      </w:pPr>
      <w:r>
        <w:rPr>
          <w:color w:val="auto"/>
          <w:highlight w:val="none"/>
        </w:rPr>
        <w:t>1.1.1</w:t>
      </w:r>
      <w:r>
        <w:rPr>
          <w:rFonts w:hint="eastAsia"/>
          <w:color w:val="auto"/>
          <w:highlight w:val="none"/>
        </w:rPr>
        <w:t>本询价项目根据东实</w:t>
      </w:r>
      <w:r>
        <w:rPr>
          <w:rFonts w:hint="eastAsia"/>
          <w:color w:val="auto"/>
          <w:highlight w:val="none"/>
          <w:lang w:val="en-US" w:eastAsia="zh-CN"/>
        </w:rPr>
        <w:t>环境</w:t>
      </w:r>
      <w:r>
        <w:rPr>
          <w:rFonts w:hint="eastAsia"/>
          <w:color w:val="auto"/>
          <w:highlight w:val="none"/>
        </w:rPr>
        <w:t>及采购人相关招标采购管理规定执行，本询价项目已具备询价条件，现对本项目进行询价。</w:t>
      </w:r>
    </w:p>
    <w:p>
      <w:pPr>
        <w:spacing w:line="400" w:lineRule="exact"/>
        <w:ind w:firstLine="420" w:firstLineChars="200"/>
        <w:rPr>
          <w:color w:val="auto"/>
          <w:highlight w:val="none"/>
        </w:rPr>
      </w:pPr>
      <w:r>
        <w:rPr>
          <w:color w:val="auto"/>
          <w:highlight w:val="none"/>
        </w:rPr>
        <w:t xml:space="preserve">1.1.2 </w:t>
      </w:r>
      <w:r>
        <w:rPr>
          <w:rFonts w:hint="eastAsia"/>
          <w:color w:val="auto"/>
          <w:highlight w:val="none"/>
        </w:rPr>
        <w:t>本询价项目采购人：见询价公告或询价响应须知前附表。</w:t>
      </w:r>
    </w:p>
    <w:p>
      <w:pPr>
        <w:spacing w:line="400" w:lineRule="exact"/>
        <w:ind w:firstLine="420" w:firstLineChars="200"/>
        <w:rPr>
          <w:color w:val="auto"/>
          <w:highlight w:val="none"/>
        </w:rPr>
      </w:pPr>
      <w:r>
        <w:rPr>
          <w:color w:val="auto"/>
          <w:highlight w:val="none"/>
        </w:rPr>
        <w:t xml:space="preserve">1.1.3 </w:t>
      </w:r>
      <w:r>
        <w:rPr>
          <w:rFonts w:hint="eastAsia"/>
          <w:color w:val="auto"/>
          <w:highlight w:val="none"/>
        </w:rPr>
        <w:t>本询价项目名称：见询价公告或询价响应须知前附表。</w:t>
      </w:r>
    </w:p>
    <w:p>
      <w:pPr>
        <w:spacing w:line="400" w:lineRule="exact"/>
        <w:ind w:firstLine="420" w:firstLineChars="200"/>
        <w:rPr>
          <w:color w:val="auto"/>
          <w:highlight w:val="none"/>
        </w:rPr>
      </w:pPr>
      <w:r>
        <w:rPr>
          <w:color w:val="auto"/>
          <w:highlight w:val="none"/>
        </w:rPr>
        <w:t xml:space="preserve">1.1.4 </w:t>
      </w:r>
      <w:r>
        <w:rPr>
          <w:rFonts w:hint="eastAsia"/>
          <w:color w:val="auto"/>
          <w:highlight w:val="none"/>
        </w:rPr>
        <w:t>本询价项目地点：见询价公告或询价响应须知前附表。</w:t>
      </w:r>
    </w:p>
    <w:p>
      <w:pPr>
        <w:spacing w:line="400" w:lineRule="exact"/>
        <w:ind w:firstLine="420" w:firstLineChars="200"/>
        <w:rPr>
          <w:color w:val="auto"/>
          <w:highlight w:val="none"/>
        </w:rPr>
      </w:pPr>
      <w:r>
        <w:rPr>
          <w:color w:val="auto"/>
          <w:highlight w:val="none"/>
        </w:rPr>
        <w:t>1.1.5</w:t>
      </w:r>
      <w:r>
        <w:rPr>
          <w:rFonts w:hint="eastAsia"/>
          <w:color w:val="auto"/>
          <w:highlight w:val="none"/>
        </w:rPr>
        <w:t>本询价项目承包方式：见询价公告或询价响应须知前附表。</w:t>
      </w:r>
    </w:p>
    <w:p>
      <w:pPr>
        <w:spacing w:line="400" w:lineRule="exact"/>
        <w:rPr>
          <w:rFonts w:ascii="宋体"/>
          <w:b/>
          <w:color w:val="auto"/>
          <w:sz w:val="32"/>
          <w:szCs w:val="32"/>
          <w:highlight w:val="none"/>
        </w:rPr>
      </w:pPr>
      <w:bookmarkStart w:id="12" w:name="_Toc475552124"/>
      <w:bookmarkStart w:id="13" w:name="_Toc456551878"/>
      <w:r>
        <w:rPr>
          <w:rFonts w:ascii="宋体" w:hAnsi="宋体"/>
          <w:b/>
          <w:color w:val="auto"/>
          <w:sz w:val="32"/>
          <w:szCs w:val="32"/>
          <w:highlight w:val="none"/>
        </w:rPr>
        <w:t xml:space="preserve">1.2 </w:t>
      </w:r>
      <w:r>
        <w:rPr>
          <w:rFonts w:hint="eastAsia" w:ascii="宋体" w:hAnsi="宋体"/>
          <w:b/>
          <w:color w:val="auto"/>
          <w:sz w:val="32"/>
          <w:szCs w:val="32"/>
          <w:highlight w:val="none"/>
        </w:rPr>
        <w:t>资金来源和落实情况</w:t>
      </w:r>
      <w:bookmarkEnd w:id="12"/>
      <w:bookmarkEnd w:id="13"/>
    </w:p>
    <w:p>
      <w:pPr>
        <w:spacing w:line="400" w:lineRule="exact"/>
        <w:ind w:firstLine="420" w:firstLineChars="200"/>
        <w:rPr>
          <w:color w:val="auto"/>
          <w:highlight w:val="none"/>
        </w:rPr>
      </w:pPr>
      <w:r>
        <w:rPr>
          <w:rFonts w:hint="eastAsia"/>
          <w:color w:val="auto"/>
          <w:highlight w:val="none"/>
        </w:rPr>
        <w:t>本项目资金已落实，资金来源见询价公告或询价响应须知前附表。</w:t>
      </w:r>
    </w:p>
    <w:p>
      <w:pPr>
        <w:spacing w:line="400" w:lineRule="exact"/>
        <w:rPr>
          <w:rFonts w:ascii="宋体"/>
          <w:b/>
          <w:color w:val="auto"/>
          <w:sz w:val="32"/>
          <w:szCs w:val="32"/>
          <w:highlight w:val="none"/>
        </w:rPr>
      </w:pPr>
      <w:bookmarkStart w:id="14" w:name="_Toc475552125"/>
      <w:bookmarkStart w:id="15" w:name="_Toc456551879"/>
      <w:r>
        <w:rPr>
          <w:rFonts w:ascii="宋体" w:hAnsi="宋体"/>
          <w:b/>
          <w:color w:val="auto"/>
          <w:sz w:val="32"/>
          <w:szCs w:val="32"/>
          <w:highlight w:val="none"/>
        </w:rPr>
        <w:t xml:space="preserve">1.3 </w:t>
      </w:r>
      <w:r>
        <w:rPr>
          <w:rFonts w:hint="eastAsia" w:ascii="宋体" w:hAnsi="宋体"/>
          <w:b/>
          <w:color w:val="auto"/>
          <w:sz w:val="32"/>
          <w:szCs w:val="32"/>
          <w:highlight w:val="none"/>
        </w:rPr>
        <w:t>询价范围、服务时间和质量要求</w:t>
      </w:r>
      <w:bookmarkEnd w:id="14"/>
      <w:bookmarkEnd w:id="15"/>
    </w:p>
    <w:p>
      <w:pPr>
        <w:spacing w:line="400" w:lineRule="exact"/>
        <w:ind w:firstLine="420" w:firstLineChars="200"/>
        <w:rPr>
          <w:color w:val="auto"/>
          <w:highlight w:val="none"/>
        </w:rPr>
      </w:pPr>
      <w:r>
        <w:rPr>
          <w:color w:val="auto"/>
          <w:highlight w:val="none"/>
        </w:rPr>
        <w:t xml:space="preserve">1.3.1 </w:t>
      </w:r>
      <w:r>
        <w:rPr>
          <w:rFonts w:hint="eastAsia"/>
          <w:color w:val="auto"/>
          <w:highlight w:val="none"/>
        </w:rPr>
        <w:t>本次询价范围：见询价公告或询价响应须知前附表。</w:t>
      </w:r>
    </w:p>
    <w:p>
      <w:pPr>
        <w:spacing w:line="400" w:lineRule="exact"/>
        <w:ind w:firstLine="420" w:firstLineChars="200"/>
        <w:rPr>
          <w:color w:val="auto"/>
          <w:highlight w:val="none"/>
        </w:rPr>
      </w:pPr>
      <w:r>
        <w:rPr>
          <w:color w:val="auto"/>
          <w:highlight w:val="none"/>
        </w:rPr>
        <w:t xml:space="preserve">1.3.2 </w:t>
      </w:r>
      <w:r>
        <w:rPr>
          <w:rFonts w:hint="eastAsia"/>
          <w:color w:val="auto"/>
          <w:highlight w:val="none"/>
        </w:rPr>
        <w:t>本询价项目的服务时间：见询价公告或询价响应须知前附表。</w:t>
      </w:r>
    </w:p>
    <w:p>
      <w:pPr>
        <w:spacing w:line="400" w:lineRule="exact"/>
        <w:ind w:firstLine="420" w:firstLineChars="200"/>
        <w:rPr>
          <w:color w:val="auto"/>
          <w:highlight w:val="none"/>
        </w:rPr>
      </w:pPr>
      <w:r>
        <w:rPr>
          <w:color w:val="auto"/>
          <w:highlight w:val="none"/>
        </w:rPr>
        <w:t xml:space="preserve">1.3.4 </w:t>
      </w:r>
      <w:r>
        <w:rPr>
          <w:rFonts w:hint="eastAsia"/>
          <w:color w:val="auto"/>
          <w:highlight w:val="none"/>
        </w:rPr>
        <w:t>本询价项目的标包划分情况：见询价公告或询价响应须知前附表。</w:t>
      </w:r>
    </w:p>
    <w:p>
      <w:pPr>
        <w:spacing w:line="400" w:lineRule="exact"/>
        <w:ind w:firstLine="420" w:firstLineChars="200"/>
        <w:rPr>
          <w:color w:val="auto"/>
          <w:highlight w:val="none"/>
        </w:rPr>
      </w:pPr>
      <w:r>
        <w:rPr>
          <w:color w:val="auto"/>
          <w:highlight w:val="none"/>
        </w:rPr>
        <w:t>1.3.5</w:t>
      </w:r>
      <w:r>
        <w:rPr>
          <w:rFonts w:hint="eastAsia"/>
          <w:color w:val="auto"/>
          <w:highlight w:val="none"/>
        </w:rPr>
        <w:t>本询价项目的质量要求：见询价公告或询价响应须知前附表。</w:t>
      </w:r>
    </w:p>
    <w:p>
      <w:pPr>
        <w:spacing w:line="400" w:lineRule="exact"/>
        <w:rPr>
          <w:rFonts w:ascii="宋体"/>
          <w:b/>
          <w:color w:val="auto"/>
          <w:sz w:val="32"/>
          <w:szCs w:val="32"/>
          <w:highlight w:val="none"/>
        </w:rPr>
      </w:pPr>
      <w:bookmarkStart w:id="16" w:name="_Toc475552126"/>
      <w:bookmarkStart w:id="17" w:name="_Toc456551880"/>
      <w:r>
        <w:rPr>
          <w:rFonts w:ascii="宋体" w:hAnsi="宋体"/>
          <w:b/>
          <w:color w:val="auto"/>
          <w:sz w:val="32"/>
          <w:szCs w:val="32"/>
          <w:highlight w:val="none"/>
        </w:rPr>
        <w:t xml:space="preserve">1.4 </w:t>
      </w:r>
      <w:r>
        <w:rPr>
          <w:rFonts w:hint="eastAsia" w:ascii="宋体" w:hAnsi="宋体"/>
          <w:b/>
          <w:color w:val="auto"/>
          <w:sz w:val="32"/>
          <w:szCs w:val="32"/>
          <w:highlight w:val="none"/>
        </w:rPr>
        <w:t>询价方式</w:t>
      </w:r>
      <w:bookmarkEnd w:id="16"/>
      <w:bookmarkEnd w:id="17"/>
    </w:p>
    <w:p>
      <w:pPr>
        <w:adjustRightInd w:val="0"/>
        <w:snapToGrid w:val="0"/>
        <w:spacing w:line="440" w:lineRule="exact"/>
        <w:ind w:firstLine="420" w:firstLineChars="200"/>
        <w:rPr>
          <w:color w:val="auto"/>
          <w:highlight w:val="none"/>
        </w:rPr>
      </w:pPr>
      <w:r>
        <w:rPr>
          <w:rFonts w:hint="eastAsia"/>
          <w:color w:val="auto"/>
          <w:highlight w:val="none"/>
        </w:rPr>
        <w:t>公开询价：</w:t>
      </w:r>
      <w:r>
        <w:rPr>
          <w:rFonts w:hint="eastAsia" w:ascii="Arial" w:hAnsi="Arial" w:cs="Arial"/>
          <w:color w:val="auto"/>
          <w:szCs w:val="21"/>
          <w:highlight w:val="none"/>
        </w:rPr>
        <w:t>是指采购人以询价公告的方式邀请不特定的法人或者其他组织询价。</w:t>
      </w:r>
    </w:p>
    <w:p>
      <w:pPr>
        <w:spacing w:line="400" w:lineRule="exact"/>
        <w:rPr>
          <w:rFonts w:ascii="宋体"/>
          <w:b/>
          <w:color w:val="auto"/>
          <w:sz w:val="32"/>
          <w:szCs w:val="32"/>
          <w:highlight w:val="none"/>
        </w:rPr>
      </w:pPr>
      <w:bookmarkStart w:id="18" w:name="_Toc475552127"/>
      <w:bookmarkStart w:id="19" w:name="_Toc456551881"/>
      <w:r>
        <w:rPr>
          <w:rFonts w:ascii="宋体" w:hAnsi="宋体"/>
          <w:b/>
          <w:color w:val="auto"/>
          <w:sz w:val="32"/>
          <w:szCs w:val="32"/>
          <w:highlight w:val="none"/>
        </w:rPr>
        <w:t xml:space="preserve">1.5 </w:t>
      </w:r>
      <w:r>
        <w:rPr>
          <w:rFonts w:hint="eastAsia" w:ascii="宋体" w:hAnsi="宋体"/>
          <w:b/>
          <w:color w:val="auto"/>
          <w:sz w:val="32"/>
          <w:szCs w:val="32"/>
          <w:highlight w:val="none"/>
        </w:rPr>
        <w:t>询价组织形式</w:t>
      </w:r>
      <w:bookmarkEnd w:id="18"/>
      <w:bookmarkEnd w:id="19"/>
    </w:p>
    <w:p>
      <w:pPr>
        <w:adjustRightInd w:val="0"/>
        <w:snapToGrid w:val="0"/>
        <w:spacing w:line="440" w:lineRule="exact"/>
        <w:ind w:firstLine="420" w:firstLineChars="200"/>
        <w:rPr>
          <w:color w:val="auto"/>
          <w:highlight w:val="none"/>
        </w:rPr>
      </w:pPr>
      <w:r>
        <w:rPr>
          <w:rFonts w:hint="eastAsia"/>
          <w:color w:val="auto"/>
          <w:highlight w:val="none"/>
        </w:rPr>
        <w:t>本次询价由采购人自行组织或委托采购代理机构的方式进行，询价组织形式、代理机构名称及联系方式见</w:t>
      </w:r>
      <w:r>
        <w:rPr>
          <w:rFonts w:hint="eastAsia"/>
          <w:bCs/>
          <w:color w:val="auto"/>
          <w:highlight w:val="none"/>
        </w:rPr>
        <w:t>第一章</w:t>
      </w:r>
      <w:r>
        <w:rPr>
          <w:bCs/>
          <w:color w:val="auto"/>
          <w:highlight w:val="none"/>
        </w:rPr>
        <w:t xml:space="preserve"> </w:t>
      </w:r>
      <w:r>
        <w:rPr>
          <w:rFonts w:hint="eastAsia"/>
          <w:bCs/>
          <w:color w:val="auto"/>
          <w:highlight w:val="none"/>
        </w:rPr>
        <w:t>“询价公告”</w:t>
      </w:r>
      <w:r>
        <w:rPr>
          <w:rFonts w:hint="eastAsia"/>
          <w:color w:val="auto"/>
          <w:highlight w:val="none"/>
        </w:rPr>
        <w:t>。</w:t>
      </w:r>
    </w:p>
    <w:p>
      <w:pPr>
        <w:spacing w:line="400" w:lineRule="exact"/>
        <w:rPr>
          <w:rFonts w:ascii="宋体"/>
          <w:b/>
          <w:color w:val="auto"/>
          <w:sz w:val="32"/>
          <w:szCs w:val="32"/>
          <w:highlight w:val="none"/>
        </w:rPr>
      </w:pPr>
      <w:bookmarkStart w:id="20" w:name="_Toc475552128"/>
      <w:bookmarkStart w:id="21" w:name="_Toc456551882"/>
      <w:r>
        <w:rPr>
          <w:rFonts w:ascii="宋体" w:hAnsi="宋体"/>
          <w:b/>
          <w:color w:val="auto"/>
          <w:sz w:val="32"/>
          <w:szCs w:val="32"/>
          <w:highlight w:val="none"/>
        </w:rPr>
        <w:t>1.6</w:t>
      </w:r>
      <w:bookmarkEnd w:id="20"/>
      <w:bookmarkEnd w:id="21"/>
      <w:r>
        <w:rPr>
          <w:rFonts w:hint="eastAsia" w:ascii="宋体" w:hAnsi="宋体"/>
          <w:b/>
          <w:color w:val="auto"/>
          <w:sz w:val="32"/>
          <w:szCs w:val="32"/>
          <w:highlight w:val="none"/>
        </w:rPr>
        <w:t>响应人资格要求</w:t>
      </w:r>
    </w:p>
    <w:p>
      <w:pPr>
        <w:spacing w:line="400" w:lineRule="exact"/>
        <w:ind w:firstLine="359" w:firstLineChars="171"/>
        <w:rPr>
          <w:color w:val="auto"/>
          <w:highlight w:val="none"/>
        </w:rPr>
      </w:pPr>
      <w:r>
        <w:rPr>
          <w:color w:val="auto"/>
          <w:highlight w:val="none"/>
        </w:rPr>
        <w:t>1.6.1</w:t>
      </w:r>
      <w:r>
        <w:rPr>
          <w:rFonts w:hint="eastAsia" w:ascii="宋体" w:hAnsi="宋体" w:cs="宋体"/>
          <w:color w:val="auto"/>
          <w:szCs w:val="21"/>
          <w:highlight w:val="none"/>
        </w:rPr>
        <w:t>响应人应具备承担本项目服务的资格要求：</w:t>
      </w:r>
      <w:r>
        <w:rPr>
          <w:rFonts w:hint="eastAsia"/>
          <w:color w:val="auto"/>
          <w:highlight w:val="none"/>
        </w:rPr>
        <w:t>见询价公告或询价响应须知前附表。</w:t>
      </w:r>
    </w:p>
    <w:p>
      <w:pPr>
        <w:spacing w:line="400" w:lineRule="exact"/>
        <w:ind w:firstLine="359" w:firstLineChars="171"/>
        <w:rPr>
          <w:color w:val="auto"/>
          <w:highlight w:val="none"/>
        </w:rPr>
      </w:pPr>
      <w:r>
        <w:rPr>
          <w:color w:val="auto"/>
          <w:highlight w:val="none"/>
        </w:rPr>
        <w:t>1.6.2</w:t>
      </w:r>
      <w:r>
        <w:rPr>
          <w:rFonts w:hint="eastAsia" w:ascii="宋体" w:hAnsi="宋体" w:cs="宋体"/>
          <w:color w:val="auto"/>
          <w:szCs w:val="21"/>
          <w:highlight w:val="none"/>
        </w:rPr>
        <w:t>本询价项目采用资格后审的审查方式</w:t>
      </w:r>
      <w:r>
        <w:rPr>
          <w:rFonts w:hint="eastAsia"/>
          <w:color w:val="auto"/>
          <w:highlight w:val="none"/>
        </w:rPr>
        <w:t>。</w:t>
      </w:r>
    </w:p>
    <w:p>
      <w:pPr>
        <w:spacing w:line="400" w:lineRule="exact"/>
        <w:ind w:firstLine="359" w:firstLineChars="171"/>
        <w:rPr>
          <w:color w:val="auto"/>
          <w:highlight w:val="none"/>
        </w:rPr>
      </w:pPr>
      <w:r>
        <w:rPr>
          <w:color w:val="auto"/>
          <w:highlight w:val="none"/>
        </w:rPr>
        <w:t>1.6.3</w:t>
      </w:r>
      <w:r>
        <w:rPr>
          <w:rFonts w:hint="eastAsia"/>
          <w:color w:val="auto"/>
          <w:highlight w:val="none"/>
        </w:rPr>
        <w:t>本须知前附表规定接受联合体响应的，除本须知前附表的要求外，还应遵守以下规定：</w:t>
      </w:r>
    </w:p>
    <w:p>
      <w:pPr>
        <w:spacing w:line="400" w:lineRule="exact"/>
        <w:ind w:firstLine="359" w:firstLineChars="171"/>
        <w:rPr>
          <w:color w:val="auto"/>
          <w:highlight w:val="none"/>
        </w:rPr>
      </w:pPr>
      <w:r>
        <w:rPr>
          <w:rFonts w:hint="eastAsia"/>
          <w:color w:val="auto"/>
          <w:highlight w:val="none"/>
        </w:rPr>
        <w:t>（</w:t>
      </w:r>
      <w:r>
        <w:rPr>
          <w:color w:val="auto"/>
          <w:highlight w:val="none"/>
        </w:rPr>
        <w:t>1</w:t>
      </w:r>
      <w:r>
        <w:rPr>
          <w:rFonts w:hint="eastAsia"/>
          <w:color w:val="auto"/>
          <w:highlight w:val="none"/>
        </w:rPr>
        <w:t>）联合体各方应按询价文件提供的格式签订联合体协议书，明确联合体牵头人和各方权利义务；</w:t>
      </w:r>
    </w:p>
    <w:p>
      <w:pPr>
        <w:spacing w:line="400" w:lineRule="exact"/>
        <w:ind w:firstLine="359" w:firstLineChars="171"/>
        <w:rPr>
          <w:color w:val="auto"/>
          <w:highlight w:val="none"/>
        </w:rPr>
      </w:pPr>
      <w:r>
        <w:rPr>
          <w:rFonts w:hint="eastAsia"/>
          <w:color w:val="auto"/>
          <w:highlight w:val="none"/>
        </w:rPr>
        <w:t>（</w:t>
      </w:r>
      <w:r>
        <w:rPr>
          <w:color w:val="auto"/>
          <w:highlight w:val="none"/>
        </w:rPr>
        <w:t>2</w:t>
      </w:r>
      <w:r>
        <w:rPr>
          <w:rFonts w:hint="eastAsia"/>
          <w:color w:val="auto"/>
          <w:highlight w:val="none"/>
        </w:rPr>
        <w:t>）联合体各方不得再以自己名义单独或参加其他联合体在同一标包中响应；</w:t>
      </w:r>
    </w:p>
    <w:p>
      <w:pPr>
        <w:spacing w:line="400" w:lineRule="exact"/>
        <w:ind w:firstLine="359" w:firstLineChars="171"/>
        <w:rPr>
          <w:color w:val="auto"/>
          <w:highlight w:val="none"/>
        </w:rPr>
      </w:pPr>
      <w:r>
        <w:rPr>
          <w:rFonts w:hint="eastAsia"/>
          <w:color w:val="auto"/>
          <w:highlight w:val="none"/>
        </w:rPr>
        <w:t>（</w:t>
      </w:r>
      <w:r>
        <w:rPr>
          <w:color w:val="auto"/>
          <w:highlight w:val="none"/>
        </w:rPr>
        <w:t>3</w:t>
      </w:r>
      <w:r>
        <w:rPr>
          <w:rFonts w:hint="eastAsia"/>
          <w:color w:val="auto"/>
          <w:highlight w:val="none"/>
        </w:rPr>
        <w:t>）联合体牵头人须在响应文件上按要求加盖公司法人公章及法定代表人签名（或盖私章），无需联合体共同加盖公司法人公章及法定代表人签名（或盖私章）；</w:t>
      </w:r>
    </w:p>
    <w:p>
      <w:pPr>
        <w:spacing w:line="400" w:lineRule="exact"/>
        <w:ind w:firstLine="359" w:firstLineChars="171"/>
        <w:rPr>
          <w:rFonts w:hAnsi="宋体"/>
          <w:color w:val="auto"/>
          <w:highlight w:val="none"/>
        </w:rPr>
      </w:pPr>
      <w:r>
        <w:rPr>
          <w:rFonts w:hint="eastAsia"/>
          <w:color w:val="auto"/>
          <w:highlight w:val="none"/>
        </w:rPr>
        <w:t>（</w:t>
      </w:r>
      <w:r>
        <w:rPr>
          <w:color w:val="auto"/>
          <w:highlight w:val="none"/>
        </w:rPr>
        <w:t>4</w:t>
      </w:r>
      <w:r>
        <w:rPr>
          <w:rFonts w:hint="eastAsia"/>
          <w:color w:val="auto"/>
          <w:highlight w:val="none"/>
        </w:rPr>
        <w:t>）本须知前附表规定的其他要求。</w:t>
      </w:r>
    </w:p>
    <w:p>
      <w:pPr>
        <w:spacing w:line="400" w:lineRule="exact"/>
        <w:rPr>
          <w:rFonts w:ascii="宋体"/>
          <w:b/>
          <w:color w:val="auto"/>
          <w:sz w:val="32"/>
          <w:szCs w:val="32"/>
          <w:highlight w:val="none"/>
        </w:rPr>
      </w:pPr>
      <w:bookmarkStart w:id="22" w:name="_Toc475552129"/>
      <w:bookmarkStart w:id="23" w:name="_Toc456551883"/>
      <w:r>
        <w:rPr>
          <w:rFonts w:ascii="宋体" w:hAnsi="宋体"/>
          <w:b/>
          <w:color w:val="auto"/>
          <w:sz w:val="32"/>
          <w:szCs w:val="32"/>
          <w:highlight w:val="none"/>
        </w:rPr>
        <w:t xml:space="preserve">1.7 </w:t>
      </w:r>
      <w:r>
        <w:rPr>
          <w:rFonts w:hint="eastAsia" w:ascii="宋体" w:hAnsi="宋体"/>
          <w:b/>
          <w:color w:val="auto"/>
          <w:sz w:val="32"/>
          <w:szCs w:val="32"/>
          <w:highlight w:val="none"/>
        </w:rPr>
        <w:t>响应人不得存在的情形</w:t>
      </w:r>
      <w:bookmarkEnd w:id="22"/>
      <w:bookmarkEnd w:id="23"/>
    </w:p>
    <w:p>
      <w:pPr>
        <w:spacing w:line="400" w:lineRule="exact"/>
        <w:ind w:firstLine="359" w:firstLineChars="171"/>
        <w:rPr>
          <w:color w:val="auto"/>
          <w:highlight w:val="none"/>
        </w:rPr>
      </w:pPr>
      <w:r>
        <w:rPr>
          <w:color w:val="auto"/>
          <w:highlight w:val="none"/>
        </w:rPr>
        <w:t xml:space="preserve">1.7.1 </w:t>
      </w:r>
      <w:r>
        <w:rPr>
          <w:rFonts w:hint="eastAsia"/>
          <w:color w:val="auto"/>
          <w:highlight w:val="none"/>
        </w:rPr>
        <w:t>响应人不得存在下列情形之一，否则采购人有权取消其参与响应资格或成交资格：</w:t>
      </w:r>
    </w:p>
    <w:p>
      <w:pPr>
        <w:spacing w:line="400" w:lineRule="exact"/>
        <w:ind w:firstLine="359" w:firstLineChars="171"/>
        <w:rPr>
          <w:color w:val="auto"/>
          <w:highlight w:val="none"/>
        </w:rPr>
      </w:pPr>
      <w:r>
        <w:rPr>
          <w:rFonts w:hint="eastAsia"/>
          <w:color w:val="auto"/>
          <w:highlight w:val="none"/>
        </w:rPr>
        <w:t>（</w:t>
      </w:r>
      <w:r>
        <w:rPr>
          <w:color w:val="auto"/>
          <w:highlight w:val="none"/>
        </w:rPr>
        <w:t>1</w:t>
      </w:r>
      <w:r>
        <w:rPr>
          <w:rFonts w:hint="eastAsia"/>
          <w:color w:val="auto"/>
          <w:highlight w:val="none"/>
        </w:rPr>
        <w:t>）为采购人不具有独立法人资格的附属机构（单位）；</w:t>
      </w:r>
    </w:p>
    <w:p>
      <w:pPr>
        <w:spacing w:line="400" w:lineRule="exact"/>
        <w:ind w:firstLine="359" w:firstLineChars="171"/>
        <w:rPr>
          <w:color w:val="auto"/>
          <w:highlight w:val="none"/>
        </w:rPr>
      </w:pPr>
      <w:r>
        <w:rPr>
          <w:rFonts w:hint="eastAsia"/>
          <w:color w:val="auto"/>
          <w:highlight w:val="none"/>
        </w:rPr>
        <w:t>（</w:t>
      </w:r>
      <w:r>
        <w:rPr>
          <w:color w:val="auto"/>
          <w:highlight w:val="none"/>
        </w:rPr>
        <w:t>2</w:t>
      </w:r>
      <w:r>
        <w:rPr>
          <w:rFonts w:hint="eastAsia"/>
          <w:color w:val="auto"/>
          <w:highlight w:val="none"/>
        </w:rPr>
        <w:t>）被责令停业的；</w:t>
      </w:r>
      <w:r>
        <w:rPr>
          <w:color w:val="auto"/>
          <w:highlight w:val="none"/>
        </w:rPr>
        <w:t xml:space="preserve"> </w:t>
      </w:r>
    </w:p>
    <w:p>
      <w:pPr>
        <w:spacing w:line="400" w:lineRule="exact"/>
        <w:ind w:firstLine="359" w:firstLineChars="171"/>
        <w:rPr>
          <w:color w:val="auto"/>
          <w:highlight w:val="none"/>
        </w:rPr>
      </w:pPr>
      <w:r>
        <w:rPr>
          <w:rFonts w:hint="eastAsia"/>
          <w:color w:val="auto"/>
          <w:highlight w:val="none"/>
        </w:rPr>
        <w:t>（</w:t>
      </w:r>
      <w:r>
        <w:rPr>
          <w:color w:val="auto"/>
          <w:highlight w:val="none"/>
        </w:rPr>
        <w:t>3</w:t>
      </w:r>
      <w:r>
        <w:rPr>
          <w:rFonts w:hint="eastAsia"/>
          <w:color w:val="auto"/>
          <w:highlight w:val="none"/>
        </w:rPr>
        <w:t>）被暂停或取消投标资格的；</w:t>
      </w:r>
      <w:r>
        <w:rPr>
          <w:color w:val="auto"/>
          <w:highlight w:val="none"/>
        </w:rPr>
        <w:t xml:space="preserve"> </w:t>
      </w:r>
    </w:p>
    <w:p>
      <w:pPr>
        <w:spacing w:line="40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）财产被接管或冻结的；</w:t>
      </w:r>
    </w:p>
    <w:p>
      <w:pPr>
        <w:spacing w:line="40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）在最近三年内有骗取中标、严重违约、重大质量或安全问题的；</w:t>
      </w:r>
    </w:p>
    <w:p>
      <w:pPr>
        <w:spacing w:line="40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）法律法规规定的其他情形；</w:t>
      </w:r>
    </w:p>
    <w:p>
      <w:pPr>
        <w:spacing w:line="40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）询价文件规定的其他情形：见询价公告或询价响应须知前附表。</w:t>
      </w:r>
    </w:p>
    <w:p>
      <w:pPr>
        <w:spacing w:line="400" w:lineRule="exact"/>
        <w:ind w:firstLine="359" w:firstLineChars="171"/>
        <w:rPr>
          <w:rFonts w:hAnsi="宋体"/>
          <w:color w:val="auto"/>
          <w:szCs w:val="21"/>
          <w:highlight w:val="none"/>
        </w:rPr>
      </w:pPr>
      <w:r>
        <w:rPr>
          <w:color w:val="auto"/>
          <w:highlight w:val="none"/>
        </w:rPr>
        <w:t xml:space="preserve">1.7.2 </w:t>
      </w:r>
      <w:r>
        <w:rPr>
          <w:rFonts w:hint="eastAsia" w:hAnsi="宋体"/>
          <w:color w:val="auto"/>
          <w:szCs w:val="21"/>
          <w:highlight w:val="none"/>
        </w:rPr>
        <w:t>响应人在询价活动中有下列行为之一的，应视情节轻重，暂停或取消其参与采购人及东实</w:t>
      </w:r>
      <w:r>
        <w:rPr>
          <w:rFonts w:hint="eastAsia" w:hAnsi="宋体"/>
          <w:color w:val="auto"/>
          <w:szCs w:val="21"/>
          <w:highlight w:val="none"/>
          <w:lang w:val="en-US" w:eastAsia="zh-CN"/>
        </w:rPr>
        <w:t>环境</w:t>
      </w:r>
      <w:r>
        <w:rPr>
          <w:rFonts w:hint="eastAsia" w:hAnsi="宋体"/>
          <w:color w:val="auto"/>
          <w:szCs w:val="21"/>
          <w:highlight w:val="none"/>
        </w:rPr>
        <w:t>旗下采购项目的资格：</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）响应人之间相互串通、或与采购人、代理机构、询价小组成员串通询价，损害采购人或者其他响应人的合法权益的；</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）向采购人、代理机构、评审委会成员或其他相关工作人员行贿的；</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）以他人名义询价或以其他方式弄虚作假，骗取成交的；</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）成交人私自将成交项目转让给他人的，将成交项目肢解后分别转让给他人的；</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）成交人无正当理由不与采购人订立合同，在签订合同时向采购人提出附加条件，或者不按照询价文件要求提交履约担保的；</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）响应人捏造事实、伪造材料或者以非法手段取得证明材料进行投诉，给他人造成损失的；</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）相关工作人员应当回避而不回避的；</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）其他违法违规的行为。</w:t>
      </w:r>
    </w:p>
    <w:p>
      <w:pPr>
        <w:spacing w:line="400" w:lineRule="exact"/>
        <w:ind w:left="426"/>
        <w:rPr>
          <w:rFonts w:ascii="宋体"/>
          <w:color w:val="auto"/>
          <w:szCs w:val="21"/>
          <w:highlight w:val="none"/>
        </w:rPr>
      </w:pPr>
      <w:r>
        <w:rPr>
          <w:bCs/>
          <w:color w:val="auto"/>
          <w:highlight w:val="none"/>
        </w:rPr>
        <w:t>1.7.3</w:t>
      </w:r>
      <w:r>
        <w:rPr>
          <w:rFonts w:hint="eastAsia" w:ascii="宋体" w:hAnsi="宋体"/>
          <w:color w:val="auto"/>
          <w:szCs w:val="21"/>
          <w:highlight w:val="none"/>
        </w:rPr>
        <w:t>有下列情形之一的，视为响应人串通询价，其响应无效：</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）不同响应人的响应文件由同一单位或者个人编制；</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）不同响应人委托同一单位或者个人办理响应事宜；</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）不同响应人的响应文件载明的项目管理成员或者联系人员为同一人；</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）不同响应人的响应文件异常一致或者响应报价呈规律性差异；</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）不同响应人的响应文件相互混装；</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）不同响应人的响应保证金从同一单位或者个人的账户转出。</w:t>
      </w:r>
    </w:p>
    <w:p>
      <w:pPr>
        <w:spacing w:line="400" w:lineRule="exact"/>
        <w:ind w:left="426"/>
        <w:rPr>
          <w:rFonts w:ascii="宋体"/>
          <w:color w:val="auto"/>
          <w:szCs w:val="21"/>
          <w:highlight w:val="none"/>
        </w:rPr>
      </w:pPr>
      <w:r>
        <w:rPr>
          <w:bCs/>
          <w:color w:val="auto"/>
          <w:highlight w:val="none"/>
        </w:rPr>
        <w:t>1.7.4</w:t>
      </w:r>
      <w:r>
        <w:rPr>
          <w:rFonts w:hint="eastAsia" w:ascii="宋体" w:hAnsi="宋体"/>
          <w:color w:val="auto"/>
          <w:szCs w:val="21"/>
          <w:highlight w:val="none"/>
        </w:rPr>
        <w:t>使用通过受让或者租借等方式获取的资格、资质证书响应的，属于以他人名义询价，其响应无效：</w:t>
      </w:r>
    </w:p>
    <w:p>
      <w:pPr>
        <w:spacing w:line="400" w:lineRule="exact"/>
        <w:ind w:left="426"/>
        <w:rPr>
          <w:rFonts w:ascii="宋体"/>
          <w:color w:val="auto"/>
          <w:szCs w:val="21"/>
          <w:highlight w:val="none"/>
        </w:rPr>
      </w:pPr>
      <w:r>
        <w:rPr>
          <w:bCs/>
          <w:color w:val="auto"/>
          <w:highlight w:val="none"/>
        </w:rPr>
        <w:t>1.7.5</w:t>
      </w:r>
      <w:r>
        <w:rPr>
          <w:rFonts w:hint="eastAsia" w:ascii="宋体" w:hAnsi="宋体"/>
          <w:color w:val="auto"/>
          <w:szCs w:val="21"/>
          <w:highlight w:val="none"/>
        </w:rPr>
        <w:t>有下列情形之一的，属于以其他方式弄虚作假的行为，其响应无效：</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）使用伪造、变造的许可证件；</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）提供虚假的财务状况或者业绩；</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）提供虚假的项目负责人或者主要技术人员简历、劳动关系证明；</w:t>
      </w:r>
      <w:r>
        <w:rPr>
          <w:rFonts w:ascii="宋体" w:hAnsi="宋体"/>
          <w:color w:val="auto"/>
          <w:szCs w:val="21"/>
          <w:highlight w:val="none"/>
        </w:rPr>
        <w:t xml:space="preserve"> </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）提供虚假的信用状况；</w:t>
      </w:r>
    </w:p>
    <w:p>
      <w:pPr>
        <w:spacing w:line="400" w:lineRule="exact"/>
        <w:ind w:left="4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）其他弄虚作假的行为。</w:t>
      </w:r>
    </w:p>
    <w:p>
      <w:pPr>
        <w:spacing w:line="400" w:lineRule="exact"/>
        <w:ind w:firstLine="359" w:firstLineChars="171"/>
        <w:rPr>
          <w:bCs/>
          <w:color w:val="auto"/>
          <w:highlight w:val="none"/>
        </w:rPr>
      </w:pPr>
      <w:r>
        <w:rPr>
          <w:bCs/>
          <w:color w:val="auto"/>
          <w:highlight w:val="none"/>
        </w:rPr>
        <w:t>1.7.6</w:t>
      </w:r>
      <w:r>
        <w:rPr>
          <w:rFonts w:hint="eastAsia"/>
          <w:bCs/>
          <w:color w:val="auto"/>
          <w:highlight w:val="none"/>
        </w:rPr>
        <w:t>响应人相关工作人员与采购人或采购代理机构有以下利害关系之一的，应当回避：</w:t>
      </w:r>
      <w:r>
        <w:rPr>
          <w:bCs/>
          <w:color w:val="auto"/>
          <w:highlight w:val="none"/>
        </w:rPr>
        <w:t xml:space="preserve"> </w:t>
      </w:r>
    </w:p>
    <w:p>
      <w:pPr>
        <w:spacing w:line="400" w:lineRule="exact"/>
        <w:ind w:firstLine="359" w:firstLineChars="171"/>
        <w:rPr>
          <w:bCs/>
          <w:color w:val="auto"/>
          <w:highlight w:val="none"/>
        </w:rPr>
      </w:pPr>
      <w:r>
        <w:rPr>
          <w:rFonts w:hint="eastAsia"/>
          <w:bCs/>
          <w:color w:val="auto"/>
          <w:highlight w:val="none"/>
        </w:rPr>
        <w:t>（一）是其主要负责人的近亲属的；</w:t>
      </w:r>
    </w:p>
    <w:p>
      <w:pPr>
        <w:spacing w:line="400" w:lineRule="exact"/>
        <w:ind w:firstLine="359" w:firstLineChars="171"/>
        <w:rPr>
          <w:bCs/>
          <w:color w:val="auto"/>
          <w:highlight w:val="none"/>
        </w:rPr>
      </w:pPr>
      <w:r>
        <w:rPr>
          <w:rFonts w:hint="eastAsia"/>
          <w:bCs/>
          <w:color w:val="auto"/>
          <w:highlight w:val="none"/>
        </w:rPr>
        <w:t>（二）询价活动前</w:t>
      </w:r>
      <w:r>
        <w:rPr>
          <w:bCs/>
          <w:color w:val="auto"/>
          <w:highlight w:val="none"/>
        </w:rPr>
        <w:t>3</w:t>
      </w:r>
      <w:r>
        <w:rPr>
          <w:rFonts w:hint="eastAsia"/>
          <w:bCs/>
          <w:color w:val="auto"/>
          <w:highlight w:val="none"/>
        </w:rPr>
        <w:t>年内与其存在劳动关系，担任其董事、监事，是其控股股东或实际控制人，或存在其他经济利益关系，可能影响询价活动公平公正的；</w:t>
      </w:r>
    </w:p>
    <w:p>
      <w:pPr>
        <w:spacing w:line="400" w:lineRule="exact"/>
        <w:ind w:firstLine="359" w:firstLineChars="171"/>
        <w:rPr>
          <w:bCs/>
          <w:color w:val="auto"/>
          <w:highlight w:val="none"/>
        </w:rPr>
      </w:pPr>
      <w:r>
        <w:rPr>
          <w:rFonts w:hint="eastAsia"/>
          <w:bCs/>
          <w:color w:val="auto"/>
          <w:highlight w:val="none"/>
        </w:rPr>
        <w:t>（三）其他可能影响询价活动公平、公正进行的关系。</w:t>
      </w:r>
    </w:p>
    <w:p>
      <w:pPr>
        <w:spacing w:line="400" w:lineRule="exact"/>
        <w:rPr>
          <w:rFonts w:ascii="宋体"/>
          <w:b/>
          <w:color w:val="auto"/>
          <w:sz w:val="32"/>
          <w:szCs w:val="32"/>
          <w:highlight w:val="none"/>
        </w:rPr>
      </w:pPr>
      <w:bookmarkStart w:id="24" w:name="_Toc475552130"/>
      <w:bookmarkStart w:id="25" w:name="_Toc456551884"/>
      <w:r>
        <w:rPr>
          <w:rFonts w:ascii="宋体" w:hAnsi="宋体"/>
          <w:b/>
          <w:color w:val="auto"/>
          <w:sz w:val="32"/>
          <w:szCs w:val="32"/>
          <w:highlight w:val="none"/>
        </w:rPr>
        <w:t xml:space="preserve">1.8 </w:t>
      </w:r>
      <w:r>
        <w:rPr>
          <w:rFonts w:hint="eastAsia" w:ascii="宋体" w:hAnsi="宋体"/>
          <w:b/>
          <w:color w:val="auto"/>
          <w:sz w:val="32"/>
          <w:szCs w:val="32"/>
          <w:highlight w:val="none"/>
        </w:rPr>
        <w:t>费用承担</w:t>
      </w:r>
      <w:bookmarkEnd w:id="24"/>
      <w:bookmarkEnd w:id="25"/>
    </w:p>
    <w:p>
      <w:pPr>
        <w:spacing w:line="400" w:lineRule="exact"/>
        <w:ind w:firstLine="420" w:firstLineChars="200"/>
        <w:rPr>
          <w:color w:val="auto"/>
          <w:highlight w:val="none"/>
        </w:rPr>
      </w:pPr>
      <w:r>
        <w:rPr>
          <w:rFonts w:hint="eastAsia" w:ascii="宋体" w:hAnsi="宋体" w:cs="宋体"/>
          <w:color w:val="auto"/>
          <w:szCs w:val="21"/>
          <w:highlight w:val="none"/>
        </w:rPr>
        <w:t>响应人准备和参加询价活动发生的费用自理</w:t>
      </w:r>
      <w:r>
        <w:rPr>
          <w:rFonts w:hint="eastAsia"/>
          <w:color w:val="auto"/>
          <w:highlight w:val="none"/>
        </w:rPr>
        <w:t>。</w:t>
      </w:r>
    </w:p>
    <w:p>
      <w:pPr>
        <w:spacing w:line="400" w:lineRule="exact"/>
        <w:rPr>
          <w:rFonts w:ascii="宋体"/>
          <w:b/>
          <w:color w:val="auto"/>
          <w:sz w:val="32"/>
          <w:szCs w:val="32"/>
          <w:highlight w:val="none"/>
        </w:rPr>
      </w:pPr>
      <w:bookmarkStart w:id="26" w:name="_Toc456551885"/>
      <w:bookmarkStart w:id="27" w:name="_Toc475552131"/>
      <w:r>
        <w:rPr>
          <w:rFonts w:ascii="宋体" w:hAnsi="宋体"/>
          <w:b/>
          <w:color w:val="auto"/>
          <w:sz w:val="32"/>
          <w:szCs w:val="32"/>
          <w:highlight w:val="none"/>
        </w:rPr>
        <w:t xml:space="preserve">1.9 </w:t>
      </w:r>
      <w:r>
        <w:rPr>
          <w:rFonts w:hint="eastAsia" w:ascii="宋体" w:hAnsi="宋体"/>
          <w:b/>
          <w:color w:val="auto"/>
          <w:sz w:val="32"/>
          <w:szCs w:val="32"/>
          <w:highlight w:val="none"/>
        </w:rPr>
        <w:t>保密</w:t>
      </w:r>
      <w:bookmarkEnd w:id="26"/>
      <w:bookmarkEnd w:id="27"/>
    </w:p>
    <w:p>
      <w:pPr>
        <w:spacing w:line="400" w:lineRule="exact"/>
        <w:ind w:firstLine="420" w:firstLineChars="200"/>
        <w:rPr>
          <w:color w:val="auto"/>
          <w:highlight w:val="none"/>
        </w:rPr>
      </w:pPr>
      <w:r>
        <w:rPr>
          <w:rFonts w:hint="eastAsia"/>
          <w:color w:val="auto"/>
          <w:highlight w:val="none"/>
        </w:rPr>
        <w:t>参与询价活动的各方应对询价文件和响应文件中的商业和技术等秘密保密，违者应对由此造成的后果承担法律责任。</w:t>
      </w:r>
      <w:r>
        <w:rPr>
          <w:color w:val="auto"/>
          <w:highlight w:val="none"/>
        </w:rPr>
        <w:t xml:space="preserve"> </w:t>
      </w:r>
    </w:p>
    <w:p>
      <w:pPr>
        <w:spacing w:line="400" w:lineRule="exact"/>
        <w:rPr>
          <w:rFonts w:ascii="宋体"/>
          <w:b/>
          <w:color w:val="auto"/>
          <w:sz w:val="32"/>
          <w:szCs w:val="32"/>
          <w:highlight w:val="none"/>
        </w:rPr>
      </w:pPr>
      <w:bookmarkStart w:id="28" w:name="_Toc475552133"/>
      <w:bookmarkStart w:id="29" w:name="_Toc456551887"/>
      <w:bookmarkStart w:id="30" w:name="_Toc475552132"/>
      <w:bookmarkStart w:id="31" w:name="_Toc456551886"/>
      <w:r>
        <w:rPr>
          <w:rFonts w:ascii="宋体" w:hAnsi="宋体"/>
          <w:b/>
          <w:color w:val="auto"/>
          <w:sz w:val="32"/>
          <w:szCs w:val="32"/>
          <w:highlight w:val="none"/>
        </w:rPr>
        <w:t xml:space="preserve">1.10 </w:t>
      </w:r>
      <w:r>
        <w:rPr>
          <w:rFonts w:hint="eastAsia" w:ascii="宋体" w:hAnsi="宋体"/>
          <w:b/>
          <w:color w:val="auto"/>
          <w:sz w:val="32"/>
          <w:szCs w:val="32"/>
          <w:highlight w:val="none"/>
        </w:rPr>
        <w:t>语言文字</w:t>
      </w:r>
      <w:bookmarkEnd w:id="28"/>
      <w:bookmarkEnd w:id="29"/>
    </w:p>
    <w:p>
      <w:pPr>
        <w:spacing w:line="400" w:lineRule="exact"/>
        <w:ind w:firstLine="420" w:firstLineChars="200"/>
        <w:rPr>
          <w:color w:val="auto"/>
          <w:highlight w:val="none"/>
        </w:rPr>
      </w:pPr>
      <w:r>
        <w:rPr>
          <w:rFonts w:hint="eastAsia" w:ascii="宋体" w:hAnsi="宋体" w:cs="宋体"/>
          <w:color w:val="auto"/>
          <w:szCs w:val="21"/>
          <w:highlight w:val="none"/>
        </w:rPr>
        <w:t>除专用术语外，与询价有关的语言均使用简体中文。必要时专用术语应附有中文注释。</w:t>
      </w:r>
    </w:p>
    <w:p>
      <w:pPr>
        <w:spacing w:line="400" w:lineRule="exact"/>
        <w:rPr>
          <w:rFonts w:ascii="宋体"/>
          <w:b/>
          <w:color w:val="auto"/>
          <w:sz w:val="32"/>
          <w:szCs w:val="32"/>
          <w:highlight w:val="none"/>
        </w:rPr>
      </w:pPr>
      <w:r>
        <w:rPr>
          <w:rFonts w:ascii="宋体" w:hAnsi="宋体"/>
          <w:b/>
          <w:color w:val="auto"/>
          <w:sz w:val="32"/>
          <w:szCs w:val="32"/>
          <w:highlight w:val="none"/>
        </w:rPr>
        <w:t xml:space="preserve">1.11 </w:t>
      </w:r>
      <w:r>
        <w:rPr>
          <w:rFonts w:hint="eastAsia" w:ascii="宋体" w:hAnsi="宋体"/>
          <w:b/>
          <w:color w:val="auto"/>
          <w:sz w:val="32"/>
          <w:szCs w:val="32"/>
          <w:highlight w:val="none"/>
        </w:rPr>
        <w:t>计量单位</w:t>
      </w:r>
      <w:bookmarkEnd w:id="30"/>
      <w:bookmarkEnd w:id="31"/>
    </w:p>
    <w:p>
      <w:pPr>
        <w:spacing w:line="400" w:lineRule="exact"/>
        <w:ind w:firstLine="420" w:firstLineChars="200"/>
        <w:rPr>
          <w:color w:val="auto"/>
          <w:highlight w:val="none"/>
        </w:rPr>
      </w:pPr>
      <w:r>
        <w:rPr>
          <w:rFonts w:hint="eastAsia"/>
          <w:color w:val="auto"/>
          <w:highlight w:val="none"/>
        </w:rPr>
        <w:t>所有计量均采用中华人民共和国法定计量单位。</w:t>
      </w:r>
    </w:p>
    <w:p>
      <w:pPr>
        <w:spacing w:line="400" w:lineRule="exact"/>
        <w:rPr>
          <w:rFonts w:ascii="宋体"/>
          <w:b/>
          <w:color w:val="auto"/>
          <w:sz w:val="32"/>
          <w:szCs w:val="32"/>
          <w:highlight w:val="none"/>
        </w:rPr>
      </w:pPr>
      <w:bookmarkStart w:id="32" w:name="_Toc475552136"/>
      <w:bookmarkStart w:id="33" w:name="_Toc456551892"/>
      <w:r>
        <w:rPr>
          <w:rFonts w:ascii="宋体" w:hAnsi="宋体"/>
          <w:b/>
          <w:color w:val="auto"/>
          <w:sz w:val="32"/>
          <w:szCs w:val="32"/>
          <w:highlight w:val="none"/>
        </w:rPr>
        <w:t>1</w:t>
      </w:r>
      <w:r>
        <w:rPr>
          <w:rFonts w:ascii="宋体"/>
          <w:b/>
          <w:color w:val="auto"/>
          <w:sz w:val="32"/>
          <w:szCs w:val="32"/>
          <w:highlight w:val="none"/>
        </w:rPr>
        <w:t>.</w:t>
      </w:r>
      <w:r>
        <w:rPr>
          <w:rFonts w:ascii="宋体" w:hAnsi="宋体"/>
          <w:b/>
          <w:color w:val="auto"/>
          <w:sz w:val="32"/>
          <w:szCs w:val="32"/>
          <w:highlight w:val="none"/>
        </w:rPr>
        <w:t xml:space="preserve">12 </w:t>
      </w:r>
      <w:r>
        <w:rPr>
          <w:rFonts w:hint="eastAsia" w:ascii="宋体" w:hAnsi="宋体"/>
          <w:b/>
          <w:color w:val="auto"/>
          <w:sz w:val="32"/>
          <w:szCs w:val="32"/>
          <w:highlight w:val="none"/>
        </w:rPr>
        <w:t>踏勘现场</w:t>
      </w:r>
      <w:bookmarkEnd w:id="32"/>
      <w:bookmarkEnd w:id="33"/>
    </w:p>
    <w:p>
      <w:pPr>
        <w:spacing w:line="400" w:lineRule="exact"/>
        <w:ind w:firstLine="420" w:firstLineChars="200"/>
        <w:rPr>
          <w:color w:val="auto"/>
          <w:highlight w:val="none"/>
        </w:rPr>
      </w:pPr>
      <w:r>
        <w:rPr>
          <w:color w:val="auto"/>
          <w:highlight w:val="none"/>
        </w:rPr>
        <w:t xml:space="preserve">1.12.1 </w:t>
      </w:r>
      <w:r>
        <w:rPr>
          <w:rFonts w:hint="eastAsia"/>
          <w:color w:val="auto"/>
          <w:highlight w:val="none"/>
        </w:rPr>
        <w:t>询价响应须知前附表规定组织踏勘现场的，采购人按询价响应须知前附表规定的时间、地点组织响应人踏勘项目现场。</w:t>
      </w:r>
    </w:p>
    <w:p>
      <w:pPr>
        <w:spacing w:line="400" w:lineRule="exact"/>
        <w:ind w:firstLine="420" w:firstLineChars="200"/>
        <w:rPr>
          <w:color w:val="auto"/>
          <w:highlight w:val="none"/>
        </w:rPr>
      </w:pPr>
      <w:r>
        <w:rPr>
          <w:color w:val="auto"/>
          <w:highlight w:val="none"/>
        </w:rPr>
        <w:t xml:space="preserve">1.12.2 </w:t>
      </w:r>
      <w:r>
        <w:rPr>
          <w:rFonts w:hint="eastAsia"/>
          <w:color w:val="auto"/>
          <w:highlight w:val="none"/>
        </w:rPr>
        <w:t>响应人踏勘现场发生的费用自理。</w:t>
      </w:r>
    </w:p>
    <w:p>
      <w:pPr>
        <w:spacing w:line="400" w:lineRule="exact"/>
        <w:ind w:firstLine="420" w:firstLineChars="200"/>
        <w:rPr>
          <w:color w:val="auto"/>
          <w:highlight w:val="none"/>
        </w:rPr>
      </w:pPr>
      <w:r>
        <w:rPr>
          <w:color w:val="auto"/>
          <w:highlight w:val="none"/>
        </w:rPr>
        <w:t xml:space="preserve">1.12.3 </w:t>
      </w:r>
      <w:r>
        <w:rPr>
          <w:rFonts w:hint="eastAsia"/>
          <w:color w:val="auto"/>
          <w:highlight w:val="none"/>
        </w:rPr>
        <w:t>除采购人的原因外，响应人自行负责在踏勘现场中所发生的人员伤亡和财产损失。</w:t>
      </w:r>
    </w:p>
    <w:p>
      <w:pPr>
        <w:spacing w:line="400" w:lineRule="exact"/>
        <w:ind w:firstLine="420" w:firstLineChars="200"/>
        <w:rPr>
          <w:color w:val="auto"/>
          <w:highlight w:val="none"/>
        </w:rPr>
      </w:pPr>
      <w:r>
        <w:rPr>
          <w:color w:val="auto"/>
          <w:highlight w:val="none"/>
        </w:rPr>
        <w:t xml:space="preserve">1.12.4 </w:t>
      </w:r>
      <w:r>
        <w:rPr>
          <w:rFonts w:hint="eastAsia"/>
          <w:color w:val="auto"/>
          <w:highlight w:val="none"/>
        </w:rPr>
        <w:t>采购人在踏勘现场中介绍的实施地点和相关的周边环境情况，供响应人在编制响应文件时参考，采购人不对响应人据此作出的判断和决策负责。</w:t>
      </w:r>
    </w:p>
    <w:p>
      <w:pPr>
        <w:spacing w:line="400" w:lineRule="exact"/>
        <w:rPr>
          <w:color w:val="auto"/>
          <w:highlight w:val="none"/>
        </w:rPr>
      </w:pPr>
    </w:p>
    <w:p>
      <w:pPr>
        <w:pStyle w:val="4"/>
        <w:rPr>
          <w:rFonts w:ascii="黑体"/>
          <w:color w:val="auto"/>
          <w:highlight w:val="none"/>
        </w:rPr>
      </w:pPr>
      <w:bookmarkStart w:id="34" w:name="_Toc456551890"/>
      <w:bookmarkStart w:id="35" w:name="_Toc10238"/>
      <w:r>
        <w:rPr>
          <w:rFonts w:ascii="黑体" w:hAnsi="黑体"/>
          <w:color w:val="auto"/>
          <w:highlight w:val="none"/>
        </w:rPr>
        <w:t xml:space="preserve">2. </w:t>
      </w:r>
      <w:r>
        <w:rPr>
          <w:rFonts w:hint="eastAsia" w:ascii="黑体" w:hAnsi="黑体"/>
          <w:color w:val="auto"/>
          <w:highlight w:val="none"/>
        </w:rPr>
        <w:t>询价文件</w:t>
      </w:r>
      <w:bookmarkEnd w:id="34"/>
      <w:bookmarkEnd w:id="35"/>
    </w:p>
    <w:p>
      <w:pPr>
        <w:spacing w:line="400" w:lineRule="exact"/>
        <w:rPr>
          <w:rFonts w:ascii="宋体"/>
          <w:b/>
          <w:color w:val="auto"/>
          <w:sz w:val="32"/>
          <w:szCs w:val="32"/>
          <w:highlight w:val="none"/>
        </w:rPr>
      </w:pPr>
      <w:bookmarkStart w:id="36" w:name="_Toc475552135"/>
      <w:bookmarkStart w:id="37" w:name="_Toc456551891"/>
      <w:r>
        <w:rPr>
          <w:rFonts w:ascii="宋体" w:hAnsi="宋体"/>
          <w:b/>
          <w:color w:val="auto"/>
          <w:sz w:val="32"/>
          <w:szCs w:val="32"/>
          <w:highlight w:val="none"/>
        </w:rPr>
        <w:t xml:space="preserve">2.1 </w:t>
      </w:r>
      <w:r>
        <w:rPr>
          <w:rFonts w:hint="eastAsia" w:ascii="宋体" w:hAnsi="宋体"/>
          <w:b/>
          <w:color w:val="auto"/>
          <w:sz w:val="32"/>
          <w:szCs w:val="32"/>
          <w:highlight w:val="none"/>
        </w:rPr>
        <w:t>询价文件的组成</w:t>
      </w:r>
      <w:bookmarkEnd w:id="36"/>
      <w:bookmarkEnd w:id="37"/>
    </w:p>
    <w:p>
      <w:pPr>
        <w:spacing w:line="400" w:lineRule="exact"/>
        <w:rPr>
          <w:color w:val="auto"/>
          <w:highlight w:val="none"/>
        </w:rPr>
      </w:pPr>
      <w:r>
        <w:rPr>
          <w:rFonts w:hint="eastAsia"/>
          <w:color w:val="auto"/>
          <w:highlight w:val="none"/>
        </w:rPr>
        <w:t>　　</w:t>
      </w:r>
      <w:r>
        <w:rPr>
          <w:color w:val="auto"/>
          <w:highlight w:val="none"/>
        </w:rPr>
        <w:t xml:space="preserve">2.1.1 </w:t>
      </w:r>
      <w:r>
        <w:rPr>
          <w:rFonts w:hint="eastAsia"/>
          <w:color w:val="auto"/>
          <w:highlight w:val="none"/>
        </w:rPr>
        <w:t>本询价文件一般由以下部分组成：</w:t>
      </w:r>
    </w:p>
    <w:p>
      <w:pPr>
        <w:spacing w:line="400" w:lineRule="exact"/>
        <w:ind w:firstLine="567" w:firstLineChars="270"/>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询价公告</w:t>
      </w:r>
    </w:p>
    <w:p>
      <w:pPr>
        <w:spacing w:line="400" w:lineRule="exact"/>
        <w:ind w:firstLine="567" w:firstLineChars="270"/>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询价响应须知</w:t>
      </w:r>
    </w:p>
    <w:p>
      <w:pPr>
        <w:spacing w:line="400" w:lineRule="exact"/>
        <w:ind w:firstLine="567" w:firstLineChars="270"/>
        <w:rPr>
          <w:color w:val="auto"/>
          <w:highlight w:val="none"/>
        </w:rPr>
      </w:pPr>
      <w:r>
        <w:rPr>
          <w:rFonts w:hint="eastAsia"/>
          <w:color w:val="auto"/>
          <w:highlight w:val="none"/>
        </w:rPr>
        <w:t>第三章</w:t>
      </w:r>
      <w:r>
        <w:rPr>
          <w:color w:val="auto"/>
          <w:highlight w:val="none"/>
        </w:rPr>
        <w:t xml:space="preserve"> </w:t>
      </w:r>
      <w:r>
        <w:rPr>
          <w:rFonts w:hint="eastAsia"/>
          <w:color w:val="auto"/>
          <w:highlight w:val="none"/>
        </w:rPr>
        <w:t>评审办法</w:t>
      </w:r>
    </w:p>
    <w:p>
      <w:pPr>
        <w:spacing w:line="400" w:lineRule="exact"/>
        <w:ind w:firstLine="567" w:firstLineChars="270"/>
        <w:rPr>
          <w:color w:val="auto"/>
          <w:highlight w:val="none"/>
        </w:rPr>
      </w:pPr>
      <w:r>
        <w:rPr>
          <w:rFonts w:hint="eastAsia"/>
          <w:color w:val="auto"/>
          <w:highlight w:val="none"/>
        </w:rPr>
        <w:t>第四章</w:t>
      </w:r>
      <w:r>
        <w:rPr>
          <w:color w:val="auto"/>
          <w:highlight w:val="none"/>
        </w:rPr>
        <w:t xml:space="preserve"> </w:t>
      </w:r>
      <w:r>
        <w:rPr>
          <w:rFonts w:hint="eastAsia"/>
          <w:color w:val="auto"/>
          <w:highlight w:val="none"/>
        </w:rPr>
        <w:t>用户需求书</w:t>
      </w:r>
      <w:r>
        <w:rPr>
          <w:rFonts w:hint="eastAsia"/>
          <w:color w:val="auto"/>
          <w:highlight w:val="none"/>
          <w:lang w:eastAsia="zh-CN"/>
        </w:rPr>
        <w:t>、</w:t>
      </w:r>
      <w:r>
        <w:rPr>
          <w:rFonts w:hint="eastAsia"/>
          <w:color w:val="auto"/>
          <w:highlight w:val="none"/>
        </w:rPr>
        <w:t>图纸；</w:t>
      </w:r>
    </w:p>
    <w:p>
      <w:pPr>
        <w:spacing w:line="400" w:lineRule="exact"/>
        <w:ind w:firstLine="567" w:firstLineChars="270"/>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合同模板</w:t>
      </w:r>
    </w:p>
    <w:p>
      <w:pPr>
        <w:spacing w:line="400" w:lineRule="exact"/>
        <w:ind w:firstLine="567" w:firstLineChars="270"/>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响应文件格式</w:t>
      </w:r>
    </w:p>
    <w:p>
      <w:pPr>
        <w:spacing w:line="400" w:lineRule="exact"/>
        <w:ind w:firstLine="567" w:firstLineChars="270"/>
        <w:rPr>
          <w:color w:val="auto"/>
          <w:highlight w:val="none"/>
        </w:rPr>
      </w:pPr>
      <w:r>
        <w:rPr>
          <w:rFonts w:hint="eastAsia"/>
          <w:color w:val="auto"/>
          <w:highlight w:val="none"/>
        </w:rPr>
        <w:t>采购人另有要求的，见询价响应须知前附表。</w:t>
      </w:r>
    </w:p>
    <w:p>
      <w:pPr>
        <w:spacing w:line="400" w:lineRule="exact"/>
        <w:ind w:firstLine="567" w:firstLineChars="270"/>
        <w:rPr>
          <w:color w:val="auto"/>
          <w:highlight w:val="none"/>
        </w:rPr>
      </w:pPr>
      <w:r>
        <w:rPr>
          <w:rFonts w:hint="eastAsia" w:ascii="宋体" w:hAnsi="宋体" w:cs="宋体"/>
          <w:color w:val="auto"/>
          <w:szCs w:val="21"/>
          <w:highlight w:val="none"/>
        </w:rPr>
        <w:t>根据本章第</w:t>
      </w:r>
      <w:r>
        <w:rPr>
          <w:rFonts w:ascii="宋体" w:hAnsi="宋体" w:cs="宋体"/>
          <w:color w:val="auto"/>
          <w:szCs w:val="21"/>
          <w:highlight w:val="none"/>
        </w:rPr>
        <w:t xml:space="preserve">2.2 </w:t>
      </w:r>
      <w:r>
        <w:rPr>
          <w:rFonts w:hint="eastAsia" w:ascii="宋体" w:hAnsi="宋体" w:cs="宋体"/>
          <w:color w:val="auto"/>
          <w:szCs w:val="21"/>
          <w:highlight w:val="none"/>
        </w:rPr>
        <w:t>款和第</w:t>
      </w:r>
      <w:r>
        <w:rPr>
          <w:rFonts w:ascii="宋体" w:hAnsi="宋体" w:cs="宋体"/>
          <w:color w:val="auto"/>
          <w:szCs w:val="21"/>
          <w:highlight w:val="none"/>
        </w:rPr>
        <w:t xml:space="preserve">2.3 </w:t>
      </w:r>
      <w:r>
        <w:rPr>
          <w:rFonts w:hint="eastAsia" w:ascii="宋体" w:hAnsi="宋体" w:cs="宋体"/>
          <w:color w:val="auto"/>
          <w:szCs w:val="21"/>
          <w:highlight w:val="none"/>
        </w:rPr>
        <w:t>款对询价文件所作的澄清、修改，构成询价文件的组成部分。</w:t>
      </w:r>
    </w:p>
    <w:p>
      <w:pPr>
        <w:spacing w:line="400" w:lineRule="exact"/>
        <w:ind w:firstLine="420" w:firstLineChars="200"/>
        <w:rPr>
          <w:color w:val="auto"/>
          <w:highlight w:val="none"/>
        </w:rPr>
      </w:pPr>
      <w:r>
        <w:rPr>
          <w:color w:val="auto"/>
          <w:highlight w:val="none"/>
        </w:rPr>
        <w:t>2.1.2</w:t>
      </w:r>
      <w:r>
        <w:rPr>
          <w:rFonts w:hint="eastAsia"/>
          <w:color w:val="auto"/>
          <w:highlight w:val="none"/>
        </w:rPr>
        <w:t>询价文件对同一内容的表述应当一致。第一章</w:t>
      </w:r>
      <w:r>
        <w:rPr>
          <w:color w:val="auto"/>
          <w:highlight w:val="none"/>
        </w:rPr>
        <w:t xml:space="preserve"> </w:t>
      </w:r>
      <w:r>
        <w:rPr>
          <w:rFonts w:hint="eastAsia"/>
          <w:color w:val="auto"/>
          <w:highlight w:val="none"/>
        </w:rPr>
        <w:t>“询价公告”与询价文件在同一内容的表述上有矛盾或冲突时，以第一章</w:t>
      </w:r>
      <w:r>
        <w:rPr>
          <w:color w:val="auto"/>
          <w:highlight w:val="none"/>
        </w:rPr>
        <w:t xml:space="preserve"> </w:t>
      </w:r>
      <w:r>
        <w:rPr>
          <w:rFonts w:hint="eastAsia"/>
          <w:color w:val="auto"/>
          <w:highlight w:val="none"/>
        </w:rPr>
        <w:t>“询价公告”为准；询价响应须知前附表与正文在同一内容的表述上有矛盾或冲突时，以询价响应须知前附表为准。</w:t>
      </w:r>
    </w:p>
    <w:p>
      <w:pPr>
        <w:spacing w:line="400" w:lineRule="exact"/>
        <w:ind w:firstLine="420" w:firstLineChars="200"/>
        <w:rPr>
          <w:color w:val="auto"/>
          <w:highlight w:val="none"/>
        </w:rPr>
      </w:pPr>
      <w:r>
        <w:rPr>
          <w:color w:val="auto"/>
          <w:highlight w:val="none"/>
        </w:rPr>
        <w:t>2.1.3</w:t>
      </w:r>
      <w:r>
        <w:rPr>
          <w:rFonts w:hint="eastAsia" w:ascii="宋体" w:hAnsi="宋体" w:cs="宋体"/>
          <w:b/>
          <w:color w:val="auto"/>
          <w:szCs w:val="21"/>
          <w:highlight w:val="none"/>
        </w:rPr>
        <w:t>询价文件中标识“</w:t>
      </w:r>
      <w:r>
        <w:rPr>
          <w:rFonts w:eastAsia="黑体"/>
          <w:b/>
          <w:color w:val="auto"/>
          <w:sz w:val="32"/>
          <w:szCs w:val="32"/>
          <w:highlight w:val="none"/>
        </w:rPr>
        <w:sym w:font="Wingdings" w:char="F0AB"/>
      </w:r>
      <w:r>
        <w:rPr>
          <w:rFonts w:hint="eastAsia" w:ascii="宋体" w:hAnsi="宋体" w:cs="宋体"/>
          <w:b/>
          <w:color w:val="auto"/>
          <w:szCs w:val="21"/>
          <w:highlight w:val="none"/>
        </w:rPr>
        <w:t>”的条款，均为实质性条款，任何不满足实质性条款的询价将被否决</w:t>
      </w:r>
      <w:r>
        <w:rPr>
          <w:rFonts w:hint="eastAsia"/>
          <w:b/>
          <w:color w:val="auto"/>
          <w:highlight w:val="none"/>
        </w:rPr>
        <w:t>；</w:t>
      </w:r>
      <w:r>
        <w:rPr>
          <w:rFonts w:hint="eastAsia"/>
          <w:color w:val="auto"/>
          <w:highlight w:val="none"/>
        </w:rPr>
        <w:t>对于非实质性要求和条件，</w:t>
      </w:r>
      <w:r>
        <w:rPr>
          <w:rFonts w:hint="eastAsia" w:ascii="宋体" w:hAnsi="宋体" w:cs="宋体"/>
          <w:color w:val="auto"/>
          <w:szCs w:val="21"/>
          <w:highlight w:val="none"/>
        </w:rPr>
        <w:t>偏离应当符合</w:t>
      </w:r>
      <w:r>
        <w:rPr>
          <w:rFonts w:hint="eastAsia" w:ascii="宋体" w:hAnsi="宋体" w:cs="宋体"/>
          <w:color w:val="auto"/>
          <w:szCs w:val="21"/>
          <w:highlight w:val="none"/>
          <w:lang w:eastAsia="zh-CN"/>
        </w:rPr>
        <w:t>询价文件</w:t>
      </w:r>
      <w:r>
        <w:rPr>
          <w:rFonts w:hint="eastAsia" w:ascii="宋体" w:hAnsi="宋体" w:cs="宋体"/>
          <w:color w:val="auto"/>
          <w:szCs w:val="21"/>
          <w:highlight w:val="none"/>
        </w:rPr>
        <w:t>规定的偏离范围和幅度</w:t>
      </w:r>
      <w:r>
        <w:rPr>
          <w:rFonts w:hint="eastAsia"/>
          <w:color w:val="auto"/>
          <w:highlight w:val="none"/>
        </w:rPr>
        <w:t>。</w:t>
      </w:r>
    </w:p>
    <w:p>
      <w:pPr>
        <w:spacing w:line="400" w:lineRule="exact"/>
        <w:rPr>
          <w:rFonts w:ascii="宋体"/>
          <w:b/>
          <w:color w:val="auto"/>
          <w:sz w:val="32"/>
          <w:szCs w:val="32"/>
          <w:highlight w:val="none"/>
        </w:rPr>
      </w:pPr>
      <w:bookmarkStart w:id="38" w:name="_Toc475552138"/>
      <w:bookmarkStart w:id="39" w:name="_Toc456551894"/>
      <w:r>
        <w:rPr>
          <w:rFonts w:ascii="宋体" w:hAnsi="宋体"/>
          <w:b/>
          <w:color w:val="auto"/>
          <w:sz w:val="32"/>
          <w:szCs w:val="32"/>
          <w:highlight w:val="none"/>
        </w:rPr>
        <w:t xml:space="preserve">2.2 </w:t>
      </w:r>
      <w:r>
        <w:rPr>
          <w:rFonts w:hint="eastAsia" w:ascii="宋体" w:hAnsi="宋体"/>
          <w:b/>
          <w:color w:val="auto"/>
          <w:sz w:val="32"/>
          <w:szCs w:val="32"/>
          <w:highlight w:val="none"/>
        </w:rPr>
        <w:t>询价文件的澄清和修改</w:t>
      </w:r>
      <w:bookmarkEnd w:id="38"/>
      <w:bookmarkEnd w:id="39"/>
    </w:p>
    <w:p>
      <w:pPr>
        <w:spacing w:line="400" w:lineRule="exact"/>
        <w:ind w:firstLine="420" w:firstLineChars="200"/>
        <w:rPr>
          <w:color w:val="auto"/>
          <w:highlight w:val="none"/>
        </w:rPr>
      </w:pPr>
      <w:r>
        <w:rPr>
          <w:color w:val="auto"/>
          <w:highlight w:val="none"/>
        </w:rPr>
        <w:t>2.2.1</w:t>
      </w:r>
      <w:r>
        <w:rPr>
          <w:rFonts w:hint="eastAsia"/>
          <w:color w:val="auto"/>
          <w:highlight w:val="none"/>
        </w:rPr>
        <w:t>响应人对询价文件有任何疑问的，应当按照询价响应须知前附表规定的时间和方式，向采购人提出澄清要求。</w:t>
      </w:r>
    </w:p>
    <w:p>
      <w:pPr>
        <w:spacing w:line="400" w:lineRule="exact"/>
        <w:ind w:firstLine="420" w:firstLineChars="200"/>
        <w:rPr>
          <w:color w:val="auto"/>
          <w:highlight w:val="none"/>
        </w:rPr>
      </w:pPr>
      <w:r>
        <w:rPr>
          <w:color w:val="auto"/>
          <w:highlight w:val="none"/>
        </w:rPr>
        <w:t>2.2.2</w:t>
      </w:r>
      <w:r>
        <w:rPr>
          <w:rFonts w:hint="eastAsia" w:ascii="宋体" w:hAnsi="宋体" w:cs="宋体"/>
          <w:color w:val="auto"/>
          <w:szCs w:val="21"/>
          <w:highlight w:val="none"/>
        </w:rPr>
        <w:t>无论是采购人根据需要主动对询价文件进行必要的澄清，或是根据响应人的要求对询价文件做出澄清，</w:t>
      </w:r>
      <w:r>
        <w:rPr>
          <w:rFonts w:hint="eastAsia"/>
          <w:color w:val="auto"/>
          <w:highlight w:val="none"/>
        </w:rPr>
        <w:t>采购人都应当按照询价响应须知前附表规定的时间和方式，将澄清或修改内容发给所有潜在询价响应人，但不指明问题的来源。</w:t>
      </w:r>
    </w:p>
    <w:p>
      <w:pPr>
        <w:spacing w:line="400" w:lineRule="exact"/>
        <w:ind w:firstLine="420" w:firstLineChars="200"/>
        <w:rPr>
          <w:color w:val="auto"/>
          <w:highlight w:val="none"/>
        </w:rPr>
      </w:pPr>
      <w:r>
        <w:rPr>
          <w:color w:val="auto"/>
          <w:highlight w:val="none"/>
        </w:rPr>
        <w:t>2.2.3</w:t>
      </w:r>
      <w:r>
        <w:rPr>
          <w:rFonts w:hint="eastAsia"/>
          <w:color w:val="auto"/>
          <w:highlight w:val="none"/>
        </w:rPr>
        <w:t>如澄清或修改的内容可能影响响应文件编制的，应当在递交响应文件截止时间至少</w:t>
      </w:r>
      <w:r>
        <w:rPr>
          <w:color w:val="auto"/>
          <w:highlight w:val="none"/>
        </w:rPr>
        <w:t>3</w:t>
      </w:r>
      <w:r>
        <w:rPr>
          <w:rFonts w:hint="eastAsia"/>
          <w:color w:val="auto"/>
          <w:highlight w:val="none"/>
        </w:rPr>
        <w:t>日前发出，不足</w:t>
      </w:r>
      <w:r>
        <w:rPr>
          <w:color w:val="auto"/>
          <w:highlight w:val="none"/>
        </w:rPr>
        <w:t>3</w:t>
      </w:r>
      <w:r>
        <w:rPr>
          <w:rFonts w:hint="eastAsia"/>
          <w:color w:val="auto"/>
          <w:highlight w:val="none"/>
        </w:rPr>
        <w:t>日的，采购人应相应顺延递交响应文件的截止时间。</w:t>
      </w:r>
    </w:p>
    <w:p>
      <w:pPr>
        <w:spacing w:line="400" w:lineRule="exact"/>
        <w:ind w:firstLine="420" w:firstLineChars="200"/>
        <w:rPr>
          <w:color w:val="auto"/>
          <w:highlight w:val="none"/>
        </w:rPr>
      </w:pPr>
      <w:r>
        <w:rPr>
          <w:color w:val="auto"/>
          <w:highlight w:val="none"/>
        </w:rPr>
        <w:t>2.2.4</w:t>
      </w:r>
      <w:r>
        <w:rPr>
          <w:rFonts w:hint="eastAsia"/>
          <w:color w:val="auto"/>
          <w:highlight w:val="none"/>
        </w:rPr>
        <w:t>所有关于询价文件的澄清和修改均作为询价文件的补充部分。当询价文件、询价文件的澄清或修改等在同一内容的表述上不一致时，以最后发出的书面文件为准。</w:t>
      </w:r>
    </w:p>
    <w:p>
      <w:pPr>
        <w:spacing w:line="400" w:lineRule="exact"/>
        <w:ind w:firstLine="420" w:firstLineChars="200"/>
        <w:rPr>
          <w:color w:val="auto"/>
          <w:highlight w:val="none"/>
        </w:rPr>
      </w:pPr>
      <w:r>
        <w:rPr>
          <w:color w:val="auto"/>
          <w:highlight w:val="none"/>
        </w:rPr>
        <w:t>2.2.5</w:t>
      </w:r>
      <w:r>
        <w:rPr>
          <w:rFonts w:hint="eastAsia" w:ascii="宋体" w:hAnsi="宋体" w:cs="宋体"/>
          <w:color w:val="auto"/>
          <w:szCs w:val="21"/>
          <w:highlight w:val="none"/>
        </w:rPr>
        <w:t>响应人对采购人提供的询价文件所作出的推论、解释和结论，采购人概不负责；响应人由于对询价文件的任何推论和误解以及采购人对有关问题的口头解释所造成的后果，均由响应人自行负责。</w:t>
      </w:r>
    </w:p>
    <w:p>
      <w:pPr>
        <w:spacing w:line="400" w:lineRule="exact"/>
        <w:ind w:firstLine="420" w:firstLineChars="200"/>
        <w:rPr>
          <w:color w:val="auto"/>
          <w:highlight w:val="none"/>
        </w:rPr>
      </w:pPr>
    </w:p>
    <w:p>
      <w:pPr>
        <w:pStyle w:val="4"/>
        <w:rPr>
          <w:rFonts w:ascii="黑体"/>
          <w:color w:val="auto"/>
          <w:highlight w:val="none"/>
        </w:rPr>
      </w:pPr>
      <w:bookmarkStart w:id="40" w:name="_Toc468"/>
      <w:bookmarkStart w:id="41" w:name="_Toc456551895"/>
      <w:r>
        <w:rPr>
          <w:rFonts w:ascii="黑体" w:hAnsi="黑体"/>
          <w:color w:val="auto"/>
          <w:highlight w:val="none"/>
        </w:rPr>
        <w:t xml:space="preserve">3. </w:t>
      </w:r>
      <w:r>
        <w:rPr>
          <w:rFonts w:hint="eastAsia" w:ascii="黑体" w:hAnsi="黑体"/>
          <w:color w:val="auto"/>
          <w:highlight w:val="none"/>
        </w:rPr>
        <w:t>响应文件</w:t>
      </w:r>
      <w:bookmarkEnd w:id="40"/>
      <w:bookmarkEnd w:id="41"/>
    </w:p>
    <w:p>
      <w:pPr>
        <w:spacing w:line="400" w:lineRule="exact"/>
        <w:rPr>
          <w:rFonts w:ascii="宋体"/>
          <w:b/>
          <w:color w:val="auto"/>
          <w:sz w:val="32"/>
          <w:szCs w:val="32"/>
          <w:highlight w:val="none"/>
        </w:rPr>
      </w:pPr>
      <w:bookmarkStart w:id="42" w:name="_Toc475552140"/>
      <w:bookmarkStart w:id="43" w:name="_Toc456551896"/>
      <w:r>
        <w:rPr>
          <w:rFonts w:ascii="宋体" w:hAnsi="宋体"/>
          <w:b/>
          <w:color w:val="auto"/>
          <w:sz w:val="32"/>
          <w:szCs w:val="32"/>
          <w:highlight w:val="none"/>
        </w:rPr>
        <w:t xml:space="preserve">3.1 </w:t>
      </w:r>
      <w:r>
        <w:rPr>
          <w:rFonts w:hint="eastAsia" w:ascii="宋体" w:hAnsi="宋体"/>
          <w:b/>
          <w:color w:val="auto"/>
          <w:sz w:val="32"/>
          <w:szCs w:val="32"/>
          <w:highlight w:val="none"/>
        </w:rPr>
        <w:t>响应文件的组成</w:t>
      </w:r>
      <w:bookmarkEnd w:id="42"/>
      <w:bookmarkEnd w:id="43"/>
    </w:p>
    <w:p>
      <w:pPr>
        <w:spacing w:line="400" w:lineRule="exact"/>
        <w:ind w:firstLine="359" w:firstLineChars="171"/>
        <w:rPr>
          <w:rFonts w:ascii="宋体" w:cs="宋体"/>
          <w:color w:val="auto"/>
          <w:szCs w:val="21"/>
          <w:highlight w:val="none"/>
        </w:rPr>
      </w:pPr>
      <w:r>
        <w:rPr>
          <w:rFonts w:hint="eastAsia" w:ascii="宋体" w:hAnsi="宋体" w:cs="宋体"/>
          <w:color w:val="auto"/>
          <w:szCs w:val="21"/>
          <w:highlight w:val="none"/>
        </w:rPr>
        <w:t>响应人应当按照询价文件的要求编制并提交响应文件。</w:t>
      </w:r>
    </w:p>
    <w:p>
      <w:pPr>
        <w:spacing w:line="400" w:lineRule="exact"/>
        <w:rPr>
          <w:rFonts w:ascii="宋体"/>
          <w:b/>
          <w:color w:val="auto"/>
          <w:sz w:val="32"/>
          <w:szCs w:val="32"/>
          <w:highlight w:val="none"/>
        </w:rPr>
      </w:pPr>
      <w:bookmarkStart w:id="44" w:name="_Toc475552141"/>
      <w:bookmarkStart w:id="45" w:name="_Toc456551897"/>
      <w:r>
        <w:rPr>
          <w:rFonts w:ascii="宋体" w:hAnsi="宋体"/>
          <w:b/>
          <w:color w:val="auto"/>
          <w:sz w:val="32"/>
          <w:szCs w:val="32"/>
          <w:highlight w:val="none"/>
        </w:rPr>
        <w:t>3.2</w:t>
      </w:r>
      <w:r>
        <w:rPr>
          <w:rFonts w:hint="eastAsia" w:ascii="宋体" w:hAnsi="宋体"/>
          <w:b/>
          <w:color w:val="auto"/>
          <w:sz w:val="32"/>
          <w:szCs w:val="32"/>
          <w:highlight w:val="none"/>
        </w:rPr>
        <w:t>响应文件的编制</w:t>
      </w:r>
      <w:bookmarkEnd w:id="44"/>
      <w:bookmarkEnd w:id="45"/>
    </w:p>
    <w:p>
      <w:pPr>
        <w:spacing w:line="400" w:lineRule="exact"/>
        <w:ind w:firstLine="420" w:firstLineChars="200"/>
        <w:rPr>
          <w:color w:val="auto"/>
          <w:szCs w:val="21"/>
          <w:highlight w:val="none"/>
        </w:rPr>
      </w:pPr>
      <w:r>
        <w:rPr>
          <w:color w:val="auto"/>
          <w:szCs w:val="21"/>
          <w:highlight w:val="none"/>
        </w:rPr>
        <w:t>3.2.1</w:t>
      </w:r>
      <w:r>
        <w:rPr>
          <w:rFonts w:hint="eastAsia"/>
          <w:color w:val="auto"/>
          <w:szCs w:val="21"/>
          <w:highlight w:val="none"/>
        </w:rPr>
        <w:t>响应人应当按照询价文件的要求编制响应文件，响应文件应当对询价文件提出的实质性要求和条件作出响应。</w:t>
      </w:r>
      <w:r>
        <w:rPr>
          <w:color w:val="auto"/>
          <w:szCs w:val="21"/>
          <w:highlight w:val="none"/>
        </w:rPr>
        <w:t xml:space="preserve"> </w:t>
      </w:r>
    </w:p>
    <w:p>
      <w:pPr>
        <w:spacing w:line="400" w:lineRule="exact"/>
        <w:ind w:firstLine="420" w:firstLineChars="200"/>
        <w:rPr>
          <w:color w:val="auto"/>
          <w:szCs w:val="21"/>
          <w:highlight w:val="none"/>
        </w:rPr>
      </w:pPr>
      <w:r>
        <w:rPr>
          <w:color w:val="auto"/>
          <w:szCs w:val="21"/>
          <w:highlight w:val="none"/>
        </w:rPr>
        <w:t>3.2.2</w:t>
      </w:r>
      <w:r>
        <w:rPr>
          <w:rFonts w:hint="eastAsia" w:ascii="宋体" w:hAnsi="宋体" w:cs="宋体"/>
          <w:color w:val="auto"/>
          <w:szCs w:val="21"/>
          <w:highlight w:val="none"/>
        </w:rPr>
        <w:t>响应人应认真阅读询价文件中所有的事项、格式、条款和技术规范等。响应人没有按照询价文件要求递交全部资料，或者响应人没有对询价文件的所有实质性要求作出全面响应是采购人的风险，并可能导致其询价被否决。响应文件响应和编写的具体要求见询价响应须知前附表。</w:t>
      </w:r>
    </w:p>
    <w:p>
      <w:pPr>
        <w:spacing w:line="400" w:lineRule="exact"/>
        <w:ind w:firstLine="420" w:firstLineChars="200"/>
        <w:rPr>
          <w:color w:val="auto"/>
          <w:szCs w:val="21"/>
          <w:highlight w:val="none"/>
        </w:rPr>
      </w:pPr>
      <w:r>
        <w:rPr>
          <w:color w:val="auto"/>
          <w:szCs w:val="21"/>
          <w:highlight w:val="none"/>
        </w:rPr>
        <w:t>3.2.3</w:t>
      </w:r>
      <w:r>
        <w:rPr>
          <w:rFonts w:hint="eastAsia"/>
          <w:color w:val="auto"/>
          <w:szCs w:val="21"/>
          <w:highlight w:val="none"/>
        </w:rPr>
        <w:t>响应人提交的响应文件以及响应人与采购人就有关询价的所有往来函电均应使用中文。响应人提交的证明文件和印刷的文献如使用其他语言的，相应内容应译成中文，在解释响应文件时以中文译本为准。</w:t>
      </w:r>
    </w:p>
    <w:p>
      <w:pPr>
        <w:spacing w:line="400" w:lineRule="exact"/>
        <w:ind w:firstLine="420" w:firstLineChars="200"/>
        <w:rPr>
          <w:color w:val="auto"/>
          <w:szCs w:val="21"/>
          <w:highlight w:val="none"/>
        </w:rPr>
      </w:pPr>
      <w:r>
        <w:rPr>
          <w:color w:val="auto"/>
          <w:szCs w:val="21"/>
          <w:highlight w:val="none"/>
        </w:rPr>
        <w:t>3.2.4</w:t>
      </w:r>
      <w:r>
        <w:rPr>
          <w:rFonts w:hint="eastAsia"/>
          <w:color w:val="auto"/>
          <w:szCs w:val="21"/>
          <w:highlight w:val="none"/>
        </w:rPr>
        <w:t>响应文件应当使用不褪色的材料书写或打印，并盖单位公章。委托代理人签字的，响应文件应附法定代表人签署的授权委托书。响应文件应尽量避免涂改、行间插字或删除。如果出现上述情况，改动之处应加盖单位公章或由响应人的法定代表人或其委托代理人签字确认。响应文件盖章或者签字另有要求的，见询价响应须知前附表。</w:t>
      </w:r>
    </w:p>
    <w:p>
      <w:pPr>
        <w:spacing w:line="400" w:lineRule="exact"/>
        <w:rPr>
          <w:rFonts w:ascii="宋体"/>
          <w:b/>
          <w:color w:val="auto"/>
          <w:sz w:val="32"/>
          <w:szCs w:val="32"/>
          <w:highlight w:val="none"/>
        </w:rPr>
      </w:pPr>
      <w:bookmarkStart w:id="46" w:name="_Toc456551898"/>
      <w:bookmarkStart w:id="47" w:name="_Toc475552142"/>
      <w:r>
        <w:rPr>
          <w:rFonts w:ascii="宋体" w:hAnsi="宋体"/>
          <w:b/>
          <w:color w:val="auto"/>
          <w:sz w:val="32"/>
          <w:szCs w:val="32"/>
          <w:highlight w:val="none"/>
        </w:rPr>
        <w:t xml:space="preserve">3.3 </w:t>
      </w:r>
      <w:r>
        <w:rPr>
          <w:rFonts w:hint="eastAsia" w:ascii="宋体" w:hAnsi="宋体"/>
          <w:b/>
          <w:color w:val="auto"/>
          <w:sz w:val="32"/>
          <w:szCs w:val="32"/>
          <w:highlight w:val="none"/>
        </w:rPr>
        <w:t>询价报价</w:t>
      </w:r>
      <w:bookmarkEnd w:id="46"/>
      <w:bookmarkEnd w:id="47"/>
    </w:p>
    <w:p>
      <w:pPr>
        <w:spacing w:line="400" w:lineRule="exact"/>
        <w:ind w:firstLine="420" w:firstLineChars="200"/>
        <w:rPr>
          <w:color w:val="auto"/>
          <w:highlight w:val="none"/>
        </w:rPr>
      </w:pPr>
      <w:r>
        <w:rPr>
          <w:color w:val="auto"/>
          <w:highlight w:val="none"/>
        </w:rPr>
        <w:t>3.3.1</w:t>
      </w:r>
      <w:r>
        <w:rPr>
          <w:rFonts w:hint="eastAsia"/>
          <w:bCs/>
          <w:color w:val="auto"/>
          <w:highlight w:val="none"/>
        </w:rPr>
        <w:t>询价报价的具体要求见询价响应须知前附表</w:t>
      </w:r>
      <w:r>
        <w:rPr>
          <w:rFonts w:hint="eastAsia" w:ascii="宋体" w:hAnsi="宋体"/>
          <w:color w:val="auto"/>
          <w:szCs w:val="21"/>
          <w:highlight w:val="none"/>
        </w:rPr>
        <w:t>。</w:t>
      </w:r>
    </w:p>
    <w:p>
      <w:pPr>
        <w:spacing w:line="400" w:lineRule="exact"/>
        <w:ind w:firstLine="420" w:firstLineChars="200"/>
        <w:rPr>
          <w:color w:val="auto"/>
          <w:highlight w:val="none"/>
        </w:rPr>
      </w:pPr>
      <w:r>
        <w:rPr>
          <w:color w:val="auto"/>
          <w:highlight w:val="none"/>
        </w:rPr>
        <w:t>3.3.2</w:t>
      </w:r>
      <w:r>
        <w:rPr>
          <w:rFonts w:hint="eastAsia"/>
          <w:color w:val="auto"/>
          <w:highlight w:val="none"/>
        </w:rPr>
        <w:t>询价货币：人民币</w:t>
      </w:r>
      <w:r>
        <w:rPr>
          <w:rFonts w:hint="eastAsia" w:ascii="宋体" w:hAnsi="宋体"/>
          <w:color w:val="auto"/>
          <w:szCs w:val="21"/>
          <w:highlight w:val="none"/>
        </w:rPr>
        <w:t>。响应文件中如出现其他币种，一律以唱标当天中国人民银行公布的汇率折算为人民币。</w:t>
      </w:r>
    </w:p>
    <w:p>
      <w:pPr>
        <w:spacing w:line="400" w:lineRule="exact"/>
        <w:ind w:firstLine="420" w:firstLineChars="200"/>
        <w:rPr>
          <w:color w:val="auto"/>
          <w:highlight w:val="none"/>
        </w:rPr>
      </w:pPr>
      <w:r>
        <w:rPr>
          <w:color w:val="auto"/>
          <w:highlight w:val="none"/>
        </w:rPr>
        <w:t xml:space="preserve">3.3.3 </w:t>
      </w:r>
      <w:r>
        <w:rPr>
          <w:rFonts w:hint="eastAsia"/>
          <w:b/>
          <w:color w:val="auto"/>
          <w:highlight w:val="none"/>
        </w:rPr>
        <w:t>采购人设有最高询价限价的，响应人的询价报价不得超过最高限价，否则其询价将被否决。</w:t>
      </w:r>
      <w:r>
        <w:rPr>
          <w:rFonts w:hint="eastAsia"/>
          <w:color w:val="auto"/>
          <w:highlight w:val="none"/>
        </w:rPr>
        <w:t>最高询价限价或其计算方法见询价响应须知前附表。</w:t>
      </w:r>
    </w:p>
    <w:p>
      <w:pPr>
        <w:spacing w:line="400" w:lineRule="exact"/>
        <w:ind w:firstLine="420" w:firstLineChars="200"/>
        <w:rPr>
          <w:color w:val="auto"/>
          <w:highlight w:val="none"/>
        </w:rPr>
      </w:pPr>
      <w:r>
        <w:rPr>
          <w:color w:val="auto"/>
          <w:highlight w:val="none"/>
        </w:rPr>
        <w:t xml:space="preserve">3.3.4 </w:t>
      </w:r>
      <w:r>
        <w:rPr>
          <w:rFonts w:hint="eastAsia"/>
          <w:color w:val="auto"/>
          <w:highlight w:val="none"/>
        </w:rPr>
        <w:t>采购人不接受响应人的任何低于成本报价的不正当竞争方式。</w:t>
      </w:r>
    </w:p>
    <w:p>
      <w:pPr>
        <w:spacing w:line="400" w:lineRule="exact"/>
        <w:rPr>
          <w:rFonts w:ascii="宋体"/>
          <w:b/>
          <w:color w:val="auto"/>
          <w:sz w:val="32"/>
          <w:szCs w:val="32"/>
          <w:highlight w:val="none"/>
        </w:rPr>
      </w:pPr>
      <w:bookmarkStart w:id="48" w:name="_Toc456551899"/>
      <w:bookmarkStart w:id="49" w:name="_Toc475552143"/>
      <w:r>
        <w:rPr>
          <w:rFonts w:ascii="宋体" w:hAnsi="宋体"/>
          <w:b/>
          <w:color w:val="auto"/>
          <w:sz w:val="32"/>
          <w:szCs w:val="32"/>
          <w:highlight w:val="none"/>
        </w:rPr>
        <w:t xml:space="preserve">3.4 </w:t>
      </w:r>
      <w:r>
        <w:rPr>
          <w:rFonts w:hint="eastAsia" w:ascii="宋体" w:hAnsi="宋体"/>
          <w:b/>
          <w:color w:val="auto"/>
          <w:sz w:val="32"/>
          <w:szCs w:val="32"/>
          <w:highlight w:val="none"/>
        </w:rPr>
        <w:t>询价有效期</w:t>
      </w:r>
      <w:bookmarkEnd w:id="48"/>
      <w:bookmarkEnd w:id="49"/>
    </w:p>
    <w:p>
      <w:pPr>
        <w:spacing w:line="400" w:lineRule="exact"/>
        <w:ind w:firstLine="420" w:firstLineChars="200"/>
        <w:rPr>
          <w:color w:val="auto"/>
          <w:highlight w:val="none"/>
        </w:rPr>
      </w:pPr>
      <w:r>
        <w:rPr>
          <w:color w:val="auto"/>
          <w:highlight w:val="none"/>
        </w:rPr>
        <w:t>3.4.1</w:t>
      </w:r>
      <w:r>
        <w:rPr>
          <w:rFonts w:hint="eastAsia"/>
          <w:color w:val="auto"/>
          <w:highlight w:val="none"/>
        </w:rPr>
        <w:t>询价有效期从递交响应文件截止日起计算，询价有效期的具体时间见询价响应须知前附表，在此期间，响应人不得要求撤销或修改其响应文件。</w:t>
      </w:r>
      <w:r>
        <w:rPr>
          <w:rFonts w:hint="eastAsia"/>
          <w:b/>
          <w:color w:val="auto"/>
          <w:highlight w:val="none"/>
        </w:rPr>
        <w:t>询价有效期不满足询价文件要求的询价将被否决。</w:t>
      </w:r>
    </w:p>
    <w:p>
      <w:pPr>
        <w:spacing w:line="400" w:lineRule="exact"/>
        <w:ind w:firstLine="420" w:firstLineChars="200"/>
        <w:rPr>
          <w:color w:val="auto"/>
          <w:highlight w:val="none"/>
        </w:rPr>
      </w:pPr>
      <w:r>
        <w:rPr>
          <w:color w:val="auto"/>
          <w:highlight w:val="none"/>
        </w:rPr>
        <w:t>3.4.2</w:t>
      </w:r>
      <w:r>
        <w:rPr>
          <w:rFonts w:hint="eastAsia" w:ascii="宋体" w:hAnsi="宋体" w:cs="宋体"/>
          <w:color w:val="auto"/>
          <w:szCs w:val="21"/>
          <w:highlight w:val="none"/>
        </w:rPr>
        <w:t>出现特殊情况需要延长询价有效期的，采购人以书面形式通知所有响应人延长询价有效期。响应人同意延长的，应相应延长其询价保证金的有效期，但不得要求或被允许修改或撤销其响应文件；响应人拒绝延长的，其响应失效，但响应人有权收回其响应保证金。</w:t>
      </w:r>
    </w:p>
    <w:p>
      <w:pPr>
        <w:spacing w:line="400" w:lineRule="exact"/>
        <w:rPr>
          <w:rFonts w:ascii="宋体"/>
          <w:b/>
          <w:color w:val="auto"/>
          <w:sz w:val="32"/>
          <w:szCs w:val="32"/>
          <w:highlight w:val="none"/>
        </w:rPr>
      </w:pPr>
      <w:bookmarkStart w:id="50" w:name="_Toc475552144"/>
      <w:bookmarkStart w:id="51" w:name="_Toc456551900"/>
      <w:r>
        <w:rPr>
          <w:rFonts w:ascii="宋体" w:hAnsi="宋体"/>
          <w:b/>
          <w:color w:val="auto"/>
          <w:sz w:val="32"/>
          <w:szCs w:val="32"/>
          <w:highlight w:val="none"/>
        </w:rPr>
        <w:t xml:space="preserve">3.5 </w:t>
      </w:r>
      <w:r>
        <w:rPr>
          <w:rFonts w:hint="eastAsia" w:ascii="宋体" w:hAnsi="宋体"/>
          <w:b/>
          <w:color w:val="auto"/>
          <w:sz w:val="32"/>
          <w:szCs w:val="32"/>
          <w:highlight w:val="none"/>
        </w:rPr>
        <w:t>询价保证金</w:t>
      </w:r>
      <w:bookmarkEnd w:id="50"/>
      <w:bookmarkEnd w:id="51"/>
    </w:p>
    <w:p>
      <w:pPr>
        <w:spacing w:line="400" w:lineRule="exact"/>
        <w:ind w:firstLine="420" w:firstLineChars="200"/>
        <w:rPr>
          <w:color w:val="auto"/>
          <w:highlight w:val="none"/>
        </w:rPr>
      </w:pPr>
      <w:r>
        <w:rPr>
          <w:color w:val="auto"/>
          <w:highlight w:val="none"/>
        </w:rPr>
        <w:t xml:space="preserve">3.5.1 </w:t>
      </w:r>
      <w:r>
        <w:rPr>
          <w:rFonts w:hint="eastAsia"/>
          <w:color w:val="auto"/>
          <w:highlight w:val="none"/>
        </w:rPr>
        <w:t>采购人要求响应人提交询价保证金的，响应人必须在提交响应文件的同时，按照询价响应须知前附表的规定提交询价保证金。</w:t>
      </w:r>
    </w:p>
    <w:p>
      <w:pPr>
        <w:spacing w:line="400" w:lineRule="exact"/>
        <w:ind w:firstLine="420" w:firstLineChars="200"/>
        <w:rPr>
          <w:color w:val="auto"/>
          <w:highlight w:val="none"/>
        </w:rPr>
      </w:pPr>
      <w:r>
        <w:rPr>
          <w:color w:val="auto"/>
          <w:highlight w:val="none"/>
        </w:rPr>
        <w:t xml:space="preserve">3.5.2 </w:t>
      </w:r>
      <w:r>
        <w:rPr>
          <w:rFonts w:hint="eastAsia"/>
          <w:color w:val="auto"/>
          <w:highlight w:val="none"/>
        </w:rPr>
        <w:t>采购人可以规定询价保证金是以现金、支票、银行汇票、中国注册的银行出具的银行保函等方式递交。询价保证金的形式见询价响应须知前附表。</w:t>
      </w:r>
    </w:p>
    <w:p>
      <w:pPr>
        <w:spacing w:line="400" w:lineRule="exact"/>
        <w:ind w:firstLine="420" w:firstLineChars="200"/>
        <w:rPr>
          <w:color w:val="auto"/>
          <w:highlight w:val="none"/>
        </w:rPr>
      </w:pPr>
      <w:r>
        <w:rPr>
          <w:color w:val="auto"/>
          <w:highlight w:val="none"/>
        </w:rPr>
        <w:t xml:space="preserve">3.5.3 </w:t>
      </w:r>
      <w:r>
        <w:rPr>
          <w:rFonts w:hint="eastAsia"/>
          <w:color w:val="auto"/>
          <w:highlight w:val="none"/>
        </w:rPr>
        <w:t>采购人应当在项目书面合同签订后</w:t>
      </w:r>
      <w:r>
        <w:rPr>
          <w:color w:val="auto"/>
          <w:highlight w:val="none"/>
        </w:rPr>
        <w:t>5</w:t>
      </w:r>
      <w:r>
        <w:rPr>
          <w:rFonts w:hint="eastAsia"/>
          <w:color w:val="auto"/>
          <w:highlight w:val="none"/>
        </w:rPr>
        <w:t>日内向成交人和未成交的响应人无息退还询价保证金，退还至响应人原转出账户。</w:t>
      </w:r>
    </w:p>
    <w:p>
      <w:pPr>
        <w:spacing w:line="400" w:lineRule="exact"/>
        <w:ind w:firstLine="420" w:firstLineChars="200"/>
        <w:rPr>
          <w:color w:val="auto"/>
          <w:highlight w:val="none"/>
        </w:rPr>
      </w:pPr>
      <w:r>
        <w:rPr>
          <w:color w:val="auto"/>
          <w:highlight w:val="none"/>
        </w:rPr>
        <w:t xml:space="preserve">3.5.4 </w:t>
      </w:r>
      <w:r>
        <w:rPr>
          <w:rFonts w:hint="eastAsia"/>
          <w:color w:val="auto"/>
          <w:highlight w:val="none"/>
        </w:rPr>
        <w:t>有下列情形之一的，询价保证金可不予退还</w:t>
      </w:r>
      <w:r>
        <w:rPr>
          <w:rFonts w:hint="eastAsia"/>
          <w:color w:val="auto"/>
          <w:highlight w:val="none"/>
          <w:lang w:eastAsia="zh-CN"/>
        </w:rPr>
        <w:t>，响应人纳入采购人供应商黑名单</w:t>
      </w:r>
      <w:r>
        <w:rPr>
          <w:rFonts w:hint="eastAsia"/>
          <w:color w:val="auto"/>
          <w:highlight w:val="none"/>
        </w:rPr>
        <w:t>：</w:t>
      </w:r>
      <w:r>
        <w:rPr>
          <w:color w:val="auto"/>
          <w:highlight w:val="none"/>
        </w:rPr>
        <w:t xml:space="preserve"> </w:t>
      </w:r>
    </w:p>
    <w:p>
      <w:pPr>
        <w:spacing w:line="400" w:lineRule="exact"/>
        <w:ind w:firstLine="718" w:firstLineChars="342"/>
        <w:rPr>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szCs w:val="18"/>
          <w:highlight w:val="none"/>
        </w:rPr>
        <w:t>响应人在规定的询价有效期内撤销或修改其响应文件的；</w:t>
      </w:r>
    </w:p>
    <w:p>
      <w:pPr>
        <w:spacing w:line="400" w:lineRule="exact"/>
        <w:ind w:firstLine="718" w:firstLineChars="342"/>
        <w:rPr>
          <w:color w:val="auto"/>
          <w:szCs w:val="18"/>
          <w:highlight w:val="none"/>
        </w:rPr>
      </w:pPr>
      <w:r>
        <w:rPr>
          <w:rFonts w:hint="eastAsia"/>
          <w:color w:val="auto"/>
          <w:szCs w:val="18"/>
          <w:highlight w:val="none"/>
        </w:rPr>
        <w:t>（</w:t>
      </w:r>
      <w:r>
        <w:rPr>
          <w:color w:val="auto"/>
          <w:szCs w:val="18"/>
          <w:highlight w:val="none"/>
        </w:rPr>
        <w:t>2</w:t>
      </w:r>
      <w:r>
        <w:rPr>
          <w:rFonts w:hint="eastAsia"/>
          <w:color w:val="auto"/>
          <w:szCs w:val="18"/>
          <w:highlight w:val="none"/>
        </w:rPr>
        <w:t>）成交人未能在规定期限内提交履约担保或签订合同协议的；</w:t>
      </w:r>
    </w:p>
    <w:p>
      <w:pPr>
        <w:spacing w:line="400" w:lineRule="exact"/>
        <w:ind w:firstLine="718" w:firstLineChars="342"/>
        <w:rPr>
          <w:color w:val="auto"/>
          <w:szCs w:val="18"/>
          <w:highlight w:val="none"/>
        </w:rPr>
      </w:pPr>
      <w:r>
        <w:rPr>
          <w:rFonts w:hint="eastAsia"/>
          <w:color w:val="auto"/>
          <w:szCs w:val="18"/>
          <w:highlight w:val="none"/>
        </w:rPr>
        <w:t>（</w:t>
      </w:r>
      <w:r>
        <w:rPr>
          <w:color w:val="auto"/>
          <w:szCs w:val="18"/>
          <w:highlight w:val="none"/>
        </w:rPr>
        <w:t>3</w:t>
      </w:r>
      <w:r>
        <w:rPr>
          <w:rFonts w:hint="eastAsia"/>
          <w:color w:val="auto"/>
          <w:szCs w:val="18"/>
          <w:highlight w:val="none"/>
        </w:rPr>
        <w:t>）响应人有串通询价、弄虚作假等行为的；</w:t>
      </w:r>
    </w:p>
    <w:p>
      <w:pPr>
        <w:spacing w:line="400" w:lineRule="exact"/>
        <w:ind w:firstLine="718" w:firstLineChars="342"/>
        <w:rPr>
          <w:color w:val="auto"/>
          <w:szCs w:val="18"/>
          <w:highlight w:val="none"/>
        </w:rPr>
      </w:pPr>
      <w:r>
        <w:rPr>
          <w:rFonts w:hint="eastAsia"/>
          <w:color w:val="auto"/>
          <w:szCs w:val="18"/>
          <w:highlight w:val="none"/>
        </w:rPr>
        <w:t>（</w:t>
      </w:r>
      <w:r>
        <w:rPr>
          <w:color w:val="auto"/>
          <w:szCs w:val="18"/>
          <w:highlight w:val="none"/>
        </w:rPr>
        <w:t>4</w:t>
      </w:r>
      <w:r>
        <w:rPr>
          <w:rFonts w:hint="eastAsia"/>
          <w:color w:val="auto"/>
          <w:szCs w:val="18"/>
          <w:highlight w:val="none"/>
        </w:rPr>
        <w:t>）响应人以他人名义响应、与他人串通响应、以行贿手段谋取成交、弄虚作假等行为。</w:t>
      </w:r>
    </w:p>
    <w:p>
      <w:pPr>
        <w:spacing w:line="400" w:lineRule="exact"/>
        <w:ind w:firstLine="718" w:firstLineChars="342"/>
        <w:rPr>
          <w:color w:val="auto"/>
          <w:szCs w:val="18"/>
          <w:highlight w:val="none"/>
        </w:rPr>
      </w:pPr>
      <w:r>
        <w:rPr>
          <w:rFonts w:hint="eastAsia"/>
          <w:color w:val="auto"/>
          <w:szCs w:val="18"/>
          <w:highlight w:val="none"/>
        </w:rPr>
        <w:t>（</w:t>
      </w:r>
      <w:r>
        <w:rPr>
          <w:color w:val="auto"/>
          <w:szCs w:val="18"/>
          <w:highlight w:val="none"/>
        </w:rPr>
        <w:t>5</w:t>
      </w:r>
      <w:r>
        <w:rPr>
          <w:rFonts w:hint="eastAsia"/>
          <w:color w:val="auto"/>
          <w:szCs w:val="18"/>
          <w:highlight w:val="none"/>
        </w:rPr>
        <w:t>）成交人提交虚假资料或无效资料成交，影响成交结果的。</w:t>
      </w:r>
    </w:p>
    <w:p>
      <w:pPr>
        <w:spacing w:line="400" w:lineRule="exact"/>
        <w:ind w:firstLine="718" w:firstLineChars="342"/>
        <w:rPr>
          <w:color w:val="auto"/>
          <w:szCs w:val="18"/>
          <w:highlight w:val="none"/>
        </w:rPr>
      </w:pPr>
      <w:r>
        <w:rPr>
          <w:rFonts w:hint="eastAsia"/>
          <w:color w:val="auto"/>
          <w:szCs w:val="18"/>
          <w:highlight w:val="none"/>
        </w:rPr>
        <w:t>（</w:t>
      </w:r>
      <w:r>
        <w:rPr>
          <w:color w:val="auto"/>
          <w:szCs w:val="18"/>
          <w:highlight w:val="none"/>
        </w:rPr>
        <w:t>7</w:t>
      </w:r>
      <w:r>
        <w:rPr>
          <w:rFonts w:hint="eastAsia"/>
          <w:color w:val="auto"/>
          <w:szCs w:val="18"/>
          <w:highlight w:val="none"/>
        </w:rPr>
        <w:t>）成交人无正当理由拒绝提交相关证件原件核对的。</w:t>
      </w:r>
    </w:p>
    <w:p>
      <w:pPr>
        <w:spacing w:line="400" w:lineRule="exact"/>
        <w:ind w:firstLine="718" w:firstLineChars="342"/>
        <w:rPr>
          <w:color w:val="auto"/>
          <w:szCs w:val="18"/>
          <w:highlight w:val="none"/>
        </w:rPr>
      </w:pPr>
      <w:r>
        <w:rPr>
          <w:rFonts w:hint="eastAsia"/>
          <w:color w:val="auto"/>
          <w:szCs w:val="18"/>
          <w:highlight w:val="none"/>
        </w:rPr>
        <w:t>（</w:t>
      </w:r>
      <w:r>
        <w:rPr>
          <w:color w:val="auto"/>
          <w:szCs w:val="18"/>
          <w:highlight w:val="none"/>
        </w:rPr>
        <w:t>8</w:t>
      </w:r>
      <w:r>
        <w:rPr>
          <w:rFonts w:hint="eastAsia"/>
          <w:color w:val="auto"/>
          <w:szCs w:val="18"/>
          <w:highlight w:val="none"/>
        </w:rPr>
        <w:t>）成交人将本项目转让给他人，或者在响应文件中未说明，且未经采购人同意，将成交项目分包给他人的；</w:t>
      </w:r>
    </w:p>
    <w:p>
      <w:pPr>
        <w:spacing w:line="400" w:lineRule="exact"/>
        <w:ind w:firstLine="718" w:firstLineChars="342"/>
        <w:rPr>
          <w:color w:val="auto"/>
          <w:szCs w:val="18"/>
          <w:highlight w:val="none"/>
        </w:rPr>
      </w:pPr>
      <w:r>
        <w:rPr>
          <w:rFonts w:hint="eastAsia"/>
          <w:color w:val="auto"/>
          <w:szCs w:val="18"/>
          <w:highlight w:val="none"/>
        </w:rPr>
        <w:t>（</w:t>
      </w:r>
      <w:r>
        <w:rPr>
          <w:color w:val="auto"/>
          <w:szCs w:val="18"/>
          <w:highlight w:val="none"/>
        </w:rPr>
        <w:t>9</w:t>
      </w:r>
      <w:r>
        <w:rPr>
          <w:rFonts w:hint="eastAsia"/>
          <w:color w:val="auto"/>
          <w:szCs w:val="18"/>
          <w:highlight w:val="none"/>
        </w:rPr>
        <w:t>）其他规定见询价响应须知前附表。</w:t>
      </w:r>
    </w:p>
    <w:p>
      <w:pPr>
        <w:spacing w:line="400" w:lineRule="exact"/>
        <w:ind w:firstLine="422" w:firstLineChars="200"/>
        <w:rPr>
          <w:b/>
          <w:color w:val="auto"/>
          <w:highlight w:val="none"/>
        </w:rPr>
      </w:pPr>
      <w:r>
        <w:rPr>
          <w:b/>
          <w:color w:val="auto"/>
          <w:highlight w:val="none"/>
        </w:rPr>
        <w:t xml:space="preserve">3.5.5 </w:t>
      </w:r>
      <w:r>
        <w:rPr>
          <w:rFonts w:hint="eastAsia"/>
          <w:b/>
          <w:color w:val="auto"/>
          <w:highlight w:val="none"/>
        </w:rPr>
        <w:t>未按要求提交询价保证金或提交的询价保证金不足的询价将被否决。</w:t>
      </w:r>
    </w:p>
    <w:p>
      <w:pPr>
        <w:spacing w:line="400" w:lineRule="exact"/>
        <w:rPr>
          <w:rFonts w:ascii="宋体"/>
          <w:b/>
          <w:color w:val="auto"/>
          <w:sz w:val="32"/>
          <w:szCs w:val="32"/>
          <w:highlight w:val="none"/>
        </w:rPr>
      </w:pPr>
      <w:bookmarkStart w:id="52" w:name="_Toc227057904"/>
      <w:bookmarkStart w:id="53" w:name="_Toc226969298"/>
      <w:bookmarkStart w:id="54" w:name="_Toc456551902"/>
      <w:bookmarkStart w:id="55" w:name="_Toc475552146"/>
      <w:r>
        <w:rPr>
          <w:rFonts w:ascii="宋体" w:hAnsi="宋体"/>
          <w:b/>
          <w:color w:val="auto"/>
          <w:sz w:val="32"/>
          <w:szCs w:val="32"/>
          <w:highlight w:val="none"/>
        </w:rPr>
        <w:t xml:space="preserve">3.6 </w:t>
      </w:r>
      <w:r>
        <w:rPr>
          <w:rFonts w:hint="eastAsia" w:ascii="宋体" w:hAnsi="宋体"/>
          <w:b/>
          <w:color w:val="auto"/>
          <w:sz w:val="32"/>
          <w:szCs w:val="32"/>
          <w:highlight w:val="none"/>
        </w:rPr>
        <w:t>响应文件的式样</w:t>
      </w:r>
      <w:bookmarkEnd w:id="52"/>
      <w:bookmarkEnd w:id="53"/>
      <w:r>
        <w:rPr>
          <w:rFonts w:hint="eastAsia" w:ascii="宋体" w:hAnsi="宋体"/>
          <w:b/>
          <w:color w:val="auto"/>
          <w:sz w:val="32"/>
          <w:szCs w:val="32"/>
          <w:highlight w:val="none"/>
        </w:rPr>
        <w:t>、密封和标记</w:t>
      </w:r>
      <w:bookmarkEnd w:id="54"/>
      <w:bookmarkEnd w:id="55"/>
    </w:p>
    <w:p>
      <w:pPr>
        <w:spacing w:line="400" w:lineRule="exact"/>
        <w:ind w:firstLine="420" w:firstLineChars="200"/>
        <w:rPr>
          <w:color w:val="auto"/>
          <w:szCs w:val="21"/>
          <w:highlight w:val="none"/>
        </w:rPr>
      </w:pPr>
      <w:r>
        <w:rPr>
          <w:color w:val="auto"/>
          <w:szCs w:val="21"/>
          <w:highlight w:val="none"/>
        </w:rPr>
        <w:t>3.6.1</w:t>
      </w:r>
      <w:r>
        <w:rPr>
          <w:rFonts w:hint="eastAsia"/>
          <w:color w:val="auto"/>
          <w:szCs w:val="21"/>
          <w:highlight w:val="none"/>
        </w:rPr>
        <w:t>响应人应当编制一份响应文件“正本”和询价响应须知前附表所述份数的“副本”，副本为正本复印件。响应文件正本和副本如有不一致之处，以正本为准。</w:t>
      </w:r>
    </w:p>
    <w:p>
      <w:pPr>
        <w:spacing w:line="400" w:lineRule="exact"/>
        <w:ind w:firstLine="420" w:firstLineChars="200"/>
        <w:rPr>
          <w:color w:val="auto"/>
          <w:szCs w:val="21"/>
          <w:highlight w:val="none"/>
        </w:rPr>
      </w:pPr>
      <w:r>
        <w:rPr>
          <w:color w:val="auto"/>
          <w:szCs w:val="21"/>
          <w:highlight w:val="none"/>
        </w:rPr>
        <w:t>3.6.2</w:t>
      </w:r>
      <w:r>
        <w:rPr>
          <w:rFonts w:hint="eastAsia"/>
          <w:color w:val="auto"/>
          <w:szCs w:val="21"/>
          <w:highlight w:val="none"/>
        </w:rPr>
        <w:t>每份响应文件的正本、副本及唱标信封应当分别装订，并于封面上明确标明“正本”、“副本”和“唱标信封”字样。</w:t>
      </w:r>
      <w:r>
        <w:rPr>
          <w:rFonts w:hint="eastAsia" w:ascii="宋体" w:hAnsi="宋体"/>
          <w:color w:val="auto"/>
          <w:szCs w:val="21"/>
          <w:highlight w:val="none"/>
        </w:rPr>
        <w:t>正本或副本应按目录顺序要求排列并牢固装订成册。不能有脱页，不能使用活页夹装订。</w:t>
      </w:r>
    </w:p>
    <w:p>
      <w:pPr>
        <w:spacing w:line="400" w:lineRule="exact"/>
        <w:ind w:firstLine="420" w:firstLineChars="200"/>
        <w:rPr>
          <w:color w:val="auto"/>
          <w:szCs w:val="21"/>
          <w:highlight w:val="none"/>
        </w:rPr>
      </w:pPr>
      <w:r>
        <w:rPr>
          <w:color w:val="auto"/>
          <w:szCs w:val="21"/>
          <w:highlight w:val="none"/>
        </w:rPr>
        <w:t>3.6.3</w:t>
      </w:r>
      <w:r>
        <w:rPr>
          <w:rFonts w:hint="eastAsia"/>
          <w:color w:val="auto"/>
          <w:szCs w:val="21"/>
          <w:highlight w:val="none"/>
        </w:rPr>
        <w:t>响应文件应当按照询价文件规定密封包装，并于封装封面上明确标明“正本”、“副本”和“唱标信封”字样。密封的所有粘接缝隙必须加盖单位章或者由响应人的法定代表人或其委托代理人签字。</w:t>
      </w:r>
    </w:p>
    <w:p>
      <w:pPr>
        <w:spacing w:line="400" w:lineRule="exact"/>
        <w:ind w:firstLine="420" w:firstLineChars="200"/>
        <w:rPr>
          <w:color w:val="auto"/>
          <w:szCs w:val="21"/>
          <w:highlight w:val="none"/>
        </w:rPr>
      </w:pPr>
      <w:r>
        <w:rPr>
          <w:color w:val="auto"/>
          <w:szCs w:val="21"/>
          <w:highlight w:val="none"/>
        </w:rPr>
        <w:t>3.6.4</w:t>
      </w:r>
      <w:r>
        <w:rPr>
          <w:rFonts w:hint="eastAsia"/>
          <w:color w:val="auto"/>
          <w:szCs w:val="21"/>
          <w:highlight w:val="none"/>
        </w:rPr>
        <w:t>外层包封应当写明采购人名称和地址、项目名称、采购代理机构编号、并注明唱标时间以前不得开封。还应当写明响应人的名称与地址、联系方式，以便询价出现逾期送达时能原封退回。</w:t>
      </w:r>
    </w:p>
    <w:p>
      <w:pPr>
        <w:spacing w:line="400" w:lineRule="exact"/>
        <w:ind w:firstLine="420" w:firstLineChars="200"/>
        <w:rPr>
          <w:color w:val="auto"/>
          <w:szCs w:val="21"/>
          <w:highlight w:val="none"/>
        </w:rPr>
      </w:pPr>
      <w:r>
        <w:rPr>
          <w:color w:val="auto"/>
          <w:szCs w:val="21"/>
          <w:highlight w:val="none"/>
        </w:rPr>
        <w:t>3.6.5</w:t>
      </w:r>
      <w:r>
        <w:rPr>
          <w:rFonts w:hint="eastAsia"/>
          <w:color w:val="auto"/>
          <w:szCs w:val="21"/>
          <w:highlight w:val="none"/>
        </w:rPr>
        <w:t>提交响应文件时，采购人应当对符合询价文件规定密封和标记的响应文件进行签收。</w:t>
      </w:r>
    </w:p>
    <w:p>
      <w:pPr>
        <w:spacing w:line="400" w:lineRule="exact"/>
        <w:ind w:firstLine="420" w:firstLineChars="200"/>
        <w:rPr>
          <w:color w:val="auto"/>
          <w:szCs w:val="21"/>
          <w:highlight w:val="none"/>
        </w:rPr>
      </w:pPr>
      <w:r>
        <w:rPr>
          <w:color w:val="auto"/>
          <w:szCs w:val="21"/>
          <w:highlight w:val="none"/>
        </w:rPr>
        <w:t>3.6.6</w:t>
      </w:r>
      <w:r>
        <w:rPr>
          <w:rFonts w:hint="eastAsia"/>
          <w:color w:val="auto"/>
          <w:szCs w:val="21"/>
          <w:highlight w:val="none"/>
        </w:rPr>
        <w:t>采购人对于响应文件密封、标记另有要求的，见询价响应须知前附表。</w:t>
      </w:r>
    </w:p>
    <w:p>
      <w:pPr>
        <w:pStyle w:val="4"/>
        <w:rPr>
          <w:rFonts w:ascii="黑体"/>
          <w:color w:val="auto"/>
          <w:highlight w:val="none"/>
        </w:rPr>
      </w:pPr>
      <w:bookmarkStart w:id="56" w:name="_Toc456551904"/>
      <w:bookmarkStart w:id="57" w:name="_Toc18205"/>
      <w:r>
        <w:rPr>
          <w:rFonts w:ascii="黑体" w:hAnsi="黑体"/>
          <w:color w:val="auto"/>
          <w:highlight w:val="none"/>
        </w:rPr>
        <w:t xml:space="preserve">4. </w:t>
      </w:r>
      <w:bookmarkEnd w:id="56"/>
      <w:r>
        <w:rPr>
          <w:rFonts w:hint="eastAsia" w:ascii="黑体" w:hAnsi="黑体"/>
          <w:color w:val="auto"/>
          <w:highlight w:val="none"/>
        </w:rPr>
        <w:t>询价</w:t>
      </w:r>
      <w:bookmarkEnd w:id="57"/>
    </w:p>
    <w:p>
      <w:pPr>
        <w:spacing w:line="400" w:lineRule="exact"/>
        <w:rPr>
          <w:rFonts w:ascii="宋体"/>
          <w:b/>
          <w:color w:val="auto"/>
          <w:sz w:val="32"/>
          <w:szCs w:val="32"/>
          <w:highlight w:val="none"/>
        </w:rPr>
      </w:pPr>
      <w:bookmarkStart w:id="58" w:name="_Toc456551905"/>
      <w:bookmarkStart w:id="59" w:name="_Toc475552148"/>
      <w:r>
        <w:rPr>
          <w:rFonts w:ascii="宋体" w:hAnsi="宋体"/>
          <w:b/>
          <w:color w:val="auto"/>
          <w:sz w:val="32"/>
          <w:szCs w:val="32"/>
          <w:highlight w:val="none"/>
        </w:rPr>
        <w:t xml:space="preserve">4.1 </w:t>
      </w:r>
      <w:r>
        <w:rPr>
          <w:rFonts w:hint="eastAsia" w:ascii="宋体" w:hAnsi="宋体"/>
          <w:b/>
          <w:color w:val="auto"/>
          <w:sz w:val="32"/>
          <w:szCs w:val="32"/>
          <w:highlight w:val="none"/>
        </w:rPr>
        <w:t>响应文件的递交</w:t>
      </w:r>
      <w:bookmarkEnd w:id="58"/>
      <w:bookmarkEnd w:id="59"/>
    </w:p>
    <w:p>
      <w:pPr>
        <w:spacing w:line="400" w:lineRule="exact"/>
        <w:ind w:firstLine="420" w:firstLineChars="200"/>
        <w:rPr>
          <w:color w:val="auto"/>
          <w:highlight w:val="none"/>
        </w:rPr>
      </w:pPr>
      <w:r>
        <w:rPr>
          <w:color w:val="auto"/>
          <w:highlight w:val="none"/>
        </w:rPr>
        <w:t>4.1.1</w:t>
      </w:r>
      <w:r>
        <w:rPr>
          <w:rFonts w:hint="eastAsia"/>
          <w:color w:val="auto"/>
          <w:highlight w:val="none"/>
        </w:rPr>
        <w:t>响应文件递交截止时间：见询价响应须知前附表。</w:t>
      </w:r>
    </w:p>
    <w:p>
      <w:pPr>
        <w:spacing w:line="400" w:lineRule="exact"/>
        <w:ind w:firstLine="420" w:firstLineChars="200"/>
        <w:rPr>
          <w:color w:val="auto"/>
          <w:highlight w:val="none"/>
        </w:rPr>
      </w:pPr>
      <w:r>
        <w:rPr>
          <w:color w:val="auto"/>
          <w:highlight w:val="none"/>
        </w:rPr>
        <w:t xml:space="preserve">4.1.2 </w:t>
      </w:r>
      <w:r>
        <w:rPr>
          <w:rFonts w:hint="eastAsia"/>
          <w:color w:val="auto"/>
          <w:highlight w:val="none"/>
        </w:rPr>
        <w:t>响应人递交响应文件的地点：见询价响应须知前附表。</w:t>
      </w:r>
    </w:p>
    <w:p>
      <w:pPr>
        <w:spacing w:line="400" w:lineRule="exact"/>
        <w:ind w:firstLine="420" w:firstLineChars="200"/>
        <w:rPr>
          <w:color w:val="auto"/>
          <w:highlight w:val="none"/>
        </w:rPr>
      </w:pPr>
      <w:r>
        <w:rPr>
          <w:color w:val="auto"/>
          <w:highlight w:val="none"/>
        </w:rPr>
        <w:t>4.1.3</w:t>
      </w:r>
      <w:r>
        <w:rPr>
          <w:rFonts w:hint="eastAsia"/>
          <w:color w:val="auto"/>
          <w:highlight w:val="none"/>
        </w:rPr>
        <w:t>采购人</w:t>
      </w:r>
      <w:r>
        <w:rPr>
          <w:color w:val="auto"/>
          <w:highlight w:val="none"/>
        </w:rPr>
        <w:t>/</w:t>
      </w:r>
      <w:r>
        <w:rPr>
          <w:rFonts w:hint="eastAsia"/>
          <w:color w:val="auto"/>
          <w:highlight w:val="none"/>
        </w:rPr>
        <w:t>采购代理机构收到响应文件后，向响应人分别进行签收（唱标前不得提前公开已签收的响应人信息）。</w:t>
      </w:r>
    </w:p>
    <w:p>
      <w:pPr>
        <w:spacing w:line="400" w:lineRule="exact"/>
        <w:ind w:firstLine="420" w:firstLineChars="200"/>
        <w:rPr>
          <w:color w:val="auto"/>
          <w:highlight w:val="none"/>
        </w:rPr>
      </w:pPr>
      <w:r>
        <w:rPr>
          <w:color w:val="auto"/>
          <w:highlight w:val="none"/>
        </w:rPr>
        <w:t>4.1.4</w:t>
      </w:r>
      <w:r>
        <w:rPr>
          <w:rFonts w:hint="eastAsia"/>
          <w:color w:val="auto"/>
          <w:highlight w:val="none"/>
        </w:rPr>
        <w:t>除询价响应须知前附表另有规定外，响应人所递交的响应文件不予退还。</w:t>
      </w:r>
    </w:p>
    <w:p>
      <w:pPr>
        <w:spacing w:line="400" w:lineRule="exact"/>
        <w:ind w:firstLine="420" w:firstLineChars="200"/>
        <w:rPr>
          <w:color w:val="auto"/>
          <w:highlight w:val="none"/>
        </w:rPr>
      </w:pPr>
      <w:r>
        <w:rPr>
          <w:color w:val="auto"/>
          <w:highlight w:val="none"/>
        </w:rPr>
        <w:t>4.1.5</w:t>
      </w:r>
      <w:r>
        <w:rPr>
          <w:rFonts w:hint="eastAsia"/>
          <w:color w:val="auto"/>
          <w:highlight w:val="none"/>
        </w:rPr>
        <w:t>出现以下情形时，采购人不予接收响应文件：</w:t>
      </w:r>
    </w:p>
    <w:p>
      <w:pPr>
        <w:spacing w:line="40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）逾期送达或者未送达指定地点的；</w:t>
      </w:r>
    </w:p>
    <w:p>
      <w:pPr>
        <w:spacing w:line="40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）未按询价文件要求密封的。</w:t>
      </w:r>
    </w:p>
    <w:p>
      <w:pPr>
        <w:spacing w:line="400" w:lineRule="exact"/>
        <w:rPr>
          <w:rFonts w:ascii="宋体"/>
          <w:b/>
          <w:color w:val="auto"/>
          <w:sz w:val="32"/>
          <w:szCs w:val="32"/>
          <w:highlight w:val="none"/>
        </w:rPr>
      </w:pPr>
      <w:bookmarkStart w:id="60" w:name="_Toc456551906"/>
      <w:bookmarkStart w:id="61" w:name="_Toc475552149"/>
      <w:r>
        <w:rPr>
          <w:rFonts w:ascii="宋体" w:hAnsi="宋体"/>
          <w:b/>
          <w:color w:val="auto"/>
          <w:sz w:val="32"/>
          <w:szCs w:val="32"/>
          <w:highlight w:val="none"/>
        </w:rPr>
        <w:t xml:space="preserve">4.2 </w:t>
      </w:r>
      <w:r>
        <w:rPr>
          <w:rFonts w:hint="eastAsia" w:ascii="宋体" w:hAnsi="宋体"/>
          <w:b/>
          <w:color w:val="auto"/>
          <w:sz w:val="32"/>
          <w:szCs w:val="32"/>
          <w:highlight w:val="none"/>
        </w:rPr>
        <w:t>响应文件的修改、撤回和撤销</w:t>
      </w:r>
      <w:bookmarkEnd w:id="60"/>
      <w:bookmarkEnd w:id="61"/>
    </w:p>
    <w:p>
      <w:pPr>
        <w:spacing w:line="400" w:lineRule="exact"/>
        <w:ind w:firstLine="420" w:firstLineChars="200"/>
        <w:rPr>
          <w:color w:val="auto"/>
          <w:highlight w:val="none"/>
        </w:rPr>
      </w:pPr>
      <w:r>
        <w:rPr>
          <w:color w:val="auto"/>
          <w:highlight w:val="none"/>
        </w:rPr>
        <w:t xml:space="preserve">4.2.1 </w:t>
      </w:r>
      <w:r>
        <w:rPr>
          <w:rFonts w:hint="eastAsia"/>
          <w:color w:val="auto"/>
          <w:highlight w:val="none"/>
        </w:rPr>
        <w:t>在规定的询价截止时间前，响应人可以修改或撤回已递交的响应文件。</w:t>
      </w:r>
    </w:p>
    <w:p>
      <w:pPr>
        <w:spacing w:line="400" w:lineRule="exact"/>
        <w:ind w:firstLine="420" w:firstLineChars="200"/>
        <w:rPr>
          <w:color w:val="auto"/>
          <w:highlight w:val="none"/>
        </w:rPr>
      </w:pPr>
      <w:r>
        <w:rPr>
          <w:color w:val="auto"/>
          <w:highlight w:val="none"/>
        </w:rPr>
        <w:t>4.2.2</w:t>
      </w:r>
      <w:r>
        <w:rPr>
          <w:rFonts w:hint="eastAsia"/>
          <w:color w:val="auto"/>
          <w:highlight w:val="none"/>
        </w:rPr>
        <w:t>响应人修改后的响应文件，应当在规定的询价截止时间前按询价文件的规定编制、密封、标记、提交和送达。</w:t>
      </w:r>
    </w:p>
    <w:p>
      <w:pPr>
        <w:spacing w:line="400" w:lineRule="exact"/>
        <w:ind w:firstLine="420" w:firstLineChars="200"/>
        <w:rPr>
          <w:color w:val="auto"/>
          <w:highlight w:val="none"/>
        </w:rPr>
      </w:pPr>
      <w:r>
        <w:rPr>
          <w:color w:val="auto"/>
          <w:highlight w:val="none"/>
        </w:rPr>
        <w:t xml:space="preserve">4.2.3 </w:t>
      </w:r>
      <w:r>
        <w:rPr>
          <w:rFonts w:hint="eastAsia"/>
          <w:color w:val="auto"/>
          <w:highlight w:val="none"/>
        </w:rPr>
        <w:t>响应人撤回已递交的响应文件，应当书面通知采购人。采购人已收取询价保证金的，应当自收到响应人书面撤回通知之日起</w:t>
      </w:r>
      <w:r>
        <w:rPr>
          <w:color w:val="auto"/>
          <w:highlight w:val="none"/>
        </w:rPr>
        <w:t>5</w:t>
      </w:r>
      <w:r>
        <w:rPr>
          <w:rFonts w:hint="eastAsia"/>
          <w:color w:val="auto"/>
          <w:highlight w:val="none"/>
        </w:rPr>
        <w:t>日内退还。</w:t>
      </w:r>
    </w:p>
    <w:p>
      <w:pPr>
        <w:spacing w:line="400" w:lineRule="exact"/>
        <w:ind w:firstLine="420" w:firstLineChars="200"/>
        <w:rPr>
          <w:color w:val="auto"/>
          <w:highlight w:val="none"/>
        </w:rPr>
      </w:pPr>
      <w:r>
        <w:rPr>
          <w:color w:val="auto"/>
          <w:highlight w:val="none"/>
        </w:rPr>
        <w:t xml:space="preserve">4.2.4 </w:t>
      </w:r>
      <w:r>
        <w:rPr>
          <w:rFonts w:hint="eastAsia"/>
          <w:color w:val="auto"/>
          <w:highlight w:val="none"/>
        </w:rPr>
        <w:t>响应人在规定的询价截止时间后，不得在询价有效期内撤销其询价，否则采购人有权不退还其询价保证金。</w:t>
      </w:r>
    </w:p>
    <w:p>
      <w:pPr>
        <w:pStyle w:val="4"/>
        <w:rPr>
          <w:color w:val="auto"/>
          <w:highlight w:val="none"/>
        </w:rPr>
      </w:pPr>
      <w:bookmarkStart w:id="62" w:name="_Toc456551907"/>
      <w:bookmarkStart w:id="63" w:name="_Toc32021"/>
      <w:r>
        <w:rPr>
          <w:color w:val="auto"/>
          <w:highlight w:val="none"/>
        </w:rPr>
        <w:t xml:space="preserve">5. </w:t>
      </w:r>
      <w:bookmarkEnd w:id="62"/>
      <w:r>
        <w:rPr>
          <w:rFonts w:hint="eastAsia"/>
          <w:color w:val="auto"/>
          <w:highlight w:val="none"/>
        </w:rPr>
        <w:t>公开唱标</w:t>
      </w:r>
      <w:bookmarkEnd w:id="63"/>
    </w:p>
    <w:p>
      <w:pPr>
        <w:spacing w:line="400" w:lineRule="exact"/>
        <w:rPr>
          <w:rFonts w:ascii="宋体"/>
          <w:b/>
          <w:color w:val="auto"/>
          <w:sz w:val="32"/>
          <w:szCs w:val="32"/>
          <w:highlight w:val="none"/>
        </w:rPr>
      </w:pPr>
      <w:bookmarkStart w:id="64" w:name="_Toc475552151"/>
      <w:bookmarkStart w:id="65" w:name="_Toc456551908"/>
      <w:r>
        <w:rPr>
          <w:rFonts w:ascii="宋体" w:hAnsi="宋体"/>
          <w:b/>
          <w:color w:val="auto"/>
          <w:sz w:val="32"/>
          <w:szCs w:val="32"/>
          <w:highlight w:val="none"/>
        </w:rPr>
        <w:t xml:space="preserve">5.1 </w:t>
      </w:r>
      <w:r>
        <w:rPr>
          <w:rFonts w:hint="eastAsia" w:ascii="宋体" w:hAnsi="宋体"/>
          <w:b/>
          <w:color w:val="auto"/>
          <w:sz w:val="32"/>
          <w:szCs w:val="32"/>
          <w:highlight w:val="none"/>
        </w:rPr>
        <w:t>唱标时间和地点</w:t>
      </w:r>
      <w:bookmarkEnd w:id="64"/>
      <w:bookmarkEnd w:id="65"/>
    </w:p>
    <w:p>
      <w:pPr>
        <w:spacing w:line="400" w:lineRule="exact"/>
        <w:ind w:firstLine="420" w:firstLineChars="200"/>
        <w:rPr>
          <w:color w:val="auto"/>
          <w:highlight w:val="none"/>
        </w:rPr>
      </w:pPr>
      <w:r>
        <w:rPr>
          <w:rFonts w:hint="eastAsia"/>
          <w:color w:val="auto"/>
          <w:highlight w:val="none"/>
        </w:rPr>
        <w:t>采购人将按照询价响应须知前附表规定的时间和地点公开唱标，参加唱标的响应人代表应当签名报到，以证明其出席唱标。</w:t>
      </w:r>
    </w:p>
    <w:p>
      <w:pPr>
        <w:spacing w:line="400" w:lineRule="exact"/>
        <w:rPr>
          <w:rFonts w:ascii="宋体"/>
          <w:b/>
          <w:color w:val="auto"/>
          <w:sz w:val="32"/>
          <w:szCs w:val="32"/>
          <w:highlight w:val="none"/>
        </w:rPr>
      </w:pPr>
      <w:bookmarkStart w:id="66" w:name="_Toc456551909"/>
      <w:bookmarkStart w:id="67" w:name="_Toc475552152"/>
      <w:r>
        <w:rPr>
          <w:rFonts w:ascii="宋体" w:hAnsi="宋体"/>
          <w:b/>
          <w:color w:val="auto"/>
          <w:sz w:val="32"/>
          <w:szCs w:val="32"/>
          <w:highlight w:val="none"/>
        </w:rPr>
        <w:t xml:space="preserve">5.2 </w:t>
      </w:r>
      <w:r>
        <w:rPr>
          <w:rFonts w:hint="eastAsia" w:ascii="宋体" w:hAnsi="宋体"/>
          <w:b/>
          <w:color w:val="auto"/>
          <w:sz w:val="32"/>
          <w:szCs w:val="32"/>
          <w:highlight w:val="none"/>
        </w:rPr>
        <w:t>唱标程序</w:t>
      </w:r>
      <w:bookmarkEnd w:id="66"/>
      <w:bookmarkEnd w:id="67"/>
    </w:p>
    <w:p>
      <w:pPr>
        <w:spacing w:line="400" w:lineRule="exact"/>
        <w:ind w:firstLine="359" w:firstLineChars="171"/>
        <w:rPr>
          <w:color w:val="auto"/>
          <w:highlight w:val="none"/>
        </w:rPr>
      </w:pPr>
      <w:r>
        <w:rPr>
          <w:color w:val="auto"/>
          <w:highlight w:val="none"/>
        </w:rPr>
        <w:t>5.2.1</w:t>
      </w:r>
      <w:r>
        <w:rPr>
          <w:rFonts w:hint="eastAsia"/>
          <w:color w:val="auto"/>
          <w:highlight w:val="none"/>
        </w:rPr>
        <w:t>唱标会议由采购人或其委托的采购代理机构组织并主持，响应人代表对响应文件密封性进行检查。</w:t>
      </w:r>
    </w:p>
    <w:p>
      <w:pPr>
        <w:spacing w:line="400" w:lineRule="exact"/>
        <w:ind w:firstLine="359" w:firstLineChars="171"/>
        <w:rPr>
          <w:color w:val="auto"/>
          <w:highlight w:val="none"/>
        </w:rPr>
      </w:pPr>
      <w:r>
        <w:rPr>
          <w:color w:val="auto"/>
          <w:highlight w:val="none"/>
        </w:rPr>
        <w:t xml:space="preserve">5.2.2 </w:t>
      </w:r>
      <w:r>
        <w:rPr>
          <w:rFonts w:hint="eastAsia"/>
          <w:color w:val="auto"/>
          <w:highlight w:val="none"/>
        </w:rPr>
        <w:t>采购人在递交响应文件截止时间前收到的所有响应文件在唱标时都应当当众予以拆封宣读。</w:t>
      </w:r>
    </w:p>
    <w:p>
      <w:pPr>
        <w:spacing w:line="400" w:lineRule="exact"/>
        <w:ind w:firstLine="359" w:firstLineChars="171"/>
        <w:rPr>
          <w:color w:val="auto"/>
          <w:highlight w:val="none"/>
        </w:rPr>
      </w:pPr>
      <w:r>
        <w:rPr>
          <w:color w:val="auto"/>
          <w:highlight w:val="none"/>
        </w:rPr>
        <w:t xml:space="preserve">5.2.3 </w:t>
      </w:r>
      <w:r>
        <w:rPr>
          <w:rFonts w:hint="eastAsia"/>
          <w:color w:val="auto"/>
          <w:highlight w:val="none"/>
        </w:rPr>
        <w:t>唱标时，采购人应当当众宣布参加本次询价的响应人个数及响应文件的密封情况，并宣读有效询价的“报价一览表”中的内容，“报价一览表”一般包括：唱标时间和地点、响应人名称、价格等唱标内容、唱标过程监督记录、响应人提出的异议以及询价文件中规定的其他内容。</w:t>
      </w:r>
    </w:p>
    <w:p>
      <w:pPr>
        <w:spacing w:line="400" w:lineRule="exact"/>
        <w:ind w:firstLine="359" w:firstLineChars="171"/>
        <w:rPr>
          <w:color w:val="auto"/>
          <w:highlight w:val="none"/>
        </w:rPr>
      </w:pPr>
      <w:r>
        <w:rPr>
          <w:color w:val="auto"/>
          <w:highlight w:val="none"/>
        </w:rPr>
        <w:t>5.2.4</w:t>
      </w:r>
      <w:r>
        <w:rPr>
          <w:rFonts w:hint="eastAsia"/>
          <w:color w:val="auto"/>
          <w:highlight w:val="none"/>
        </w:rPr>
        <w:t>唱标内容填写在“唱标记录表”中，由唱标人、记录人、采购人代表、监督人、响应人代表签字确认，存档备查。</w:t>
      </w:r>
    </w:p>
    <w:p>
      <w:pPr>
        <w:spacing w:line="400" w:lineRule="exact"/>
        <w:rPr>
          <w:rFonts w:ascii="宋体"/>
          <w:b/>
          <w:color w:val="auto"/>
          <w:sz w:val="32"/>
          <w:szCs w:val="32"/>
          <w:highlight w:val="none"/>
        </w:rPr>
      </w:pPr>
      <w:bookmarkStart w:id="68" w:name="_Toc456551910"/>
      <w:bookmarkStart w:id="69" w:name="_Toc475552153"/>
      <w:r>
        <w:rPr>
          <w:rFonts w:ascii="宋体" w:hAnsi="宋体"/>
          <w:b/>
          <w:color w:val="auto"/>
          <w:sz w:val="32"/>
          <w:szCs w:val="32"/>
          <w:highlight w:val="none"/>
        </w:rPr>
        <w:t xml:space="preserve">5.3 </w:t>
      </w:r>
      <w:r>
        <w:rPr>
          <w:rFonts w:hint="eastAsia" w:ascii="宋体" w:hAnsi="宋体"/>
          <w:b/>
          <w:color w:val="auto"/>
          <w:sz w:val="32"/>
          <w:szCs w:val="32"/>
          <w:highlight w:val="none"/>
        </w:rPr>
        <w:t>唱标异议</w:t>
      </w:r>
      <w:bookmarkEnd w:id="68"/>
      <w:bookmarkEnd w:id="69"/>
    </w:p>
    <w:p>
      <w:pPr>
        <w:spacing w:line="400" w:lineRule="exact"/>
        <w:ind w:firstLine="359" w:firstLineChars="171"/>
        <w:rPr>
          <w:color w:val="auto"/>
          <w:highlight w:val="none"/>
        </w:rPr>
      </w:pPr>
      <w:r>
        <w:rPr>
          <w:rFonts w:hint="eastAsia"/>
          <w:color w:val="auto"/>
          <w:highlight w:val="none"/>
        </w:rPr>
        <w:t>响应人对唱标有异议的，应当在唱标现场提出，采购人应当当场作出答复，并制作记录。</w:t>
      </w:r>
    </w:p>
    <w:p>
      <w:pPr>
        <w:pStyle w:val="4"/>
        <w:rPr>
          <w:color w:val="auto"/>
          <w:highlight w:val="none"/>
        </w:rPr>
      </w:pPr>
      <w:bookmarkStart w:id="70" w:name="_Toc456551912"/>
      <w:bookmarkStart w:id="71" w:name="_Toc3876"/>
      <w:r>
        <w:rPr>
          <w:color w:val="auto"/>
          <w:highlight w:val="none"/>
        </w:rPr>
        <w:t xml:space="preserve">6. </w:t>
      </w:r>
      <w:bookmarkEnd w:id="70"/>
      <w:r>
        <w:rPr>
          <w:rFonts w:hint="eastAsia"/>
          <w:color w:val="auto"/>
          <w:highlight w:val="none"/>
        </w:rPr>
        <w:t>评审</w:t>
      </w:r>
      <w:bookmarkEnd w:id="71"/>
    </w:p>
    <w:p>
      <w:pPr>
        <w:spacing w:line="400" w:lineRule="exact"/>
        <w:rPr>
          <w:rFonts w:ascii="宋体"/>
          <w:b/>
          <w:color w:val="auto"/>
          <w:sz w:val="32"/>
          <w:szCs w:val="32"/>
          <w:highlight w:val="none"/>
        </w:rPr>
      </w:pPr>
      <w:bookmarkStart w:id="72" w:name="_Toc456551913"/>
      <w:bookmarkStart w:id="73" w:name="_Toc475552155"/>
      <w:r>
        <w:rPr>
          <w:rFonts w:ascii="宋体" w:hAnsi="宋体"/>
          <w:b/>
          <w:color w:val="auto"/>
          <w:sz w:val="32"/>
          <w:szCs w:val="32"/>
          <w:highlight w:val="none"/>
        </w:rPr>
        <w:t xml:space="preserve">6.1 </w:t>
      </w:r>
      <w:r>
        <w:rPr>
          <w:rFonts w:hint="eastAsia" w:ascii="宋体" w:hAnsi="宋体"/>
          <w:b/>
          <w:color w:val="auto"/>
          <w:sz w:val="32"/>
          <w:szCs w:val="32"/>
          <w:highlight w:val="none"/>
        </w:rPr>
        <w:t>询价小组</w:t>
      </w:r>
      <w:bookmarkEnd w:id="72"/>
      <w:bookmarkEnd w:id="73"/>
    </w:p>
    <w:p>
      <w:pPr>
        <w:spacing w:line="400" w:lineRule="exact"/>
        <w:ind w:firstLine="420" w:firstLineChars="200"/>
        <w:rPr>
          <w:color w:val="auto"/>
          <w:szCs w:val="21"/>
          <w:highlight w:val="none"/>
        </w:rPr>
      </w:pPr>
      <w:r>
        <w:rPr>
          <w:color w:val="auto"/>
          <w:szCs w:val="21"/>
          <w:highlight w:val="none"/>
        </w:rPr>
        <w:t>6.1.1</w:t>
      </w:r>
      <w:r>
        <w:rPr>
          <w:rFonts w:hint="eastAsia"/>
          <w:color w:val="auto"/>
          <w:szCs w:val="21"/>
          <w:highlight w:val="none"/>
        </w:rPr>
        <w:t>评审由依法组建的询价小组负责，具体人数见询价响应须知前附表。</w:t>
      </w:r>
    </w:p>
    <w:p>
      <w:pPr>
        <w:spacing w:line="400" w:lineRule="exact"/>
        <w:ind w:firstLine="420" w:firstLineChars="200"/>
        <w:rPr>
          <w:color w:val="auto"/>
          <w:szCs w:val="21"/>
          <w:highlight w:val="none"/>
        </w:rPr>
      </w:pPr>
      <w:r>
        <w:rPr>
          <w:color w:val="auto"/>
          <w:szCs w:val="21"/>
          <w:highlight w:val="none"/>
        </w:rPr>
        <w:t>6.1.2</w:t>
      </w:r>
      <w:r>
        <w:rPr>
          <w:rFonts w:hint="eastAsia"/>
          <w:color w:val="auto"/>
          <w:szCs w:val="21"/>
          <w:highlight w:val="none"/>
        </w:rPr>
        <w:t>评审期间，任何单位和个人不得非法干预或者影响评审的过程和结果。</w:t>
      </w:r>
    </w:p>
    <w:p>
      <w:pPr>
        <w:spacing w:line="400" w:lineRule="exact"/>
        <w:ind w:firstLine="420" w:firstLineChars="200"/>
        <w:rPr>
          <w:color w:val="auto"/>
          <w:szCs w:val="21"/>
          <w:highlight w:val="none"/>
        </w:rPr>
      </w:pPr>
      <w:r>
        <w:rPr>
          <w:color w:val="auto"/>
          <w:szCs w:val="21"/>
          <w:highlight w:val="none"/>
        </w:rPr>
        <w:t>6.1.3</w:t>
      </w:r>
      <w:r>
        <w:rPr>
          <w:rFonts w:hint="eastAsia"/>
          <w:color w:val="auto"/>
          <w:szCs w:val="21"/>
          <w:highlight w:val="none"/>
        </w:rPr>
        <w:t>询价小组成员名单在成交结果确定前保密。</w:t>
      </w:r>
    </w:p>
    <w:p>
      <w:pPr>
        <w:spacing w:line="400" w:lineRule="exact"/>
        <w:rPr>
          <w:rFonts w:ascii="宋体"/>
          <w:b/>
          <w:color w:val="auto"/>
          <w:sz w:val="32"/>
          <w:szCs w:val="32"/>
          <w:highlight w:val="none"/>
        </w:rPr>
      </w:pPr>
      <w:bookmarkStart w:id="74" w:name="_Toc456551914"/>
      <w:bookmarkStart w:id="75" w:name="_Toc475552156"/>
      <w:r>
        <w:rPr>
          <w:rFonts w:ascii="宋体" w:hAnsi="宋体"/>
          <w:b/>
          <w:color w:val="auto"/>
          <w:sz w:val="32"/>
          <w:szCs w:val="32"/>
          <w:highlight w:val="none"/>
        </w:rPr>
        <w:t xml:space="preserve">6.2 </w:t>
      </w:r>
      <w:r>
        <w:rPr>
          <w:rFonts w:hint="eastAsia" w:ascii="宋体" w:hAnsi="宋体"/>
          <w:b/>
          <w:color w:val="auto"/>
          <w:sz w:val="32"/>
          <w:szCs w:val="32"/>
          <w:highlight w:val="none"/>
        </w:rPr>
        <w:t>评审原则</w:t>
      </w:r>
      <w:bookmarkEnd w:id="74"/>
      <w:bookmarkEnd w:id="75"/>
    </w:p>
    <w:p>
      <w:pPr>
        <w:spacing w:line="400" w:lineRule="exact"/>
        <w:ind w:firstLine="420" w:firstLineChars="200"/>
        <w:rPr>
          <w:color w:val="auto"/>
          <w:highlight w:val="none"/>
        </w:rPr>
      </w:pPr>
      <w:r>
        <w:rPr>
          <w:color w:val="auto"/>
          <w:highlight w:val="none"/>
        </w:rPr>
        <w:t>6.2.1</w:t>
      </w:r>
      <w:r>
        <w:rPr>
          <w:rFonts w:hint="eastAsia"/>
          <w:color w:val="auto"/>
          <w:highlight w:val="none"/>
        </w:rPr>
        <w:t>评审活动遵循公平、公正、科学和择优的原则。</w:t>
      </w:r>
    </w:p>
    <w:p>
      <w:pPr>
        <w:spacing w:line="400" w:lineRule="exact"/>
        <w:ind w:firstLine="420" w:firstLineChars="200"/>
        <w:rPr>
          <w:rFonts w:hint="eastAsia"/>
          <w:color w:val="auto"/>
          <w:highlight w:val="none"/>
        </w:rPr>
      </w:pPr>
      <w:r>
        <w:rPr>
          <w:color w:val="auto"/>
          <w:highlight w:val="none"/>
        </w:rPr>
        <w:t>6.2.2</w:t>
      </w:r>
      <w:r>
        <w:rPr>
          <w:rFonts w:hint="eastAsia"/>
          <w:color w:val="auto"/>
          <w:highlight w:val="none"/>
        </w:rPr>
        <w:t>询价小组按照第三章“评审办法”规定的方法、评审因素、标准和程序对响应文件进行评审。第三章“评审办法”没有规定的方法、评审因素和标准，不作为评审依据。</w:t>
      </w:r>
    </w:p>
    <w:p>
      <w:pPr>
        <w:pStyle w:val="2"/>
        <w:rPr>
          <w:rFonts w:hint="eastAsia"/>
          <w:color w:val="auto"/>
          <w:highlight w:val="none"/>
        </w:rPr>
      </w:pPr>
      <w:r>
        <w:rPr>
          <w:rFonts w:hint="eastAsia"/>
          <w:color w:val="auto"/>
          <w:highlight w:val="none"/>
        </w:rPr>
        <w:t>6.2.3本项目根据以下情况可以现场转换采购方式继续采购：</w:t>
      </w:r>
    </w:p>
    <w:p>
      <w:pPr>
        <w:pStyle w:val="2"/>
        <w:numPr>
          <w:ilvl w:val="0"/>
          <w:numId w:val="9"/>
        </w:numPr>
        <w:rPr>
          <w:rFonts w:hint="eastAsia"/>
          <w:color w:val="auto"/>
          <w:highlight w:val="none"/>
        </w:rPr>
      </w:pPr>
      <w:r>
        <w:rPr>
          <w:rFonts w:hint="eastAsia"/>
          <w:color w:val="auto"/>
          <w:highlight w:val="none"/>
        </w:rPr>
        <w:t>当有效供应商只有2家时，经询价小组论证，询价文件没有不合理条款、采购程序符合规定的，经采购人和作出实质性响应的供应商代表同意后，现场更改为2家供应商继续竞争性谈判采购。</w:t>
      </w:r>
    </w:p>
    <w:p>
      <w:pPr>
        <w:pStyle w:val="2"/>
        <w:numPr>
          <w:ilvl w:val="0"/>
          <w:numId w:val="9"/>
        </w:numPr>
        <w:rPr>
          <w:rFonts w:hint="eastAsia"/>
          <w:color w:val="auto"/>
          <w:highlight w:val="none"/>
        </w:rPr>
      </w:pPr>
      <w:r>
        <w:rPr>
          <w:rFonts w:hint="eastAsia"/>
          <w:color w:val="auto"/>
          <w:highlight w:val="none"/>
          <w:lang w:val="en-US" w:eastAsia="zh-CN"/>
        </w:rPr>
        <w:t>当有效供应商只有1家时，</w:t>
      </w:r>
      <w:r>
        <w:rPr>
          <w:rFonts w:hint="eastAsia"/>
          <w:color w:val="auto"/>
          <w:highlight w:val="none"/>
        </w:rPr>
        <w:t>经询价小组论证，询价文件没有不合理条款、采购程序符合规定的，经采购人和作出实质性响应的供应商代表同意后，现场更改为</w:t>
      </w:r>
      <w:r>
        <w:rPr>
          <w:rFonts w:hint="eastAsia"/>
          <w:color w:val="auto"/>
          <w:highlight w:val="none"/>
          <w:lang w:val="en-US" w:eastAsia="zh-CN"/>
        </w:rPr>
        <w:t>1</w:t>
      </w:r>
      <w:r>
        <w:rPr>
          <w:rFonts w:hint="eastAsia"/>
          <w:color w:val="auto"/>
          <w:highlight w:val="none"/>
        </w:rPr>
        <w:t>家供应商继续</w:t>
      </w:r>
      <w:r>
        <w:rPr>
          <w:rFonts w:hint="eastAsia"/>
          <w:color w:val="auto"/>
          <w:highlight w:val="none"/>
          <w:lang w:val="en-US" w:eastAsia="zh-CN"/>
        </w:rPr>
        <w:t>定向</w:t>
      </w:r>
      <w:r>
        <w:rPr>
          <w:rFonts w:hint="eastAsia"/>
          <w:color w:val="auto"/>
          <w:highlight w:val="none"/>
        </w:rPr>
        <w:t>谈判采购。</w:t>
      </w:r>
    </w:p>
    <w:p>
      <w:pPr>
        <w:pStyle w:val="2"/>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）若不同意转换采购方式，退出投标的供应商，询价保证金按本须知3.5.3款的规定退还。</w:t>
      </w:r>
    </w:p>
    <w:p>
      <w:pPr>
        <w:spacing w:line="400" w:lineRule="exact"/>
        <w:rPr>
          <w:rFonts w:ascii="宋体"/>
          <w:b/>
          <w:color w:val="auto"/>
          <w:sz w:val="32"/>
          <w:szCs w:val="32"/>
          <w:highlight w:val="none"/>
        </w:rPr>
      </w:pPr>
      <w:bookmarkStart w:id="76" w:name="_Toc456551915"/>
      <w:bookmarkStart w:id="77" w:name="_Toc475552157"/>
      <w:r>
        <w:rPr>
          <w:rFonts w:ascii="宋体" w:hAnsi="宋体"/>
          <w:b/>
          <w:color w:val="auto"/>
          <w:sz w:val="32"/>
          <w:szCs w:val="32"/>
          <w:highlight w:val="none"/>
        </w:rPr>
        <w:t xml:space="preserve">6.3 </w:t>
      </w:r>
      <w:r>
        <w:rPr>
          <w:rFonts w:hint="eastAsia" w:ascii="宋体" w:hAnsi="宋体"/>
          <w:b/>
          <w:color w:val="auto"/>
          <w:sz w:val="32"/>
          <w:szCs w:val="32"/>
          <w:highlight w:val="none"/>
        </w:rPr>
        <w:t>评审方法</w:t>
      </w:r>
      <w:bookmarkEnd w:id="76"/>
      <w:bookmarkEnd w:id="77"/>
    </w:p>
    <w:p>
      <w:pPr>
        <w:spacing w:line="400" w:lineRule="exact"/>
        <w:ind w:firstLine="420" w:firstLineChars="200"/>
        <w:rPr>
          <w:color w:val="auto"/>
          <w:szCs w:val="21"/>
          <w:highlight w:val="none"/>
        </w:rPr>
      </w:pPr>
      <w:r>
        <w:rPr>
          <w:color w:val="auto"/>
          <w:szCs w:val="21"/>
          <w:highlight w:val="none"/>
        </w:rPr>
        <w:t xml:space="preserve">6.3.1 </w:t>
      </w:r>
      <w:r>
        <w:rPr>
          <w:rFonts w:hint="eastAsia"/>
          <w:color w:val="auto"/>
          <w:szCs w:val="21"/>
          <w:highlight w:val="none"/>
        </w:rPr>
        <w:t>询价文件中详细载明评审方法作为本次评审所采用的评审方法。评审方法见询价响应须知前附表。</w:t>
      </w:r>
    </w:p>
    <w:p>
      <w:pPr>
        <w:spacing w:line="400" w:lineRule="exact"/>
        <w:ind w:firstLine="420" w:firstLineChars="200"/>
        <w:rPr>
          <w:color w:val="auto"/>
          <w:szCs w:val="21"/>
          <w:highlight w:val="none"/>
        </w:rPr>
      </w:pPr>
      <w:r>
        <w:rPr>
          <w:color w:val="auto"/>
          <w:szCs w:val="21"/>
          <w:highlight w:val="none"/>
        </w:rPr>
        <w:t xml:space="preserve">6.3.2 </w:t>
      </w:r>
      <w:r>
        <w:rPr>
          <w:rFonts w:hint="eastAsia"/>
          <w:color w:val="auto"/>
          <w:szCs w:val="21"/>
          <w:highlight w:val="none"/>
        </w:rPr>
        <w:t>法律、法规允许的其他评审方法。</w:t>
      </w:r>
    </w:p>
    <w:p>
      <w:pPr>
        <w:spacing w:line="400" w:lineRule="exact"/>
        <w:rPr>
          <w:rFonts w:ascii="宋体"/>
          <w:b/>
          <w:color w:val="auto"/>
          <w:sz w:val="32"/>
          <w:szCs w:val="32"/>
          <w:highlight w:val="none"/>
        </w:rPr>
      </w:pPr>
      <w:bookmarkStart w:id="78" w:name="_Toc456551916"/>
      <w:bookmarkStart w:id="79" w:name="_Toc475552158"/>
      <w:r>
        <w:rPr>
          <w:rFonts w:ascii="宋体" w:hAnsi="宋体"/>
          <w:b/>
          <w:color w:val="auto"/>
          <w:sz w:val="32"/>
          <w:szCs w:val="32"/>
          <w:highlight w:val="none"/>
        </w:rPr>
        <w:t xml:space="preserve">6.4 </w:t>
      </w:r>
      <w:r>
        <w:rPr>
          <w:rFonts w:hint="eastAsia" w:ascii="宋体" w:hAnsi="宋体"/>
          <w:b/>
          <w:color w:val="auto"/>
          <w:sz w:val="32"/>
          <w:szCs w:val="32"/>
          <w:highlight w:val="none"/>
        </w:rPr>
        <w:t>推荐成交候选人原则</w:t>
      </w:r>
      <w:bookmarkEnd w:id="78"/>
      <w:bookmarkEnd w:id="79"/>
    </w:p>
    <w:p>
      <w:pPr>
        <w:rPr>
          <w:color w:val="auto"/>
          <w:highlight w:val="none"/>
        </w:rPr>
      </w:pPr>
      <w:r>
        <w:rPr>
          <w:color w:val="auto"/>
          <w:highlight w:val="none"/>
        </w:rPr>
        <w:t xml:space="preserve">   </w:t>
      </w:r>
      <w:r>
        <w:rPr>
          <w:rFonts w:hint="eastAsia"/>
          <w:color w:val="auto"/>
          <w:highlight w:val="none"/>
        </w:rPr>
        <w:t>询价小组应当根据询价文件的规定推荐成交候选人，具体推荐原则见询价响应须知前附表。</w:t>
      </w:r>
    </w:p>
    <w:p>
      <w:pPr>
        <w:spacing w:line="400" w:lineRule="exact"/>
        <w:rPr>
          <w:rFonts w:ascii="宋体"/>
          <w:b/>
          <w:color w:val="auto"/>
          <w:sz w:val="32"/>
          <w:szCs w:val="32"/>
          <w:highlight w:val="none"/>
        </w:rPr>
      </w:pPr>
      <w:bookmarkStart w:id="80" w:name="_Toc456551917"/>
      <w:bookmarkStart w:id="81" w:name="_Toc475552159"/>
      <w:r>
        <w:rPr>
          <w:rFonts w:ascii="宋体" w:hAnsi="宋体"/>
          <w:b/>
          <w:color w:val="auto"/>
          <w:sz w:val="32"/>
          <w:szCs w:val="32"/>
          <w:highlight w:val="none"/>
        </w:rPr>
        <w:t xml:space="preserve">6.5 </w:t>
      </w:r>
      <w:r>
        <w:rPr>
          <w:rFonts w:hint="eastAsia" w:ascii="宋体" w:hAnsi="宋体"/>
          <w:b/>
          <w:color w:val="auto"/>
          <w:sz w:val="32"/>
          <w:szCs w:val="32"/>
          <w:highlight w:val="none"/>
        </w:rPr>
        <w:t>评审报告</w:t>
      </w:r>
      <w:bookmarkEnd w:id="80"/>
      <w:bookmarkEnd w:id="81"/>
    </w:p>
    <w:p>
      <w:pPr>
        <w:ind w:firstLine="420" w:firstLineChars="200"/>
        <w:rPr>
          <w:color w:val="auto"/>
          <w:highlight w:val="none"/>
        </w:rPr>
      </w:pPr>
      <w:r>
        <w:rPr>
          <w:rFonts w:hint="eastAsia"/>
          <w:bCs/>
          <w:color w:val="auto"/>
          <w:highlight w:val="none"/>
        </w:rPr>
        <w:t>评审完成后，询价小组应当及时向采购人提交评审报告和成交候选人名单。</w:t>
      </w:r>
    </w:p>
    <w:p>
      <w:pPr>
        <w:pStyle w:val="4"/>
        <w:rPr>
          <w:color w:val="auto"/>
          <w:highlight w:val="none"/>
        </w:rPr>
      </w:pPr>
      <w:bookmarkStart w:id="82" w:name="_Toc456551918"/>
      <w:bookmarkStart w:id="83" w:name="_Toc11455"/>
      <w:r>
        <w:rPr>
          <w:color w:val="auto"/>
          <w:highlight w:val="none"/>
        </w:rPr>
        <w:t xml:space="preserve">7. </w:t>
      </w:r>
      <w:bookmarkEnd w:id="82"/>
      <w:r>
        <w:rPr>
          <w:rFonts w:hint="eastAsia"/>
          <w:color w:val="auto"/>
          <w:highlight w:val="none"/>
        </w:rPr>
        <w:t>成交</w:t>
      </w:r>
      <w:bookmarkEnd w:id="83"/>
    </w:p>
    <w:p>
      <w:pPr>
        <w:spacing w:line="400" w:lineRule="exact"/>
        <w:rPr>
          <w:rFonts w:ascii="宋体"/>
          <w:b/>
          <w:color w:val="auto"/>
          <w:sz w:val="32"/>
          <w:szCs w:val="32"/>
          <w:highlight w:val="none"/>
        </w:rPr>
      </w:pPr>
      <w:bookmarkStart w:id="84" w:name="_Toc456551919"/>
      <w:bookmarkStart w:id="85" w:name="_Toc475552161"/>
      <w:r>
        <w:rPr>
          <w:rFonts w:ascii="宋体" w:hAnsi="宋体"/>
          <w:b/>
          <w:color w:val="auto"/>
          <w:sz w:val="32"/>
          <w:szCs w:val="32"/>
          <w:highlight w:val="none"/>
        </w:rPr>
        <w:t xml:space="preserve">7.1 </w:t>
      </w:r>
      <w:r>
        <w:rPr>
          <w:rFonts w:hint="eastAsia" w:ascii="宋体" w:hAnsi="宋体"/>
          <w:b/>
          <w:color w:val="auto"/>
          <w:sz w:val="32"/>
          <w:szCs w:val="32"/>
          <w:highlight w:val="none"/>
        </w:rPr>
        <w:t>成交候选人公示</w:t>
      </w:r>
      <w:bookmarkEnd w:id="84"/>
      <w:bookmarkEnd w:id="85"/>
    </w:p>
    <w:p>
      <w:pPr>
        <w:spacing w:line="400" w:lineRule="exact"/>
        <w:ind w:firstLine="420" w:firstLineChars="200"/>
        <w:rPr>
          <w:color w:val="auto"/>
          <w:szCs w:val="21"/>
          <w:highlight w:val="none"/>
        </w:rPr>
      </w:pPr>
      <w:bookmarkStart w:id="86" w:name="_Toc456551920"/>
      <w:bookmarkStart w:id="87" w:name="_Toc475552162"/>
      <w:r>
        <w:rPr>
          <w:color w:val="auto"/>
          <w:szCs w:val="21"/>
          <w:highlight w:val="none"/>
        </w:rPr>
        <w:t>7.1.1</w:t>
      </w:r>
      <w:r>
        <w:rPr>
          <w:rFonts w:hint="eastAsia"/>
          <w:color w:val="auto"/>
          <w:szCs w:val="21"/>
          <w:highlight w:val="none"/>
        </w:rPr>
        <w:t>进行公开询价的项目，评审结果按照采购人内控管理规定确认后，在成交候选人公示发布的媒介公示全部成交候选人，公示期不得少于</w:t>
      </w:r>
      <w:r>
        <w:rPr>
          <w:color w:val="auto"/>
          <w:szCs w:val="21"/>
          <w:highlight w:val="none"/>
        </w:rPr>
        <w:t>3</w:t>
      </w:r>
      <w:r>
        <w:rPr>
          <w:rFonts w:hint="eastAsia"/>
          <w:color w:val="auto"/>
          <w:szCs w:val="21"/>
          <w:highlight w:val="none"/>
        </w:rPr>
        <w:t>日。</w:t>
      </w:r>
    </w:p>
    <w:p>
      <w:pPr>
        <w:spacing w:line="400" w:lineRule="exact"/>
        <w:ind w:firstLine="420" w:firstLineChars="200"/>
        <w:rPr>
          <w:color w:val="auto"/>
          <w:szCs w:val="21"/>
          <w:highlight w:val="none"/>
        </w:rPr>
      </w:pPr>
      <w:r>
        <w:rPr>
          <w:color w:val="auto"/>
          <w:szCs w:val="21"/>
          <w:highlight w:val="none"/>
        </w:rPr>
        <w:t>7.1.2</w:t>
      </w:r>
      <w:r>
        <w:rPr>
          <w:rFonts w:hint="eastAsia"/>
          <w:color w:val="auto"/>
          <w:szCs w:val="21"/>
          <w:highlight w:val="none"/>
        </w:rPr>
        <w:t>响应人或者其他利害关系人对项目的评审结果有异议的，应在成交候选人公示期间提出。</w:t>
      </w:r>
    </w:p>
    <w:p>
      <w:pPr>
        <w:spacing w:line="400" w:lineRule="exact"/>
        <w:rPr>
          <w:rFonts w:ascii="宋体"/>
          <w:b/>
          <w:color w:val="auto"/>
          <w:sz w:val="32"/>
          <w:szCs w:val="32"/>
          <w:highlight w:val="none"/>
        </w:rPr>
      </w:pPr>
      <w:r>
        <w:rPr>
          <w:rFonts w:ascii="宋体" w:hAnsi="宋体"/>
          <w:b/>
          <w:color w:val="auto"/>
          <w:sz w:val="32"/>
          <w:szCs w:val="32"/>
          <w:highlight w:val="none"/>
        </w:rPr>
        <w:t>7.2</w:t>
      </w:r>
      <w:r>
        <w:rPr>
          <w:rFonts w:hint="eastAsia" w:ascii="宋体" w:hAnsi="宋体"/>
          <w:b/>
          <w:color w:val="auto"/>
          <w:sz w:val="32"/>
          <w:szCs w:val="32"/>
          <w:highlight w:val="none"/>
        </w:rPr>
        <w:t>资格后审（履约能力审查）</w:t>
      </w:r>
    </w:p>
    <w:p>
      <w:pPr>
        <w:spacing w:line="400" w:lineRule="exact"/>
        <w:ind w:firstLine="420" w:firstLineChars="200"/>
        <w:rPr>
          <w:color w:val="auto"/>
          <w:szCs w:val="21"/>
          <w:highlight w:val="none"/>
        </w:rPr>
      </w:pPr>
      <w:r>
        <w:rPr>
          <w:color w:val="auto"/>
          <w:szCs w:val="21"/>
          <w:highlight w:val="none"/>
        </w:rPr>
        <w:t>7.2.1</w:t>
      </w:r>
      <w:r>
        <w:rPr>
          <w:rFonts w:hint="eastAsia"/>
          <w:color w:val="auto"/>
          <w:szCs w:val="21"/>
          <w:highlight w:val="none"/>
        </w:rPr>
        <w:t>采购人将根据询价文件中的要求，对评委会推荐的成交候选人进行资格后审。</w:t>
      </w:r>
    </w:p>
    <w:p>
      <w:pPr>
        <w:spacing w:line="400" w:lineRule="exact"/>
        <w:ind w:firstLine="420" w:firstLineChars="200"/>
        <w:rPr>
          <w:color w:val="auto"/>
          <w:szCs w:val="21"/>
          <w:highlight w:val="none"/>
        </w:rPr>
      </w:pPr>
      <w:r>
        <w:rPr>
          <w:color w:val="auto"/>
          <w:szCs w:val="21"/>
          <w:highlight w:val="none"/>
        </w:rPr>
        <w:t>7.2.2</w:t>
      </w:r>
      <w:r>
        <w:rPr>
          <w:rFonts w:hint="eastAsia"/>
          <w:color w:val="auto"/>
          <w:szCs w:val="21"/>
          <w:highlight w:val="none"/>
        </w:rPr>
        <w:t>成交候选人须无条件配合资格后审，否则采购人有权取消中标资格，且询价保证金可不予退还。</w:t>
      </w:r>
    </w:p>
    <w:p>
      <w:pPr>
        <w:spacing w:line="400" w:lineRule="exact"/>
        <w:ind w:firstLine="420" w:firstLineChars="200"/>
        <w:rPr>
          <w:color w:val="auto"/>
          <w:szCs w:val="21"/>
          <w:highlight w:val="none"/>
        </w:rPr>
      </w:pPr>
      <w:r>
        <w:rPr>
          <w:color w:val="auto"/>
          <w:szCs w:val="21"/>
          <w:highlight w:val="none"/>
        </w:rPr>
        <w:t>7.2.3</w:t>
      </w:r>
      <w:r>
        <w:rPr>
          <w:rFonts w:hint="eastAsia"/>
          <w:color w:val="auto"/>
          <w:szCs w:val="21"/>
          <w:highlight w:val="none"/>
        </w:rPr>
        <w:t>资格后审须提供包括但不限于营业执照、税务登记证和在响应文件中提供的资质证明文件、合同等重要证明文件的原件进行核对，综合考察成交人的履约能力。如采购人要求还须提供业绩证明的其他材料</w:t>
      </w:r>
      <w:r>
        <w:rPr>
          <w:color w:val="auto"/>
          <w:szCs w:val="21"/>
          <w:highlight w:val="none"/>
        </w:rPr>
        <w:t>,</w:t>
      </w:r>
      <w:r>
        <w:rPr>
          <w:rFonts w:hint="eastAsia"/>
          <w:color w:val="auto"/>
          <w:szCs w:val="21"/>
          <w:highlight w:val="none"/>
        </w:rPr>
        <w:t>成交候选人须配合提供。如授权其分支机构进行项目实施或提供售后服务的，亦应提供其与分支机构关系的法律证明材料。</w:t>
      </w:r>
    </w:p>
    <w:p>
      <w:pPr>
        <w:spacing w:line="400" w:lineRule="exact"/>
        <w:ind w:firstLine="420" w:firstLineChars="200"/>
        <w:rPr>
          <w:color w:val="auto"/>
          <w:szCs w:val="21"/>
          <w:highlight w:val="none"/>
        </w:rPr>
      </w:pPr>
      <w:r>
        <w:rPr>
          <w:color w:val="auto"/>
          <w:szCs w:val="21"/>
          <w:highlight w:val="none"/>
        </w:rPr>
        <w:t>7.2.4</w:t>
      </w:r>
      <w:r>
        <w:rPr>
          <w:rFonts w:hint="eastAsia"/>
          <w:color w:val="auto"/>
          <w:szCs w:val="21"/>
          <w:highlight w:val="none"/>
        </w:rPr>
        <w:t>如发现响应人以他人名义询价或者以其他方式弄虚作假，骗取成交的，采购人有权取消其成交资格，且询价保证金可不予退还；给采购人造成损失的，应依法承担赔偿责任。</w:t>
      </w:r>
    </w:p>
    <w:p>
      <w:pPr>
        <w:spacing w:line="400" w:lineRule="exact"/>
        <w:ind w:firstLine="420" w:firstLineChars="200"/>
        <w:rPr>
          <w:color w:val="auto"/>
          <w:szCs w:val="21"/>
          <w:highlight w:val="none"/>
        </w:rPr>
      </w:pPr>
      <w:r>
        <w:rPr>
          <w:color w:val="auto"/>
          <w:szCs w:val="21"/>
          <w:highlight w:val="none"/>
        </w:rPr>
        <w:t>7.2.5</w:t>
      </w:r>
      <w:r>
        <w:rPr>
          <w:rFonts w:hint="eastAsia"/>
          <w:color w:val="auto"/>
          <w:szCs w:val="21"/>
          <w:highlight w:val="none"/>
        </w:rPr>
        <w:t>如果审查通过，采购人将把合同授予该成交人；如果审查没有通过，采购人有权取消其成交资格，且询价保证金可不予退还，并依次审查下一名成交候选人是否具备履行合同的能力或重新采购。</w:t>
      </w:r>
    </w:p>
    <w:p>
      <w:pPr>
        <w:spacing w:line="400" w:lineRule="exact"/>
        <w:rPr>
          <w:rFonts w:ascii="宋体"/>
          <w:b/>
          <w:color w:val="auto"/>
          <w:sz w:val="32"/>
          <w:szCs w:val="32"/>
          <w:highlight w:val="none"/>
        </w:rPr>
      </w:pPr>
      <w:r>
        <w:rPr>
          <w:rFonts w:ascii="宋体" w:hAnsi="宋体"/>
          <w:b/>
          <w:color w:val="auto"/>
          <w:sz w:val="32"/>
          <w:szCs w:val="32"/>
          <w:highlight w:val="none"/>
        </w:rPr>
        <w:t>7.3</w:t>
      </w:r>
      <w:r>
        <w:rPr>
          <w:rFonts w:hint="eastAsia" w:ascii="宋体" w:hAnsi="宋体"/>
          <w:b/>
          <w:color w:val="auto"/>
          <w:sz w:val="32"/>
          <w:szCs w:val="32"/>
          <w:highlight w:val="none"/>
        </w:rPr>
        <w:t>确定成交人</w:t>
      </w:r>
      <w:bookmarkEnd w:id="86"/>
      <w:bookmarkEnd w:id="87"/>
    </w:p>
    <w:p>
      <w:pPr>
        <w:spacing w:line="400" w:lineRule="exact"/>
        <w:ind w:firstLine="420" w:firstLineChars="200"/>
        <w:rPr>
          <w:color w:val="auto"/>
          <w:szCs w:val="21"/>
          <w:highlight w:val="none"/>
        </w:rPr>
      </w:pPr>
      <w:r>
        <w:rPr>
          <w:color w:val="auto"/>
          <w:szCs w:val="21"/>
          <w:highlight w:val="none"/>
        </w:rPr>
        <w:t>7.3.1</w:t>
      </w:r>
      <w:r>
        <w:rPr>
          <w:rFonts w:hint="eastAsia"/>
          <w:color w:val="auto"/>
          <w:szCs w:val="21"/>
          <w:highlight w:val="none"/>
        </w:rPr>
        <w:t>除询价响应须知前附表规定询价小组直接确定成交人外，采购人依据询价小组推荐的成交候选人确定成交人，成交人数量见询价响应须知前附表。</w:t>
      </w:r>
    </w:p>
    <w:p>
      <w:pPr>
        <w:spacing w:line="400" w:lineRule="exact"/>
        <w:ind w:firstLine="420" w:firstLineChars="200"/>
        <w:rPr>
          <w:color w:val="auto"/>
          <w:szCs w:val="21"/>
          <w:highlight w:val="none"/>
        </w:rPr>
      </w:pPr>
      <w:r>
        <w:rPr>
          <w:color w:val="auto"/>
          <w:szCs w:val="21"/>
          <w:highlight w:val="none"/>
        </w:rPr>
        <w:t>7.3.2</w:t>
      </w:r>
      <w:r>
        <w:rPr>
          <w:rFonts w:hint="eastAsia"/>
          <w:color w:val="auto"/>
          <w:szCs w:val="21"/>
          <w:highlight w:val="none"/>
        </w:rPr>
        <w:t>采购人根据询价小组推荐的成交候选人名单排序依次确定成交人，具体成交原则见询价响应须知前附表。</w:t>
      </w:r>
    </w:p>
    <w:p>
      <w:pPr>
        <w:spacing w:line="400" w:lineRule="exact"/>
        <w:ind w:firstLine="420" w:firstLineChars="200"/>
        <w:rPr>
          <w:color w:val="auto"/>
          <w:szCs w:val="21"/>
          <w:highlight w:val="none"/>
        </w:rPr>
      </w:pPr>
      <w:r>
        <w:rPr>
          <w:color w:val="auto"/>
          <w:szCs w:val="21"/>
          <w:highlight w:val="none"/>
        </w:rPr>
        <w:t>7.3.3</w:t>
      </w:r>
      <w:r>
        <w:rPr>
          <w:rFonts w:hint="eastAsia"/>
          <w:color w:val="auto"/>
          <w:szCs w:val="21"/>
          <w:highlight w:val="none"/>
        </w:rPr>
        <w:t>在签订合同之前，成交人放弃成交或者不能履行合同的，采购人可以按照询价小组提出的成交候选人名单排序依次确定其他成交候选人为成交人，也可以重新询价。</w:t>
      </w:r>
    </w:p>
    <w:p>
      <w:pPr>
        <w:spacing w:line="400" w:lineRule="exact"/>
        <w:rPr>
          <w:rFonts w:ascii="宋体"/>
          <w:b/>
          <w:color w:val="auto"/>
          <w:sz w:val="32"/>
          <w:szCs w:val="32"/>
          <w:highlight w:val="none"/>
        </w:rPr>
      </w:pPr>
      <w:bookmarkStart w:id="88" w:name="_Toc456551921"/>
      <w:bookmarkStart w:id="89" w:name="_Toc475552163"/>
      <w:r>
        <w:rPr>
          <w:rFonts w:ascii="宋体" w:hAnsi="宋体"/>
          <w:b/>
          <w:color w:val="auto"/>
          <w:sz w:val="32"/>
          <w:szCs w:val="32"/>
          <w:highlight w:val="none"/>
        </w:rPr>
        <w:t xml:space="preserve">7.4 </w:t>
      </w:r>
      <w:r>
        <w:rPr>
          <w:rFonts w:hint="eastAsia" w:ascii="宋体" w:hAnsi="宋体"/>
          <w:b/>
          <w:color w:val="auto"/>
          <w:sz w:val="32"/>
          <w:szCs w:val="32"/>
          <w:highlight w:val="none"/>
        </w:rPr>
        <w:t>成交通知</w:t>
      </w:r>
      <w:bookmarkEnd w:id="88"/>
      <w:bookmarkEnd w:id="89"/>
    </w:p>
    <w:p>
      <w:pPr>
        <w:spacing w:line="400" w:lineRule="exact"/>
        <w:ind w:firstLine="420" w:firstLineChars="200"/>
        <w:rPr>
          <w:color w:val="auto"/>
          <w:szCs w:val="21"/>
          <w:highlight w:val="none"/>
        </w:rPr>
      </w:pPr>
      <w:r>
        <w:rPr>
          <w:color w:val="auto"/>
          <w:szCs w:val="21"/>
          <w:highlight w:val="none"/>
        </w:rPr>
        <w:t>7.4.1</w:t>
      </w:r>
      <w:r>
        <w:rPr>
          <w:rFonts w:hint="eastAsia"/>
          <w:color w:val="auto"/>
          <w:szCs w:val="21"/>
          <w:highlight w:val="none"/>
        </w:rPr>
        <w:t>在成交通知书发出前，成交候选人的经营、财务状况发生较大变化或者存在违法行为，可能影响其履约能力的，成交候选人应当主动告知采购人。</w:t>
      </w:r>
    </w:p>
    <w:p>
      <w:pPr>
        <w:spacing w:line="400" w:lineRule="exact"/>
        <w:ind w:firstLine="420" w:firstLineChars="200"/>
        <w:rPr>
          <w:color w:val="auto"/>
          <w:szCs w:val="21"/>
          <w:highlight w:val="none"/>
        </w:rPr>
      </w:pPr>
      <w:r>
        <w:rPr>
          <w:color w:val="auto"/>
          <w:szCs w:val="21"/>
          <w:highlight w:val="none"/>
        </w:rPr>
        <w:t>7.4.2</w:t>
      </w:r>
      <w:r>
        <w:rPr>
          <w:rFonts w:hint="eastAsia"/>
          <w:color w:val="auto"/>
          <w:szCs w:val="21"/>
          <w:highlight w:val="none"/>
        </w:rPr>
        <w:t>成交人确定后，采购人应当自行或委托采购代理机构向成交人发出成交通知书，同时通知未成交人。</w:t>
      </w:r>
    </w:p>
    <w:p>
      <w:pPr>
        <w:spacing w:line="400" w:lineRule="exact"/>
        <w:ind w:firstLine="420" w:firstLineChars="200"/>
        <w:rPr>
          <w:color w:val="auto"/>
          <w:szCs w:val="21"/>
          <w:highlight w:val="none"/>
        </w:rPr>
      </w:pPr>
      <w:r>
        <w:rPr>
          <w:color w:val="auto"/>
          <w:szCs w:val="21"/>
          <w:highlight w:val="none"/>
        </w:rPr>
        <w:t>7.4.3</w:t>
      </w:r>
      <w:r>
        <w:rPr>
          <w:rFonts w:hint="eastAsia"/>
          <w:color w:val="auto"/>
          <w:szCs w:val="21"/>
          <w:highlight w:val="none"/>
        </w:rPr>
        <w:t>成交通知书是询价档案和合同的组成部分。</w:t>
      </w:r>
    </w:p>
    <w:p>
      <w:pPr>
        <w:spacing w:line="400" w:lineRule="exact"/>
        <w:ind w:firstLine="420" w:firstLineChars="200"/>
        <w:rPr>
          <w:color w:val="auto"/>
          <w:szCs w:val="21"/>
          <w:highlight w:val="none"/>
        </w:rPr>
      </w:pPr>
      <w:r>
        <w:rPr>
          <w:color w:val="auto"/>
          <w:szCs w:val="21"/>
          <w:highlight w:val="none"/>
        </w:rPr>
        <w:t>7.4.4</w:t>
      </w:r>
      <w:r>
        <w:rPr>
          <w:rFonts w:hint="eastAsia"/>
          <w:color w:val="auto"/>
          <w:szCs w:val="21"/>
          <w:highlight w:val="none"/>
        </w:rPr>
        <w:t>成交通知书对采购人和成交人具有法律约束力。成交通知书发出后，采购人改变成交结果或者成交人放弃成交的，应当承担法律责任。</w:t>
      </w:r>
    </w:p>
    <w:p>
      <w:pPr>
        <w:pStyle w:val="4"/>
        <w:rPr>
          <w:color w:val="auto"/>
          <w:highlight w:val="none"/>
        </w:rPr>
      </w:pPr>
      <w:bookmarkStart w:id="90" w:name="_Toc456551922"/>
      <w:bookmarkStart w:id="91" w:name="_Toc18824"/>
      <w:r>
        <w:rPr>
          <w:color w:val="auto"/>
          <w:highlight w:val="none"/>
        </w:rPr>
        <w:t>8.</w:t>
      </w:r>
      <w:r>
        <w:rPr>
          <w:rFonts w:hint="eastAsia"/>
          <w:color w:val="auto"/>
          <w:highlight w:val="none"/>
        </w:rPr>
        <w:t>合同签订</w:t>
      </w:r>
      <w:bookmarkEnd w:id="90"/>
      <w:bookmarkEnd w:id="91"/>
    </w:p>
    <w:p>
      <w:pPr>
        <w:spacing w:line="400" w:lineRule="exact"/>
        <w:rPr>
          <w:rFonts w:ascii="宋体"/>
          <w:b/>
          <w:color w:val="auto"/>
          <w:sz w:val="32"/>
          <w:szCs w:val="32"/>
          <w:highlight w:val="none"/>
        </w:rPr>
      </w:pPr>
      <w:bookmarkStart w:id="92" w:name="_Toc456551923"/>
      <w:bookmarkStart w:id="93" w:name="_Toc475552165"/>
      <w:r>
        <w:rPr>
          <w:rFonts w:ascii="宋体" w:hAnsi="宋体"/>
          <w:b/>
          <w:color w:val="auto"/>
          <w:sz w:val="32"/>
          <w:szCs w:val="32"/>
          <w:highlight w:val="none"/>
        </w:rPr>
        <w:t xml:space="preserve">8.1 </w:t>
      </w:r>
      <w:r>
        <w:rPr>
          <w:rFonts w:hint="eastAsia" w:ascii="宋体" w:hAnsi="宋体"/>
          <w:b/>
          <w:color w:val="auto"/>
          <w:sz w:val="32"/>
          <w:szCs w:val="32"/>
          <w:highlight w:val="none"/>
        </w:rPr>
        <w:t>履约担保</w:t>
      </w:r>
      <w:bookmarkEnd w:id="92"/>
      <w:bookmarkEnd w:id="93"/>
    </w:p>
    <w:p>
      <w:pPr>
        <w:spacing w:line="400" w:lineRule="exact"/>
        <w:ind w:firstLine="420" w:firstLineChars="200"/>
        <w:rPr>
          <w:color w:val="auto"/>
          <w:szCs w:val="21"/>
          <w:highlight w:val="none"/>
        </w:rPr>
      </w:pPr>
      <w:r>
        <w:rPr>
          <w:color w:val="auto"/>
          <w:szCs w:val="21"/>
          <w:highlight w:val="none"/>
        </w:rPr>
        <w:t>8.1.1</w:t>
      </w:r>
      <w:r>
        <w:rPr>
          <w:rFonts w:hint="eastAsia"/>
          <w:color w:val="auto"/>
          <w:szCs w:val="21"/>
          <w:highlight w:val="none"/>
        </w:rPr>
        <w:t>在签订合同前，成交人应当按照“询价响应须知前附表”中规定的履约担保金额和方式向采购人提交履约担保。</w:t>
      </w:r>
    </w:p>
    <w:p>
      <w:pPr>
        <w:spacing w:line="400" w:lineRule="exact"/>
        <w:ind w:firstLine="420" w:firstLineChars="200"/>
        <w:rPr>
          <w:color w:val="auto"/>
          <w:szCs w:val="21"/>
          <w:highlight w:val="none"/>
        </w:rPr>
      </w:pPr>
      <w:r>
        <w:rPr>
          <w:color w:val="auto"/>
          <w:szCs w:val="21"/>
          <w:highlight w:val="none"/>
        </w:rPr>
        <w:t xml:space="preserve">8.1.2 </w:t>
      </w:r>
      <w:r>
        <w:rPr>
          <w:rFonts w:hint="eastAsia"/>
          <w:color w:val="auto"/>
          <w:szCs w:val="21"/>
          <w:highlight w:val="none"/>
        </w:rPr>
        <w:t>成交人不能按照询价文件要求提交履约担保的，视为放弃成交，其询价保证金不予退还，给采购人造成的损失超过询价保证金数额的，成交人还应当对超过部分予以赔偿。</w:t>
      </w:r>
    </w:p>
    <w:p>
      <w:pPr>
        <w:spacing w:line="400" w:lineRule="exact"/>
        <w:rPr>
          <w:rFonts w:ascii="宋体"/>
          <w:b/>
          <w:color w:val="auto"/>
          <w:sz w:val="32"/>
          <w:szCs w:val="32"/>
          <w:highlight w:val="none"/>
        </w:rPr>
      </w:pPr>
      <w:bookmarkStart w:id="94" w:name="_Toc475552166"/>
      <w:bookmarkStart w:id="95" w:name="_Toc456551924"/>
      <w:r>
        <w:rPr>
          <w:rFonts w:ascii="宋体" w:hAnsi="宋体"/>
          <w:b/>
          <w:color w:val="auto"/>
          <w:sz w:val="32"/>
          <w:szCs w:val="32"/>
          <w:highlight w:val="none"/>
        </w:rPr>
        <w:t>8.2</w:t>
      </w:r>
      <w:r>
        <w:rPr>
          <w:rFonts w:hint="eastAsia" w:ascii="宋体" w:hAnsi="宋体"/>
          <w:b/>
          <w:color w:val="auto"/>
          <w:sz w:val="32"/>
          <w:szCs w:val="32"/>
          <w:highlight w:val="none"/>
        </w:rPr>
        <w:t>合同签订</w:t>
      </w:r>
      <w:bookmarkEnd w:id="94"/>
      <w:bookmarkEnd w:id="95"/>
    </w:p>
    <w:p>
      <w:pPr>
        <w:spacing w:line="400" w:lineRule="exact"/>
        <w:ind w:firstLine="420" w:firstLineChars="200"/>
        <w:rPr>
          <w:color w:val="auto"/>
          <w:szCs w:val="21"/>
          <w:highlight w:val="none"/>
        </w:rPr>
      </w:pPr>
      <w:r>
        <w:rPr>
          <w:color w:val="auto"/>
          <w:szCs w:val="21"/>
          <w:highlight w:val="none"/>
        </w:rPr>
        <w:t>8.2.1</w:t>
      </w:r>
      <w:r>
        <w:rPr>
          <w:rFonts w:hint="eastAsia"/>
          <w:color w:val="auto"/>
          <w:szCs w:val="21"/>
          <w:highlight w:val="none"/>
        </w:rPr>
        <w:t>采购人和成交人应当自成交通知书发出之日起</w:t>
      </w:r>
      <w:r>
        <w:rPr>
          <w:color w:val="auto"/>
          <w:szCs w:val="21"/>
          <w:highlight w:val="none"/>
        </w:rPr>
        <w:t>30</w:t>
      </w:r>
      <w:r>
        <w:rPr>
          <w:rFonts w:hint="eastAsia"/>
          <w:color w:val="auto"/>
          <w:szCs w:val="21"/>
          <w:highlight w:val="none"/>
        </w:rPr>
        <w:t>日内，根据询价文件和成交人的响应文件订立书面合同。采购人和成交人不得再行订立背离合同实质性内容的其他协议。</w:t>
      </w:r>
    </w:p>
    <w:p>
      <w:pPr>
        <w:spacing w:line="400" w:lineRule="exact"/>
        <w:ind w:firstLine="420" w:firstLineChars="200"/>
        <w:rPr>
          <w:color w:val="auto"/>
          <w:szCs w:val="21"/>
          <w:highlight w:val="none"/>
        </w:rPr>
      </w:pPr>
      <w:r>
        <w:rPr>
          <w:color w:val="auto"/>
          <w:szCs w:val="21"/>
          <w:highlight w:val="none"/>
        </w:rPr>
        <w:t>8.2.2</w:t>
      </w:r>
      <w:r>
        <w:rPr>
          <w:rFonts w:hint="eastAsia"/>
          <w:color w:val="auto"/>
          <w:szCs w:val="21"/>
          <w:highlight w:val="none"/>
        </w:rPr>
        <w:t>成交人无正当理由拒签合同的，采购人取消其成交资格，其询价保证金不予退还；给采购人造成的损失超过询价保证金数额的，成交人还应当对超过部分予以赔偿。</w:t>
      </w:r>
    </w:p>
    <w:p>
      <w:pPr>
        <w:spacing w:line="400" w:lineRule="exact"/>
        <w:ind w:firstLine="420" w:firstLineChars="200"/>
        <w:rPr>
          <w:color w:val="auto"/>
          <w:szCs w:val="21"/>
          <w:highlight w:val="none"/>
        </w:rPr>
      </w:pPr>
    </w:p>
    <w:p>
      <w:pPr>
        <w:pStyle w:val="4"/>
        <w:spacing w:before="240" w:after="120"/>
        <w:rPr>
          <w:color w:val="auto"/>
          <w:highlight w:val="none"/>
        </w:rPr>
      </w:pPr>
      <w:bookmarkStart w:id="96" w:name="_Toc32655"/>
      <w:bookmarkStart w:id="97" w:name="_Toc456551926"/>
      <w:r>
        <w:rPr>
          <w:color w:val="auto"/>
          <w:highlight w:val="none"/>
        </w:rPr>
        <w:t>9.</w:t>
      </w:r>
      <w:r>
        <w:rPr>
          <w:rFonts w:hint="eastAsia"/>
          <w:color w:val="auto"/>
          <w:highlight w:val="none"/>
        </w:rPr>
        <w:t>采购代理服务费</w:t>
      </w:r>
      <w:bookmarkEnd w:id="96"/>
      <w:bookmarkEnd w:id="97"/>
    </w:p>
    <w:p>
      <w:pPr>
        <w:spacing w:line="400" w:lineRule="exact"/>
        <w:ind w:firstLine="420" w:firstLineChars="200"/>
        <w:rPr>
          <w:color w:val="auto"/>
          <w:szCs w:val="21"/>
          <w:highlight w:val="none"/>
        </w:rPr>
      </w:pPr>
      <w:r>
        <w:rPr>
          <w:rFonts w:hint="eastAsia"/>
          <w:color w:val="auto"/>
          <w:szCs w:val="21"/>
          <w:highlight w:val="none"/>
        </w:rPr>
        <w:t>采购代理服务费的金额、形式及交纳时限见询价响应须知前附表。</w:t>
      </w:r>
    </w:p>
    <w:p>
      <w:pPr>
        <w:pStyle w:val="4"/>
        <w:rPr>
          <w:color w:val="auto"/>
          <w:highlight w:val="none"/>
        </w:rPr>
      </w:pPr>
      <w:bookmarkStart w:id="98" w:name="_Toc12482"/>
      <w:bookmarkStart w:id="99" w:name="_Toc456551927"/>
      <w:r>
        <w:rPr>
          <w:color w:val="auto"/>
          <w:highlight w:val="none"/>
        </w:rPr>
        <w:t xml:space="preserve">10. </w:t>
      </w:r>
      <w:r>
        <w:rPr>
          <w:rFonts w:hint="eastAsia"/>
          <w:color w:val="auto"/>
          <w:highlight w:val="none"/>
        </w:rPr>
        <w:t>纪律和监督</w:t>
      </w:r>
      <w:bookmarkEnd w:id="98"/>
      <w:bookmarkEnd w:id="99"/>
    </w:p>
    <w:p>
      <w:pPr>
        <w:spacing w:line="400" w:lineRule="exact"/>
        <w:rPr>
          <w:rFonts w:ascii="宋体"/>
          <w:b/>
          <w:color w:val="auto"/>
          <w:sz w:val="32"/>
          <w:szCs w:val="32"/>
          <w:highlight w:val="none"/>
        </w:rPr>
      </w:pPr>
      <w:bookmarkStart w:id="100" w:name="_Toc475552169"/>
      <w:bookmarkStart w:id="101" w:name="_Toc456551928"/>
      <w:r>
        <w:rPr>
          <w:rFonts w:ascii="宋体" w:hAnsi="宋体"/>
          <w:b/>
          <w:color w:val="auto"/>
          <w:sz w:val="32"/>
          <w:szCs w:val="32"/>
          <w:highlight w:val="none"/>
        </w:rPr>
        <w:t xml:space="preserve">10.1 </w:t>
      </w:r>
      <w:r>
        <w:rPr>
          <w:rFonts w:hint="eastAsia" w:ascii="宋体" w:hAnsi="宋体"/>
          <w:b/>
          <w:color w:val="auto"/>
          <w:sz w:val="32"/>
          <w:szCs w:val="32"/>
          <w:highlight w:val="none"/>
        </w:rPr>
        <w:t>对采购人的纪律要求</w:t>
      </w:r>
      <w:bookmarkEnd w:id="100"/>
      <w:bookmarkEnd w:id="101"/>
    </w:p>
    <w:p>
      <w:pPr>
        <w:spacing w:line="400" w:lineRule="exact"/>
        <w:ind w:firstLine="420" w:firstLineChars="200"/>
        <w:rPr>
          <w:color w:val="auto"/>
          <w:szCs w:val="21"/>
          <w:highlight w:val="none"/>
        </w:rPr>
      </w:pPr>
      <w:r>
        <w:rPr>
          <w:rFonts w:hint="eastAsia"/>
          <w:color w:val="auto"/>
          <w:szCs w:val="21"/>
          <w:highlight w:val="none"/>
        </w:rPr>
        <w:t>采购人不得泄漏询价活动中应当保密的情况和资料，不得与响应人串通损害国家利益、社会公共利益或者他人合法权益。</w:t>
      </w:r>
    </w:p>
    <w:p>
      <w:pPr>
        <w:spacing w:line="400" w:lineRule="exact"/>
        <w:rPr>
          <w:rFonts w:ascii="宋体"/>
          <w:b/>
          <w:color w:val="auto"/>
          <w:sz w:val="32"/>
          <w:szCs w:val="32"/>
          <w:highlight w:val="none"/>
        </w:rPr>
      </w:pPr>
      <w:bookmarkStart w:id="102" w:name="_Toc475552170"/>
      <w:bookmarkStart w:id="103" w:name="_Toc456551929"/>
      <w:r>
        <w:rPr>
          <w:rFonts w:ascii="宋体" w:hAnsi="宋体"/>
          <w:b/>
          <w:color w:val="auto"/>
          <w:sz w:val="32"/>
          <w:szCs w:val="32"/>
          <w:highlight w:val="none"/>
        </w:rPr>
        <w:t xml:space="preserve">10.2 </w:t>
      </w:r>
      <w:r>
        <w:rPr>
          <w:rFonts w:hint="eastAsia" w:ascii="宋体" w:hAnsi="宋体"/>
          <w:b/>
          <w:color w:val="auto"/>
          <w:sz w:val="32"/>
          <w:szCs w:val="32"/>
          <w:highlight w:val="none"/>
        </w:rPr>
        <w:t>对响应人的纪律要求</w:t>
      </w:r>
      <w:bookmarkEnd w:id="102"/>
      <w:bookmarkEnd w:id="103"/>
    </w:p>
    <w:p>
      <w:pPr>
        <w:spacing w:line="400" w:lineRule="exact"/>
        <w:ind w:firstLine="420" w:firstLineChars="200"/>
        <w:rPr>
          <w:color w:val="auto"/>
          <w:szCs w:val="21"/>
          <w:highlight w:val="none"/>
        </w:rPr>
      </w:pPr>
      <w:r>
        <w:rPr>
          <w:rFonts w:hint="eastAsia"/>
          <w:color w:val="auto"/>
          <w:szCs w:val="21"/>
          <w:highlight w:val="none"/>
        </w:rPr>
        <w:t>响应人不得相互串通询价或者与采购人串通询价，不得向采购人或者询价小组成员行贿谋取成交，不得以他人名义询价或者以其他方式弄虚作假骗取成交；响应人不得以任何方式干扰、影响评审工作。</w:t>
      </w:r>
    </w:p>
    <w:p>
      <w:pPr>
        <w:spacing w:line="400" w:lineRule="exact"/>
        <w:rPr>
          <w:rFonts w:ascii="宋体"/>
          <w:b/>
          <w:color w:val="auto"/>
          <w:sz w:val="32"/>
          <w:szCs w:val="32"/>
          <w:highlight w:val="none"/>
        </w:rPr>
      </w:pPr>
      <w:bookmarkStart w:id="104" w:name="_Toc475552171"/>
      <w:bookmarkStart w:id="105" w:name="_Toc456551930"/>
      <w:r>
        <w:rPr>
          <w:rFonts w:ascii="宋体" w:hAnsi="宋体"/>
          <w:b/>
          <w:color w:val="auto"/>
          <w:sz w:val="32"/>
          <w:szCs w:val="32"/>
          <w:highlight w:val="none"/>
        </w:rPr>
        <w:t xml:space="preserve">10.3 </w:t>
      </w:r>
      <w:r>
        <w:rPr>
          <w:rFonts w:hint="eastAsia" w:ascii="宋体" w:hAnsi="宋体"/>
          <w:b/>
          <w:color w:val="auto"/>
          <w:sz w:val="32"/>
          <w:szCs w:val="32"/>
          <w:highlight w:val="none"/>
        </w:rPr>
        <w:t>对询价小组成员的纪律要求</w:t>
      </w:r>
      <w:bookmarkEnd w:id="104"/>
      <w:bookmarkEnd w:id="105"/>
    </w:p>
    <w:p>
      <w:pPr>
        <w:spacing w:line="400" w:lineRule="exact"/>
        <w:ind w:firstLine="420" w:firstLineChars="200"/>
        <w:rPr>
          <w:color w:val="auto"/>
          <w:szCs w:val="21"/>
          <w:highlight w:val="none"/>
        </w:rPr>
      </w:pPr>
      <w:r>
        <w:rPr>
          <w:rFonts w:hint="eastAsia"/>
          <w:color w:val="auto"/>
          <w:szCs w:val="21"/>
          <w:highlight w:val="none"/>
        </w:rPr>
        <w:t>询价小组成员不得收受他人的财物或者其他好处，不得向他人透漏对响应文件的评审和比较、成交候选人的推荐情况以及评审有关的其他情况。在评审活动中，询价小组成员应当客观、公正地履行职责，遵守职业道德，不得擅离职守，影响评审程序正常进行，不得使用第三章“评审办法”没有规定的评审因素和标准进行评审。</w:t>
      </w:r>
    </w:p>
    <w:p>
      <w:pPr>
        <w:spacing w:line="400" w:lineRule="exact"/>
        <w:rPr>
          <w:rFonts w:ascii="宋体"/>
          <w:b/>
          <w:color w:val="auto"/>
          <w:sz w:val="32"/>
          <w:szCs w:val="32"/>
          <w:highlight w:val="none"/>
        </w:rPr>
      </w:pPr>
      <w:bookmarkStart w:id="106" w:name="_Toc475552172"/>
      <w:bookmarkStart w:id="107" w:name="_Toc456551931"/>
      <w:r>
        <w:rPr>
          <w:rFonts w:ascii="宋体" w:hAnsi="宋体"/>
          <w:b/>
          <w:color w:val="auto"/>
          <w:sz w:val="32"/>
          <w:szCs w:val="32"/>
          <w:highlight w:val="none"/>
        </w:rPr>
        <w:t xml:space="preserve">10.4 </w:t>
      </w:r>
      <w:r>
        <w:rPr>
          <w:rFonts w:hint="eastAsia" w:ascii="宋体" w:hAnsi="宋体"/>
          <w:b/>
          <w:color w:val="auto"/>
          <w:sz w:val="32"/>
          <w:szCs w:val="32"/>
          <w:highlight w:val="none"/>
        </w:rPr>
        <w:t>对与评审活动有关的工作人员的纪律要求</w:t>
      </w:r>
      <w:bookmarkEnd w:id="106"/>
      <w:bookmarkEnd w:id="107"/>
    </w:p>
    <w:p>
      <w:pPr>
        <w:spacing w:line="400" w:lineRule="exact"/>
        <w:ind w:firstLine="420" w:firstLineChars="200"/>
        <w:rPr>
          <w:color w:val="auto"/>
          <w:szCs w:val="21"/>
          <w:highlight w:val="none"/>
        </w:rPr>
      </w:pPr>
      <w:r>
        <w:rPr>
          <w:rFonts w:hint="eastAsia"/>
          <w:color w:val="auto"/>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400" w:lineRule="exact"/>
        <w:rPr>
          <w:rFonts w:ascii="宋体"/>
          <w:b/>
          <w:color w:val="auto"/>
          <w:sz w:val="32"/>
          <w:szCs w:val="32"/>
          <w:highlight w:val="none"/>
        </w:rPr>
      </w:pPr>
      <w:r>
        <w:rPr>
          <w:rFonts w:ascii="宋体" w:hAnsi="宋体"/>
          <w:b/>
          <w:color w:val="auto"/>
          <w:sz w:val="32"/>
          <w:szCs w:val="32"/>
          <w:highlight w:val="none"/>
        </w:rPr>
        <w:t xml:space="preserve">10.5 </w:t>
      </w:r>
      <w:r>
        <w:rPr>
          <w:rFonts w:hint="eastAsia" w:ascii="宋体" w:hAnsi="宋体"/>
          <w:b/>
          <w:color w:val="auto"/>
          <w:sz w:val="32"/>
          <w:szCs w:val="32"/>
          <w:highlight w:val="none"/>
        </w:rPr>
        <w:t>采购监督小组</w:t>
      </w:r>
    </w:p>
    <w:p>
      <w:pPr>
        <w:spacing w:line="400" w:lineRule="exact"/>
        <w:ind w:firstLine="420" w:firstLineChars="200"/>
        <w:rPr>
          <w:color w:val="auto"/>
          <w:szCs w:val="21"/>
          <w:highlight w:val="none"/>
        </w:rPr>
      </w:pPr>
      <w:r>
        <w:rPr>
          <w:color w:val="auto"/>
          <w:szCs w:val="21"/>
          <w:highlight w:val="none"/>
        </w:rPr>
        <w:t>10.5. 1</w:t>
      </w:r>
      <w:r>
        <w:rPr>
          <w:rFonts w:hint="eastAsia"/>
          <w:color w:val="auto"/>
          <w:szCs w:val="21"/>
          <w:highlight w:val="none"/>
        </w:rPr>
        <w:t>采购人应当组建采购监督小组对询价过程进行监督，及时指出、制止违反程序及纪律的行为，但不得就资格审查或者评标涉及的实质内容发表意见或者参与资格审查委员会、询价小组的讨论。</w:t>
      </w:r>
    </w:p>
    <w:p>
      <w:pPr>
        <w:spacing w:line="400" w:lineRule="exact"/>
        <w:ind w:firstLine="420" w:firstLineChars="200"/>
        <w:rPr>
          <w:color w:val="auto"/>
          <w:szCs w:val="21"/>
          <w:highlight w:val="none"/>
        </w:rPr>
      </w:pPr>
      <w:bookmarkStart w:id="108" w:name="_Hlk75454009"/>
      <w:r>
        <w:rPr>
          <w:color w:val="auto"/>
          <w:szCs w:val="21"/>
          <w:highlight w:val="none"/>
        </w:rPr>
        <w:t>10.5.</w:t>
      </w:r>
      <w:bookmarkEnd w:id="108"/>
      <w:r>
        <w:rPr>
          <w:color w:val="auto"/>
          <w:szCs w:val="21"/>
          <w:highlight w:val="none"/>
        </w:rPr>
        <w:t>2</w:t>
      </w:r>
      <w:r>
        <w:rPr>
          <w:rFonts w:hint="eastAsia"/>
          <w:color w:val="auto"/>
          <w:szCs w:val="21"/>
          <w:highlight w:val="none"/>
        </w:rPr>
        <w:t>特殊情况导致开标、评标无法继续进行的、相关人员存在违反程序及纪律的行为被指出后仍拒绝纠正的、发现询价活动存在其他违反相关规定行为的，采购监督小组应当及时报告监督部门。</w:t>
      </w:r>
    </w:p>
    <w:p>
      <w:pPr>
        <w:spacing w:line="400" w:lineRule="exact"/>
        <w:ind w:firstLine="420" w:firstLineChars="200"/>
        <w:rPr>
          <w:color w:val="auto"/>
          <w:szCs w:val="21"/>
          <w:highlight w:val="none"/>
        </w:rPr>
      </w:pPr>
      <w:r>
        <w:rPr>
          <w:color w:val="auto"/>
          <w:szCs w:val="21"/>
          <w:highlight w:val="none"/>
        </w:rPr>
        <w:t>10.5.3</w:t>
      </w:r>
      <w:r>
        <w:rPr>
          <w:rFonts w:hint="eastAsia"/>
          <w:color w:val="auto"/>
          <w:szCs w:val="21"/>
          <w:highlight w:val="none"/>
        </w:rPr>
        <w:t>采购监督小组可以通过检查、随机抽查、现场监督、网络在线监督等方式对询价活动进行监督，询价活动各方应当自觉接受监督检查。</w:t>
      </w:r>
    </w:p>
    <w:p>
      <w:pPr>
        <w:pStyle w:val="4"/>
        <w:rPr>
          <w:color w:val="auto"/>
          <w:highlight w:val="none"/>
        </w:rPr>
      </w:pPr>
      <w:bookmarkStart w:id="109" w:name="_Toc456551933"/>
      <w:bookmarkStart w:id="110" w:name="_Toc31240"/>
      <w:bookmarkStart w:id="111" w:name="_Toc247085689"/>
      <w:bookmarkStart w:id="112" w:name="_Toc246996918"/>
      <w:bookmarkStart w:id="113" w:name="_Toc246996175"/>
      <w:bookmarkStart w:id="114" w:name="_Toc152045529"/>
      <w:bookmarkStart w:id="115" w:name="_Toc144974497"/>
      <w:bookmarkStart w:id="116" w:name="_Toc179632546"/>
      <w:bookmarkStart w:id="117" w:name="_Toc296602420"/>
      <w:bookmarkStart w:id="118" w:name="_Toc152042305"/>
      <w:r>
        <w:rPr>
          <w:color w:val="auto"/>
          <w:highlight w:val="none"/>
        </w:rPr>
        <w:t xml:space="preserve">11. </w:t>
      </w:r>
      <w:r>
        <w:rPr>
          <w:rFonts w:hint="eastAsia"/>
          <w:color w:val="auto"/>
          <w:highlight w:val="none"/>
        </w:rPr>
        <w:t>需要补充的其他内容</w:t>
      </w:r>
      <w:bookmarkEnd w:id="109"/>
      <w:bookmarkEnd w:id="110"/>
    </w:p>
    <w:p>
      <w:pPr>
        <w:spacing w:line="400" w:lineRule="exact"/>
        <w:ind w:firstLine="420" w:firstLineChars="200"/>
        <w:rPr>
          <w:color w:val="auto"/>
          <w:szCs w:val="21"/>
          <w:highlight w:val="none"/>
        </w:rPr>
      </w:pPr>
      <w:r>
        <w:rPr>
          <w:rFonts w:hint="eastAsia"/>
          <w:color w:val="auto"/>
          <w:szCs w:val="21"/>
          <w:highlight w:val="none"/>
        </w:rPr>
        <w:t>需要补充的其他内容：见询价响应须知前附表。</w:t>
      </w:r>
    </w:p>
    <w:p>
      <w:pPr>
        <w:spacing w:before="156" w:beforeLines="50" w:after="156" w:afterLines="50" w:line="400" w:lineRule="exact"/>
        <w:rPr>
          <w:color w:val="auto"/>
          <w:highlight w:val="none"/>
        </w:rPr>
      </w:pPr>
      <w:r>
        <w:rPr>
          <w:color w:val="auto"/>
          <w:szCs w:val="21"/>
          <w:highlight w:val="none"/>
        </w:rPr>
        <w:br w:type="page"/>
      </w:r>
    </w:p>
    <w:p>
      <w:pPr>
        <w:pStyle w:val="3"/>
        <w:spacing w:before="0"/>
        <w:jc w:val="center"/>
        <w:rPr>
          <w:rFonts w:ascii="宋体"/>
          <w:color w:val="auto"/>
          <w:sz w:val="28"/>
          <w:szCs w:val="28"/>
          <w:highlight w:val="none"/>
        </w:rPr>
      </w:pPr>
      <w:bookmarkStart w:id="119" w:name="_Toc456551939"/>
      <w:bookmarkStart w:id="120" w:name="_Toc17291"/>
      <w:r>
        <w:rPr>
          <w:rFonts w:hint="eastAsia" w:ascii="宋体" w:hAnsi="宋体"/>
          <w:color w:val="auto"/>
          <w:sz w:val="28"/>
          <w:szCs w:val="28"/>
          <w:highlight w:val="none"/>
        </w:rPr>
        <w:t>第三章</w:t>
      </w:r>
      <w:r>
        <w:rPr>
          <w:rFonts w:ascii="宋体" w:hAnsi="宋体"/>
          <w:color w:val="auto"/>
          <w:sz w:val="28"/>
          <w:szCs w:val="28"/>
          <w:highlight w:val="none"/>
        </w:rPr>
        <w:t xml:space="preserve"> </w:t>
      </w:r>
      <w:r>
        <w:rPr>
          <w:rFonts w:hint="eastAsia" w:ascii="宋体" w:hAnsi="宋体"/>
          <w:color w:val="auto"/>
          <w:sz w:val="28"/>
          <w:szCs w:val="28"/>
          <w:highlight w:val="none"/>
        </w:rPr>
        <w:t>评审办法</w:t>
      </w:r>
      <w:bookmarkEnd w:id="119"/>
      <w:bookmarkEnd w:id="120"/>
    </w:p>
    <w:p>
      <w:pPr>
        <w:pStyle w:val="5"/>
        <w:spacing w:before="0" w:after="120" w:line="415" w:lineRule="auto"/>
        <w:jc w:val="left"/>
        <w:rPr>
          <w:rFonts w:ascii="黑体" w:hAnsi="黑体" w:eastAsia="黑体"/>
          <w:color w:val="auto"/>
          <w:sz w:val="28"/>
          <w:szCs w:val="28"/>
          <w:highlight w:val="none"/>
        </w:rPr>
      </w:pPr>
      <w:bookmarkStart w:id="121" w:name="_Toc816"/>
      <w:bookmarkStart w:id="122" w:name="_Toc456551940"/>
      <w:r>
        <w:rPr>
          <w:rFonts w:hint="eastAsia" w:ascii="黑体" w:hAnsi="黑体" w:eastAsia="黑体"/>
          <w:color w:val="auto"/>
          <w:sz w:val="28"/>
          <w:szCs w:val="28"/>
          <w:highlight w:val="none"/>
        </w:rPr>
        <w:t>评审办法前附表</w:t>
      </w:r>
      <w:bookmarkEnd w:id="121"/>
    </w:p>
    <w:tbl>
      <w:tblPr>
        <w:tblStyle w:val="3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73"/>
        <w:gridCol w:w="468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993" w:type="dxa"/>
            <w:vAlign w:val="center"/>
          </w:tcPr>
          <w:p>
            <w:pPr>
              <w:snapToGrid w:val="0"/>
              <w:jc w:val="center"/>
              <w:rPr>
                <w:rFonts w:ascii="宋体" w:cs="宋体"/>
                <w:color w:val="auto"/>
                <w:kern w:val="0"/>
                <w:sz w:val="20"/>
                <w:szCs w:val="21"/>
                <w:highlight w:val="none"/>
              </w:rPr>
            </w:pPr>
            <w:r>
              <w:rPr>
                <w:rFonts w:hint="eastAsia" w:ascii="宋体" w:hAnsi="宋体" w:cs="宋体"/>
                <w:color w:val="auto"/>
                <w:szCs w:val="21"/>
                <w:highlight w:val="none"/>
              </w:rPr>
              <w:t>序号</w:t>
            </w:r>
          </w:p>
        </w:tc>
        <w:tc>
          <w:tcPr>
            <w:tcW w:w="1973" w:type="dxa"/>
            <w:vAlign w:val="center"/>
          </w:tcPr>
          <w:p>
            <w:pPr>
              <w:snapToGrid w:val="0"/>
              <w:jc w:val="center"/>
              <w:rPr>
                <w:rFonts w:ascii="宋体" w:cs="宋体"/>
                <w:color w:val="auto"/>
                <w:szCs w:val="21"/>
                <w:highlight w:val="none"/>
              </w:rPr>
            </w:pPr>
            <w:r>
              <w:rPr>
                <w:rFonts w:hint="eastAsia" w:ascii="宋体" w:hAnsi="宋体" w:cs="宋体"/>
                <w:color w:val="auto"/>
                <w:kern w:val="0"/>
                <w:sz w:val="20"/>
                <w:szCs w:val="21"/>
                <w:highlight w:val="none"/>
              </w:rPr>
              <w:t>评审内容</w:t>
            </w:r>
          </w:p>
        </w:tc>
        <w:tc>
          <w:tcPr>
            <w:tcW w:w="4689" w:type="dxa"/>
            <w:vAlign w:val="center"/>
          </w:tcPr>
          <w:p>
            <w:pPr>
              <w:snapToGrid w:val="0"/>
              <w:jc w:val="center"/>
              <w:rPr>
                <w:rFonts w:ascii="宋体" w:cs="宋体"/>
                <w:color w:val="auto"/>
                <w:highlight w:val="none"/>
              </w:rPr>
            </w:pPr>
            <w:r>
              <w:rPr>
                <w:rFonts w:hint="eastAsia" w:ascii="宋体" w:hAnsi="宋体" w:cs="宋体"/>
                <w:color w:val="auto"/>
                <w:kern w:val="0"/>
                <w:sz w:val="20"/>
                <w:szCs w:val="21"/>
                <w:highlight w:val="none"/>
              </w:rPr>
              <w:t>评审标准</w:t>
            </w:r>
          </w:p>
        </w:tc>
        <w:tc>
          <w:tcPr>
            <w:tcW w:w="1134" w:type="dxa"/>
            <w:vAlign w:val="center"/>
          </w:tcPr>
          <w:p>
            <w:pPr>
              <w:snapToGrid w:val="0"/>
              <w:jc w:val="center"/>
              <w:rPr>
                <w:rFonts w:ascii="宋体" w:cs="宋体"/>
                <w:color w:val="auto"/>
                <w:highlight w:val="none"/>
              </w:rPr>
            </w:pPr>
            <w:r>
              <w:rPr>
                <w:rFonts w:hint="eastAsia" w:ascii="宋体" w:hAnsi="宋体" w:cs="宋体"/>
                <w:color w:val="auto"/>
                <w:highlight w:val="none"/>
              </w:rPr>
              <w:t>询价文件索引页码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vAlign w:val="center"/>
          </w:tcPr>
          <w:p>
            <w:pPr>
              <w:snapToGrid w:val="0"/>
              <w:jc w:val="center"/>
              <w:rPr>
                <w:rFonts w:ascii="宋体" w:cs="宋体"/>
                <w:color w:val="auto"/>
                <w:szCs w:val="21"/>
                <w:highlight w:val="none"/>
              </w:rPr>
            </w:pPr>
            <w:r>
              <w:rPr>
                <w:rFonts w:ascii="宋体" w:hAnsi="宋体" w:cs="宋体"/>
                <w:color w:val="auto"/>
                <w:szCs w:val="21"/>
                <w:highlight w:val="none"/>
              </w:rPr>
              <w:t>1</w:t>
            </w:r>
          </w:p>
        </w:tc>
        <w:tc>
          <w:tcPr>
            <w:tcW w:w="1973" w:type="dxa"/>
            <w:vAlign w:val="center"/>
          </w:tcPr>
          <w:p>
            <w:pPr>
              <w:snapToGrid w:val="0"/>
              <w:jc w:val="center"/>
              <w:rPr>
                <w:rFonts w:ascii="宋体" w:cs="宋体"/>
                <w:color w:val="auto"/>
                <w:kern w:val="0"/>
                <w:sz w:val="20"/>
                <w:szCs w:val="21"/>
                <w:highlight w:val="none"/>
              </w:rPr>
            </w:pPr>
            <w:r>
              <w:rPr>
                <w:rFonts w:hint="eastAsia" w:ascii="宋体" w:hAnsi="宋体" w:cs="宋体"/>
                <w:color w:val="auto"/>
                <w:kern w:val="0"/>
                <w:sz w:val="20"/>
                <w:szCs w:val="21"/>
                <w:highlight w:val="none"/>
              </w:rPr>
              <w:t>响应人资格要求</w:t>
            </w:r>
          </w:p>
        </w:tc>
        <w:tc>
          <w:tcPr>
            <w:tcW w:w="4689" w:type="dxa"/>
            <w:vAlign w:val="center"/>
          </w:tcPr>
          <w:p>
            <w:pPr>
              <w:snapToGrid w:val="0"/>
              <w:jc w:val="center"/>
              <w:rPr>
                <w:rFonts w:ascii="宋体" w:cs="宋体"/>
                <w:color w:val="auto"/>
                <w:kern w:val="0"/>
                <w:sz w:val="20"/>
                <w:szCs w:val="21"/>
                <w:highlight w:val="none"/>
              </w:rPr>
            </w:pPr>
            <w:r>
              <w:rPr>
                <w:rFonts w:hint="eastAsia" w:ascii="宋体" w:hAnsi="宋体" w:cs="宋体"/>
                <w:color w:val="auto"/>
                <w:kern w:val="0"/>
                <w:sz w:val="20"/>
                <w:szCs w:val="21"/>
                <w:highlight w:val="none"/>
              </w:rPr>
              <w:t>符合响应人资格要求</w:t>
            </w:r>
          </w:p>
        </w:tc>
        <w:tc>
          <w:tcPr>
            <w:tcW w:w="1134" w:type="dxa"/>
            <w:vAlign w:val="center"/>
          </w:tcPr>
          <w:p>
            <w:pPr>
              <w:snapToGrid w:val="0"/>
              <w:jc w:val="center"/>
              <w:rPr>
                <w:rFonts w:asci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vAlign w:val="center"/>
          </w:tcPr>
          <w:p>
            <w:pPr>
              <w:snapToGrid w:val="0"/>
              <w:jc w:val="center"/>
              <w:rPr>
                <w:rFonts w:ascii="宋体" w:cs="宋体"/>
                <w:color w:val="auto"/>
                <w:szCs w:val="21"/>
                <w:highlight w:val="none"/>
              </w:rPr>
            </w:pPr>
            <w:r>
              <w:rPr>
                <w:rFonts w:ascii="宋体" w:hAnsi="宋体" w:cs="宋体"/>
                <w:color w:val="auto"/>
                <w:szCs w:val="21"/>
                <w:highlight w:val="none"/>
              </w:rPr>
              <w:t>2</w:t>
            </w:r>
          </w:p>
        </w:tc>
        <w:tc>
          <w:tcPr>
            <w:tcW w:w="1973" w:type="dxa"/>
            <w:vAlign w:val="center"/>
          </w:tcPr>
          <w:p>
            <w:pPr>
              <w:snapToGrid w:val="0"/>
              <w:jc w:val="center"/>
              <w:rPr>
                <w:rFonts w:ascii="宋体" w:cs="宋体"/>
                <w:color w:val="auto"/>
                <w:kern w:val="0"/>
                <w:sz w:val="20"/>
                <w:szCs w:val="21"/>
                <w:highlight w:val="none"/>
              </w:rPr>
            </w:pPr>
            <w:r>
              <w:rPr>
                <w:rFonts w:hint="eastAsia" w:ascii="宋体" w:hAnsi="宋体" w:cs="宋体"/>
                <w:color w:val="auto"/>
                <w:kern w:val="0"/>
                <w:sz w:val="20"/>
                <w:szCs w:val="21"/>
                <w:highlight w:val="none"/>
              </w:rPr>
              <w:t>询价保证金</w:t>
            </w:r>
          </w:p>
        </w:tc>
        <w:tc>
          <w:tcPr>
            <w:tcW w:w="4689" w:type="dxa"/>
            <w:vAlign w:val="center"/>
          </w:tcPr>
          <w:p>
            <w:pPr>
              <w:snapToGrid w:val="0"/>
              <w:jc w:val="center"/>
              <w:rPr>
                <w:rFonts w:ascii="宋体" w:cs="宋体"/>
                <w:color w:val="auto"/>
                <w:kern w:val="0"/>
                <w:sz w:val="20"/>
                <w:szCs w:val="21"/>
                <w:highlight w:val="none"/>
              </w:rPr>
            </w:pPr>
            <w:r>
              <w:rPr>
                <w:rFonts w:hint="eastAsia" w:hAnsi="宋体" w:cs="宋体"/>
                <w:bCs/>
                <w:color w:val="auto"/>
                <w:szCs w:val="21"/>
                <w:highlight w:val="none"/>
              </w:rPr>
              <w:t>按</w:t>
            </w:r>
            <w:r>
              <w:rPr>
                <w:rFonts w:hint="eastAsia" w:hAnsi="宋体" w:cs="宋体"/>
                <w:bCs/>
                <w:color w:val="auto"/>
                <w:szCs w:val="21"/>
                <w:highlight w:val="none"/>
                <w:lang w:eastAsia="zh-CN"/>
              </w:rPr>
              <w:t>询价文件</w:t>
            </w:r>
            <w:r>
              <w:rPr>
                <w:rFonts w:hint="eastAsia" w:hAnsi="宋体" w:cs="宋体"/>
                <w:bCs/>
                <w:color w:val="auto"/>
                <w:szCs w:val="21"/>
                <w:highlight w:val="none"/>
              </w:rPr>
              <w:t>的规定提交询价保证金的</w:t>
            </w:r>
          </w:p>
        </w:tc>
        <w:tc>
          <w:tcPr>
            <w:tcW w:w="1134" w:type="dxa"/>
            <w:vAlign w:val="center"/>
          </w:tcPr>
          <w:p>
            <w:pPr>
              <w:snapToGrid w:val="0"/>
              <w:jc w:val="center"/>
              <w:rPr>
                <w:rFonts w:asci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vAlign w:val="center"/>
          </w:tcPr>
          <w:p>
            <w:pPr>
              <w:snapToGrid w:val="0"/>
              <w:jc w:val="center"/>
              <w:rPr>
                <w:rFonts w:ascii="宋体" w:cs="宋体"/>
                <w:color w:val="auto"/>
                <w:szCs w:val="21"/>
                <w:highlight w:val="none"/>
              </w:rPr>
            </w:pPr>
            <w:r>
              <w:rPr>
                <w:rFonts w:ascii="宋体" w:hAnsi="宋体" w:cs="宋体"/>
                <w:color w:val="auto"/>
                <w:szCs w:val="21"/>
                <w:highlight w:val="none"/>
              </w:rPr>
              <w:t>3</w:t>
            </w:r>
          </w:p>
        </w:tc>
        <w:tc>
          <w:tcPr>
            <w:tcW w:w="1973" w:type="dxa"/>
            <w:vAlign w:val="center"/>
          </w:tcPr>
          <w:p>
            <w:pPr>
              <w:snapToGrid w:val="0"/>
              <w:jc w:val="center"/>
              <w:rPr>
                <w:rFonts w:ascii="宋体" w:cs="宋体"/>
                <w:color w:val="auto"/>
                <w:kern w:val="0"/>
                <w:sz w:val="20"/>
                <w:szCs w:val="21"/>
                <w:highlight w:val="none"/>
              </w:rPr>
            </w:pPr>
            <w:r>
              <w:rPr>
                <w:rFonts w:hint="eastAsia" w:ascii="宋体" w:hAnsi="宋体" w:cs="宋体"/>
                <w:color w:val="auto"/>
                <w:kern w:val="0"/>
                <w:sz w:val="20"/>
                <w:szCs w:val="21"/>
                <w:highlight w:val="none"/>
              </w:rPr>
              <w:t>响应文件签字、盖章</w:t>
            </w:r>
          </w:p>
        </w:tc>
        <w:tc>
          <w:tcPr>
            <w:tcW w:w="4689" w:type="dxa"/>
            <w:vAlign w:val="center"/>
          </w:tcPr>
          <w:p>
            <w:pPr>
              <w:snapToGrid w:val="0"/>
              <w:jc w:val="center"/>
              <w:rPr>
                <w:rFonts w:ascii="宋体" w:cs="宋体"/>
                <w:color w:val="auto"/>
                <w:kern w:val="0"/>
                <w:sz w:val="20"/>
                <w:szCs w:val="21"/>
                <w:highlight w:val="none"/>
              </w:rPr>
            </w:pPr>
            <w:r>
              <w:rPr>
                <w:rFonts w:hint="eastAsia" w:hAnsi="宋体" w:cs="宋体"/>
                <w:bCs/>
                <w:color w:val="auto"/>
                <w:szCs w:val="21"/>
                <w:highlight w:val="none"/>
              </w:rPr>
              <w:t>响应文件按</w:t>
            </w:r>
            <w:r>
              <w:rPr>
                <w:rFonts w:hint="eastAsia" w:hAnsi="宋体" w:cs="宋体"/>
                <w:bCs/>
                <w:color w:val="auto"/>
                <w:szCs w:val="21"/>
                <w:highlight w:val="none"/>
                <w:lang w:eastAsia="zh-CN"/>
              </w:rPr>
              <w:t>询价文件</w:t>
            </w:r>
            <w:r>
              <w:rPr>
                <w:rFonts w:hint="eastAsia" w:hAnsi="宋体" w:cs="宋体"/>
                <w:bCs/>
                <w:color w:val="auto"/>
                <w:szCs w:val="21"/>
                <w:highlight w:val="none"/>
              </w:rPr>
              <w:t>要求签署、盖章的</w:t>
            </w:r>
          </w:p>
        </w:tc>
        <w:tc>
          <w:tcPr>
            <w:tcW w:w="1134" w:type="dxa"/>
            <w:vAlign w:val="center"/>
          </w:tcPr>
          <w:p>
            <w:pPr>
              <w:snapToGrid w:val="0"/>
              <w:jc w:val="center"/>
              <w:rPr>
                <w:rFonts w:asci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vAlign w:val="center"/>
          </w:tcPr>
          <w:p>
            <w:pPr>
              <w:snapToGrid w:val="0"/>
              <w:jc w:val="center"/>
              <w:rPr>
                <w:rFonts w:ascii="宋体" w:cs="宋体"/>
                <w:color w:val="auto"/>
                <w:szCs w:val="21"/>
                <w:highlight w:val="none"/>
              </w:rPr>
            </w:pPr>
            <w:r>
              <w:rPr>
                <w:rFonts w:ascii="宋体" w:hAnsi="宋体" w:cs="宋体"/>
                <w:color w:val="auto"/>
                <w:szCs w:val="21"/>
                <w:highlight w:val="none"/>
              </w:rPr>
              <w:t>4</w:t>
            </w:r>
          </w:p>
        </w:tc>
        <w:tc>
          <w:tcPr>
            <w:tcW w:w="1973" w:type="dxa"/>
            <w:vAlign w:val="center"/>
          </w:tcPr>
          <w:p>
            <w:pPr>
              <w:snapToGrid w:val="0"/>
              <w:jc w:val="center"/>
              <w:rPr>
                <w:rFonts w:ascii="宋体" w:cs="宋体"/>
                <w:color w:val="auto"/>
                <w:kern w:val="0"/>
                <w:sz w:val="20"/>
                <w:szCs w:val="21"/>
                <w:highlight w:val="none"/>
              </w:rPr>
            </w:pPr>
            <w:r>
              <w:rPr>
                <w:rFonts w:hint="eastAsia" w:ascii="宋体" w:hAnsi="宋体" w:cs="宋体"/>
                <w:color w:val="auto"/>
                <w:kern w:val="0"/>
                <w:sz w:val="20"/>
                <w:szCs w:val="21"/>
                <w:highlight w:val="none"/>
              </w:rPr>
              <w:t>报价</w:t>
            </w:r>
          </w:p>
        </w:tc>
        <w:tc>
          <w:tcPr>
            <w:tcW w:w="4689" w:type="dxa"/>
            <w:vAlign w:val="center"/>
          </w:tcPr>
          <w:p>
            <w:pPr>
              <w:snapToGrid w:val="0"/>
              <w:jc w:val="center"/>
              <w:rPr>
                <w:rFonts w:ascii="宋体" w:cs="宋体"/>
                <w:color w:val="auto"/>
                <w:kern w:val="0"/>
                <w:sz w:val="20"/>
                <w:szCs w:val="21"/>
                <w:highlight w:val="none"/>
              </w:rPr>
            </w:pPr>
            <w:r>
              <w:rPr>
                <w:rFonts w:hint="eastAsia" w:hAnsi="宋体" w:cs="宋体"/>
                <w:bCs/>
                <w:color w:val="auto"/>
                <w:szCs w:val="21"/>
                <w:highlight w:val="none"/>
              </w:rPr>
              <w:t>按照询价文件的规定进行报价的</w:t>
            </w:r>
          </w:p>
        </w:tc>
        <w:tc>
          <w:tcPr>
            <w:tcW w:w="1134" w:type="dxa"/>
            <w:vAlign w:val="center"/>
          </w:tcPr>
          <w:p>
            <w:pPr>
              <w:snapToGrid w:val="0"/>
              <w:jc w:val="center"/>
              <w:rPr>
                <w:rFonts w:asci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vAlign w:val="center"/>
          </w:tcPr>
          <w:p>
            <w:pPr>
              <w:snapToGrid w:val="0"/>
              <w:jc w:val="center"/>
              <w:rPr>
                <w:rFonts w:ascii="宋体" w:cs="宋体"/>
                <w:color w:val="auto"/>
                <w:szCs w:val="21"/>
                <w:highlight w:val="none"/>
              </w:rPr>
            </w:pPr>
            <w:r>
              <w:rPr>
                <w:rFonts w:ascii="宋体" w:hAnsi="宋体" w:cs="宋体"/>
                <w:color w:val="auto"/>
                <w:szCs w:val="21"/>
                <w:highlight w:val="none"/>
              </w:rPr>
              <w:t>5</w:t>
            </w:r>
          </w:p>
        </w:tc>
        <w:tc>
          <w:tcPr>
            <w:tcW w:w="1973" w:type="dxa"/>
            <w:vAlign w:val="center"/>
          </w:tcPr>
          <w:p>
            <w:pPr>
              <w:snapToGrid w:val="0"/>
              <w:jc w:val="center"/>
              <w:rPr>
                <w:rFonts w:ascii="宋体" w:cs="宋体"/>
                <w:color w:val="auto"/>
                <w:kern w:val="0"/>
                <w:sz w:val="20"/>
                <w:szCs w:val="21"/>
                <w:highlight w:val="none"/>
              </w:rPr>
            </w:pPr>
            <w:r>
              <w:rPr>
                <w:rFonts w:hint="eastAsia" w:hAnsi="宋体" w:cs="宋体"/>
                <w:bCs/>
                <w:color w:val="auto"/>
                <w:szCs w:val="21"/>
                <w:highlight w:val="none"/>
              </w:rPr>
              <w:t>“★”符号的条款</w:t>
            </w:r>
          </w:p>
        </w:tc>
        <w:tc>
          <w:tcPr>
            <w:tcW w:w="4689" w:type="dxa"/>
            <w:vAlign w:val="center"/>
          </w:tcPr>
          <w:p>
            <w:pPr>
              <w:snapToGrid w:val="0"/>
              <w:jc w:val="center"/>
              <w:rPr>
                <w:rFonts w:hAnsi="宋体" w:cs="宋体"/>
                <w:bCs/>
                <w:color w:val="auto"/>
                <w:szCs w:val="21"/>
                <w:highlight w:val="none"/>
              </w:rPr>
            </w:pPr>
            <w:r>
              <w:rPr>
                <w:rFonts w:hint="eastAsia" w:hAnsi="宋体" w:cs="宋体"/>
                <w:bCs/>
                <w:color w:val="auto"/>
                <w:szCs w:val="21"/>
                <w:highlight w:val="none"/>
              </w:rPr>
              <w:t>无负偏离标注“★”符号的条款</w:t>
            </w:r>
          </w:p>
        </w:tc>
        <w:tc>
          <w:tcPr>
            <w:tcW w:w="1134" w:type="dxa"/>
            <w:vAlign w:val="center"/>
          </w:tcPr>
          <w:p>
            <w:pPr>
              <w:snapToGrid w:val="0"/>
              <w:jc w:val="center"/>
              <w:rPr>
                <w:rFonts w:asci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vAlign w:val="center"/>
          </w:tcPr>
          <w:p>
            <w:pPr>
              <w:snapToGrid w:val="0"/>
              <w:jc w:val="center"/>
              <w:rPr>
                <w:rFonts w:ascii="宋体" w:cs="宋体"/>
                <w:color w:val="auto"/>
                <w:szCs w:val="21"/>
                <w:highlight w:val="none"/>
              </w:rPr>
            </w:pPr>
            <w:r>
              <w:rPr>
                <w:rFonts w:ascii="宋体" w:hAnsi="宋体" w:cs="宋体"/>
                <w:color w:val="auto"/>
                <w:szCs w:val="21"/>
                <w:highlight w:val="none"/>
              </w:rPr>
              <w:t>6</w:t>
            </w:r>
          </w:p>
        </w:tc>
        <w:tc>
          <w:tcPr>
            <w:tcW w:w="1973" w:type="dxa"/>
            <w:vAlign w:val="center"/>
          </w:tcPr>
          <w:p>
            <w:pPr>
              <w:snapToGrid w:val="0"/>
              <w:jc w:val="center"/>
              <w:rPr>
                <w:rFonts w:hAnsi="宋体" w:cs="宋体"/>
                <w:bCs/>
                <w:color w:val="auto"/>
                <w:szCs w:val="21"/>
                <w:highlight w:val="none"/>
              </w:rPr>
            </w:pPr>
            <w:r>
              <w:rPr>
                <w:rFonts w:hint="eastAsia" w:hAnsi="宋体" w:cs="宋体"/>
                <w:bCs/>
                <w:color w:val="auto"/>
                <w:szCs w:val="21"/>
                <w:highlight w:val="none"/>
              </w:rPr>
              <w:t>附加条件</w:t>
            </w:r>
          </w:p>
        </w:tc>
        <w:tc>
          <w:tcPr>
            <w:tcW w:w="4689" w:type="dxa"/>
            <w:vAlign w:val="center"/>
          </w:tcPr>
          <w:p>
            <w:pPr>
              <w:snapToGrid w:val="0"/>
              <w:jc w:val="center"/>
              <w:rPr>
                <w:rFonts w:hAnsi="宋体" w:cs="宋体"/>
                <w:bCs/>
                <w:color w:val="auto"/>
                <w:szCs w:val="21"/>
                <w:highlight w:val="none"/>
              </w:rPr>
            </w:pPr>
            <w:r>
              <w:rPr>
                <w:rFonts w:hint="eastAsia" w:hAnsi="宋体" w:cs="宋体"/>
                <w:bCs/>
                <w:color w:val="auto"/>
                <w:szCs w:val="21"/>
                <w:highlight w:val="none"/>
              </w:rPr>
              <w:t>响应文件未含有采购人不能接受的附加条件的</w:t>
            </w:r>
          </w:p>
        </w:tc>
        <w:tc>
          <w:tcPr>
            <w:tcW w:w="1134" w:type="dxa"/>
            <w:vAlign w:val="center"/>
          </w:tcPr>
          <w:p>
            <w:pPr>
              <w:snapToGrid w:val="0"/>
              <w:jc w:val="center"/>
              <w:rPr>
                <w:rFonts w:asci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vAlign w:val="center"/>
          </w:tcPr>
          <w:p>
            <w:pPr>
              <w:snapToGrid w:val="0"/>
              <w:jc w:val="center"/>
              <w:rPr>
                <w:rFonts w:ascii="宋体" w:cs="宋体"/>
                <w:color w:val="auto"/>
                <w:szCs w:val="21"/>
                <w:highlight w:val="none"/>
              </w:rPr>
            </w:pPr>
            <w:r>
              <w:rPr>
                <w:rFonts w:ascii="宋体" w:hAnsi="宋体" w:cs="宋体"/>
                <w:color w:val="auto"/>
                <w:szCs w:val="21"/>
                <w:highlight w:val="none"/>
              </w:rPr>
              <w:t>7</w:t>
            </w:r>
          </w:p>
        </w:tc>
        <w:tc>
          <w:tcPr>
            <w:tcW w:w="1973" w:type="dxa"/>
            <w:vAlign w:val="center"/>
          </w:tcPr>
          <w:p>
            <w:pPr>
              <w:snapToGrid w:val="0"/>
              <w:jc w:val="center"/>
              <w:rPr>
                <w:rFonts w:ascii="宋体" w:cs="宋体"/>
                <w:color w:val="auto"/>
                <w:kern w:val="0"/>
                <w:sz w:val="20"/>
                <w:szCs w:val="21"/>
                <w:highlight w:val="none"/>
              </w:rPr>
            </w:pPr>
            <w:r>
              <w:rPr>
                <w:rFonts w:hint="eastAsia" w:ascii="宋体" w:hAnsi="宋体" w:cs="宋体"/>
                <w:color w:val="auto"/>
                <w:kern w:val="0"/>
                <w:sz w:val="20"/>
                <w:szCs w:val="21"/>
                <w:highlight w:val="none"/>
              </w:rPr>
              <w:t>其他</w:t>
            </w:r>
          </w:p>
        </w:tc>
        <w:tc>
          <w:tcPr>
            <w:tcW w:w="4689" w:type="dxa"/>
            <w:vAlign w:val="center"/>
          </w:tcPr>
          <w:p>
            <w:pPr>
              <w:snapToGrid w:val="0"/>
              <w:jc w:val="center"/>
              <w:rPr>
                <w:rFonts w:hAnsi="宋体" w:cs="宋体"/>
                <w:bCs/>
                <w:color w:val="auto"/>
                <w:szCs w:val="21"/>
                <w:highlight w:val="none"/>
              </w:rPr>
            </w:pPr>
            <w:r>
              <w:rPr>
                <w:rFonts w:hint="eastAsia" w:hAnsi="宋体" w:cs="宋体"/>
                <w:color w:val="auto"/>
                <w:szCs w:val="21"/>
                <w:highlight w:val="none"/>
              </w:rPr>
              <w:t>未出现</w:t>
            </w:r>
            <w:r>
              <w:rPr>
                <w:rFonts w:hint="eastAsia" w:hAnsi="宋体" w:cs="宋体"/>
                <w:bCs/>
                <w:color w:val="auto"/>
                <w:szCs w:val="21"/>
                <w:highlight w:val="none"/>
              </w:rPr>
              <w:t>法律、法规和询价文件规定的其他无效情形。</w:t>
            </w:r>
          </w:p>
        </w:tc>
        <w:tc>
          <w:tcPr>
            <w:tcW w:w="1134" w:type="dxa"/>
            <w:vAlign w:val="center"/>
          </w:tcPr>
          <w:p>
            <w:pPr>
              <w:snapToGrid w:val="0"/>
              <w:jc w:val="center"/>
              <w:rPr>
                <w:rFonts w:asci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66" w:type="dxa"/>
            <w:gridSpan w:val="2"/>
            <w:vAlign w:val="center"/>
          </w:tcPr>
          <w:p>
            <w:pPr>
              <w:widowControl/>
              <w:jc w:val="center"/>
              <w:rPr>
                <w:color w:val="auto"/>
                <w:szCs w:val="21"/>
                <w:highlight w:val="none"/>
              </w:rPr>
            </w:pPr>
            <w:r>
              <w:rPr>
                <w:rFonts w:hint="eastAsia" w:ascii="宋体" w:hAnsi="宋体" w:cs="宋体"/>
                <w:color w:val="auto"/>
                <w:kern w:val="0"/>
                <w:szCs w:val="21"/>
                <w:highlight w:val="none"/>
              </w:rPr>
              <w:t>成交候选人推荐原则</w:t>
            </w:r>
          </w:p>
        </w:tc>
        <w:tc>
          <w:tcPr>
            <w:tcW w:w="5823" w:type="dxa"/>
            <w:gridSpan w:val="2"/>
          </w:tcPr>
          <w:p>
            <w:pPr>
              <w:widowControl/>
              <w:jc w:val="left"/>
              <w:rPr>
                <w:color w:val="auto"/>
                <w:szCs w:val="21"/>
                <w:highlight w:val="none"/>
              </w:rPr>
            </w:pPr>
            <w:r>
              <w:rPr>
                <w:rFonts w:hint="eastAsia" w:ascii="宋体" w:hAnsi="宋体" w:cs="宋体"/>
                <w:color w:val="auto"/>
                <w:kern w:val="0"/>
                <w:highlight w:val="none"/>
              </w:rPr>
              <w:t>本项目推荐</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名成交候选人。</w:t>
            </w:r>
            <w:r>
              <w:rPr>
                <w:rFonts w:hint="eastAsia"/>
                <w:color w:val="auto"/>
                <w:szCs w:val="21"/>
                <w:highlight w:val="none"/>
              </w:rPr>
              <w:t>根据符合采购需求、质量和服务且报价最低的原则按顺序排列推荐成交侯选人</w:t>
            </w:r>
            <w:r>
              <w:rPr>
                <w:rFonts w:hint="eastAsia" w:ascii="宋体" w:hAnsi="宋体" w:cs="宋体"/>
                <w:color w:val="auto"/>
                <w:kern w:val="0"/>
                <w:highlight w:val="none"/>
              </w:rPr>
              <w:t>。</w:t>
            </w:r>
          </w:p>
        </w:tc>
      </w:tr>
    </w:tbl>
    <w:p>
      <w:pPr>
        <w:pStyle w:val="5"/>
        <w:rPr>
          <w:rFonts w:ascii="黑体" w:hAnsi="黑体" w:eastAsia="黑体"/>
          <w:color w:val="auto"/>
          <w:sz w:val="28"/>
          <w:szCs w:val="28"/>
          <w:highlight w:val="none"/>
        </w:rPr>
      </w:pPr>
      <w:bookmarkStart w:id="123" w:name="_Toc2849"/>
      <w:r>
        <w:rPr>
          <w:rFonts w:ascii="黑体" w:hAnsi="黑体" w:eastAsia="黑体"/>
          <w:color w:val="auto"/>
          <w:sz w:val="28"/>
          <w:szCs w:val="28"/>
          <w:highlight w:val="none"/>
        </w:rPr>
        <w:t>1</w:t>
      </w:r>
      <w:r>
        <w:rPr>
          <w:rFonts w:hint="eastAsia" w:ascii="黑体" w:hAnsi="黑体" w:eastAsia="黑体"/>
          <w:color w:val="auto"/>
          <w:sz w:val="28"/>
          <w:szCs w:val="28"/>
          <w:highlight w:val="none"/>
        </w:rPr>
        <w:t>．评审方法</w:t>
      </w:r>
      <w:bookmarkEnd w:id="12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本次评审采用</w:t>
      </w:r>
      <w:bookmarkStart w:id="124" w:name="_Hlk75448362"/>
      <w:r>
        <w:rPr>
          <w:rFonts w:hint="eastAsia" w:ascii="宋体" w:hAnsi="宋体"/>
          <w:color w:val="auto"/>
          <w:szCs w:val="21"/>
          <w:highlight w:val="none"/>
        </w:rPr>
        <w:t>最低评标价法</w:t>
      </w:r>
      <w:bookmarkEnd w:id="124"/>
      <w:r>
        <w:rPr>
          <w:rFonts w:hint="eastAsia" w:ascii="宋体" w:hAnsi="宋体"/>
          <w:color w:val="auto"/>
          <w:szCs w:val="21"/>
          <w:highlight w:val="none"/>
        </w:rPr>
        <w:t>。询价小组对满足询价文件实质性要求的响应文件，</w:t>
      </w:r>
      <w:r>
        <w:rPr>
          <w:rFonts w:hint="eastAsia"/>
          <w:color w:val="auto"/>
          <w:szCs w:val="21"/>
          <w:highlight w:val="none"/>
        </w:rPr>
        <w:t>根据符合采购需求、质量和服务且报价最低的原则按顺序排列推荐成交侯选人。</w:t>
      </w:r>
    </w:p>
    <w:p>
      <w:pPr>
        <w:pStyle w:val="5"/>
        <w:rPr>
          <w:rFonts w:ascii="黑体" w:hAnsi="黑体" w:eastAsia="黑体"/>
          <w:color w:val="auto"/>
          <w:sz w:val="28"/>
          <w:szCs w:val="28"/>
          <w:highlight w:val="none"/>
        </w:rPr>
      </w:pPr>
      <w:bookmarkStart w:id="125" w:name="_Toc3168"/>
      <w:r>
        <w:rPr>
          <w:rFonts w:ascii="黑体" w:hAnsi="黑体" w:eastAsia="黑体"/>
          <w:color w:val="auto"/>
          <w:sz w:val="28"/>
          <w:szCs w:val="28"/>
          <w:highlight w:val="none"/>
        </w:rPr>
        <w:t>2</w:t>
      </w:r>
      <w:r>
        <w:rPr>
          <w:rFonts w:hint="eastAsia" w:ascii="黑体" w:hAnsi="黑体" w:eastAsia="黑体"/>
          <w:color w:val="auto"/>
          <w:sz w:val="28"/>
          <w:szCs w:val="28"/>
          <w:highlight w:val="none"/>
        </w:rPr>
        <w:t>．评审标准</w:t>
      </w:r>
      <w:bookmarkEnd w:id="125"/>
    </w:p>
    <w:p>
      <w:pPr>
        <w:spacing w:line="360" w:lineRule="auto"/>
        <w:ind w:firstLine="420" w:firstLineChars="200"/>
        <w:rPr>
          <w:rFonts w:ascii="宋体"/>
          <w:color w:val="auto"/>
          <w:szCs w:val="21"/>
          <w:highlight w:val="none"/>
        </w:rPr>
      </w:pPr>
      <w:r>
        <w:rPr>
          <w:rFonts w:hint="eastAsia"/>
          <w:color w:val="auto"/>
          <w:highlight w:val="none"/>
        </w:rPr>
        <w:t>评审标准：</w:t>
      </w:r>
      <w:r>
        <w:rPr>
          <w:rFonts w:hint="eastAsia" w:ascii="宋体" w:hAnsi="宋体"/>
          <w:color w:val="auto"/>
          <w:szCs w:val="21"/>
          <w:highlight w:val="none"/>
        </w:rPr>
        <w:t>见评审办法前附表。</w:t>
      </w:r>
    </w:p>
    <w:p>
      <w:pPr>
        <w:pStyle w:val="5"/>
        <w:rPr>
          <w:rFonts w:ascii="黑体" w:hAnsi="黑体" w:eastAsia="黑体"/>
          <w:color w:val="auto"/>
          <w:sz w:val="28"/>
          <w:szCs w:val="28"/>
          <w:highlight w:val="none"/>
        </w:rPr>
      </w:pPr>
      <w:bookmarkStart w:id="126" w:name="_Toc13408"/>
      <w:r>
        <w:rPr>
          <w:rFonts w:ascii="黑体" w:hAnsi="黑体" w:eastAsia="黑体"/>
          <w:color w:val="auto"/>
          <w:sz w:val="28"/>
          <w:szCs w:val="28"/>
          <w:highlight w:val="none"/>
        </w:rPr>
        <w:t>3</w:t>
      </w:r>
      <w:r>
        <w:rPr>
          <w:rFonts w:hint="eastAsia" w:ascii="黑体" w:hAnsi="黑体" w:eastAsia="黑体"/>
          <w:color w:val="auto"/>
          <w:sz w:val="28"/>
          <w:szCs w:val="28"/>
          <w:highlight w:val="none"/>
        </w:rPr>
        <w:t>．评审程序</w:t>
      </w:r>
      <w:bookmarkEnd w:id="126"/>
    </w:p>
    <w:p>
      <w:pPr>
        <w:pStyle w:val="6"/>
        <w:rPr>
          <w:color w:val="auto"/>
          <w:highlight w:val="none"/>
        </w:rPr>
      </w:pPr>
      <w:r>
        <w:rPr>
          <w:color w:val="auto"/>
          <w:highlight w:val="none"/>
        </w:rPr>
        <w:t xml:space="preserve">3.1 </w:t>
      </w:r>
      <w:r>
        <w:rPr>
          <w:rFonts w:hint="eastAsia"/>
          <w:color w:val="auto"/>
          <w:highlight w:val="none"/>
        </w:rPr>
        <w:t>评审</w:t>
      </w:r>
    </w:p>
    <w:p>
      <w:pPr>
        <w:spacing w:line="360" w:lineRule="auto"/>
        <w:ind w:firstLine="422" w:firstLineChars="200"/>
        <w:rPr>
          <w:rFonts w:ascii="宋体"/>
          <w:b/>
          <w:color w:val="auto"/>
          <w:szCs w:val="21"/>
          <w:highlight w:val="none"/>
        </w:rPr>
      </w:pPr>
      <w:r>
        <w:rPr>
          <w:rFonts w:ascii="宋体" w:hAnsi="宋体"/>
          <w:b/>
          <w:color w:val="auto"/>
          <w:szCs w:val="21"/>
          <w:highlight w:val="none"/>
        </w:rPr>
        <w:t>3.1.1</w:t>
      </w:r>
      <w:r>
        <w:rPr>
          <w:rFonts w:hint="eastAsia" w:ascii="宋体" w:hAnsi="宋体"/>
          <w:color w:val="auto"/>
          <w:szCs w:val="21"/>
          <w:highlight w:val="none"/>
        </w:rPr>
        <w:t>询价小组根据本章第</w:t>
      </w:r>
      <w:r>
        <w:rPr>
          <w:rFonts w:ascii="宋体" w:hAnsi="宋体"/>
          <w:color w:val="auto"/>
          <w:szCs w:val="21"/>
          <w:highlight w:val="none"/>
        </w:rPr>
        <w:t xml:space="preserve">2.1 </w:t>
      </w:r>
      <w:r>
        <w:rPr>
          <w:rFonts w:hint="eastAsia" w:ascii="宋体" w:hAnsi="宋体"/>
          <w:color w:val="auto"/>
          <w:szCs w:val="21"/>
          <w:highlight w:val="none"/>
        </w:rPr>
        <w:t>款规定的标准对响应文件进行评审。有一项不符合评审标准的，</w:t>
      </w:r>
      <w:r>
        <w:rPr>
          <w:rFonts w:hint="eastAsia"/>
          <w:color w:val="auto"/>
          <w:highlight w:val="none"/>
        </w:rPr>
        <w:t>询价小组应当否决其询价。</w:t>
      </w:r>
      <w:r>
        <w:rPr>
          <w:rFonts w:ascii="宋体" w:hAnsi="宋体"/>
          <w:b/>
          <w:color w:val="auto"/>
          <w:szCs w:val="21"/>
          <w:highlight w:val="none"/>
        </w:rPr>
        <w:t xml:space="preserve"> </w:t>
      </w:r>
    </w:p>
    <w:p>
      <w:pPr>
        <w:spacing w:line="360" w:lineRule="auto"/>
        <w:ind w:firstLine="422" w:firstLineChars="200"/>
        <w:rPr>
          <w:rFonts w:ascii="宋体"/>
          <w:color w:val="auto"/>
          <w:szCs w:val="21"/>
          <w:highlight w:val="none"/>
        </w:rPr>
      </w:pPr>
      <w:r>
        <w:rPr>
          <w:rFonts w:ascii="宋体" w:hAnsi="宋体"/>
          <w:b/>
          <w:color w:val="auto"/>
          <w:szCs w:val="21"/>
          <w:highlight w:val="none"/>
        </w:rPr>
        <w:t>3.1.2</w:t>
      </w:r>
      <w:r>
        <w:rPr>
          <w:rFonts w:hint="eastAsia" w:ascii="宋体" w:hAnsi="宋体"/>
          <w:color w:val="auto"/>
          <w:szCs w:val="21"/>
          <w:highlight w:val="none"/>
        </w:rPr>
        <w:t>询价小组可以要求响应人对响应文件中含义不明确、对同类问题表述不一致或者有明显文字、计算错误的内容做必要的澄清、说明、修正或补充。澄清、说明、修正或补充应当采用书面形式，并不得超出响应文件的范围或者改变响应文件的实质内容。响应文件不响应询价文件的实质性要求和条件的，不允许响应人通过澄清等方式使之成为具有响应性的询价。</w:t>
      </w:r>
      <w:r>
        <w:rPr>
          <w:rFonts w:ascii="宋体" w:hAnsi="宋体"/>
          <w:color w:val="auto"/>
          <w:szCs w:val="21"/>
          <w:highlight w:val="none"/>
        </w:rPr>
        <w:t xml:space="preserve"> </w:t>
      </w:r>
    </w:p>
    <w:p>
      <w:pPr>
        <w:spacing w:line="360" w:lineRule="auto"/>
        <w:ind w:firstLine="422" w:firstLineChars="200"/>
        <w:rPr>
          <w:rFonts w:ascii="宋体"/>
          <w:color w:val="auto"/>
          <w:szCs w:val="21"/>
          <w:highlight w:val="none"/>
        </w:rPr>
      </w:pPr>
      <w:r>
        <w:rPr>
          <w:rFonts w:ascii="宋体" w:hAnsi="宋体"/>
          <w:b/>
          <w:color w:val="auto"/>
          <w:szCs w:val="21"/>
          <w:highlight w:val="none"/>
        </w:rPr>
        <w:t>3.1.3</w:t>
      </w:r>
      <w:r>
        <w:rPr>
          <w:rFonts w:hint="eastAsia" w:ascii="宋体" w:hAnsi="宋体"/>
          <w:color w:val="auto"/>
          <w:szCs w:val="21"/>
          <w:highlight w:val="none"/>
        </w:rPr>
        <w:t>询价小组不得向响应人提出带有暗示性或诱导性的问题或向其明确响应文件中的遗漏和错误，不得接受响应人主动提出的澄清、说明、修正和补充。</w:t>
      </w:r>
    </w:p>
    <w:p>
      <w:pPr>
        <w:spacing w:line="360" w:lineRule="auto"/>
        <w:ind w:firstLine="422" w:firstLineChars="200"/>
        <w:rPr>
          <w:rFonts w:ascii="宋体"/>
          <w:b/>
          <w:color w:val="auto"/>
          <w:szCs w:val="21"/>
          <w:highlight w:val="none"/>
        </w:rPr>
      </w:pPr>
      <w:r>
        <w:rPr>
          <w:rFonts w:ascii="宋体" w:hAnsi="宋体"/>
          <w:b/>
          <w:color w:val="auto"/>
          <w:szCs w:val="21"/>
          <w:highlight w:val="none"/>
        </w:rPr>
        <w:t xml:space="preserve">3.1.4 </w:t>
      </w:r>
      <w:r>
        <w:rPr>
          <w:rFonts w:hint="eastAsia" w:ascii="宋体" w:hAnsi="宋体"/>
          <w:b/>
          <w:color w:val="auto"/>
          <w:szCs w:val="21"/>
          <w:highlight w:val="none"/>
        </w:rPr>
        <w:t>响应人有以下情形之一的，</w:t>
      </w:r>
      <w:r>
        <w:rPr>
          <w:rFonts w:hint="eastAsia"/>
          <w:b/>
          <w:color w:val="auto"/>
          <w:highlight w:val="none"/>
        </w:rPr>
        <w:t>询价小组应当否决其询价</w:t>
      </w:r>
      <w:r>
        <w:rPr>
          <w:rFonts w:hint="eastAsia" w:ascii="宋体" w:hAnsi="宋体"/>
          <w:b/>
          <w:color w:val="auto"/>
          <w:szCs w:val="21"/>
          <w:highlight w:val="none"/>
        </w:rPr>
        <w:t>：</w:t>
      </w:r>
    </w:p>
    <w:p>
      <w:pPr>
        <w:widowControl/>
        <w:numPr>
          <w:ilvl w:val="0"/>
          <w:numId w:val="10"/>
        </w:numPr>
        <w:spacing w:after="109" w:line="259" w:lineRule="auto"/>
        <w:jc w:val="left"/>
        <w:rPr>
          <w:b/>
          <w:color w:val="auto"/>
          <w:highlight w:val="none"/>
        </w:rPr>
      </w:pPr>
      <w:r>
        <w:rPr>
          <w:rFonts w:hint="eastAsia"/>
          <w:b/>
          <w:color w:val="auto"/>
          <w:highlight w:val="none"/>
        </w:rPr>
        <w:t>响应文件中无法定代表人证明书及其出具的授权委托书的；</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未按询价文件规定加盖公章和签署；</w:t>
      </w:r>
    </w:p>
    <w:p>
      <w:pPr>
        <w:widowControl/>
        <w:numPr>
          <w:ilvl w:val="0"/>
          <w:numId w:val="10"/>
        </w:numPr>
        <w:spacing w:after="109" w:line="259" w:lineRule="auto"/>
        <w:jc w:val="left"/>
        <w:rPr>
          <w:b/>
          <w:color w:val="auto"/>
          <w:highlight w:val="none"/>
        </w:rPr>
      </w:pPr>
      <w:r>
        <w:rPr>
          <w:rFonts w:hint="eastAsia"/>
          <w:b/>
          <w:color w:val="auto"/>
          <w:highlight w:val="none"/>
        </w:rPr>
        <w:t>响应人提交两份以上不同内容的响应文件，或在一份响应文件中有两个或多个报价，且未声明哪一个为最终报价的，但按询价文件规定提交备选询价方案的除外；</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响应人以他人名义询价或者响应人经资格审查不符合资格条件的；</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未按要求提交询价保证金或提交的询价保证金不足的；</w:t>
      </w:r>
    </w:p>
    <w:p>
      <w:pPr>
        <w:widowControl/>
        <w:numPr>
          <w:ilvl w:val="0"/>
          <w:numId w:val="10"/>
        </w:numPr>
        <w:spacing w:after="109" w:line="259" w:lineRule="auto"/>
        <w:jc w:val="left"/>
        <w:rPr>
          <w:b/>
          <w:color w:val="auto"/>
          <w:highlight w:val="none"/>
        </w:rPr>
      </w:pPr>
      <w:r>
        <w:rPr>
          <w:rFonts w:hint="eastAsia"/>
          <w:b/>
          <w:color w:val="auto"/>
          <w:highlight w:val="none"/>
        </w:rPr>
        <w:t>询价有效期不满足询价文件要求的；</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询价报价低于成本价，且响应人不能按询价小组要求对其报价进行合理说明或提供相关证明材料的；</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询价报价高于询价文件设定的最高限价的；</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响应文件未能对询价文件中提出的实质性要求和条件做出实质性响应的；</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响应人有串通询价、弄虚作假、行贿等违法行为的；</w:t>
      </w:r>
      <w:r>
        <w:rPr>
          <w:b/>
          <w:color w:val="auto"/>
          <w:highlight w:val="none"/>
        </w:rPr>
        <w:t xml:space="preserve"> </w:t>
      </w:r>
    </w:p>
    <w:p>
      <w:pPr>
        <w:widowControl/>
        <w:numPr>
          <w:ilvl w:val="0"/>
          <w:numId w:val="10"/>
        </w:numPr>
        <w:spacing w:after="109" w:line="259" w:lineRule="auto"/>
        <w:jc w:val="left"/>
        <w:rPr>
          <w:b/>
          <w:color w:val="auto"/>
          <w:highlight w:val="none"/>
        </w:rPr>
      </w:pPr>
      <w:r>
        <w:rPr>
          <w:rFonts w:hint="eastAsia"/>
          <w:b/>
          <w:color w:val="auto"/>
          <w:highlight w:val="none"/>
        </w:rPr>
        <w:t>不按询价小组要求澄清、说明或补正；</w:t>
      </w:r>
    </w:p>
    <w:p>
      <w:pPr>
        <w:widowControl/>
        <w:numPr>
          <w:ilvl w:val="0"/>
          <w:numId w:val="10"/>
        </w:numPr>
        <w:spacing w:after="109" w:line="259" w:lineRule="auto"/>
        <w:jc w:val="left"/>
        <w:rPr>
          <w:b/>
          <w:color w:val="auto"/>
          <w:highlight w:val="none"/>
        </w:rPr>
      </w:pPr>
      <w:r>
        <w:rPr>
          <w:rFonts w:hint="eastAsia"/>
          <w:b/>
          <w:color w:val="auto"/>
          <w:highlight w:val="none"/>
        </w:rPr>
        <w:t>询价文件明确规定可以否决询价的其他情形。</w:t>
      </w:r>
      <w:r>
        <w:rPr>
          <w:b/>
          <w:color w:val="auto"/>
          <w:highlight w:val="none"/>
        </w:rPr>
        <w:t xml:space="preserve"> </w:t>
      </w:r>
    </w:p>
    <w:p>
      <w:pPr>
        <w:spacing w:line="360" w:lineRule="auto"/>
        <w:ind w:firstLine="420" w:firstLineChars="200"/>
        <w:rPr>
          <w:rFonts w:ascii="宋体"/>
          <w:color w:val="auto"/>
          <w:szCs w:val="21"/>
          <w:highlight w:val="none"/>
        </w:rPr>
      </w:pPr>
      <w:r>
        <w:rPr>
          <w:rFonts w:ascii="宋体" w:hAnsi="宋体"/>
          <w:color w:val="auto"/>
          <w:szCs w:val="21"/>
          <w:highlight w:val="none"/>
        </w:rPr>
        <w:t>3.1.5</w:t>
      </w:r>
      <w:r>
        <w:rPr>
          <w:rFonts w:hint="eastAsia" w:ascii="宋体" w:hAnsi="宋体"/>
          <w:color w:val="auto"/>
          <w:szCs w:val="21"/>
          <w:highlight w:val="none"/>
        </w:rPr>
        <w:t>评审过程中，询价小组收到低于成本价询价的书面质疑材料、发现响应人的综合报价明显低于其他询价报价或者设有标底时明显低于标底，认为询价报价可能低于成本的，应当书面要求该响应人作出书面说明并提供相关证明材料。响应人不能合理说明或者不能提供相应证明材料的，由询价小组认定该响应人以低于成本报价竞标，</w:t>
      </w:r>
      <w:r>
        <w:rPr>
          <w:rFonts w:hint="eastAsia"/>
          <w:color w:val="auto"/>
          <w:szCs w:val="21"/>
          <w:highlight w:val="none"/>
        </w:rPr>
        <w:t>询价小组应当否决其询价</w:t>
      </w:r>
      <w:r>
        <w:rPr>
          <w:rFonts w:hint="eastAsia" w:ascii="宋体" w:hAnsi="宋体"/>
          <w:color w:val="auto"/>
          <w:szCs w:val="21"/>
          <w:highlight w:val="none"/>
        </w:rPr>
        <w:t>。</w:t>
      </w:r>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3.1.6 </w:t>
      </w:r>
      <w:r>
        <w:rPr>
          <w:rFonts w:hint="eastAsia" w:ascii="宋体" w:hAnsi="宋体"/>
          <w:color w:val="auto"/>
          <w:szCs w:val="21"/>
          <w:highlight w:val="none"/>
        </w:rPr>
        <w:t>询价报价有算术错误的，询价小组按照以下原则对询价报价进行修正，修正的价格经响应人书面确认后具有约束力。响应人不接受修正价格的，</w:t>
      </w:r>
      <w:r>
        <w:rPr>
          <w:rFonts w:hint="eastAsia"/>
          <w:color w:val="auto"/>
          <w:szCs w:val="21"/>
          <w:highlight w:val="none"/>
        </w:rPr>
        <w:t>询价小组应当否决其询价</w:t>
      </w:r>
      <w:r>
        <w:rPr>
          <w:rFonts w:hint="eastAsia" w:ascii="宋体" w:hAnsi="宋体"/>
          <w:color w:val="auto"/>
          <w:szCs w:val="21"/>
          <w:highlight w:val="none"/>
        </w:rPr>
        <w:t>。如有补充其他价格修正方式，详见询价须知前附表。</w:t>
      </w:r>
    </w:p>
    <w:p>
      <w:pPr>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）响应文件中的大写金额与小写金额不一致的，以大写金额为准；</w:t>
      </w:r>
    </w:p>
    <w:p>
      <w:pPr>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）总价金额与根据单价计算出的结果不一致的，以单价金额为准修正总价，但单价金额小数点有明显错误的除外。</w:t>
      </w:r>
    </w:p>
    <w:p>
      <w:pPr>
        <w:widowControl/>
        <w:tabs>
          <w:tab w:val="left" w:pos="540"/>
        </w:tabs>
        <w:spacing w:line="520" w:lineRule="exact"/>
        <w:jc w:val="left"/>
        <w:rPr>
          <w:rFonts w:ascii="宋体"/>
          <w:b/>
          <w:color w:val="auto"/>
          <w:sz w:val="28"/>
          <w:szCs w:val="28"/>
          <w:highlight w:val="none"/>
        </w:rPr>
      </w:pPr>
      <w:r>
        <w:rPr>
          <w:rFonts w:ascii="宋体" w:hAnsi="宋体" w:cs="Courier New"/>
          <w:b/>
          <w:color w:val="auto"/>
          <w:sz w:val="28"/>
          <w:szCs w:val="28"/>
          <w:highlight w:val="none"/>
        </w:rPr>
        <w:t>3.2</w:t>
      </w:r>
      <w:r>
        <w:rPr>
          <w:rFonts w:hint="eastAsia" w:ascii="宋体" w:hAnsi="宋体"/>
          <w:b/>
          <w:color w:val="auto"/>
          <w:sz w:val="28"/>
          <w:szCs w:val="28"/>
          <w:highlight w:val="none"/>
        </w:rPr>
        <w:t>确定成交候选人</w:t>
      </w:r>
    </w:p>
    <w:p>
      <w:pPr>
        <w:spacing w:line="520" w:lineRule="exact"/>
        <w:ind w:firstLine="420" w:firstLineChars="200"/>
        <w:rPr>
          <w:rFonts w:ascii="宋体" w:cs="Courier New"/>
          <w:color w:val="auto"/>
          <w:szCs w:val="21"/>
          <w:highlight w:val="none"/>
        </w:rPr>
      </w:pPr>
      <w:r>
        <w:rPr>
          <w:rFonts w:hint="eastAsia" w:ascii="宋体" w:hAnsi="宋体" w:cs="Courier New"/>
          <w:color w:val="auto"/>
          <w:szCs w:val="21"/>
          <w:highlight w:val="none"/>
        </w:rPr>
        <w:t>询价以响应人询价的报价及承诺作为询价小组向采购人推荐成交候选响应人的依据，询价小组应当根据符合采购需求、质量和服务相等且报价最低的原则按顺序排列推荐成交侯选响应人。</w:t>
      </w:r>
    </w:p>
    <w:p>
      <w:pPr>
        <w:spacing w:line="520" w:lineRule="exact"/>
        <w:ind w:firstLine="420" w:firstLineChars="200"/>
        <w:rPr>
          <w:rFonts w:ascii="宋体" w:cs="Courier New"/>
          <w:color w:val="auto"/>
          <w:szCs w:val="21"/>
          <w:highlight w:val="none"/>
        </w:rPr>
      </w:pPr>
      <w:r>
        <w:rPr>
          <w:rFonts w:hint="eastAsia" w:ascii="宋体" w:hAnsi="宋体" w:cs="Courier New"/>
          <w:color w:val="auto"/>
          <w:szCs w:val="21"/>
          <w:highlight w:val="none"/>
        </w:rPr>
        <w:t>询价小组推荐非报价最低的询价响应人为成交响应人的，须附书面报告说明理由且由询价小组全体成员签字确认。</w:t>
      </w:r>
    </w:p>
    <w:p>
      <w:pPr>
        <w:spacing w:line="520" w:lineRule="exact"/>
        <w:ind w:firstLine="420" w:firstLineChars="200"/>
        <w:rPr>
          <w:rFonts w:hint="eastAsia" w:ascii="宋体" w:hAnsi="宋体" w:eastAsia="宋体" w:cs="Courier New"/>
          <w:color w:val="auto"/>
          <w:szCs w:val="21"/>
          <w:highlight w:val="none"/>
        </w:rPr>
      </w:pPr>
      <w:r>
        <w:rPr>
          <w:rFonts w:hint="eastAsia" w:ascii="宋体" w:hAnsi="宋体" w:cs="Courier New"/>
          <w:color w:val="auto"/>
          <w:szCs w:val="21"/>
          <w:highlight w:val="none"/>
        </w:rPr>
        <w:t>在推荐确定成交候选人之前，询价小组认为，排在前面的成交候选响应人的最终报价或者某些分项报价明显不合理或者低于成本，有可能影响商品质量和不能诚信履约的，应当要求其在规定的期限内提供书面文件予以说明理由，并提交相关证明材料。否则，询价小组可</w:t>
      </w:r>
      <w:r>
        <w:rPr>
          <w:rFonts w:hint="eastAsia" w:ascii="宋体" w:hAnsi="宋体" w:eastAsia="宋体" w:cs="Courier New"/>
          <w:color w:val="auto"/>
          <w:szCs w:val="21"/>
          <w:highlight w:val="none"/>
        </w:rPr>
        <w:t>以取消该响应人的成交候选资格，按顺序由排在其次的成交候选响应人递补，以此类推。</w:t>
      </w:r>
    </w:p>
    <w:p>
      <w:pPr>
        <w:spacing w:line="52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lang w:val="en-US" w:eastAsia="zh-CN"/>
        </w:rPr>
        <w:t>若</w:t>
      </w:r>
      <w:r>
        <w:rPr>
          <w:rFonts w:hint="eastAsia" w:ascii="宋体" w:hAnsi="宋体" w:eastAsia="宋体" w:cs="Courier New"/>
          <w:color w:val="auto"/>
          <w:szCs w:val="21"/>
          <w:highlight w:val="none"/>
        </w:rPr>
        <w:t>最低报价出现两家或以上响应人报价相同的，则从报价最低的响应人中抽签确定成交候选供应商。</w:t>
      </w:r>
    </w:p>
    <w:p>
      <w:pPr>
        <w:widowControl/>
        <w:tabs>
          <w:tab w:val="left" w:pos="540"/>
        </w:tabs>
        <w:spacing w:line="520" w:lineRule="exact"/>
        <w:jc w:val="left"/>
        <w:rPr>
          <w:rFonts w:ascii="宋体"/>
          <w:b/>
          <w:color w:val="auto"/>
          <w:sz w:val="28"/>
          <w:szCs w:val="28"/>
          <w:highlight w:val="none"/>
        </w:rPr>
      </w:pPr>
      <w:r>
        <w:rPr>
          <w:rFonts w:ascii="宋体" w:hAnsi="宋体"/>
          <w:b/>
          <w:color w:val="auto"/>
          <w:sz w:val="28"/>
          <w:szCs w:val="28"/>
          <w:highlight w:val="none"/>
        </w:rPr>
        <w:t>3.3</w:t>
      </w:r>
      <w:r>
        <w:rPr>
          <w:rFonts w:hint="eastAsia" w:ascii="宋体" w:hAnsi="宋体"/>
          <w:b/>
          <w:color w:val="auto"/>
          <w:sz w:val="28"/>
          <w:szCs w:val="28"/>
          <w:highlight w:val="none"/>
        </w:rPr>
        <w:t>编写评审报告</w:t>
      </w:r>
    </w:p>
    <w:p>
      <w:pPr>
        <w:spacing w:line="520" w:lineRule="exact"/>
        <w:ind w:firstLine="570"/>
        <w:rPr>
          <w:rFonts w:ascii="宋体"/>
          <w:color w:val="auto"/>
          <w:szCs w:val="21"/>
          <w:highlight w:val="none"/>
        </w:rPr>
      </w:pPr>
      <w:r>
        <w:rPr>
          <w:rFonts w:hint="eastAsia" w:ascii="宋体" w:hAnsi="宋体"/>
          <w:color w:val="auto"/>
          <w:szCs w:val="21"/>
          <w:highlight w:val="none"/>
        </w:rPr>
        <w:t>询价工作结束后，询价小组根据全体成员签字的原始记录和结果编写评审报告。评审报告内容主要包括：</w:t>
      </w:r>
      <w:r>
        <w:rPr>
          <w:rFonts w:ascii="宋体" w:hAnsi="宋体"/>
          <w:color w:val="auto"/>
          <w:szCs w:val="21"/>
          <w:highlight w:val="none"/>
        </w:rPr>
        <w:t>(1)</w:t>
      </w:r>
      <w:r>
        <w:rPr>
          <w:rFonts w:hint="eastAsia" w:ascii="宋体" w:hAnsi="宋体"/>
          <w:color w:val="auto"/>
          <w:szCs w:val="21"/>
          <w:highlight w:val="none"/>
        </w:rPr>
        <w:t>项目基本情况；</w:t>
      </w:r>
      <w:r>
        <w:rPr>
          <w:rFonts w:ascii="宋体" w:hAnsi="宋体"/>
          <w:color w:val="auto"/>
          <w:szCs w:val="21"/>
          <w:highlight w:val="none"/>
        </w:rPr>
        <w:t>(2)</w:t>
      </w:r>
      <w:r>
        <w:rPr>
          <w:rFonts w:hint="eastAsia" w:ascii="宋体" w:hAnsi="宋体"/>
          <w:color w:val="auto"/>
          <w:szCs w:val="21"/>
          <w:highlight w:val="none"/>
        </w:rPr>
        <w:t>询价过程介绍；</w:t>
      </w:r>
      <w:r>
        <w:rPr>
          <w:rFonts w:ascii="宋体" w:hAnsi="宋体"/>
          <w:color w:val="auto"/>
          <w:szCs w:val="21"/>
          <w:highlight w:val="none"/>
        </w:rPr>
        <w:t>(3)</w:t>
      </w:r>
      <w:r>
        <w:rPr>
          <w:rFonts w:hint="eastAsia" w:ascii="宋体" w:hAnsi="宋体"/>
          <w:color w:val="auto"/>
          <w:szCs w:val="21"/>
          <w:highlight w:val="none"/>
        </w:rPr>
        <w:t>询价小组构成；</w:t>
      </w:r>
      <w:r>
        <w:rPr>
          <w:rFonts w:ascii="宋体" w:hAnsi="宋体"/>
          <w:color w:val="auto"/>
          <w:szCs w:val="21"/>
          <w:highlight w:val="none"/>
        </w:rPr>
        <w:t>(4)</w:t>
      </w:r>
      <w:r>
        <w:rPr>
          <w:rFonts w:hint="eastAsia" w:ascii="宋体" w:hAnsi="宋体"/>
          <w:color w:val="auto"/>
          <w:szCs w:val="21"/>
          <w:highlight w:val="none"/>
        </w:rPr>
        <w:t>询价评审情况说明（包括详细评审评分、无效响应人名单及原因）；</w:t>
      </w:r>
      <w:r>
        <w:rPr>
          <w:rFonts w:ascii="宋体" w:hAnsi="宋体"/>
          <w:color w:val="auto"/>
          <w:szCs w:val="21"/>
          <w:highlight w:val="none"/>
        </w:rPr>
        <w:t>(5)</w:t>
      </w:r>
      <w:r>
        <w:rPr>
          <w:rFonts w:hint="eastAsia" w:ascii="宋体" w:hAnsi="宋体"/>
          <w:color w:val="auto"/>
          <w:szCs w:val="21"/>
          <w:highlight w:val="none"/>
        </w:rPr>
        <w:t>推荐成交候选人建议等。</w:t>
      </w:r>
    </w:p>
    <w:bookmarkEnd w:id="111"/>
    <w:bookmarkEnd w:id="112"/>
    <w:bookmarkEnd w:id="113"/>
    <w:bookmarkEnd w:id="114"/>
    <w:bookmarkEnd w:id="115"/>
    <w:bookmarkEnd w:id="116"/>
    <w:bookmarkEnd w:id="117"/>
    <w:bookmarkEnd w:id="118"/>
    <w:bookmarkEnd w:id="122"/>
    <w:p>
      <w:pPr>
        <w:pStyle w:val="3"/>
        <w:rPr>
          <w:color w:val="auto"/>
          <w:sz w:val="28"/>
          <w:szCs w:val="28"/>
          <w:highlight w:val="none"/>
        </w:rPr>
        <w:sectPr>
          <w:pgSz w:w="11906" w:h="16838"/>
          <w:pgMar w:top="1440" w:right="1800" w:bottom="1440" w:left="1800" w:header="851" w:footer="992" w:gutter="0"/>
          <w:cols w:space="720" w:num="1"/>
          <w:docGrid w:type="lines" w:linePitch="312" w:charSpace="0"/>
        </w:sectPr>
      </w:pPr>
      <w:bookmarkStart w:id="127" w:name="_Toc456551944"/>
    </w:p>
    <w:bookmarkEnd w:id="127"/>
    <w:p>
      <w:pPr>
        <w:pStyle w:val="3"/>
        <w:jc w:val="center"/>
        <w:rPr>
          <w:rFonts w:ascii="宋体"/>
          <w:color w:val="auto"/>
          <w:sz w:val="28"/>
          <w:szCs w:val="28"/>
          <w:highlight w:val="none"/>
        </w:rPr>
      </w:pPr>
      <w:bookmarkStart w:id="128" w:name="_3._其他说明_4."/>
      <w:bookmarkEnd w:id="128"/>
      <w:bookmarkStart w:id="129" w:name="_Toc456552075"/>
      <w:bookmarkStart w:id="130" w:name="_Toc338661803"/>
      <w:bookmarkStart w:id="131" w:name="_Toc247085870"/>
      <w:bookmarkStart w:id="132" w:name="_Toc179632804"/>
      <w:bookmarkStart w:id="133" w:name="_Toc246997096"/>
      <w:bookmarkStart w:id="134" w:name="_Toc246996353"/>
      <w:bookmarkStart w:id="135" w:name="_Toc5207"/>
      <w:r>
        <w:rPr>
          <w:rFonts w:hint="eastAsia" w:ascii="宋体" w:hAnsi="宋体"/>
          <w:color w:val="auto"/>
          <w:sz w:val="28"/>
          <w:szCs w:val="28"/>
          <w:highlight w:val="none"/>
        </w:rPr>
        <w:t>第四章</w:t>
      </w:r>
      <w:r>
        <w:rPr>
          <w:rFonts w:ascii="宋体" w:hAnsi="宋体"/>
          <w:color w:val="auto"/>
          <w:sz w:val="28"/>
          <w:szCs w:val="28"/>
          <w:highlight w:val="none"/>
        </w:rPr>
        <w:t xml:space="preserve"> </w:t>
      </w:r>
      <w:bookmarkEnd w:id="129"/>
      <w:bookmarkEnd w:id="130"/>
      <w:bookmarkEnd w:id="131"/>
      <w:bookmarkEnd w:id="132"/>
      <w:bookmarkEnd w:id="133"/>
      <w:bookmarkEnd w:id="134"/>
      <w:r>
        <w:rPr>
          <w:rFonts w:hint="eastAsia" w:ascii="宋体" w:hAnsi="宋体"/>
          <w:color w:val="auto"/>
          <w:sz w:val="28"/>
          <w:szCs w:val="28"/>
          <w:highlight w:val="none"/>
          <w:lang w:val="en-US" w:eastAsia="zh-CN"/>
        </w:rPr>
        <w:t>用户需求</w:t>
      </w:r>
      <w:r>
        <w:rPr>
          <w:rFonts w:hint="eastAsia" w:ascii="宋体" w:hAnsi="宋体"/>
          <w:color w:val="auto"/>
          <w:sz w:val="28"/>
          <w:szCs w:val="28"/>
          <w:highlight w:val="none"/>
        </w:rPr>
        <w:t>书</w:t>
      </w:r>
      <w:bookmarkEnd w:id="135"/>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3"/>
        <w:rPr>
          <w:rFonts w:asciiTheme="majorEastAsia" w:hAnsiTheme="majorEastAsia" w:eastAsiaTheme="majorEastAsia"/>
          <w:b/>
          <w:color w:val="auto"/>
          <w:szCs w:val="21"/>
          <w:highlight w:val="none"/>
        </w:rPr>
      </w:pPr>
      <w:bookmarkStart w:id="136" w:name="_Toc160826262"/>
      <w:r>
        <w:rPr>
          <w:rFonts w:hint="eastAsia" w:asciiTheme="majorEastAsia" w:hAnsiTheme="majorEastAsia" w:eastAsiaTheme="majorEastAsia"/>
          <w:b/>
          <w:color w:val="auto"/>
          <w:szCs w:val="21"/>
          <w:highlight w:val="none"/>
          <w:lang w:val="en-US" w:eastAsia="zh-CN"/>
        </w:rPr>
        <w:t>1、</w:t>
      </w:r>
      <w:r>
        <w:rPr>
          <w:rFonts w:hint="eastAsia" w:asciiTheme="majorEastAsia" w:hAnsiTheme="majorEastAsia" w:eastAsiaTheme="majorEastAsia"/>
          <w:b/>
          <w:color w:val="auto"/>
          <w:szCs w:val="21"/>
          <w:highlight w:val="none"/>
        </w:rPr>
        <w:t>商务需求书</w:t>
      </w:r>
      <w:bookmarkEnd w:id="136"/>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1325"/>
        <w:gridCol w:w="65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序号</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条款名称</w:t>
            </w:r>
          </w:p>
        </w:tc>
        <w:tc>
          <w:tcPr>
            <w:tcW w:w="381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1</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cs="宋体" w:asciiTheme="majorEastAsia" w:hAnsiTheme="majorEastAsia" w:eastAsiaTheme="majorEastAsia"/>
                <w:color w:val="auto"/>
                <w:sz w:val="21"/>
                <w:szCs w:val="21"/>
                <w:highlight w:val="none"/>
                <w:lang w:val="en-US" w:eastAsia="zh-CN"/>
              </w:rPr>
            </w:pPr>
            <w:r>
              <w:rPr>
                <w:rFonts w:hint="eastAsia" w:cs="宋体" w:asciiTheme="majorEastAsia" w:hAnsiTheme="majorEastAsia" w:eastAsiaTheme="majorEastAsia"/>
                <w:color w:val="auto"/>
                <w:sz w:val="21"/>
                <w:szCs w:val="21"/>
                <w:highlight w:val="none"/>
              </w:rPr>
              <w:t>合格</w:t>
            </w:r>
            <w:r>
              <w:rPr>
                <w:rFonts w:hint="eastAsia" w:cs="宋体" w:asciiTheme="majorEastAsia" w:hAnsiTheme="majorEastAsia" w:eastAsiaTheme="majorEastAsia"/>
                <w:color w:val="auto"/>
                <w:sz w:val="21"/>
                <w:szCs w:val="21"/>
                <w:highlight w:val="none"/>
                <w:lang w:val="en-US" w:eastAsia="zh-CN"/>
              </w:rPr>
              <w:t>响应人</w:t>
            </w:r>
          </w:p>
        </w:tc>
        <w:tc>
          <w:tcPr>
            <w:tcW w:w="3819"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ajorEastAsia" w:hAnsiTheme="majorEastAsia" w:eastAsiaTheme="majorEastAsia"/>
                <w:bCs/>
                <w:color w:val="auto"/>
                <w:kern w:val="44"/>
                <w:sz w:val="21"/>
                <w:szCs w:val="21"/>
                <w:highlight w:val="none"/>
                <w:lang w:val="en-US" w:eastAsia="zh-CN"/>
              </w:rPr>
            </w:pPr>
            <w:r>
              <w:rPr>
                <w:rFonts w:hint="eastAsia" w:cs="宋体" w:asciiTheme="majorEastAsia" w:hAnsiTheme="majorEastAsia" w:eastAsiaTheme="majorEastAsia"/>
                <w:color w:val="auto"/>
                <w:sz w:val="21"/>
                <w:szCs w:val="21"/>
                <w:highlight w:val="none"/>
              </w:rPr>
              <w:t>详见“第一</w:t>
            </w:r>
            <w:r>
              <w:rPr>
                <w:rFonts w:hint="eastAsia" w:cs="宋体" w:asciiTheme="majorEastAsia" w:hAnsiTheme="majorEastAsia" w:eastAsiaTheme="majorEastAsia"/>
                <w:color w:val="auto"/>
                <w:sz w:val="21"/>
                <w:szCs w:val="21"/>
                <w:highlight w:val="none"/>
                <w:lang w:val="en-US" w:eastAsia="zh-CN"/>
              </w:rPr>
              <w:t>章</w:t>
            </w:r>
            <w:r>
              <w:rPr>
                <w:rFonts w:hint="eastAsia" w:cs="宋体" w:asciiTheme="majorEastAsia" w:hAnsiTheme="majorEastAsia" w:eastAsiaTheme="majorEastAsia"/>
                <w:color w:val="auto"/>
                <w:sz w:val="21"/>
                <w:szCs w:val="21"/>
                <w:highlight w:val="none"/>
              </w:rPr>
              <w:t xml:space="preserve"> </w:t>
            </w:r>
            <w:r>
              <w:rPr>
                <w:rFonts w:hint="eastAsia" w:cs="宋体" w:asciiTheme="majorEastAsia" w:hAnsiTheme="majorEastAsia" w:eastAsiaTheme="majorEastAsia"/>
                <w:color w:val="auto"/>
                <w:sz w:val="21"/>
                <w:szCs w:val="21"/>
                <w:highlight w:val="none"/>
                <w:lang w:val="en-US" w:eastAsia="zh-CN"/>
              </w:rPr>
              <w:t>询价公告</w:t>
            </w:r>
            <w:r>
              <w:rPr>
                <w:rFonts w:hint="eastAsia" w:cs="宋体" w:asciiTheme="majorEastAsia" w:hAnsiTheme="majorEastAsia" w:eastAsiaTheme="majorEastAsia"/>
                <w:color w:val="auto"/>
                <w:sz w:val="21"/>
                <w:szCs w:val="21"/>
                <w:highlight w:val="none"/>
              </w:rPr>
              <w:t>”中“二、响应人资格要求”</w:t>
            </w:r>
            <w:r>
              <w:rPr>
                <w:rFonts w:hint="eastAsia" w:cs="宋体" w:asciiTheme="majorEastAsia" w:hAnsiTheme="majorEastAsia" w:eastAsiaTheme="majorEastAsia"/>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2</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供货期</w:t>
            </w:r>
          </w:p>
        </w:tc>
        <w:tc>
          <w:tcPr>
            <w:tcW w:w="3819" w:type="pct"/>
            <w:vAlign w:val="center"/>
          </w:tcPr>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highlight w:val="none"/>
              </w:rPr>
            </w:pPr>
            <w:r>
              <w:rPr>
                <w:rFonts w:hint="eastAsia"/>
                <w:color w:val="auto"/>
                <w:highlight w:val="none"/>
              </w:rPr>
              <w:t>本项目工期为自合同签订之日起90个日历天，具体要求为：合同签定后30个日历天内完成设备基础施工、60个日历天内所有设备及材料均到现场，90个日历天内完成设备调试并投入试运行。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lang w:val="en-US" w:eastAsia="zh-CN"/>
              </w:rPr>
              <w:t>3</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付款方式</w:t>
            </w:r>
          </w:p>
        </w:tc>
        <w:tc>
          <w:tcPr>
            <w:tcW w:w="3819" w:type="pct"/>
            <w:vAlign w:val="center"/>
          </w:tcPr>
          <w:p>
            <w:pPr>
              <w:pStyle w:val="17"/>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cs="宋体" w:asciiTheme="majorEastAsia" w:hAnsiTheme="majorEastAsia" w:eastAsiaTheme="majorEastAsia"/>
                <w:b w:val="0"/>
                <w:bCs w:val="0"/>
                <w:color w:val="auto"/>
                <w:sz w:val="21"/>
                <w:szCs w:val="21"/>
                <w:highlight w:val="none"/>
              </w:rPr>
            </w:pPr>
            <w:r>
              <w:rPr>
                <w:rFonts w:hint="eastAsia" w:cs="宋体" w:asciiTheme="majorEastAsia" w:hAnsiTheme="majorEastAsia" w:eastAsiaTheme="majorEastAsia"/>
                <w:b w:val="0"/>
                <w:bCs w:val="0"/>
                <w:color w:val="auto"/>
                <w:sz w:val="21"/>
                <w:szCs w:val="21"/>
                <w:highlight w:val="none"/>
              </w:rPr>
              <w:t>1、合同签订后，成交人提交请款资料及合同金额20%的增值税专用发票，采购人在收到上述有效资料之日起20个工作日内支付合同金额的20%；</w:t>
            </w:r>
          </w:p>
          <w:p>
            <w:pPr>
              <w:pStyle w:val="17"/>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cs="宋体" w:asciiTheme="majorEastAsia" w:hAnsiTheme="majorEastAsia" w:eastAsiaTheme="majorEastAsia"/>
                <w:b w:val="0"/>
                <w:bCs w:val="0"/>
                <w:color w:val="auto"/>
                <w:sz w:val="21"/>
                <w:szCs w:val="21"/>
                <w:highlight w:val="none"/>
              </w:rPr>
            </w:pPr>
            <w:r>
              <w:rPr>
                <w:rFonts w:hint="eastAsia" w:cs="宋体" w:asciiTheme="majorEastAsia" w:hAnsiTheme="majorEastAsia" w:eastAsiaTheme="majorEastAsia"/>
                <w:b w:val="0"/>
                <w:bCs w:val="0"/>
                <w:color w:val="auto"/>
                <w:sz w:val="21"/>
                <w:szCs w:val="21"/>
                <w:highlight w:val="none"/>
              </w:rPr>
              <w:t>2、成交人按交货顺序及进度在规定的时间内将全部合同设备和随机资料运到交货地点，并将等额增值专用发票、清单、质量检验合格证明、</w:t>
            </w:r>
            <w:r>
              <w:rPr>
                <w:rFonts w:hint="eastAsia" w:cs="宋体" w:asciiTheme="majorEastAsia" w:hAnsiTheme="majorEastAsia" w:eastAsiaTheme="majorEastAsia"/>
                <w:b w:val="0"/>
                <w:bCs w:val="0"/>
                <w:color w:val="auto"/>
                <w:sz w:val="21"/>
                <w:szCs w:val="21"/>
                <w:highlight w:val="none"/>
                <w:lang w:eastAsia="zh-CN"/>
              </w:rPr>
              <w:t>采购人</w:t>
            </w:r>
            <w:r>
              <w:rPr>
                <w:rFonts w:hint="eastAsia" w:cs="宋体" w:asciiTheme="majorEastAsia" w:hAnsiTheme="majorEastAsia" w:eastAsiaTheme="majorEastAsia"/>
                <w:b w:val="0"/>
                <w:bCs w:val="0"/>
                <w:color w:val="auto"/>
                <w:sz w:val="21"/>
                <w:szCs w:val="21"/>
                <w:highlight w:val="none"/>
              </w:rPr>
              <w:t>现场验收合格单复印件等请款资料提交至采购人，采购人在20个工作日内支付至合同金额的60%；</w:t>
            </w:r>
          </w:p>
          <w:p>
            <w:pPr>
              <w:pStyle w:val="17"/>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cs="宋体" w:asciiTheme="majorEastAsia" w:hAnsiTheme="majorEastAsia" w:eastAsiaTheme="majorEastAsia"/>
                <w:b w:val="0"/>
                <w:bCs w:val="0"/>
                <w:color w:val="auto"/>
                <w:sz w:val="21"/>
                <w:szCs w:val="21"/>
                <w:highlight w:val="none"/>
              </w:rPr>
            </w:pPr>
            <w:r>
              <w:rPr>
                <w:rFonts w:hint="eastAsia" w:cs="宋体" w:asciiTheme="majorEastAsia" w:hAnsiTheme="majorEastAsia" w:eastAsiaTheme="majorEastAsia"/>
                <w:b w:val="0"/>
                <w:bCs w:val="0"/>
                <w:color w:val="auto"/>
                <w:sz w:val="21"/>
                <w:szCs w:val="21"/>
                <w:highlight w:val="none"/>
              </w:rPr>
              <w:t>3、成交人完成项目安装调试及施工，系统经72小时试运行完成，经甲方组织性能验收合格且</w:t>
            </w:r>
            <w:r>
              <w:rPr>
                <w:rFonts w:hint="eastAsia" w:cs="宋体" w:asciiTheme="majorEastAsia" w:hAnsiTheme="majorEastAsia" w:eastAsiaTheme="majorEastAsia"/>
                <w:b w:val="0"/>
                <w:bCs w:val="0"/>
                <w:color w:val="auto"/>
                <w:sz w:val="21"/>
                <w:szCs w:val="21"/>
                <w:highlight w:val="none"/>
                <w:lang w:eastAsia="zh-CN"/>
              </w:rPr>
              <w:t>成交人</w:t>
            </w:r>
            <w:r>
              <w:rPr>
                <w:rFonts w:hint="eastAsia" w:cs="宋体" w:asciiTheme="majorEastAsia" w:hAnsiTheme="majorEastAsia" w:eastAsiaTheme="majorEastAsia"/>
                <w:b w:val="0"/>
                <w:bCs w:val="0"/>
                <w:color w:val="auto"/>
                <w:sz w:val="21"/>
                <w:szCs w:val="21"/>
                <w:highlight w:val="none"/>
              </w:rPr>
              <w:t>完成结算办理后，成交人提交至项目结算金额100%的增值税专用发票及请款资料，采购人在20个工作日内支付至项目结算金额的90%。</w:t>
            </w:r>
          </w:p>
          <w:p>
            <w:pPr>
              <w:pStyle w:val="17"/>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cs="宋体" w:asciiTheme="majorEastAsia" w:hAnsiTheme="majorEastAsia" w:eastAsiaTheme="majorEastAsia"/>
                <w:b w:val="0"/>
                <w:bCs w:val="0"/>
                <w:color w:val="auto"/>
                <w:sz w:val="21"/>
                <w:szCs w:val="21"/>
                <w:highlight w:val="none"/>
              </w:rPr>
            </w:pPr>
            <w:r>
              <w:rPr>
                <w:rFonts w:hint="eastAsia" w:cs="宋体" w:asciiTheme="majorEastAsia" w:hAnsiTheme="majorEastAsia" w:eastAsiaTheme="majorEastAsia"/>
                <w:b w:val="0"/>
                <w:bCs w:val="0"/>
                <w:color w:val="auto"/>
                <w:sz w:val="21"/>
                <w:szCs w:val="21"/>
                <w:highlight w:val="none"/>
              </w:rPr>
              <w:t>4、剩余项目结算金额的10%为质保金（质保贰年），待合同设备保证期满合同执行无争议且</w:t>
            </w:r>
            <w:r>
              <w:rPr>
                <w:rFonts w:hint="eastAsia" w:cs="宋体" w:asciiTheme="majorEastAsia" w:hAnsiTheme="majorEastAsia" w:eastAsiaTheme="majorEastAsia"/>
                <w:b w:val="0"/>
                <w:bCs w:val="0"/>
                <w:color w:val="auto"/>
                <w:sz w:val="21"/>
                <w:szCs w:val="21"/>
                <w:highlight w:val="none"/>
                <w:lang w:eastAsia="zh-CN"/>
              </w:rPr>
              <w:t>成交人</w:t>
            </w:r>
            <w:r>
              <w:rPr>
                <w:rFonts w:hint="eastAsia" w:cs="宋体" w:asciiTheme="majorEastAsia" w:hAnsiTheme="majorEastAsia" w:eastAsiaTheme="majorEastAsia"/>
                <w:b w:val="0"/>
                <w:bCs w:val="0"/>
                <w:color w:val="auto"/>
                <w:sz w:val="21"/>
                <w:szCs w:val="21"/>
                <w:highlight w:val="none"/>
              </w:rPr>
              <w:t>完成全部质保服务，成交人的合同设备最终验收证书经甲方审核无误后，成交人提交请款资料，采购人在收到上述有效资料之日起20个工作日内完成支付（采购人有权扣除成交人违约金、赔偿款等应承担的款项后再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val="en-US" w:eastAsia="zh-CN"/>
              </w:rPr>
            </w:pPr>
            <w:r>
              <w:rPr>
                <w:rFonts w:hint="eastAsia" w:cs="宋体" w:asciiTheme="majorEastAsia" w:hAnsiTheme="majorEastAsia" w:eastAsiaTheme="majorEastAsia"/>
                <w:color w:val="auto"/>
                <w:sz w:val="21"/>
                <w:szCs w:val="21"/>
                <w:highlight w:val="none"/>
                <w:lang w:val="en-US" w:eastAsia="zh-CN"/>
              </w:rPr>
              <w:t>4</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项目地点</w:t>
            </w:r>
          </w:p>
        </w:tc>
        <w:tc>
          <w:tcPr>
            <w:tcW w:w="3819" w:type="pct"/>
            <w:vAlign w:val="center"/>
          </w:tcPr>
          <w:p>
            <w:pPr>
              <w:pStyle w:val="17"/>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cs="宋体" w:asciiTheme="majorEastAsia" w:hAnsiTheme="majorEastAsia" w:eastAsiaTheme="majorEastAsia"/>
                <w:b w:val="0"/>
                <w:bCs w:val="0"/>
                <w:color w:val="auto"/>
                <w:sz w:val="21"/>
                <w:szCs w:val="21"/>
                <w:highlight w:val="none"/>
              </w:rPr>
            </w:pPr>
            <w:r>
              <w:rPr>
                <w:rFonts w:hint="eastAsia" w:cs="宋体" w:asciiTheme="majorEastAsia" w:hAnsiTheme="majorEastAsia" w:eastAsiaTheme="majorEastAsia"/>
                <w:b w:val="0"/>
                <w:bCs w:val="0"/>
                <w:color w:val="auto"/>
                <w:sz w:val="21"/>
                <w:szCs w:val="21"/>
                <w:highlight w:val="none"/>
              </w:rPr>
              <w:t>东莞市麻涌镇大步村海心沙岛。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lang w:val="en-US" w:eastAsia="zh-CN"/>
              </w:rPr>
              <w:t>5</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报价要求</w:t>
            </w:r>
          </w:p>
        </w:tc>
        <w:tc>
          <w:tcPr>
            <w:tcW w:w="3819"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本项目发包方式为固定总价包干，实行固定价格报价，包括但不限于：完成本项目的成本、利润、税金等在项目过程中可能产生的一切费用。响应人已充分考虑了本项目服务内容及要求描述工作量可能与最终实际工作量存在差距的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6</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质保期</w:t>
            </w:r>
          </w:p>
        </w:tc>
        <w:tc>
          <w:tcPr>
            <w:tcW w:w="3819"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s="宋体" w:asciiTheme="majorEastAsia" w:hAnsiTheme="majorEastAsia" w:eastAsiaTheme="majorEastAsia"/>
                <w:color w:val="auto"/>
                <w:kern w:val="2"/>
                <w:sz w:val="21"/>
                <w:szCs w:val="21"/>
                <w:highlight w:val="none"/>
                <w:lang w:val="en-US" w:bidi="zh-CN"/>
              </w:rPr>
              <w:t>采购人</w:t>
            </w:r>
            <w:r>
              <w:rPr>
                <w:rFonts w:hint="eastAsia" w:cs="宋体" w:asciiTheme="majorEastAsia" w:hAnsiTheme="majorEastAsia" w:eastAsiaTheme="majorEastAsia"/>
                <w:color w:val="auto"/>
                <w:kern w:val="2"/>
                <w:sz w:val="21"/>
                <w:szCs w:val="21"/>
                <w:highlight w:val="none"/>
                <w:lang w:val="zh-CN" w:bidi="zh-CN"/>
              </w:rPr>
              <w:t>最终验收合格签收日起2年。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cs="宋体" w:asciiTheme="majorEastAsia" w:hAnsiTheme="majorEastAsia" w:eastAsiaTheme="majorEastAsia"/>
                <w:color w:val="auto"/>
                <w:sz w:val="21"/>
                <w:szCs w:val="21"/>
                <w:highlight w:val="none"/>
                <w:lang w:val="en-US" w:eastAsia="zh-CN"/>
              </w:rPr>
            </w:pPr>
            <w:r>
              <w:rPr>
                <w:rFonts w:hint="eastAsia" w:cs="宋体" w:asciiTheme="majorEastAsia" w:hAnsiTheme="majorEastAsia" w:eastAsiaTheme="majorEastAsia"/>
                <w:color w:val="auto"/>
                <w:sz w:val="21"/>
                <w:szCs w:val="21"/>
                <w:highlight w:val="none"/>
                <w:lang w:val="en-US" w:eastAsia="zh-CN"/>
              </w:rPr>
              <w:t>7</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rPr>
              <w:t>合同</w:t>
            </w:r>
            <w:r>
              <w:rPr>
                <w:rFonts w:hint="eastAsia" w:cs="宋体" w:asciiTheme="majorEastAsia" w:hAnsiTheme="majorEastAsia" w:eastAsiaTheme="majorEastAsia"/>
                <w:color w:val="auto"/>
                <w:sz w:val="21"/>
                <w:szCs w:val="21"/>
                <w:highlight w:val="none"/>
                <w:lang w:val="en-US" w:eastAsia="zh-CN"/>
              </w:rPr>
              <w:t>要求</w:t>
            </w:r>
          </w:p>
        </w:tc>
        <w:tc>
          <w:tcPr>
            <w:tcW w:w="3819"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ajorEastAsia" w:hAnsiTheme="majorEastAsia" w:eastAsiaTheme="majorEastAsia"/>
                <w:color w:val="auto"/>
                <w:kern w:val="2"/>
                <w:sz w:val="21"/>
                <w:szCs w:val="21"/>
                <w:highlight w:val="none"/>
                <w:lang w:val="zh-CN" w:bidi="zh-CN"/>
              </w:rPr>
            </w:pPr>
            <w:r>
              <w:rPr>
                <w:rFonts w:hint="eastAsia" w:cs="宋体" w:asciiTheme="majorEastAsia" w:hAnsiTheme="majorEastAsia" w:eastAsiaTheme="majorEastAsia"/>
                <w:color w:val="auto"/>
                <w:kern w:val="2"/>
                <w:sz w:val="21"/>
                <w:szCs w:val="21"/>
                <w:highlight w:val="none"/>
                <w:lang w:val="en-US" w:bidi="zh-CN"/>
              </w:rPr>
              <w:t>1、</w:t>
            </w:r>
            <w:r>
              <w:rPr>
                <w:rFonts w:hint="eastAsia" w:cs="宋体" w:asciiTheme="majorEastAsia" w:hAnsiTheme="majorEastAsia" w:eastAsiaTheme="majorEastAsia"/>
                <w:color w:val="auto"/>
                <w:kern w:val="2"/>
                <w:sz w:val="21"/>
                <w:szCs w:val="21"/>
                <w:highlight w:val="none"/>
                <w:lang w:val="zh-CN" w:bidi="zh-CN"/>
              </w:rPr>
              <w:t>响应人实质响应合同各条款。</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cs="宋体" w:asciiTheme="majorEastAsia" w:hAnsiTheme="majorEastAsia" w:eastAsiaTheme="majorEastAsia"/>
                <w:color w:val="auto"/>
                <w:kern w:val="2"/>
                <w:sz w:val="21"/>
                <w:szCs w:val="21"/>
                <w:highlight w:val="none"/>
                <w:lang w:val="en-US" w:bidi="zh-CN"/>
              </w:rPr>
            </w:pPr>
            <w:r>
              <w:rPr>
                <w:rFonts w:hint="eastAsia" w:cs="宋体" w:asciiTheme="majorEastAsia" w:hAnsiTheme="majorEastAsia" w:eastAsiaTheme="majorEastAsia"/>
                <w:color w:val="auto"/>
                <w:kern w:val="2"/>
                <w:sz w:val="21"/>
                <w:szCs w:val="21"/>
                <w:highlight w:val="none"/>
                <w:lang w:val="en-US" w:bidi="zh-CN"/>
              </w:rPr>
              <w:t>2、合同签订的依据为询价函、响应文件及补充说明等。确定成交人后，成交人在10天内与采购人签订合同。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lang w:val="en-US" w:eastAsia="zh-CN"/>
              </w:rPr>
              <w:t>8</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采购内容及要求</w:t>
            </w:r>
          </w:p>
        </w:tc>
        <w:tc>
          <w:tcPr>
            <w:tcW w:w="3819"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ajorEastAsia" w:hAnsiTheme="majorEastAsia" w:eastAsiaTheme="majorEastAsia"/>
                <w:color w:val="auto"/>
                <w:kern w:val="2"/>
                <w:sz w:val="21"/>
                <w:szCs w:val="21"/>
                <w:highlight w:val="none"/>
                <w:lang w:val="zh-CN" w:bidi="zh-CN"/>
              </w:rPr>
            </w:pPr>
            <w:r>
              <w:rPr>
                <w:rFonts w:hint="eastAsia" w:cs="宋体" w:asciiTheme="majorEastAsia" w:hAnsiTheme="majorEastAsia" w:eastAsiaTheme="majorEastAsia"/>
                <w:color w:val="auto"/>
                <w:kern w:val="2"/>
                <w:sz w:val="21"/>
                <w:szCs w:val="21"/>
                <w:highlight w:val="none"/>
                <w:lang w:val="zh-CN" w:bidi="zh-CN"/>
              </w:rPr>
              <w:t>1、</w:t>
            </w:r>
            <w:r>
              <w:rPr>
                <w:rFonts w:hint="eastAsia" w:cs="宋体" w:asciiTheme="majorEastAsia" w:hAnsiTheme="majorEastAsia" w:eastAsiaTheme="majorEastAsia"/>
                <w:bCs w:val="0"/>
                <w:color w:val="auto"/>
                <w:szCs w:val="21"/>
                <w:highlight w:val="none"/>
                <w:lang w:val="zh-CN" w:bidi="zh-CN"/>
              </w:rPr>
              <w:sym w:font="Wingdings" w:char="F0AB"/>
            </w:r>
            <w:r>
              <w:rPr>
                <w:rFonts w:hint="eastAsia" w:cs="宋体" w:asciiTheme="majorEastAsia" w:hAnsiTheme="majorEastAsia" w:eastAsiaTheme="majorEastAsia"/>
                <w:color w:val="auto"/>
                <w:kern w:val="2"/>
                <w:sz w:val="21"/>
                <w:szCs w:val="21"/>
                <w:highlight w:val="none"/>
                <w:lang w:val="zh-CN" w:bidi="zh-CN"/>
              </w:rPr>
              <w:t>响应人必须完全响应本项目技术需求书要求，不得偏离。响应人应仔细阅读本询价文件及相关附件，因未详细了解本项目造成报价项目遗漏，由响应人自行负责（</w:t>
            </w:r>
            <w:r>
              <w:rPr>
                <w:rFonts w:hint="eastAsia" w:cs="宋体" w:asciiTheme="majorEastAsia" w:hAnsiTheme="majorEastAsia" w:eastAsiaTheme="majorEastAsia"/>
                <w:color w:val="auto"/>
                <w:kern w:val="2"/>
                <w:sz w:val="21"/>
                <w:szCs w:val="21"/>
                <w:highlight w:val="none"/>
                <w:lang w:val="en-US" w:bidi="zh-CN"/>
              </w:rPr>
              <w:t>响应人须单独提供承诺函）</w:t>
            </w:r>
            <w:r>
              <w:rPr>
                <w:rFonts w:hint="eastAsia" w:cs="宋体" w:asciiTheme="majorEastAsia" w:hAnsiTheme="majorEastAsia" w:eastAsiaTheme="majorEastAsia"/>
                <w:color w:val="auto"/>
                <w:kern w:val="2"/>
                <w:sz w:val="21"/>
                <w:szCs w:val="21"/>
                <w:highlight w:val="none"/>
                <w:lang w:val="zh-CN" w:bidi="zh-CN"/>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ajorEastAsia" w:hAnsiTheme="majorEastAsia" w:eastAsiaTheme="majorEastAsia"/>
                <w:color w:val="auto"/>
                <w:kern w:val="2"/>
                <w:sz w:val="21"/>
                <w:szCs w:val="21"/>
                <w:highlight w:val="none"/>
                <w:lang w:val="zh-CN" w:bidi="zh-CN"/>
              </w:rPr>
            </w:pPr>
            <w:r>
              <w:rPr>
                <w:rFonts w:hint="eastAsia" w:cs="宋体" w:asciiTheme="majorEastAsia" w:hAnsiTheme="majorEastAsia" w:eastAsiaTheme="majorEastAsia"/>
                <w:color w:val="auto"/>
                <w:kern w:val="2"/>
                <w:sz w:val="21"/>
                <w:szCs w:val="21"/>
                <w:highlight w:val="none"/>
                <w:lang w:val="zh-CN" w:bidi="zh-CN"/>
              </w:rPr>
              <w:t>2、响应人投入本项目的人员必须根据项目专业要求持证上岗，并在人员上岗前24小时内向采购人提供有效证件原件核验。</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ajorEastAsia" w:hAnsiTheme="majorEastAsia" w:eastAsiaTheme="majorEastAsia"/>
                <w:color w:val="auto"/>
                <w:kern w:val="2"/>
                <w:sz w:val="21"/>
                <w:szCs w:val="21"/>
                <w:highlight w:val="none"/>
                <w:lang w:val="zh-CN" w:bidi="zh-CN"/>
              </w:rPr>
            </w:pPr>
            <w:r>
              <w:rPr>
                <w:rFonts w:hint="eastAsia" w:cs="宋体" w:asciiTheme="majorEastAsia" w:hAnsiTheme="majorEastAsia" w:eastAsiaTheme="majorEastAsia"/>
                <w:color w:val="auto"/>
                <w:kern w:val="2"/>
                <w:sz w:val="21"/>
                <w:szCs w:val="21"/>
                <w:highlight w:val="none"/>
                <w:lang w:val="zh-CN" w:bidi="zh-CN"/>
              </w:rPr>
              <w:t>3、响应人应为委派的工作人员购买保额不低于120万/人的人身意外伤害保险，且保险期限不短于合同履行期。</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ajorEastAsia" w:hAnsiTheme="majorEastAsia" w:eastAsiaTheme="majorEastAsia"/>
                <w:color w:val="auto"/>
                <w:kern w:val="2"/>
                <w:sz w:val="21"/>
                <w:szCs w:val="21"/>
                <w:highlight w:val="none"/>
                <w:lang w:val="zh-CN" w:bidi="zh-CN"/>
              </w:rPr>
            </w:pPr>
            <w:r>
              <w:rPr>
                <w:rFonts w:hint="eastAsia" w:cs="宋体" w:asciiTheme="majorEastAsia" w:hAnsiTheme="majorEastAsia" w:eastAsiaTheme="majorEastAsia"/>
                <w:color w:val="auto"/>
                <w:kern w:val="2"/>
                <w:sz w:val="21"/>
                <w:szCs w:val="21"/>
                <w:highlight w:val="none"/>
                <w:lang w:val="zh-CN" w:bidi="zh-CN"/>
              </w:rPr>
              <w:t>4、响应人应到现场踏勘，核实现场施工的全部条件及要求。因响应人未踏勘现场造成对项目的理解或报价偏差，责任由响应人承担。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cs="宋体" w:asciiTheme="majorEastAsia" w:hAnsiTheme="majorEastAsia" w:eastAsiaTheme="majorEastAsia"/>
                <w:color w:val="auto"/>
                <w:kern w:val="2"/>
                <w:sz w:val="21"/>
                <w:szCs w:val="21"/>
                <w:highlight w:val="none"/>
                <w:lang w:val="zh-CN" w:bidi="zh-CN"/>
              </w:rPr>
            </w:pPr>
            <w:r>
              <w:rPr>
                <w:rFonts w:hint="eastAsia" w:cs="宋体" w:asciiTheme="majorEastAsia" w:hAnsiTheme="majorEastAsia" w:eastAsiaTheme="majorEastAsia"/>
                <w:color w:val="auto"/>
                <w:kern w:val="2"/>
                <w:sz w:val="21"/>
                <w:szCs w:val="21"/>
                <w:highlight w:val="none"/>
                <w:lang w:val="zh-CN" w:bidi="zh-CN"/>
              </w:rPr>
              <w:t>5、对项目要求及现场有疑问，可咨询项目负责人邓工 13809633743。</w:t>
            </w:r>
          </w:p>
        </w:tc>
      </w:tr>
    </w:tbl>
    <w:p>
      <w:pPr>
        <w:spacing w:line="360" w:lineRule="auto"/>
        <w:rPr>
          <w:rFonts w:hint="eastAsia" w:ascii="宋体"/>
          <w:bCs/>
          <w:color w:val="auto"/>
          <w:szCs w:val="21"/>
          <w:highlight w:val="none"/>
          <w:lang w:val="en-US" w:eastAsia="zh-CN"/>
        </w:rPr>
      </w:pPr>
    </w:p>
    <w:p>
      <w:pPr>
        <w:rPr>
          <w:rFonts w:hint="eastAsia" w:ascii="宋体"/>
          <w:bCs/>
          <w:color w:val="auto"/>
          <w:szCs w:val="21"/>
          <w:highlight w:val="none"/>
          <w:lang w:val="en-US" w:eastAsia="zh-CN"/>
        </w:rPr>
      </w:pPr>
      <w:r>
        <w:rPr>
          <w:rFonts w:hint="eastAsia" w:ascii="宋体"/>
          <w:bCs/>
          <w:color w:val="auto"/>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3"/>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lang w:val="en-US" w:eastAsia="zh-CN"/>
        </w:rPr>
        <w:t>2、技术</w:t>
      </w:r>
      <w:r>
        <w:rPr>
          <w:rFonts w:hint="eastAsia" w:asciiTheme="majorEastAsia" w:hAnsiTheme="majorEastAsia" w:eastAsiaTheme="majorEastAsia"/>
          <w:b/>
          <w:color w:val="auto"/>
          <w:szCs w:val="21"/>
          <w:highlight w:val="none"/>
        </w:rPr>
        <w:t>需求书</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技术规范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本技术规范提出的是最低限度的要求，并未对一切细节作出规定，也未充分引述有关标准和规范的条文，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保证提供符合本项技术规范和有关最新工业标准的产品。</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37" w:name="_Toc11613"/>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1概述</w:t>
      </w:r>
      <w:bookmarkEnd w:id="137"/>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1.1 本技术规范适用于东莞市新东元环保投资有限公司循环水膜处理设备采购（含设备基础、设计、供货、安装、调试、培训等）,它提出了该设备的功能设计、结构、性能、安装和试验等方面的技术要求。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1.2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提供的设备材料必须是技术先进，经济合理，成熟可靠、全新的、合格的产品，并达到国家相关出厂检验指标。</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1.3 本技术规范提出了最低限度的技术要求，并未对一切技术细节作出规定，也未充分引述有关标准和规范的条文，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保证提供符合技术规范和现行工业标准的优质产品。</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1.4 在签订合同之后，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有权提出因规范标准和规程发生变化而产生的一些补充修改要求，具体款项由供、需双方共同商定。</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1.5 技术规范所使用的标准，如遇与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所执行的标准不一致时，按较高的标准执行。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1.6 标准、规范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循环水膜处理系统等设备的设计、制造、施工、安装、调试、试验及检查、试运行、考核、最终交付等应符合国家相关的法律及规范，以及最新版的ISO和IEC标准。对于标准的采用应符合下述原则：</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采用的标准按照国标执行。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与安全、环保、工业卫生、消防等相关的事项必须执行国家及地方有关法规、标准。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设备的设计、制造、安装、调试、检验、性能试验等执行国家标准。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应提交设备的设计、制造、施工、安装、调试指导、试验及检查、试运行、考核、最终交付中采用的所有标准、规定及相关标准的清单。在合同执行过程中采用的标准需经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确认。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厂界噪声标准执行《工业企业厂界环境噪声排放标准》（GB12348-2008）中的Ⅱ级标准，对建筑物的直达声源噪声控制，应符合现行《工业企业噪声控制设计规范》GB/T 50087-2013的有关规定。即：</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工房内噪声值：距声源1米处  ≤85 dB(A)</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厂界噪声值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白天    ≤60 dB(A)</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夜间    ≤50 dB(A)</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设备噪声值应低于85dB(A)，在距声源1m处检测。</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1.7 计量单位和文字</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工程联系文件、技术资料、图纸、计算、仪表刻度和文件中的计量单位应为国际计量单位(SI)制。采用的文字为中文。</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1.8 供货技术规范书，作为供货合同不可分割的一部分，与供货合同一样具有同等效力。</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1.9</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本协议范围内设备质保期：甲方最终验收合格签收日起2年。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38" w:name="_Toc21415"/>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2主要设备技术参数</w:t>
      </w:r>
      <w:bookmarkEnd w:id="138"/>
      <w:r>
        <w:rPr>
          <w:rFonts w:hint="eastAsia" w:ascii="宋体" w:hAnsi="宋体" w:eastAsia="宋体" w:cs="宋体"/>
          <w:color w:val="auto"/>
          <w:sz w:val="21"/>
          <w:szCs w:val="21"/>
          <w:highlight w:val="none"/>
        </w:rPr>
        <w:t>要求（包括但不限于以下设备及配套配件，以下建议品牌供参考）</w:t>
      </w:r>
    </w:p>
    <w:tbl>
      <w:tblPr>
        <w:tblStyle w:val="38"/>
        <w:tblW w:w="8804" w:type="dxa"/>
        <w:tblInd w:w="91" w:type="dxa"/>
        <w:tblLayout w:type="fixed"/>
        <w:tblCellMar>
          <w:top w:w="0" w:type="dxa"/>
          <w:left w:w="108" w:type="dxa"/>
          <w:bottom w:w="0" w:type="dxa"/>
          <w:right w:w="108" w:type="dxa"/>
        </w:tblCellMar>
      </w:tblPr>
      <w:tblGrid>
        <w:gridCol w:w="718"/>
        <w:gridCol w:w="1424"/>
        <w:gridCol w:w="1984"/>
        <w:gridCol w:w="765"/>
        <w:gridCol w:w="760"/>
        <w:gridCol w:w="1632"/>
        <w:gridCol w:w="1521"/>
      </w:tblGrid>
      <w:tr>
        <w:tblPrEx>
          <w:tblCellMar>
            <w:top w:w="0" w:type="dxa"/>
            <w:left w:w="108" w:type="dxa"/>
            <w:bottom w:w="0" w:type="dxa"/>
            <w:right w:w="108" w:type="dxa"/>
          </w:tblCellMar>
        </w:tblPrEx>
        <w:trPr>
          <w:trHeight w:val="0" w:hRule="atLeast"/>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98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规格型号</w:t>
            </w:r>
          </w:p>
        </w:tc>
        <w:tc>
          <w:tcPr>
            <w:tcW w:w="7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76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63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建议品牌/厂家</w:t>
            </w:r>
          </w:p>
        </w:tc>
        <w:tc>
          <w:tcPr>
            <w:tcW w:w="152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高速精密过滤器系统</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处理量200吨/小时</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北京华德/佛山清淇/佛山艾科达</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原水泵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304SS，Q=200m3/H </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中间水箱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10吨</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国产</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过滤器罐体</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IAT-200A-EV-CP-II，Φ2400×高4100mm，壁厚8mm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bookmarkStart w:id="139" w:name="OLE_LINK3"/>
            <w:r>
              <w:rPr>
                <w:rFonts w:hint="eastAsia" w:ascii="宋体" w:hAnsi="宋体" w:eastAsia="宋体" w:cs="宋体"/>
                <w:color w:val="auto"/>
                <w:kern w:val="0"/>
                <w:sz w:val="21"/>
                <w:szCs w:val="21"/>
                <w:highlight w:val="none"/>
              </w:rPr>
              <w:t>ASTM A36</w:t>
            </w:r>
            <w:bookmarkEnd w:id="139"/>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进水滤网</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φ2400mm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出水滤网</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φ2400mm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滤料</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5mm*5mm*3</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m³</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高分子</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搅拌器</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SZP400A-I</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电动蝶阀</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DN150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Bray/FLYGER/GEMU</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316,配套高速精密过滤器</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电动蝶阀</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Bray/FLYGER/GEMU</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316,配套高速精密过滤器</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手动蝶阀</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DN150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Bray/FLYGER/GEMU</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316,配套高速精密过滤器</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手动蝶阀</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Bray/FLYGER/GEMU</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316,配套高速精密过滤器</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管路</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DN150管道</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国优</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UPVC配套高速精密过滤器</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液位计传感器</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0-10米，带0-10V输出</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美仪/科瑞达/GF</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超滤系统</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产水45t/h，产水浊度≤1NTU</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超滤原水泵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材质：304SS </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Q=50m3/H  K=5.5KW/380V </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扬程：23m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超滤大通量保安过滤器</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50m3/H ，20um,304SS</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配滤芯</w:t>
            </w:r>
          </w:p>
        </w:tc>
      </w:tr>
      <w:tr>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超滤膜元件</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美国杜邦/日本旭化成/美国滨特尔/美国科氏</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机架</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配套</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反洗水泵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材质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304SS，Q=120m3/H,19m,</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9.2KW  </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酸加药泵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型号：AKS800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SEKO/帕斯菲达/米顿罗</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碱加药泵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型号：AKS800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SEKO/帕斯菲达/米顿罗</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次氯酸钠加药泵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型号：AKS800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SEKO/帕斯菲达/米顿罗</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碱加药箱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材质：PE  容积：500L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酸加药箱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材质：PE  容积：500L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次氯酸钠加药箱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材质：PE  容积：500L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气压罐</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1m³</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气源</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2m³/min</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0.4-0.6MPA</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无油无水</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业主</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自备</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气动阀门</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DN100-50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国产优质</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本体管道</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DN50-100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UPVC</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产水和浓水电磁流量计</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DN100-50</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带4-20mA输出</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美仪/科瑞达/GF</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现场数显</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压力表</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带4-20mA输出0-1.0MPA</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Ø100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国产优质</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bookmarkStart w:id="140" w:name="_Hlk201759668"/>
            <w:bookmarkStart w:id="141" w:name="OLE_LINK2" w:colFirst="5" w:colLast="70"/>
            <w:bookmarkStart w:id="142" w:name="OLE_LINK1" w:colFirst="5" w:colLast="70"/>
            <w:r>
              <w:rPr>
                <w:rFonts w:hint="eastAsia" w:ascii="宋体" w:hAnsi="宋体" w:eastAsia="宋体" w:cs="宋体"/>
                <w:color w:val="auto"/>
                <w:kern w:val="0"/>
                <w:sz w:val="21"/>
                <w:szCs w:val="21"/>
                <w:highlight w:val="none"/>
              </w:rPr>
              <w:t>18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超滤水箱</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20m³</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304SS</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bookmarkEnd w:id="140"/>
      <w:bookmarkEnd w:id="141"/>
      <w:bookmarkEnd w:id="142"/>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液位计传感器</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0-10米，带0-10V输出</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美仪/科瑞达/GF</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反渗透系统</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产水36t/h，产水氯离子≤50mg/l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反渗透原水泵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材质：304SS </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Q=45m3/H  K=7.5Kw/380V 扬程：30m  </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反渗透大通量保安过滤器</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45m3/H  304SS</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5um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配滤芯</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反渗透高压泵</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材质：316SS</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功率：30 KW/380V流量：45T/H </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扬程：160m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循环泵</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材质：316SS</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功率：18.5KW/380V流量：65T/H </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扬程：60m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段间泵</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材质：316SS</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功率：7.5KW/380V流量：39.5T/H </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扬程：40m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产水回用泵</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材质：304SS，Q=40m3/H  K=11Kw/380V 扬程：50m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变频器</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30KW，18.5KW，7.5KW </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ABB/施耐德/西门子</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反渗透膜元件</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8040，37㎡，抗污染膜</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美国杜邦/日本东丽/美国海德能/美国科氏</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反渗透膜壳</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5芯装</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绿源通/codeline/唯塞勃</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机架</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配套</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RO产水箱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10m³，PE材质，外圈使用铝板加固，螺旋调整松紧</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国优</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RO产水提升泵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适配系统</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一用一备</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RO浓水箱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10m³，PE材质，外圈使用铝板加固，螺旋调整松紧</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国优</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RO浓水提升泵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适配系统</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一用一备</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杀菌剂加药泵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型号：AKS800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SEKO/帕斯菲达/米顿罗</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阻垢剂加药泵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型号：AKS800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SEKO/帕斯菲达/米顿罗</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还原剂加药泵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型号：AKS800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SEKO/帕斯菲达/米顿罗</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PH调节加药泵</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型号：AKS800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SEKO/帕斯菲达/米顿罗</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杀菌剂加药箱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材质：PE  容积：500L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阻垢剂加药箱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材质：PE  容积：500L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还原剂加药箱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材质：PE  容积：500L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PH加药箱</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材质：PE  容积：500L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化学清洗水泵</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304SS，Q=45m3/H,</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H=40m</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N=11  </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东方泵业/南方泵业/凯泉泵业</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配保安过滤器45m³/h,5um,304SS</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化学清</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洗水箱</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3000L</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PE</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本体管道</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DN15-100</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低压：UPVC</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高压：304ss</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进水，产水，浓水电导率仪</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0-2000US、0-10000US</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美仪/科瑞达/GF</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电磁流量计</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0-100m³/h</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过流316不锈钢</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带4-20mA输出</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美仪/科瑞达/GF</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现场数显</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压力表</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带4-20mA输出0-1.0MPA</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0-2.5MPA</w:t>
            </w:r>
          </w:p>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Ø100</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国产优质</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电动球阀</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DN50、DN80（304SS）</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国产优质</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PH计</w:t>
            </w:r>
          </w:p>
        </w:tc>
        <w:tc>
          <w:tcPr>
            <w:tcW w:w="1984"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配套使用</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美仪/科瑞达/GF</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液位计传感器</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0-10米，带0-10V输出</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美仪/科瑞达/GF</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现场管路和桥架</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电缆桥架304不锈钢、管道UPVC</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国优</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满足现场安全及使用需求</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电线电缆桥架</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电缆桥架304不锈钢，电缆4*4、4*2.5、5*25，主电源从业主低压配电房接电，距离约50m</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国优</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满足现场安全及使用需求</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控制系统</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就地控制和远程监控</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和利时DCS</w:t>
            </w: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需接入采购人现有的（和利时）DCS系统中</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bookmarkStart w:id="143" w:name="OLE_LINK5" w:colFirst="5" w:colLast="70"/>
            <w:bookmarkStart w:id="144" w:name="OLE_LINK6" w:colFirst="5" w:colLast="70"/>
            <w:bookmarkStart w:id="145" w:name="_Hlk201771340"/>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电控系统</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就地控制系统</w:t>
            </w:r>
          </w:p>
        </w:tc>
        <w:tc>
          <w:tcPr>
            <w:tcW w:w="7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bookmarkEnd w:id="143"/>
      <w:bookmarkEnd w:id="144"/>
      <w:bookmarkEnd w:id="145"/>
      <w:tr>
        <w:tblPrEx>
          <w:tblCellMar>
            <w:top w:w="0" w:type="dxa"/>
            <w:left w:w="108" w:type="dxa"/>
            <w:bottom w:w="0" w:type="dxa"/>
            <w:right w:w="108" w:type="dxa"/>
          </w:tblCellMar>
        </w:tblPrEx>
        <w:trPr>
          <w:trHeight w:val="0" w:hRule="atLeast"/>
        </w:trPr>
        <w:tc>
          <w:tcPr>
            <w:tcW w:w="718" w:type="dxa"/>
            <w:tcBorders>
              <w:top w:val="single" w:color="auto" w:sz="4" w:space="0"/>
              <w:left w:val="single" w:color="auto" w:sz="4"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监控系统</w:t>
            </w:r>
          </w:p>
        </w:tc>
        <w:tc>
          <w:tcPr>
            <w:tcW w:w="1984"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接入DCS系统</w:t>
            </w:r>
          </w:p>
        </w:tc>
        <w:tc>
          <w:tcPr>
            <w:tcW w:w="765"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60"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2"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21" w:type="dxa"/>
            <w:tcBorders>
              <w:top w:val="single" w:color="auto" w:sz="4" w:space="0"/>
              <w:left w:val="single" w:color="auto" w:sz="6" w:space="0"/>
              <w:bottom w:val="single" w:color="auto" w:sz="6"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所有设备及参数必须满足本技术需求书的各处理系统工艺要求，待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提供初步设计后确认，以上清单仅列举本系统主要设备但不限于此，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需承担为实现本系统使用功能而可能产生的全部设备、材料、管道及设备基础等。</w:t>
      </w:r>
    </w:p>
    <w:p>
      <w:pPr>
        <w:pStyle w:val="2"/>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sym w:font="Wingdings" w:char="F0AB"/>
      </w:r>
      <w:r>
        <w:rPr>
          <w:rFonts w:hint="eastAsia" w:ascii="宋体" w:hAnsi="宋体" w:eastAsia="宋体" w:cs="宋体"/>
          <w:bCs/>
          <w:color w:val="auto"/>
          <w:szCs w:val="21"/>
          <w:highlight w:val="none"/>
        </w:rPr>
        <w:t>若响应人所报品牌与建议品牌不同的，必须提供同等或更优档次品牌及质量的产品，且须在报价清单“备注”中写明，否则视为无效报价。同时，响应人须在响应文件中提供所报品牌产品的质量说明及相关证明资料:包括但不限于关键参数横向对比表</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其中设备耐用性、节能降耗、产水量、脱盐率、高速精密过滤器系统的过滤速度及滤料优势等参数必须优于推荐品牌，且必须标明数据来源(如官方网站截图、第三方检测报告、产品技术手册等)</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、品牌横向对比等，否则视为无效报价</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2.1 技术要求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2.1.1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必须列出所投产品（含数量及规格并注明品牌），详细标明品牌、产地、生产厂商、规格型号、数量、价格、规格、技术指标和功能说明等。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2.1.2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应对主要产品的生产标准、技术规范和产品的适用性、安全、环保、可靠性等方面进行综合描述。</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2.1.3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应提供详细的供货计划及保证质量、保证产品正常使用的措施说明供货范围。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2.1.4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应根据技术规范提出的循环水膜处理系统等设备的设计条件，技术要求，供货范围，保证条件等提供完整的技术文件和图纸资料。图纸资料的交付进度应满足供货进度的要求。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2.1.5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提供使用国际单位(国家法定计量单位)的有关文件及资料，一式两份。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2.1.6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所提供的技术资料应能满足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对电厂总体设计以及设备的安装、调试、运行维护的总要求。技术资料提出的资料应能满足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选择主要设备及施工的要求。如所供资料不能达到要求时，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应免费给予补充。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 技术方案</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2.2.1 处理工艺</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该项目拟采用的工艺路线为：两用高速精密过滤器→过渡水箱→超滤系统→超滤产水箱→反渗透系统→RO产水池→循环水储水池。高速精密过滤器反冲洗水、超滤和反渗透冲洗水、超滤浓水排放到废水收集池；超滤反渗透化学清洗水排放到地沟；反渗透浓水到浓水收集池。工艺涉及的本体设备货到现场后组装成撬装架形式或以撬装架形式直接供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循环水经水泵进入高速精密过滤器处理后，部分产水直接回到循环水储水池，部分产水进入超滤系统进行深度过滤。超滤浓水排放到废水收集池，产水进入到超滤产水箱。超滤产水经反渗透原水泵进入反渗透系统除盐，浓水进入浓水箱，产水进入产水箱，浓水与产水分别经泵提升至工业废水浓水池和循环水池。</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2.2.2 供货范围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设计采购施工（EPC）/交钥匙工程总承包、本供货范围包括了一套200吨/小时高速精密过滤器及一套1000吨/天膜处理系统的所有设备、分析取样装置及在线仪表、技术资料、备品备件、安装、调试、服务及技术指导等，但在执行过程中如发现有任何漏项和短缺，在供货清单中并未列入而且确实是卖方供货范围中应该有的，并且是满足技术规范对所购设备的性能保证值要求所必需的，经供需双方签字确认后，均应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负责将所缺的设备、技术资料、备品备件、服务及技术指导等补上，由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承担费用。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设备处理负荷：高速精密过滤器一台，处理能力需不低于200t/h；超滤系统一套，系统设计进水量50t/h，产水量45t/h；反渗透系统一套，设计进水量45 t/h，产水量36t/h。</w:t>
      </w:r>
    </w:p>
    <w:p>
      <w:pPr>
        <w:pStyle w:val="2"/>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供货界限：</w:t>
      </w:r>
    </w:p>
    <w:p>
      <w:pPr>
        <w:pStyle w:val="2"/>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1、膜处理系统布置在综合水泵房室内，室内地面为钢混结构（见下图）</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3300730" cy="226187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300730" cy="226187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过滤器放室外（现为绿化地），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需要负责设备基础的设计及施工(设备基础需经有资质设计院进行复核)。</w:t>
      </w:r>
    </w:p>
    <w:p>
      <w:pPr>
        <w:pStyle w:val="2"/>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2、电源条件：</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提供380V电源，位置在综合水泵房配电室内，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负责从配电室敷设电缆至现场设备供电箱，材料及施工均由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w:t>
      </w:r>
    </w:p>
    <w:p>
      <w:pPr>
        <w:pStyle w:val="2"/>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3、压缩空气：</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负责从工业废水站压缩空气罐接压缩空气管至现场各用气单元，材料及施工均由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w:t>
      </w:r>
    </w:p>
    <w:p>
      <w:pPr>
        <w:pStyle w:val="2"/>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4、水接口：循环水处理水接口自循环水池东南侧排污管；过滤器产水接到循环水池内；反渗透膜产水接到循环水池内（预留接口至生产水池）；反渗透浓水接到工业废水站浓水池。以上接驳均由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2.2.3 水质情况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本项目需处理的水循环水排污水，水质化验数据如附表。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有义务到现场取水样检测水质，</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提供的水质化验报告仅为参考作用。如因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未对水样进行化验造成对水质成分分析有误的，由此造成的损失应由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表2.1-1：循环水水质报告——丰水期</w:t>
      </w:r>
    </w:p>
    <w:tbl>
      <w:tblPr>
        <w:tblStyle w:val="38"/>
        <w:tblW w:w="8670" w:type="dxa"/>
        <w:jc w:val="center"/>
        <w:tblLayout w:type="autofit"/>
        <w:tblCellMar>
          <w:top w:w="0" w:type="dxa"/>
          <w:left w:w="108" w:type="dxa"/>
          <w:bottom w:w="0" w:type="dxa"/>
          <w:right w:w="108" w:type="dxa"/>
        </w:tblCellMar>
      </w:tblPr>
      <w:tblGrid>
        <w:gridCol w:w="848"/>
        <w:gridCol w:w="2515"/>
        <w:gridCol w:w="1223"/>
        <w:gridCol w:w="1322"/>
        <w:gridCol w:w="2762"/>
      </w:tblGrid>
      <w:tr>
        <w:tblPrEx>
          <w:tblCellMar>
            <w:top w:w="0" w:type="dxa"/>
            <w:left w:w="108" w:type="dxa"/>
            <w:bottom w:w="0" w:type="dxa"/>
            <w:right w:w="108" w:type="dxa"/>
          </w:tblCellMar>
        </w:tblPrEx>
        <w:trPr>
          <w:trHeight w:val="285" w:hRule="atLeast"/>
          <w:jc w:val="center"/>
        </w:trPr>
        <w:tc>
          <w:tcPr>
            <w:tcW w:w="8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122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单位符号</w:t>
            </w:r>
          </w:p>
        </w:tc>
        <w:tc>
          <w:tcPr>
            <w:tcW w:w="132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检验结果</w:t>
            </w:r>
          </w:p>
        </w:tc>
        <w:tc>
          <w:tcPr>
            <w:tcW w:w="276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5750.4-2006(5.1)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浊度</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NTU</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5750.4-2006(2.1)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悬浮物（SS）</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11901-1989</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电导率（25℃）</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ms/cm</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1.594</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5750.4-2006(6.1)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化学需氧量（COD）</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HJ 828-2017</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0.0062</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5750.6-2006(1.5)</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镁</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23.6</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5750.6-2006</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钙</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55.06</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5750.6-2006</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0.018</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5750.6-2006(1.5)</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氟化物</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0.18</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5750.5-2006(3.1)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锰</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0.0027</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5750.6-2006(1.5)</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碳酸根</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DZ/T 0064.49-2021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总硬度（CaCO3计）</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5750.4-2006(7.1)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溶解性总固体</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1225</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5750.4-2006(8.1)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总磷</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0.26</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11893-1989</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可溶性硅（以SiO2计）</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6682-2008(7.6)</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氯离子（Cl-）</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5750.5-2006(2.1)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总碱度</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8538-2016(9)</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硫酸盐</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5750.5-2006(1.4)</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碳酸氢盐</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43.5</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8538-2016(42)</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宋体" w:hAnsi="宋体" w:eastAsia="宋体" w:cs="宋体"/>
          <w:color w:val="auto"/>
          <w:sz w:val="21"/>
          <w:szCs w:val="21"/>
          <w:highlight w:val="none"/>
        </w:rPr>
      </w:pPr>
      <w:bookmarkStart w:id="146" w:name="_Toc133312613"/>
      <w:bookmarkStart w:id="147" w:name="_Toc76461060"/>
      <w:r>
        <w:rPr>
          <w:rFonts w:hint="eastAsia" w:ascii="宋体" w:hAnsi="宋体" w:eastAsia="宋体" w:cs="宋体"/>
          <w:color w:val="auto"/>
          <w:sz w:val="21"/>
          <w:szCs w:val="21"/>
          <w:highlight w:val="none"/>
        </w:rPr>
        <w:t>表2.1-2：循环水水质报告-（枯水期、咸潮时）</w:t>
      </w:r>
    </w:p>
    <w:tbl>
      <w:tblPr>
        <w:tblStyle w:val="38"/>
        <w:tblW w:w="8670" w:type="dxa"/>
        <w:jc w:val="center"/>
        <w:tblLayout w:type="autofit"/>
        <w:tblCellMar>
          <w:top w:w="0" w:type="dxa"/>
          <w:left w:w="108" w:type="dxa"/>
          <w:bottom w:w="0" w:type="dxa"/>
          <w:right w:w="108" w:type="dxa"/>
        </w:tblCellMar>
      </w:tblPr>
      <w:tblGrid>
        <w:gridCol w:w="848"/>
        <w:gridCol w:w="2515"/>
        <w:gridCol w:w="1223"/>
        <w:gridCol w:w="1322"/>
        <w:gridCol w:w="2762"/>
      </w:tblGrid>
      <w:tr>
        <w:tblPrEx>
          <w:tblCellMar>
            <w:top w:w="0" w:type="dxa"/>
            <w:left w:w="108" w:type="dxa"/>
            <w:bottom w:w="0" w:type="dxa"/>
            <w:right w:w="108" w:type="dxa"/>
          </w:tblCellMar>
        </w:tblPrEx>
        <w:trPr>
          <w:trHeight w:val="285" w:hRule="atLeast"/>
          <w:jc w:val="center"/>
        </w:trPr>
        <w:tc>
          <w:tcPr>
            <w:tcW w:w="8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122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单位符号</w:t>
            </w:r>
          </w:p>
        </w:tc>
        <w:tc>
          <w:tcPr>
            <w:tcW w:w="132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检验结果</w:t>
            </w:r>
          </w:p>
        </w:tc>
        <w:tc>
          <w:tcPr>
            <w:tcW w:w="276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8.33</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5750.4-2006(5.1)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浊度</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NTU</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5750.4-2006(2.1)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悬浮物（SS）</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11901-1989</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电导率（25℃）</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ms/cm</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5750.4-2006(6.1)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化学需氧量（COD）</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HJ 828-2017</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0.12</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5750.6-2006(1.5)</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钙硬度</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5750.4-2006(7.1)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总硬度</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5750.4-2006(7.1)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总磷</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11893-1989</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氯离子（Cl-）</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6820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5750.5-2006(2.1)</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酚碱</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15451-2006</w:t>
            </w:r>
          </w:p>
        </w:tc>
      </w:tr>
      <w:tr>
        <w:tblPrEx>
          <w:tblCellMar>
            <w:top w:w="0" w:type="dxa"/>
            <w:left w:w="108" w:type="dxa"/>
            <w:bottom w:w="0" w:type="dxa"/>
            <w:right w:w="108" w:type="dxa"/>
          </w:tblCellMar>
        </w:tblPrEx>
        <w:trPr>
          <w:trHeight w:val="285" w:hRule="atLeast"/>
          <w:jc w:val="center"/>
        </w:trPr>
        <w:tc>
          <w:tcPr>
            <w:tcW w:w="84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51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总碱度</w:t>
            </w:r>
          </w:p>
        </w:tc>
        <w:tc>
          <w:tcPr>
            <w:tcW w:w="122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132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289</w:t>
            </w:r>
          </w:p>
        </w:tc>
        <w:tc>
          <w:tcPr>
            <w:tcW w:w="276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15451-2006</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bookmarkEnd w:id="146"/>
      <w:bookmarkEnd w:id="147"/>
      <w:r>
        <w:rPr>
          <w:rFonts w:hint="eastAsia" w:ascii="宋体" w:hAnsi="宋体" w:eastAsia="宋体" w:cs="宋体"/>
          <w:caps/>
          <w:color w:val="auto"/>
          <w:sz w:val="21"/>
          <w:szCs w:val="21"/>
          <w:highlight w:val="none"/>
        </w:rPr>
        <w:t>（质保期内均需达到以下标准）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（1）高速精密过滤器验收标准</w:t>
      </w:r>
    </w:p>
    <w:tbl>
      <w:tblPr>
        <w:tblStyle w:val="38"/>
        <w:tblW w:w="6300" w:type="dxa"/>
        <w:jc w:val="center"/>
        <w:tblLayout w:type="autofit"/>
        <w:tblCellMar>
          <w:top w:w="0" w:type="dxa"/>
          <w:left w:w="108" w:type="dxa"/>
          <w:bottom w:w="0" w:type="dxa"/>
          <w:right w:w="108" w:type="dxa"/>
        </w:tblCellMar>
      </w:tblPr>
      <w:tblGrid>
        <w:gridCol w:w="900"/>
        <w:gridCol w:w="3460"/>
        <w:gridCol w:w="1940"/>
      </w:tblGrid>
      <w:tr>
        <w:tblPrEx>
          <w:tblCellMar>
            <w:top w:w="0" w:type="dxa"/>
            <w:left w:w="108" w:type="dxa"/>
            <w:bottom w:w="0" w:type="dxa"/>
            <w:right w:w="108" w:type="dxa"/>
          </w:tblCellMar>
        </w:tblPrEx>
        <w:trPr>
          <w:trHeight w:val="300"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4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验收项目</w:t>
            </w:r>
          </w:p>
        </w:tc>
        <w:tc>
          <w:tcPr>
            <w:tcW w:w="19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验收标准</w:t>
            </w:r>
          </w:p>
        </w:tc>
      </w:tr>
      <w:tr>
        <w:tblPrEx>
          <w:tblCellMar>
            <w:top w:w="0" w:type="dxa"/>
            <w:left w:w="108" w:type="dxa"/>
            <w:bottom w:w="0" w:type="dxa"/>
            <w:right w:w="108" w:type="dxa"/>
          </w:tblCellMar>
        </w:tblPrEx>
        <w:trPr>
          <w:trHeight w:val="300"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产水量</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≥200t/h</w:t>
            </w:r>
          </w:p>
        </w:tc>
      </w:tr>
      <w:tr>
        <w:tblPrEx>
          <w:tblCellMar>
            <w:top w:w="0" w:type="dxa"/>
            <w:left w:w="108" w:type="dxa"/>
            <w:bottom w:w="0" w:type="dxa"/>
            <w:right w:w="108" w:type="dxa"/>
          </w:tblCellMar>
        </w:tblPrEx>
        <w:trPr>
          <w:trHeight w:val="300"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产水浊度</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≤1NTU</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（2）超滤系统验收标准</w:t>
      </w:r>
    </w:p>
    <w:tbl>
      <w:tblPr>
        <w:tblStyle w:val="38"/>
        <w:tblW w:w="6300" w:type="dxa"/>
        <w:jc w:val="center"/>
        <w:tblLayout w:type="autofit"/>
        <w:tblCellMar>
          <w:top w:w="0" w:type="dxa"/>
          <w:left w:w="108" w:type="dxa"/>
          <w:bottom w:w="0" w:type="dxa"/>
          <w:right w:w="108" w:type="dxa"/>
        </w:tblCellMar>
      </w:tblPr>
      <w:tblGrid>
        <w:gridCol w:w="900"/>
        <w:gridCol w:w="3460"/>
        <w:gridCol w:w="1940"/>
      </w:tblGrid>
      <w:tr>
        <w:tblPrEx>
          <w:tblCellMar>
            <w:top w:w="0" w:type="dxa"/>
            <w:left w:w="108" w:type="dxa"/>
            <w:bottom w:w="0" w:type="dxa"/>
            <w:right w:w="108" w:type="dxa"/>
          </w:tblCellMar>
        </w:tblPrEx>
        <w:trPr>
          <w:trHeight w:val="300"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4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验收项目</w:t>
            </w:r>
          </w:p>
        </w:tc>
        <w:tc>
          <w:tcPr>
            <w:tcW w:w="19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验收标准</w:t>
            </w:r>
          </w:p>
        </w:tc>
      </w:tr>
      <w:tr>
        <w:tblPrEx>
          <w:tblCellMar>
            <w:top w:w="0" w:type="dxa"/>
            <w:left w:w="108" w:type="dxa"/>
            <w:bottom w:w="0" w:type="dxa"/>
            <w:right w:w="108" w:type="dxa"/>
          </w:tblCellMar>
        </w:tblPrEx>
        <w:trPr>
          <w:trHeight w:val="300"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产水量</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≥45t/h</w:t>
            </w:r>
          </w:p>
        </w:tc>
      </w:tr>
      <w:tr>
        <w:tblPrEx>
          <w:tblCellMar>
            <w:top w:w="0" w:type="dxa"/>
            <w:left w:w="108" w:type="dxa"/>
            <w:bottom w:w="0" w:type="dxa"/>
            <w:right w:w="108" w:type="dxa"/>
          </w:tblCellMar>
        </w:tblPrEx>
        <w:trPr>
          <w:trHeight w:val="300"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产水浊度</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≤0.2NTU</w:t>
            </w:r>
          </w:p>
        </w:tc>
      </w:tr>
      <w:tr>
        <w:tblPrEx>
          <w:tblCellMar>
            <w:top w:w="0" w:type="dxa"/>
            <w:left w:w="108" w:type="dxa"/>
            <w:bottom w:w="0" w:type="dxa"/>
            <w:right w:w="108" w:type="dxa"/>
          </w:tblCellMar>
        </w:tblPrEx>
        <w:trPr>
          <w:trHeight w:val="300"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回收率</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≥90%</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ap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aps/>
          <w:color w:val="auto"/>
          <w:sz w:val="21"/>
          <w:szCs w:val="21"/>
          <w:highlight w:val="none"/>
        </w:rPr>
        <w:t>循环水排污水反渗透系统验收标准</w:t>
      </w:r>
    </w:p>
    <w:tbl>
      <w:tblPr>
        <w:tblStyle w:val="38"/>
        <w:tblW w:w="6300" w:type="dxa"/>
        <w:jc w:val="center"/>
        <w:tblLayout w:type="autofit"/>
        <w:tblCellMar>
          <w:top w:w="0" w:type="dxa"/>
          <w:left w:w="108" w:type="dxa"/>
          <w:bottom w:w="0" w:type="dxa"/>
          <w:right w:w="108" w:type="dxa"/>
        </w:tblCellMar>
      </w:tblPr>
      <w:tblGrid>
        <w:gridCol w:w="900"/>
        <w:gridCol w:w="3460"/>
        <w:gridCol w:w="1940"/>
      </w:tblGrid>
      <w:tr>
        <w:tblPrEx>
          <w:tblCellMar>
            <w:top w:w="0" w:type="dxa"/>
            <w:left w:w="108" w:type="dxa"/>
            <w:bottom w:w="0" w:type="dxa"/>
            <w:right w:w="108" w:type="dxa"/>
          </w:tblCellMar>
        </w:tblPrEx>
        <w:trPr>
          <w:trHeight w:val="300"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4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验收项目</w:t>
            </w:r>
          </w:p>
        </w:tc>
        <w:tc>
          <w:tcPr>
            <w:tcW w:w="19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验收标准</w:t>
            </w:r>
          </w:p>
        </w:tc>
      </w:tr>
      <w:tr>
        <w:tblPrEx>
          <w:tblCellMar>
            <w:top w:w="0" w:type="dxa"/>
            <w:left w:w="108" w:type="dxa"/>
            <w:bottom w:w="0" w:type="dxa"/>
            <w:right w:w="108" w:type="dxa"/>
          </w:tblCellMar>
        </w:tblPrEx>
        <w:trPr>
          <w:trHeight w:val="315"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产水量</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≥36t/h</w:t>
            </w:r>
          </w:p>
        </w:tc>
      </w:tr>
      <w:tr>
        <w:tblPrEx>
          <w:tblCellMar>
            <w:top w:w="0" w:type="dxa"/>
            <w:left w:w="108" w:type="dxa"/>
            <w:bottom w:w="0" w:type="dxa"/>
            <w:right w:w="108" w:type="dxa"/>
          </w:tblCellMar>
        </w:tblPrEx>
        <w:trPr>
          <w:trHeight w:val="315"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产水电导率</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≤150us/cm</w:t>
            </w:r>
          </w:p>
        </w:tc>
      </w:tr>
      <w:tr>
        <w:tblPrEx>
          <w:tblCellMar>
            <w:top w:w="0" w:type="dxa"/>
            <w:left w:w="108" w:type="dxa"/>
            <w:bottom w:w="0" w:type="dxa"/>
            <w:right w:w="108" w:type="dxa"/>
          </w:tblCellMar>
        </w:tblPrEx>
        <w:trPr>
          <w:trHeight w:val="315"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产水氯离子含量</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≤50mg/L</w:t>
            </w:r>
          </w:p>
        </w:tc>
      </w:tr>
      <w:tr>
        <w:tblPrEx>
          <w:tblCellMar>
            <w:top w:w="0" w:type="dxa"/>
            <w:left w:w="108" w:type="dxa"/>
            <w:bottom w:w="0" w:type="dxa"/>
            <w:right w:w="108" w:type="dxa"/>
          </w:tblCellMar>
        </w:tblPrEx>
        <w:trPr>
          <w:trHeight w:val="315"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回收率</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w:t>
            </w:r>
          </w:p>
        </w:tc>
      </w:tr>
      <w:tr>
        <w:tblPrEx>
          <w:tblCellMar>
            <w:top w:w="0" w:type="dxa"/>
            <w:left w:w="108" w:type="dxa"/>
            <w:bottom w:w="0" w:type="dxa"/>
            <w:right w:w="108" w:type="dxa"/>
          </w:tblCellMar>
        </w:tblPrEx>
        <w:trPr>
          <w:trHeight w:val="315" w:hRule="atLeast"/>
          <w:jc w:val="center"/>
        </w:trPr>
        <w:tc>
          <w:tcPr>
            <w:tcW w:w="90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w:t>
            </w:r>
          </w:p>
        </w:tc>
        <w:tc>
          <w:tcPr>
            <w:tcW w:w="34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脱盐率</w:t>
            </w:r>
          </w:p>
        </w:tc>
        <w:tc>
          <w:tcPr>
            <w:tcW w:w="19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≥95%</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技术要求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 机械设备</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所有与有腐蚀性污水接触的构建物、管道、阀门、设备内部等必须是防腐蚀材质或设计进行专业防腐处理。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为了工程项目设备外表颜色统一、协调、美观，设备外观颜色采用SB05-1426-2001(代替GSB G51001-94)标准。具体设备颜色要求与渗滤液处理系统协调一致。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高速精密过滤器使用高速过滤器，由于现场空间不足，过滤器滤速≥25m/h，采用低压过滤，其过滤压力≤0.4Mpa。通过过滤器采用“下进上出”过滤方式，过滤器滤料使用三维微孔的高分子材料，滤料密度≤1g/cm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开孔率≥95%，其中滤料污堵后通过罐内在线反洗再生，无需更换，过滤器滤料的年补充量不大于5%，滤料的使用寿命必须保证5-7年。过滤器反洗再生采用原水反洗，无需设置反洗水泵和空压机，反冲洗水水量不大于日处理水量的1%，每次反洗时间不得超过15分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超滤膜使用外压式超滤膜。单根膜元件过滤面积51㎡，膜丝采用更具抗污染性和更耐化学清洗的PVDF材质。一套超滤系统共需要24根膜。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供货时需提供合格证和每根膜的检测报告。</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反渗透膜使用专用于污水处理的抗污染反渗透膜。单根膜元件过滤面积37㎡一套反渗透系统共需要55根膜。系统设计一级二段，单段浓水回流。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供货时需提供报关单、原产地证明和每根膜的检测报告。</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所有水泵和电机，均选用国内优质品牌。水泵过流部分材料由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根据水质并满足工艺要求的情况下确定，但必须在供货清单上注明其过流部分材质。水泵和电机的连接方式要求采用分体结构。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水体输送管道要求是1.6MPa或以上的PE管、不锈钢管。露天布置的预埋管，要求是316L不锈钢管。所有预埋管需设置防污堵设施。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水下管箍等固定装置，要求是SUS316以上的不锈钢材质。角钢等不需要拆装的设备要求良好防腐。</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 电气设备</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负责按照</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设计负荷选定的电缆敷设到动力配电柜进线接线端口。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负责全部低压配供电系统以及弱电控制设备的所有系统电气连接、控制柜的供货及调试。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电气部分</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只一路380/220VAC电源，系统内所有控制柜、现场箱、电缆及玻璃钢桥架等由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供货及调试。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装于室内的动力配电柜、控制配电柜柜体结构采用敷铝锌板，柜体前后门板及侧板采用多层喷涂。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安装于室外的现场MCC柜、控制柜、控制箱、控制盒应按户外型设计，采取足够的防雨、防水及防潮措施，防腐等级按沿海强腐蚀气候设计，箱体、五金件均采用304型不锈钢材质制造。</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所有开关柜、控制箱柜盒的进出线缆全部采用下进下出方式。所有开关柜、控制箱柜盒的门板应可靠接地。柜内应提供有220VAC照明灯和标准插座。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电气组件的选择应以质量、可靠性为首要因素，指示灯（LED）、按钮和选择开关采用国内优质品牌。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系统中使用的所有开关设备、接触器选用国内优质品牌或ABB或西门子品牌。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所有指示灯和按钮：合闸（接通）位置信号灯为红色，合闸按钮为绿色；跳闸（跳开）位置信号灯为绿色，跳闸按钮为红色；电源指示灯为红色，报警指示灯为黄色。</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电动机要求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电动机的选型必须保证与它所驱动设备的运行条件和维修要求一致。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所有电动机必须选用高效节能电机，严禁使用国家节能改造淘汰电机或即将淘汰的电机。</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室内电动机防护等级为IP54，用于室外的电动机应是全封闭风冷式，防护等级为IP56。</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绝缘：电动机绝缘等级为F级，并以B级温升考核。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与DCS的接口要求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MCC柜和就地控制箱应能接受DCS对空气断路器、接触器的合闸、跳闸控制命令。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至少应有下列开关量和模拟量信号输出至DCS：</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电动机运行/停止状态、远方/就地位置，故障跳闸报警。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断路器已合/已分、远方/就地位置。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电动机单相电流（容量≥5.5KW装设）。</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上述模拟量信号为4-20mA标准信号，开关量信号接点为无源接点。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其它未提到的设备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可根据工艺需要和国家及行业标准自行设计。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 控制系统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概述</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整套系统采用DCS控制+接入DCS控制系统（以光纤接入电子间主控制系统端口）。能实现集中和就地、自动/手动顺序联锁/控制以及非联锁检修控制。在控制室进行集中操作监视，人机界面由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根据现场实际情况进行配备，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应提供所有的控制要求及资料给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。监控内容包括联锁/取消信号，设备按工艺要求启停，设备状态，运行状态存储记录和显示打印，故障显示和诊断，就地设有联络信号、启停操作、运行和故障指示等，各类输入输出预留备用点不少于15%。</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其他要求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提供的热工仪表的型号及生产厂家需经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确认。温度计、压力表采用上自仪、万德威尔、安徽天康或国内同等质量产品。压力变送器采用EJA或E+H或同等质量产品。液位计采用E+H或同等质量产品。在线分析仪表采用美国哈希产品。流量计使用电磁流量计、超声波流量计，选用上海肯特或同等质量产品，所有流量计带远传装置，计量必须可靠。</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仪表控制机柜（包括现场操作箱）均安装在生产现场，要求能达到防尘、防水、防腐的要求，采用不锈钢304材质。供货需要说明机柜的外壳防护等级，并提供设备所能适应的环境条件。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148" w:name="_Toc34939869"/>
      <w:bookmarkStart w:id="149" w:name="_Toc133312615"/>
      <w:bookmarkStart w:id="150" w:name="_Toc76461062"/>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供货</w:t>
      </w:r>
      <w:bookmarkEnd w:id="148"/>
      <w:bookmarkEnd w:id="149"/>
      <w:bookmarkEnd w:id="150"/>
      <w:r>
        <w:rPr>
          <w:rFonts w:hint="eastAsia" w:ascii="宋体" w:hAnsi="宋体" w:eastAsia="宋体" w:cs="宋体"/>
          <w:color w:val="auto"/>
          <w:sz w:val="21"/>
          <w:szCs w:val="21"/>
          <w:highlight w:val="none"/>
        </w:rPr>
        <w:t>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51" w:name="_Toc76461063"/>
      <w:bookmarkStart w:id="152" w:name="_Toc34939870"/>
      <w:bookmarkStart w:id="153" w:name="_Toc133312616"/>
      <w:r>
        <w:rPr>
          <w:rFonts w:hint="eastAsia" w:ascii="宋体" w:hAnsi="宋体" w:eastAsia="宋体" w:cs="宋体"/>
          <w:color w:val="auto"/>
          <w:sz w:val="21"/>
          <w:szCs w:val="21"/>
          <w:highlight w:val="none"/>
        </w:rPr>
        <w:t>2.1</w:t>
      </w:r>
      <w:bookmarkEnd w:id="151"/>
      <w:bookmarkEnd w:id="152"/>
      <w:bookmarkEnd w:id="153"/>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保证提供设备为全新的、先进的、成熟的、完整的和安全可靠的，且设备的技术经济性能符合本协议的技术要求。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应提供详细的设备供货和工程清单。凡属于改造和施工所必须的、保证设备性能的部件，即使本合同技术要求未列出和/或数目不足，</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仍须在执行合同时补足，而无须额外增加费用。</w:t>
      </w:r>
    </w:p>
    <w:p>
      <w:pPr>
        <w:pStyle w:val="17"/>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3随机备品备件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根据需要随系统提供用于应急和第一次大修用的不附加费用的备品备件。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根据所供设备的具体情况，提出足够一年运行之用的备品备件。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eastAsia="zh-CN"/>
        </w:rPr>
        <w:t>保证备品备件长期稳定地供货。对主要备品备件及与其可兼容的替代品，其备品的供货期至少是设备验收后十年或该设备在市场停销后5年(二者之中取时间长的一种)。</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eastAsia="zh-CN"/>
        </w:rPr>
        <w:t>需要一套完整的膜拆卸专用工具。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提供有关备品备件的保管贮藏资料，如存放期限、所需的干燥剂等。</w:t>
      </w:r>
    </w:p>
    <w:tbl>
      <w:tblPr>
        <w:tblStyle w:val="38"/>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521"/>
        <w:gridCol w:w="2598"/>
        <w:gridCol w:w="686"/>
        <w:gridCol w:w="688"/>
        <w:gridCol w:w="1663"/>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op w:val="thinThickSmallGap" w:color="auto" w:sz="18" w:space="0"/>
              <w:left w:val="thinThickSmallGap" w:color="auto" w:sz="18" w:space="0"/>
              <w:bottom w:val="doub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21" w:type="dxa"/>
            <w:tcBorders>
              <w:top w:val="thinThickSmallGap" w:color="auto" w:sz="18" w:space="0"/>
              <w:left w:val="single" w:color="auto" w:sz="4" w:space="0"/>
              <w:bottom w:val="doub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598" w:type="dxa"/>
            <w:tcBorders>
              <w:top w:val="thinThickSmallGap" w:color="auto" w:sz="18"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686" w:type="dxa"/>
            <w:tcBorders>
              <w:top w:val="thinThickSmallGap" w:color="auto" w:sz="18"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88" w:type="dxa"/>
            <w:tcBorders>
              <w:top w:val="thinThickSmallGap" w:color="auto" w:sz="18" w:space="0"/>
              <w:left w:val="single" w:color="auto" w:sz="4" w:space="0"/>
              <w:bottom w:val="doub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663" w:type="dxa"/>
            <w:tcBorders>
              <w:top w:val="thinThickSmallGap" w:color="auto" w:sz="18" w:space="0"/>
              <w:left w:val="single" w:color="auto" w:sz="4" w:space="0"/>
              <w:bottom w:val="double" w:color="auto" w:sz="4" w:space="0"/>
              <w:right w:val="thickThinSmallGap" w:color="auto" w:sz="18"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2" w:type="dxa"/>
            <w:tcBorders>
              <w:top w:val="double" w:color="auto" w:sz="4" w:space="0"/>
              <w:left w:val="thinThickSmallGap" w:color="auto" w:sz="18"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21"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8" w:type="dxa"/>
            <w:tcBorders>
              <w:top w:val="doub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6" w:type="dxa"/>
            <w:tcBorders>
              <w:top w:val="doub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63" w:type="dxa"/>
            <w:vMerge w:val="restart"/>
            <w:tcBorders>
              <w:top w:val="double" w:color="auto" w:sz="4" w:space="0"/>
              <w:left w:val="single" w:color="auto" w:sz="4" w:space="0"/>
              <w:bottom w:val="thickThinSmallGap" w:color="auto" w:sz="18" w:space="0"/>
              <w:right w:val="thickThinSmallGap" w:color="auto" w:sz="18"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响应人填写</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2" w:type="dxa"/>
            <w:tcBorders>
              <w:top w:val="double" w:color="auto" w:sz="4" w:space="0"/>
              <w:left w:val="thinThickSmallGap" w:color="auto" w:sz="18"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21"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8" w:type="dxa"/>
            <w:tcBorders>
              <w:top w:val="doub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6" w:type="dxa"/>
            <w:tcBorders>
              <w:top w:val="doub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63" w:type="dxa"/>
            <w:vMerge w:val="continue"/>
            <w:tcBorders>
              <w:top w:val="double" w:color="auto" w:sz="4" w:space="0"/>
              <w:left w:val="single" w:color="auto" w:sz="4" w:space="0"/>
              <w:bottom w:val="thickThinSmallGap" w:color="auto" w:sz="18" w:space="0"/>
              <w:right w:val="thickThinSmallGap" w:color="auto" w:sz="1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2" w:type="dxa"/>
            <w:tcBorders>
              <w:top w:val="double" w:color="auto" w:sz="4" w:space="0"/>
              <w:left w:val="thinThickSmallGap" w:color="auto" w:sz="18"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21"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8" w:type="dxa"/>
            <w:tcBorders>
              <w:top w:val="doub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6" w:type="dxa"/>
            <w:tcBorders>
              <w:top w:val="doub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63" w:type="dxa"/>
            <w:vMerge w:val="continue"/>
            <w:tcBorders>
              <w:top w:val="double" w:color="auto" w:sz="4" w:space="0"/>
              <w:left w:val="single" w:color="auto" w:sz="4" w:space="0"/>
              <w:bottom w:val="thickThinSmallGap" w:color="auto" w:sz="18" w:space="0"/>
              <w:right w:val="thickThinSmallGap" w:color="auto" w:sz="1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2" w:type="dxa"/>
            <w:tcBorders>
              <w:top w:val="double" w:color="auto" w:sz="4" w:space="0"/>
              <w:left w:val="thinThickSmallGap" w:color="auto" w:sz="18" w:space="0"/>
              <w:bottom w:val="thickThinSmallGap" w:color="auto" w:sz="18"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21" w:type="dxa"/>
            <w:tcBorders>
              <w:top w:val="double" w:color="auto" w:sz="4" w:space="0"/>
              <w:left w:val="single" w:color="auto" w:sz="4" w:space="0"/>
              <w:bottom w:val="thickThinSmallGap" w:color="auto" w:sz="18"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8" w:type="dxa"/>
            <w:tcBorders>
              <w:top w:val="double" w:color="auto" w:sz="4" w:space="0"/>
              <w:left w:val="single" w:color="auto" w:sz="4" w:space="0"/>
              <w:bottom w:val="thickThinSmallGap" w:color="auto" w:sz="18"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6" w:type="dxa"/>
            <w:tcBorders>
              <w:top w:val="double" w:color="auto" w:sz="4" w:space="0"/>
              <w:left w:val="single" w:color="auto" w:sz="4" w:space="0"/>
              <w:bottom w:val="thickThinSmallGap" w:color="auto" w:sz="18"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8" w:type="dxa"/>
            <w:tcBorders>
              <w:top w:val="double" w:color="auto" w:sz="4" w:space="0"/>
              <w:left w:val="single" w:color="auto" w:sz="4" w:space="0"/>
              <w:bottom w:val="thickThinSmallGap" w:color="auto" w:sz="18"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63" w:type="dxa"/>
            <w:vMerge w:val="continue"/>
            <w:tcBorders>
              <w:top w:val="double" w:color="auto" w:sz="4" w:space="0"/>
              <w:left w:val="single" w:color="auto" w:sz="4" w:space="0"/>
              <w:bottom w:val="thickThinSmallGap" w:color="auto" w:sz="18" w:space="0"/>
              <w:right w:val="thickThinSmallGap" w:color="auto" w:sz="1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154" w:name="_Toc23121"/>
      <w:bookmarkStart w:id="155" w:name="_Toc34939875"/>
      <w:bookmarkStart w:id="156" w:name="_Toc2731"/>
      <w:bookmarkStart w:id="157" w:name="_Toc2466"/>
      <w:bookmarkStart w:id="158" w:name="_Toc13087"/>
      <w:bookmarkStart w:id="159" w:name="_Toc1989"/>
      <w:bookmarkStart w:id="160" w:name="_Toc133312618"/>
      <w:bookmarkStart w:id="161" w:name="_Toc76461065"/>
      <w:r>
        <w:rPr>
          <w:rFonts w:hint="eastAsia" w:ascii="宋体" w:hAnsi="宋体" w:eastAsia="宋体" w:cs="宋体"/>
          <w:color w:val="auto"/>
          <w:sz w:val="21"/>
          <w:szCs w:val="21"/>
          <w:highlight w:val="none"/>
        </w:rPr>
        <w:t>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技</w:t>
      </w:r>
      <w:bookmarkEnd w:id="154"/>
      <w:bookmarkEnd w:id="155"/>
      <w:bookmarkEnd w:id="156"/>
      <w:bookmarkEnd w:id="157"/>
      <w:bookmarkEnd w:id="158"/>
      <w:bookmarkEnd w:id="159"/>
      <w:r>
        <w:rPr>
          <w:rFonts w:hint="eastAsia" w:ascii="宋体" w:hAnsi="宋体" w:eastAsia="宋体" w:cs="宋体"/>
          <w:color w:val="auto"/>
          <w:sz w:val="21"/>
          <w:szCs w:val="21"/>
          <w:highlight w:val="none"/>
        </w:rPr>
        <w:t>术资料和交付进度</w:t>
      </w:r>
      <w:bookmarkEnd w:id="160"/>
      <w:bookmarkEnd w:id="161"/>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62" w:name="_Toc76461066"/>
      <w:bookmarkStart w:id="163" w:name="_Toc133312619"/>
      <w:r>
        <w:rPr>
          <w:rFonts w:hint="eastAsia" w:ascii="宋体" w:hAnsi="宋体" w:eastAsia="宋体" w:cs="宋体"/>
          <w:color w:val="auto"/>
          <w:sz w:val="21"/>
          <w:szCs w:val="21"/>
          <w:highlight w:val="none"/>
        </w:rPr>
        <w:t>3.1 总的要求</w:t>
      </w:r>
      <w:bookmarkEnd w:id="162"/>
      <w:bookmarkEnd w:id="163"/>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应根据技术规范提出的高速精密过滤器、超滤膜、反渗透膜等设备的设计条件，技术要求，供货范围，保证条件等提供完整的技术文件和图纸资料。图纸资料的交付进度应满足工程进度的要求。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提供使用国际单位(国家法定计量单位)的有关文件及资料，一式两份。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3.1.3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所提供的技术资料应能满足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改造方案设计以及设备的安装、调试、运行维护的总要求。技术资料提出的资料应能满足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选择主要设备及施工的要求。如所供资料不能达到要求时，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应免费给予补充。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3.1.4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提供的资料包括下列各方面的内容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提供技术文件图纸和设备目录总清单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双方经过协商，确定须提供的图纸资料。</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供设备安装、调试和试运行说明书，以及组装、拆卸时所需用的技术资料。</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设备起停运行维护说明书及有关图纸。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检验记录、试验报告及质量合格证等出厂报告。</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提供在设计、制造时所遵循的规范 、标准和规定。</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64" w:name="_Toc76461067"/>
      <w:bookmarkStart w:id="165" w:name="_Toc133312620"/>
      <w:r>
        <w:rPr>
          <w:rFonts w:hint="eastAsia" w:ascii="宋体" w:hAnsi="宋体" w:eastAsia="宋体" w:cs="宋体"/>
          <w:color w:val="auto"/>
          <w:sz w:val="21"/>
          <w:szCs w:val="21"/>
          <w:highlight w:val="none"/>
        </w:rPr>
        <w:t xml:space="preserve">3.2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提供的安装用图纸及技术资料</w:t>
      </w:r>
      <w:bookmarkEnd w:id="164"/>
      <w:bookmarkEnd w:id="165"/>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产品出厂时，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提供下列文件和图纸（共三套/台，其中含一套电子版本图）</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安装、运行所需的全套图纸，包括设备总图。</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设备设计、安装、运行等说明书。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各类外购设备的安装及使用说明书等资料。</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详细的产品质量文件，包括材质，材质检验、焊接、热处理，加工质量，外形尺寸，水压试验和性能检验等的证件。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设备和备品资料文件，包括设备和备品发运和装箱的详细资料(各种清单)，设备和备品存放与保管技术要求，运输超重和超大件的明细表。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应提供备品、配件总清单。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66" w:name="_Toc76461068"/>
      <w:bookmarkStart w:id="167" w:name="_Toc133312621"/>
      <w:r>
        <w:rPr>
          <w:rFonts w:hint="eastAsia" w:ascii="宋体" w:hAnsi="宋体" w:eastAsia="宋体" w:cs="宋体"/>
          <w:color w:val="auto"/>
          <w:sz w:val="21"/>
          <w:szCs w:val="21"/>
          <w:highlight w:val="none"/>
        </w:rPr>
        <w:t>3.3 其它说明</w:t>
      </w:r>
      <w:bookmarkEnd w:id="166"/>
      <w:bookmarkEnd w:id="167"/>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提供的图纸在合同中明确，合同中未明确的部分如</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提出需求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应无条件满足。</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图纸资料的具体交付进度在签订合同时明确，如合同中未约定或者约定不明确则由甲方指定。</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3.3.3上述图纸资料可在签订合同时增减，调整，确认。</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168" w:name="_Toc76461069"/>
      <w:bookmarkStart w:id="169" w:name="_Toc133312622"/>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交货进度</w:t>
      </w:r>
      <w:bookmarkEnd w:id="168"/>
      <w:bookmarkEnd w:id="169"/>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本项目工期为90日历天，合同签订后30个日历天内完成设备基础施工、60个日历天内所有设备及材料均到现场，90个日历天内完成设备调试并投入试运行。</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170" w:name="_Toc133312623"/>
      <w:bookmarkStart w:id="171" w:name="_Toc76461070"/>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设备监造（检验）及性能试验验收</w:t>
      </w:r>
      <w:bookmarkEnd w:id="170"/>
      <w:bookmarkEnd w:id="171"/>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货物按国家行业标准验收，由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和采购人共同完成。</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在验收前必须向采购人提供产品合格证、产品验收证/单、保修卡、设备安装报告等资料，进口产品需提供进口报关单及中华人民共和国出入境检验检疫机构出具的检验合格证书。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72" w:name="_Toc76461071"/>
      <w:bookmarkStart w:id="173" w:name="_Toc133312624"/>
      <w:r>
        <w:rPr>
          <w:rFonts w:hint="eastAsia" w:ascii="宋体" w:hAnsi="宋体" w:eastAsia="宋体" w:cs="宋体"/>
          <w:color w:val="auto"/>
          <w:sz w:val="21"/>
          <w:szCs w:val="21"/>
          <w:highlight w:val="none"/>
        </w:rPr>
        <w:t>5.1  验收规则</w:t>
      </w:r>
      <w:bookmarkEnd w:id="172"/>
      <w:bookmarkEnd w:id="173"/>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验收标准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货物验收按照生产厂家的产品标准及国家标准、行业标准和</w:t>
      </w:r>
      <w:r>
        <w:rPr>
          <w:rFonts w:hint="eastAsia" w:ascii="宋体" w:hAnsi="宋体" w:cs="宋体"/>
          <w:color w:val="auto"/>
          <w:sz w:val="21"/>
          <w:szCs w:val="21"/>
          <w:highlight w:val="none"/>
          <w:lang w:eastAsia="zh-CN"/>
        </w:rPr>
        <w:t>询价文件</w:t>
      </w:r>
      <w:r>
        <w:rPr>
          <w:rFonts w:hint="eastAsia" w:ascii="宋体" w:hAnsi="宋体" w:eastAsia="宋体" w:cs="宋体"/>
          <w:color w:val="auto"/>
          <w:sz w:val="21"/>
          <w:szCs w:val="21"/>
          <w:highlight w:val="none"/>
        </w:rPr>
        <w:t>规定。</w:t>
      </w:r>
      <w:r>
        <w:rPr>
          <w:rFonts w:hint="eastAsia" w:ascii="宋体" w:hAnsi="宋体" w:cs="宋体"/>
          <w:color w:val="auto"/>
          <w:sz w:val="21"/>
          <w:szCs w:val="21"/>
          <w:highlight w:val="none"/>
          <w:lang w:eastAsia="zh-CN"/>
        </w:rPr>
        <w:t>询价文件</w:t>
      </w:r>
      <w:r>
        <w:rPr>
          <w:rFonts w:hint="eastAsia" w:ascii="宋体" w:hAnsi="宋体" w:eastAsia="宋体" w:cs="宋体"/>
          <w:color w:val="auto"/>
          <w:sz w:val="21"/>
          <w:szCs w:val="21"/>
          <w:highlight w:val="none"/>
        </w:rPr>
        <w:t>规定的技术要求与其他验收依据规定的技术条件不符时，以较高的技术要求或技术条件为准。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验收程序</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货物验收分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出厂检验、货物到场检验及最终验收三个部分，验收过程所发生的一切费用由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承担。性能验收以</w:t>
      </w:r>
      <w:r>
        <w:rPr>
          <w:rFonts w:hint="eastAsia" w:ascii="宋体" w:hAnsi="宋体" w:cs="宋体"/>
          <w:color w:val="auto"/>
          <w:sz w:val="21"/>
          <w:szCs w:val="21"/>
          <w:highlight w:val="none"/>
          <w:lang w:val="en-US" w:eastAsia="zh-CN"/>
        </w:rPr>
        <w:t>甲方认可的</w:t>
      </w:r>
      <w:r>
        <w:rPr>
          <w:rFonts w:hint="eastAsia" w:ascii="宋体" w:hAnsi="宋体" w:eastAsia="宋体" w:cs="宋体"/>
          <w:color w:val="auto"/>
          <w:sz w:val="21"/>
          <w:szCs w:val="21"/>
          <w:highlight w:val="none"/>
        </w:rPr>
        <w:t>有资质的第三方单位的测试结果为准，第三方测试费</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rPr>
        <w:t>承担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如双方对检测结果产生争议，可再委托双方认可的</w:t>
      </w:r>
      <w:r>
        <w:rPr>
          <w:rFonts w:hint="eastAsia" w:ascii="宋体" w:hAnsi="宋体" w:eastAsia="宋体" w:cs="宋体"/>
          <w:color w:val="auto"/>
          <w:sz w:val="21"/>
          <w:szCs w:val="21"/>
          <w:highlight w:val="none"/>
        </w:rPr>
        <w:t>有资质的</w:t>
      </w:r>
      <w:r>
        <w:rPr>
          <w:rFonts w:hint="eastAsia" w:ascii="宋体" w:hAnsi="宋体" w:cs="宋体"/>
          <w:color w:val="auto"/>
          <w:sz w:val="21"/>
          <w:szCs w:val="21"/>
          <w:highlight w:val="none"/>
          <w:lang w:val="en-US" w:eastAsia="zh-CN"/>
        </w:rPr>
        <w:t>第三方单位进行复测，复测费用由责任方承担。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5.1.3出厂检验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在货物出厂前，应按产品技术标准规定的检验项目和试验方法进行全面检验，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应随同货物提供出厂检验报告、产品质量合格证和有效的可靠性试验报告。提供产品的产地证明、出厂编号。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5.1.4货物到场检验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交付货物前2日应先用书面、电传等方式通知采购人。货物到达后，由</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协同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根据采购合同进行货物品牌、外观、数量、技术标准等基本检测项目的验收。若发现有货物破损、丢失和质量问题，采购人有权拒收，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应在3日内免费补充、更换。如检测结果不合格，</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有权进行退货处理，由此造成的各种费用均由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承担；累计检测不合格达2次，</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也可选择单方解除合同并追究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的违约责任。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5.1.5最终检验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可将产品送权威检验机构检验，若检验不合格</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有权拒绝付款并要求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承担违约责任。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74" w:name="_Toc76461072"/>
      <w:bookmarkStart w:id="175" w:name="_Toc133312625"/>
      <w:r>
        <w:rPr>
          <w:rFonts w:hint="eastAsia" w:ascii="宋体" w:hAnsi="宋体" w:eastAsia="宋体" w:cs="宋体"/>
          <w:color w:val="auto"/>
          <w:sz w:val="21"/>
          <w:szCs w:val="21"/>
          <w:highlight w:val="none"/>
        </w:rPr>
        <w:t>5.2 质量控制与检验</w:t>
      </w:r>
      <w:bookmarkEnd w:id="174"/>
      <w:bookmarkEnd w:id="175"/>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5.2.1渗滤液中水、循环水排污水及循环水悬浮物综合治理项目的各组成部分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对高速精密过滤器、超滤膜和反渗透膜有关的所有参数的检验结果，必须以附件文件形式予以记录。如果在随机抽取的样品中发现产品的特性不符合附件的保证指标，则应予拒收并不得用来向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供货。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5.2.2如果高速精密过滤器、超滤膜和反渗透膜技术参数与产品的产地证明、出厂编号不相符，则予以拒收。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技术参数应该按照国家标准进行测试。采用国外标准测试的数据应提供该国外标准的原文与中文译本。</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所有检验结果的文件副本必须在规定的时间内提交</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全部资料要求以中文形式提供。</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76" w:name="_Toc133312626"/>
      <w:bookmarkStart w:id="177" w:name="_Toc76461073"/>
      <w:r>
        <w:rPr>
          <w:rFonts w:hint="eastAsia" w:ascii="宋体" w:hAnsi="宋体" w:eastAsia="宋体" w:cs="宋体"/>
          <w:color w:val="auto"/>
          <w:sz w:val="21"/>
          <w:szCs w:val="21"/>
          <w:highlight w:val="none"/>
        </w:rPr>
        <w:t>5.3 质量问题</w:t>
      </w:r>
      <w:bookmarkEnd w:id="176"/>
      <w:bookmarkEnd w:id="177"/>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高速精密过滤器、超滤膜和反渗透膜使用寿命期限内出现质量问题，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免费提供新的设备给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对高速精密过滤器、超滤膜和反渗透膜提供如下质量保证。</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5.3.1在高速精密过滤器使用过程中，如果滤料需要再生，</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一年内免费提供再生清洗药剂。一年后按正常市场价格供应给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。高速精密过滤器的罐体使用寿命保证20年以上。</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5.3.2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提供的超滤膜和反渗透膜保证使用寿命三年以上。在</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正常使用的情况下，如果因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在膜选型和提供的膜质量出现问题的，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免费更换符合现场使用的新膜。在超滤膜和反渗透膜使用过程中，如果出现在线化学清洗无法恢复膜通量的情况，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提供两年膜的离线清洗服务。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78" w:name="_Toc76461074"/>
      <w:bookmarkStart w:id="179" w:name="_Toc133312627"/>
      <w:r>
        <w:rPr>
          <w:rFonts w:hint="eastAsia" w:ascii="宋体" w:hAnsi="宋体" w:eastAsia="宋体" w:cs="宋体"/>
          <w:color w:val="auto"/>
          <w:sz w:val="21"/>
          <w:szCs w:val="21"/>
          <w:highlight w:val="none"/>
        </w:rPr>
        <w:t>5.4 技术规范</w:t>
      </w:r>
      <w:bookmarkEnd w:id="178"/>
      <w:bookmarkEnd w:id="179"/>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高速精密过滤器、超滤膜和反渗透膜应符合国家相关标准，如上述两文件中规定的技术参数与本技术规范中提出的技术参数发生矛盾，以本技术规范为准。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80" w:name="_Toc133312628"/>
      <w:bookmarkStart w:id="181" w:name="_Toc76461075"/>
      <w:r>
        <w:rPr>
          <w:rFonts w:hint="eastAsia" w:ascii="宋体" w:hAnsi="宋体" w:eastAsia="宋体" w:cs="宋体"/>
          <w:color w:val="auto"/>
          <w:sz w:val="21"/>
          <w:szCs w:val="21"/>
          <w:highlight w:val="none"/>
        </w:rPr>
        <w:t xml:space="preserve">5.5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应提供的质量保证文件</w:t>
      </w:r>
      <w:bookmarkEnd w:id="180"/>
      <w:bookmarkEnd w:id="181"/>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5.5.1 材料合格证</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5.5.2 产品合格证</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5.5.3 制造、检验记录</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5.5.4 出厂检验报告</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182" w:name="_Toc133312629"/>
      <w:bookmarkStart w:id="183" w:name="_Toc76461076"/>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技术服务和联络</w:t>
      </w:r>
      <w:bookmarkEnd w:id="182"/>
      <w:bookmarkEnd w:id="183"/>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应提供所需要的施工及调试规范和要求。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提供其详细设计资料及供货范围内安装需要的数据和资料、调试方案等。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提供的设备和材料需运至现场交货，并提供详细的设备材料到货计划。</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及时提供与本合同设备有关的工程设计，设备制造，检验，安装，调试，验收，性能试验，运行，检修等相应的技术配合、技术培训等全过程的服务,对其安装的质量负责，如发现工程质量不符合要求，应及时整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应负责供货设备及系统的分部试运行、整套启动试运行和机组性能试验。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应提供设备的维护手册以及设备维护时的更换或保养建议。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应按照</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的总体进度要求，参加设计联络会，按时提供初步设计和施工图设计文件及施工、安装、运行手册等所有需要的技术文件、设计资料和图纸。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的运行、维护和管理人员免费进行足够的技术培训，以确保</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的人员能掌握整套装置的运行、维护技术。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应提供供货及服务计划</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在质量保证期满后，无偿提供产品的技术咨询，并以优惠价格提供备品备件。并为用户提供全天候、全方位的服务。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6.10.1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对于操作故障，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承诺在接到故障通知后2小时内给予解答。</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6.10.2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对于设备故障，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承诺在接到故障通知后，48小时内派技术人员到达现场。</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现场技术服务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现场服务人员的目的是使所供设备安全、正常投运。</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要派合格的现场服务人员。</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6.l1.2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现场服务人员应具有下列资质：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遵守法纪，遵守现场的各项规章和制度；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有较强的责任感和事业心，按时到位；</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了解合同设备的设计，熟悉其结构，有相同或相近机组的现场工作经验，能满足工程建设各阶段的需求，能够正确地进行现场指导；</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身体健康，适应现场工作的条件。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现场服务人员的职责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现场服务人员的任务主要包括设备催交、货物的开箱检验、设备质量问题的处理、安装和调试、参加试运和性能验收试验。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2）在安装和调试前，</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技术服务人员应做好技术交底，讲解和示范将要进行的程序和方法。</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对改造工程整体负全部责任。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现场服务人员应有权全权处理现场出现的一切技术和商务问题。如现场发生质量问题，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现场人员要在</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规定的时间内处理解决。如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进行处理，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现场服务人员要出委托书并承担相应的经济责任。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对其现场服务人员的一切行为负全部责任。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现场服务人员的正常来去和更换率事先与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协商。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6.14 </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的义务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要配合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现场服务人员的工作，并在生活、交通和通讯上提</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便。</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184" w:name="_Toc34939885"/>
      <w:bookmarkStart w:id="185" w:name="_Toc9654"/>
      <w:bookmarkStart w:id="186" w:name="_Toc10392"/>
      <w:bookmarkStart w:id="187" w:name="_Toc133312630"/>
      <w:bookmarkStart w:id="188" w:name="_Toc12476"/>
      <w:bookmarkStart w:id="189" w:name="_Toc45194249"/>
      <w:bookmarkStart w:id="190" w:name="_Toc17789"/>
      <w:bookmarkStart w:id="191" w:name="_Toc32994263"/>
      <w:bookmarkStart w:id="192" w:name="_Toc10852"/>
      <w:bookmarkStart w:id="193" w:name="_Toc76461077"/>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分包商及外购部件情况</w:t>
      </w:r>
    </w:p>
    <w:tbl>
      <w:tblPr>
        <w:tblStyle w:val="3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803"/>
        <w:gridCol w:w="1122"/>
        <w:gridCol w:w="877"/>
        <w:gridCol w:w="883"/>
        <w:gridCol w:w="1392"/>
        <w:gridCol w:w="1392"/>
        <w:gridCol w:w="975"/>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5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 号</w:t>
            </w:r>
          </w:p>
        </w:tc>
        <w:tc>
          <w:tcPr>
            <w:tcW w:w="52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厂家名称</w:t>
            </w: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交货产地</w:t>
            </w:r>
          </w:p>
        </w:tc>
        <w:tc>
          <w:tcPr>
            <w:tcW w:w="5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94" w:name="_Toc6317"/>
      <w:bookmarkStart w:id="195" w:name="_Toc5151"/>
      <w:bookmarkStart w:id="196" w:name="_Toc25675356"/>
      <w:bookmarkStart w:id="197" w:name="_Toc27932"/>
      <w:bookmarkStart w:id="198" w:name="_Toc45194247"/>
      <w:bookmarkStart w:id="199" w:name="_Toc26298"/>
      <w:bookmarkStart w:id="200" w:name="_Toc5121"/>
      <w:bookmarkStart w:id="201" w:name="_Toc32994261"/>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大件部件情况</w:t>
      </w:r>
      <w:bookmarkEnd w:id="194"/>
      <w:bookmarkEnd w:id="195"/>
      <w:bookmarkEnd w:id="196"/>
      <w:bookmarkEnd w:id="197"/>
      <w:bookmarkEnd w:id="198"/>
      <w:bookmarkEnd w:id="199"/>
      <w:bookmarkEnd w:id="200"/>
      <w:bookmarkEnd w:id="201"/>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07"/>
        <w:gridCol w:w="980"/>
        <w:gridCol w:w="644"/>
        <w:gridCol w:w="952"/>
        <w:gridCol w:w="1001"/>
        <w:gridCol w:w="832"/>
        <w:gridCol w:w="714"/>
        <w:gridCol w:w="1022"/>
        <w:gridCol w:w="965"/>
        <w:gridCol w:w="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3"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部件名称</w:t>
            </w:r>
          </w:p>
        </w:tc>
        <w:tc>
          <w:tcPr>
            <w:tcW w:w="38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116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尺寸(m) 长×宽×高</w:t>
            </w:r>
          </w:p>
        </w:tc>
        <w:tc>
          <w:tcPr>
            <w:tcW w:w="92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 量  (t)</w:t>
            </w:r>
          </w:p>
        </w:tc>
        <w:tc>
          <w:tcPr>
            <w:tcW w:w="61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厂家名称</w:t>
            </w:r>
          </w:p>
        </w:tc>
        <w:tc>
          <w:tcPr>
            <w:tcW w:w="57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货物产地</w:t>
            </w:r>
          </w:p>
        </w:tc>
        <w:tc>
          <w:tcPr>
            <w:tcW w:w="443"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3"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8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8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tc>
        <w:tc>
          <w:tcPr>
            <w:tcW w:w="5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未包装</w:t>
            </w:r>
          </w:p>
        </w:tc>
        <w:tc>
          <w:tcPr>
            <w:tcW w:w="4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 装</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未包装</w:t>
            </w:r>
          </w:p>
        </w:tc>
        <w:tc>
          <w:tcPr>
            <w:tcW w:w="61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7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43"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202" w:name="_Toc19316"/>
      <w:bookmarkStart w:id="203" w:name="_Toc25863"/>
      <w:bookmarkStart w:id="204" w:name="_Toc25675357"/>
      <w:bookmarkStart w:id="205" w:name="_Toc21294"/>
      <w:bookmarkStart w:id="206" w:name="_Toc5751"/>
      <w:bookmarkStart w:id="207" w:name="_Toc27050"/>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重要部件预期寿命及保证寿命（厂家填写）</w:t>
      </w:r>
      <w:bookmarkEnd w:id="202"/>
      <w:bookmarkEnd w:id="203"/>
      <w:bookmarkEnd w:id="204"/>
      <w:bookmarkEnd w:id="205"/>
      <w:bookmarkEnd w:id="206"/>
      <w:bookmarkEnd w:id="207"/>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29"/>
        <w:gridCol w:w="1801"/>
        <w:gridCol w:w="2443"/>
        <w:gridCol w:w="1801"/>
        <w:gridCol w:w="12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61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设备(部件)名称</w:t>
            </w:r>
          </w:p>
        </w:tc>
        <w:tc>
          <w:tcPr>
            <w:tcW w:w="1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预期寿命</w:t>
            </w: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保证寿命</w:t>
            </w:r>
          </w:p>
        </w:tc>
        <w:tc>
          <w:tcPr>
            <w:tcW w:w="7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61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61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61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61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61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208" w:name="_Toc25675358"/>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差异表</w:t>
      </w:r>
      <w:bookmarkEnd w:id="208"/>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要将响应文件和</w:t>
      </w:r>
      <w:r>
        <w:rPr>
          <w:rFonts w:hint="eastAsia" w:ascii="宋体" w:hAnsi="宋体" w:cs="宋体"/>
          <w:color w:val="auto"/>
          <w:sz w:val="21"/>
          <w:szCs w:val="21"/>
          <w:highlight w:val="none"/>
          <w:lang w:eastAsia="zh-CN"/>
        </w:rPr>
        <w:t>询价文件</w:t>
      </w:r>
      <w:r>
        <w:rPr>
          <w:rFonts w:hint="eastAsia" w:ascii="宋体" w:hAnsi="宋体" w:eastAsia="宋体" w:cs="宋体"/>
          <w:color w:val="auto"/>
          <w:sz w:val="21"/>
          <w:szCs w:val="21"/>
          <w:highlight w:val="none"/>
        </w:rPr>
        <w:t>的差异之处汇集成表。技术部分和商务部分要单独列表。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技术部分/商务部分差异表</w:t>
      </w:r>
    </w:p>
    <w:tbl>
      <w:tblPr>
        <w:tblStyle w:val="38"/>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822"/>
        <w:gridCol w:w="2862"/>
        <w:gridCol w:w="1164"/>
        <w:gridCol w:w="2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8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6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询价文件</w:t>
            </w:r>
          </w:p>
        </w:tc>
        <w:tc>
          <w:tcPr>
            <w:tcW w:w="235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82"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条目</w:t>
            </w:r>
          </w:p>
        </w:tc>
        <w:tc>
          <w:tcPr>
            <w:tcW w:w="167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6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条目</w:t>
            </w:r>
          </w:p>
        </w:tc>
        <w:tc>
          <w:tcPr>
            <w:tcW w:w="16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6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6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bookmarkStart w:id="209" w:name="_Toc14798"/>
      <w:bookmarkStart w:id="210" w:name="_Toc1518"/>
      <w:bookmarkStart w:id="211" w:name="_Toc45194250"/>
      <w:bookmarkStart w:id="212" w:name="_Toc25675359"/>
      <w:bookmarkStart w:id="213" w:name="_Toc32994264"/>
      <w:bookmarkStart w:id="214" w:name="_Toc22373"/>
      <w:bookmarkStart w:id="215" w:name="_Toc21779"/>
      <w:bookmarkStart w:id="216" w:name="_Toc6524"/>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需要说明的其它问题</w:t>
      </w:r>
      <w:bookmarkEnd w:id="184"/>
      <w:bookmarkEnd w:id="185"/>
      <w:bookmarkEnd w:id="186"/>
      <w:bookmarkEnd w:id="187"/>
      <w:bookmarkEnd w:id="188"/>
      <w:bookmarkEnd w:id="189"/>
      <w:bookmarkEnd w:id="190"/>
      <w:bookmarkEnd w:id="191"/>
      <w:bookmarkEnd w:id="192"/>
      <w:bookmarkEnd w:id="193"/>
      <w:bookmarkEnd w:id="209"/>
      <w:bookmarkEnd w:id="210"/>
      <w:bookmarkEnd w:id="211"/>
      <w:bookmarkEnd w:id="212"/>
      <w:bookmarkEnd w:id="213"/>
      <w:bookmarkEnd w:id="214"/>
      <w:bookmarkEnd w:id="215"/>
      <w:bookmarkEnd w:id="216"/>
    </w:p>
    <w:p>
      <w:pPr>
        <w:pStyle w:val="2"/>
        <w:ind w:left="0" w:leftChars="0" w:firstLine="0" w:firstLineChars="0"/>
        <w:rPr>
          <w:rFonts w:hint="eastAsia"/>
          <w:color w:val="auto"/>
          <w:highlight w:val="none"/>
          <w:lang w:val="en-US" w:eastAsia="zh-CN"/>
        </w:rPr>
      </w:pPr>
    </w:p>
    <w:p>
      <w:pPr>
        <w:spacing w:line="360" w:lineRule="auto"/>
        <w:rPr>
          <w:rFonts w:hint="eastAsia" w:ascii="宋体"/>
          <w:bCs/>
          <w:color w:val="auto"/>
          <w:szCs w:val="21"/>
          <w:highlight w:val="none"/>
          <w:lang w:val="en-US" w:eastAsia="zh-CN"/>
        </w:rPr>
      </w:pPr>
    </w:p>
    <w:p>
      <w:pPr>
        <w:spacing w:line="360" w:lineRule="auto"/>
        <w:rPr>
          <w:rFonts w:hint="eastAsia" w:ascii="宋体" w:eastAsia="宋体"/>
          <w:bCs/>
          <w:color w:val="auto"/>
          <w:szCs w:val="21"/>
          <w:highlight w:val="none"/>
          <w:lang w:val="en-US" w:eastAsia="zh-CN"/>
        </w:rPr>
      </w:pPr>
    </w:p>
    <w:p>
      <w:pPr>
        <w:spacing w:line="360" w:lineRule="auto"/>
        <w:ind w:firstLine="420" w:firstLineChars="200"/>
        <w:rPr>
          <w:rFonts w:ascii="宋体" w:cs="Arial"/>
          <w:color w:val="auto"/>
          <w:szCs w:val="21"/>
          <w:highlight w:val="none"/>
        </w:rPr>
      </w:pPr>
    </w:p>
    <w:p>
      <w:pPr>
        <w:pStyle w:val="3"/>
        <w:jc w:val="center"/>
        <w:rPr>
          <w:rFonts w:ascii="黑体" w:eastAsia="黑体"/>
          <w:color w:val="auto"/>
          <w:sz w:val="28"/>
          <w:szCs w:val="28"/>
          <w:highlight w:val="none"/>
        </w:rPr>
      </w:pPr>
      <w:r>
        <w:rPr>
          <w:rFonts w:ascii="黑体" w:eastAsia="黑体"/>
          <w:color w:val="auto"/>
          <w:sz w:val="28"/>
          <w:szCs w:val="28"/>
          <w:highlight w:val="none"/>
        </w:rPr>
        <w:br w:type="page"/>
      </w:r>
      <w:bookmarkStart w:id="217" w:name="_Toc438039969"/>
      <w:bookmarkStart w:id="218" w:name="_Toc438143778"/>
      <w:bookmarkStart w:id="219" w:name="_Toc456552076"/>
      <w:bookmarkStart w:id="220" w:name="_Toc435779386"/>
    </w:p>
    <w:p>
      <w:pPr>
        <w:pStyle w:val="3"/>
        <w:jc w:val="center"/>
        <w:rPr>
          <w:color w:val="auto"/>
          <w:sz w:val="28"/>
          <w:szCs w:val="28"/>
          <w:highlight w:val="none"/>
        </w:rPr>
      </w:pPr>
      <w:bookmarkStart w:id="221" w:name="_Toc6903"/>
      <w:r>
        <w:rPr>
          <w:rFonts w:hint="eastAsia"/>
          <w:color w:val="auto"/>
          <w:sz w:val="28"/>
          <w:szCs w:val="28"/>
          <w:highlight w:val="none"/>
        </w:rPr>
        <w:t>第五章</w:t>
      </w:r>
      <w:r>
        <w:rPr>
          <w:color w:val="auto"/>
          <w:sz w:val="28"/>
          <w:szCs w:val="28"/>
          <w:highlight w:val="none"/>
        </w:rPr>
        <w:t xml:space="preserve"> </w:t>
      </w:r>
      <w:r>
        <w:rPr>
          <w:rFonts w:hint="eastAsia"/>
          <w:color w:val="auto"/>
          <w:sz w:val="28"/>
          <w:szCs w:val="28"/>
          <w:highlight w:val="none"/>
        </w:rPr>
        <w:t>合同条款格式</w:t>
      </w:r>
      <w:bookmarkEnd w:id="221"/>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jc w:val="right"/>
        <w:textAlignment w:val="auto"/>
        <w:rPr>
          <w:color w:val="auto"/>
          <w:highlight w:val="none"/>
        </w:rPr>
      </w:pPr>
      <w:r>
        <w:rPr>
          <w:rFonts w:hint="eastAsia"/>
          <w:color w:val="auto"/>
          <w:highlight w:val="none"/>
        </w:rPr>
        <w:t>【</w:t>
      </w:r>
      <w:r>
        <w:rPr>
          <w:color w:val="auto"/>
          <w:highlight w:val="none"/>
        </w:rPr>
        <w:t>合同编号：</w:t>
      </w:r>
      <w:r>
        <w:rPr>
          <w:rFonts w:hint="eastAsia"/>
          <w:color w:val="auto"/>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b/>
          <w:color w:val="auto"/>
          <w:sz w:val="48"/>
          <w:szCs w:val="48"/>
          <w:highlight w:val="none"/>
        </w:rPr>
      </w:pPr>
      <w:r>
        <w:rPr>
          <w:rFonts w:hint="eastAsia"/>
          <w:b/>
          <w:color w:val="auto"/>
          <w:sz w:val="44"/>
          <w:szCs w:val="44"/>
          <w:highlight w:val="none"/>
        </w:rPr>
        <w:t>东莞市海心沙资源综合利用中心环保热电厂循环水膜处理系统采购项目合同</w:t>
      </w: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058" w:firstLineChars="294"/>
        <w:jc w:val="both"/>
        <w:textAlignment w:val="auto"/>
        <w:rPr>
          <w:color w:val="auto"/>
          <w:sz w:val="36"/>
          <w:szCs w:val="36"/>
          <w:highlight w:val="none"/>
        </w:rPr>
      </w:pPr>
      <w:r>
        <w:rPr>
          <w:rFonts w:hint="eastAsia"/>
          <w:color w:val="auto"/>
          <w:sz w:val="36"/>
          <w:szCs w:val="36"/>
          <w:highlight w:val="none"/>
        </w:rPr>
        <w:t>甲方：</w:t>
      </w:r>
      <w:r>
        <w:rPr>
          <w:rFonts w:hint="eastAsia"/>
          <w:color w:val="auto"/>
          <w:sz w:val="36"/>
          <w:szCs w:val="36"/>
          <w:highlight w:val="none"/>
          <w:u w:val="single"/>
        </w:rPr>
        <w:t>东莞市新东元环保投资有限公司</w:t>
      </w:r>
    </w:p>
    <w:p>
      <w:pPr>
        <w:keepNext w:val="0"/>
        <w:keepLines w:val="0"/>
        <w:pageBreakBefore w:val="0"/>
        <w:kinsoku/>
        <w:wordWrap/>
        <w:overflowPunct/>
        <w:topLinePunct w:val="0"/>
        <w:autoSpaceDE/>
        <w:autoSpaceDN/>
        <w:bidi w:val="0"/>
        <w:adjustRightInd/>
        <w:snapToGrid/>
        <w:spacing w:line="360" w:lineRule="auto"/>
        <w:ind w:left="0" w:leftChars="0" w:firstLine="1058" w:firstLineChars="294"/>
        <w:textAlignment w:val="auto"/>
        <w:rPr>
          <w:rFonts w:hint="default" w:eastAsia="宋体"/>
          <w:color w:val="auto"/>
          <w:sz w:val="36"/>
          <w:szCs w:val="36"/>
          <w:highlight w:val="none"/>
          <w:lang w:val="en-US" w:eastAsia="zh-CN"/>
        </w:rPr>
      </w:pPr>
      <w:r>
        <w:rPr>
          <w:rFonts w:hint="eastAsia"/>
          <w:color w:val="auto"/>
          <w:sz w:val="36"/>
          <w:szCs w:val="36"/>
          <w:highlight w:val="none"/>
        </w:rPr>
        <w:t>乙方：</w:t>
      </w:r>
      <w:r>
        <w:rPr>
          <w:rFonts w:hint="eastAsia"/>
          <w:color w:val="auto"/>
          <w:sz w:val="36"/>
          <w:szCs w:val="36"/>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tabs>
          <w:tab w:val="center" w:pos="4873"/>
          <w:tab w:val="right" w:pos="9746"/>
        </w:tabs>
        <w:kinsoku/>
        <w:wordWrap/>
        <w:overflowPunct/>
        <w:topLinePunct w:val="0"/>
        <w:autoSpaceDE/>
        <w:autoSpaceDN/>
        <w:bidi w:val="0"/>
        <w:adjustRightInd/>
        <w:snapToGrid/>
        <w:spacing w:line="360" w:lineRule="auto"/>
        <w:jc w:val="center"/>
        <w:textAlignment w:val="auto"/>
        <w:rPr>
          <w:rFonts w:hint="eastAsia" w:ascii="宋体" w:hAnsi="宋体"/>
          <w:color w:val="auto"/>
          <w:sz w:val="36"/>
          <w:szCs w:val="36"/>
          <w:highlight w:val="none"/>
        </w:rPr>
      </w:pPr>
      <w:r>
        <w:rPr>
          <w:color w:val="auto"/>
          <w:sz w:val="36"/>
          <w:szCs w:val="36"/>
          <w:highlight w:val="none"/>
        </w:rPr>
        <w:fldChar w:fldCharType="begin"/>
      </w:r>
      <w:r>
        <w:rPr>
          <w:color w:val="auto"/>
          <w:sz w:val="36"/>
          <w:szCs w:val="36"/>
          <w:highlight w:val="none"/>
        </w:rPr>
        <w:instrText xml:space="preserve"> </w:instrText>
      </w:r>
      <w:r>
        <w:rPr>
          <w:rFonts w:hint="eastAsia"/>
          <w:color w:val="auto"/>
          <w:sz w:val="36"/>
          <w:szCs w:val="36"/>
          <w:highlight w:val="none"/>
        </w:rPr>
        <w:instrText xml:space="preserve">TIME \@ "EEEE年O月"</w:instrText>
      </w:r>
      <w:r>
        <w:rPr>
          <w:color w:val="auto"/>
          <w:sz w:val="36"/>
          <w:szCs w:val="36"/>
          <w:highlight w:val="none"/>
        </w:rPr>
        <w:instrText xml:space="preserve"> </w:instrText>
      </w:r>
      <w:r>
        <w:rPr>
          <w:color w:val="auto"/>
          <w:sz w:val="36"/>
          <w:szCs w:val="36"/>
          <w:highlight w:val="none"/>
        </w:rPr>
        <w:fldChar w:fldCharType="separate"/>
      </w:r>
      <w:r>
        <w:rPr>
          <w:rFonts w:hint="eastAsia"/>
          <w:color w:val="auto"/>
          <w:sz w:val="36"/>
          <w:szCs w:val="36"/>
          <w:highlight w:val="none"/>
        </w:rPr>
        <w:t>二〇二五年十月</w:t>
      </w:r>
      <w:r>
        <w:rPr>
          <w:color w:val="auto"/>
          <w:sz w:val="36"/>
          <w:szCs w:val="36"/>
          <w:highlight w:val="none"/>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color w:val="auto"/>
          <w:sz w:val="28"/>
          <w:szCs w:val="28"/>
          <w:highlight w:val="none"/>
          <w:lang w:val="en-US" w:eastAsia="zh-CN"/>
        </w:rPr>
      </w:pPr>
    </w:p>
    <w:p>
      <w:pPr>
        <w:widowControl/>
        <w:jc w:val="center"/>
        <w:rPr>
          <w:rFonts w:hint="default" w:ascii="宋体"/>
          <w:b/>
          <w:bCs/>
          <w:color w:val="auto"/>
          <w:sz w:val="36"/>
          <w:szCs w:val="36"/>
          <w:highlight w:val="none"/>
          <w:lang w:val="en-US" w:eastAsia="zh-CN"/>
        </w:rPr>
      </w:pPr>
      <w:r>
        <w:rPr>
          <w:rFonts w:hint="eastAsia" w:ascii="宋体"/>
          <w:b/>
          <w:bCs/>
          <w:color w:val="auto"/>
          <w:sz w:val="36"/>
          <w:szCs w:val="36"/>
          <w:highlight w:val="none"/>
          <w:lang w:val="en-US" w:eastAsia="zh-CN"/>
        </w:rPr>
        <w:t>目 录</w:t>
      </w:r>
    </w:p>
    <w:p>
      <w:pPr>
        <w:widowControl/>
        <w:jc w:val="left"/>
        <w:rPr>
          <w:rFonts w:hint="eastAsia" w:ascii="宋体"/>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1</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定义.....................................................................XX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合同标的.................................................................XX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3</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供货范围.................................................................XX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合同价格.................................................................XX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付款.....................................................................XX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交货和运输...............................................................XX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7</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包装与标记...............................................................XX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8</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技术服务和联络...........................................................XX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9</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设备监造与检验...........................................................XX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10</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安装､调试､试运和验收</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11</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保证与索赔...............................................................XX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12</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保险.....................................................................XX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13</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税费.....................................................................XX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14</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分包与外购...............................................................XX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15</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合同的变更､修改和终止....................................................XX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16</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不可抗力.................................................................XX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17</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合同争议的解决...........................................................XX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18</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合同生效.................................................................XX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19</w:t>
      </w:r>
      <w:r>
        <w:rPr>
          <w:rFonts w:hint="eastAsia" w:ascii="宋体"/>
          <w:color w:val="auto"/>
          <w:sz w:val="21"/>
          <w:szCs w:val="21"/>
          <w:highlight w:val="none"/>
          <w:lang w:val="en-US" w:eastAsia="zh-CN"/>
        </w:rPr>
        <w:tab/>
      </w:r>
      <w:r>
        <w:rPr>
          <w:rFonts w:hint="eastAsia" w:ascii="宋体"/>
          <w:color w:val="auto"/>
          <w:sz w:val="21"/>
          <w:szCs w:val="21"/>
          <w:highlight w:val="none"/>
          <w:lang w:val="en-US" w:eastAsia="zh-CN"/>
        </w:rPr>
        <w:t>其它.....................................................................XX</w:t>
      </w:r>
    </w:p>
    <w:p>
      <w:pPr>
        <w:widowControl/>
        <w:jc w:val="left"/>
        <w:rPr>
          <w:rFonts w:hint="eastAsia" w:ascii="宋体"/>
          <w:color w:val="auto"/>
          <w:sz w:val="28"/>
          <w:szCs w:val="28"/>
          <w:highlight w:val="none"/>
          <w:lang w:val="en-US" w:eastAsia="zh-CN"/>
        </w:rPr>
      </w:pPr>
    </w:p>
    <w:p>
      <w:pPr>
        <w:widowControl/>
        <w:jc w:val="left"/>
        <w:rPr>
          <w:rFonts w:hint="eastAsia" w:ascii="宋体"/>
          <w:color w:val="auto"/>
          <w:sz w:val="28"/>
          <w:szCs w:val="28"/>
          <w:highlight w:val="none"/>
          <w:lang w:val="en-US" w:eastAsia="zh-CN"/>
        </w:rPr>
      </w:pPr>
    </w:p>
    <w:p>
      <w:pPr>
        <w:rPr>
          <w:rFonts w:hint="eastAsia" w:ascii="宋体"/>
          <w:color w:val="auto"/>
          <w:sz w:val="28"/>
          <w:szCs w:val="28"/>
          <w:highlight w:val="none"/>
          <w:lang w:val="en-US" w:eastAsia="zh-CN"/>
        </w:rPr>
      </w:pPr>
      <w:r>
        <w:rPr>
          <w:rFonts w:hint="eastAsia" w:ascii="宋体"/>
          <w:color w:val="auto"/>
          <w:sz w:val="28"/>
          <w:szCs w:val="28"/>
          <w:highlight w:val="none"/>
          <w:lang w:val="en-US" w:eastAsia="zh-CN"/>
        </w:rPr>
        <w:br w:type="page"/>
      </w:r>
    </w:p>
    <w:p>
      <w:pPr>
        <w:pStyle w:val="37"/>
        <w:ind w:left="0" w:leftChars="0" w:firstLine="0" w:firstLineChars="0"/>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东莞市海心沙资源综合利用中心环保热电厂循环水膜处理系统采购项目合同</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东莞市新东元环保投资有限公司(以下简称“甲方”或“采购人”)与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(以下简称“乙方”或“成交人”)就东莞市海心沙资源综合利用中心环保热电厂循环水膜处理系统采购项目相关设备供货、安装、服务及事宜，经友好协商一致，订立本合同：</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22" w:name="_Toc18487"/>
      <w:bookmarkStart w:id="223" w:name="_Toc475094747"/>
      <w:bookmarkStart w:id="224" w:name="_Toc475095458"/>
      <w:bookmarkStart w:id="225" w:name="_Toc149585869"/>
      <w:r>
        <w:rPr>
          <w:rFonts w:hint="eastAsia" w:ascii="宋体" w:hAnsi="宋体" w:eastAsia="宋体" w:cs="宋体"/>
          <w:color w:val="auto"/>
          <w:sz w:val="21"/>
          <w:szCs w:val="21"/>
          <w:highlight w:val="none"/>
        </w:rPr>
        <w:t>定义</w:t>
      </w:r>
      <w:bookmarkEnd w:id="222"/>
      <w:bookmarkEnd w:id="223"/>
      <w:bookmarkEnd w:id="224"/>
      <w:bookmarkEnd w:id="225"/>
    </w:p>
    <w:p>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本文件和附件中所用下列名词的含义在此予以确定｡</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”是指东莞市新东元环保投资有限公司，包括该法人的法定代表人､法人的继任方和法人的受让方｡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rPr>
        <w:t>”是指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，包括该法人的法定代表人､法人的继任方和法人的受让方｡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“合同”是指本文件及其附件中的所有部分｡</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“合同价格”是指在本合同4款中规定的部分｡</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“生效日期”是指本合同18款中所规定的合同的生效日期｡</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料”是指合同设备及其与合同设备相关的设计､制造､监造检验､安装､调试､验收､性能验收试验､控制和技术指导等文件(包括图纸各种文字说明､标准､各种软件)，和《东莞市海心沙资源综合利用中心环保热电厂循环水膜处理系统采购项目技术需求书》规定的用于本合同设备或合同工程正确运行和维护的文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设备”是指乙方根据合同所要供应的机器､装置､材料､物品､专用工具､仪器仪表､备品备件和所有各种物品，如《东莞市海心沙资源综合利用中心环保热电厂循环水膜处理系统采购项目技术需求书》所列示和规定｡</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“合同工程”是指乙方根据合同所要供应的合同设备安装与调试工程，包括技术服务，如《东莞市海心沙资源综合利用中心环保热电厂循环水膜处理系统采购项目技术需求书》所列示和规定｡</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“监造”是指在合同设备的制造过程中，由甲方派出代表对乙方提供的合同设备的关键部位进行质量监督，实行文件见证和现场见证｡此种质量监造不解除和减免乙方对合同设备质量所负的责任｡</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“日､月､年”是指公历的日､月､年；“天”是指24小时；“周”是指7天｡</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“技术服务”是指由乙方提供的与本合同设备有关的工程设计､设备监造､检验､土建､安装､调试､验收､性能验收试验､运行､检修时相应的技术指导､技术配合､技术培训等全过程的服务｡</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“现场”是指东莞市麻涌镇大步村海心沙岛，为甲方安装合同设备所在地｡</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“备品备件”是指根据本合同提供的合同设备备用部件，包括随机备品备件｡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“试运行”是指本合同设备和工程在安装调试后至初步验收完成前的运行｡</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“机组”是指含本合同设备及工程在内的一套完整的循环水膜处理技改设备｡</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“书面文件”是指任何手稿､打字或印刷的有印章和/或签名的文件｡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“分包商”或“分供货商”是指由乙方将合同供货范围内任何部分的供货分包给其他的法人及该法人的继任方和该法人允许的受让方｡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“最后一批交货”是指该批货物交付后，使得已交付的货物总价值达到合同总价格98%以上，并且余下未交的部分不影响本合同设备或工程的正常运行，货物包括合同设备及合同工程｡</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“设备缺陷和工程缺陷”是指乙方因设计､制造､安装､调试错误或疏忽所引起的本合同设备(包括部件､原材料､铸锻件､原器件等)和工程达不到本合同规定的性能､质量标准要求的情形｡</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验收”是指为检验《东莞市海心沙资源综合利用中心环保热电厂循环水膜处理系统采购项目技术需求书》规定的性能保证值按《东莞市海心沙资源综合利用中心环保热电厂循环水膜处理系统采购项目技术需求书》规定所进行的试验｡</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“初步验收”是指当性能验收试验的结果表明已达到了《东莞市海心沙资源综合利用中心环保热电厂循环水膜处理系统采购项目技术需求书》规定的保证值后，甲方对本合同设备的验收｡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“最终验收”是指甲方对本合同设备保证期满后的验收｡</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26" w:name="_Toc7944"/>
      <w:bookmarkStart w:id="227" w:name="_Toc475094748"/>
      <w:bookmarkStart w:id="228" w:name="_Toc149585870"/>
      <w:bookmarkStart w:id="229" w:name="_Toc475095459"/>
      <w:r>
        <w:rPr>
          <w:rFonts w:hint="eastAsia" w:ascii="宋体" w:hAnsi="宋体" w:eastAsia="宋体" w:cs="宋体"/>
          <w:color w:val="auto"/>
          <w:sz w:val="21"/>
          <w:szCs w:val="21"/>
          <w:highlight w:val="none"/>
        </w:rPr>
        <w:t>合同标的</w:t>
      </w:r>
      <w:bookmarkEnd w:id="226"/>
      <w:bookmarkEnd w:id="227"/>
      <w:bookmarkEnd w:id="228"/>
      <w:bookmarkEnd w:id="229"/>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本合同所订设备和工程将用于东莞市新东元环保投资有限公司｡</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乙方负责提供合同设备及配套设备和相应的专用工具､技术资料以及有关的技术服务等｡</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设备名称､规格(型号)､数量：具体规格参照《东莞市海心沙资源综合利用中心环保热电厂循环水膜处理系统采购项目技术需求书》｡</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设备的技术规范､技术经济指标和性能按《东莞市海心沙资源综合利用中心环保热电厂循环水膜处理系统采购项目技术需求书》｡</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乙方提供合同设备的供货范围按《东莞市海心沙资源综合利用中心环保热电厂循环水膜处理系统采购项目技术需求书》｡</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乙方提供的技术服务按《东莞市海心沙资源综合利用中心环保热电厂循环水膜处理系统采购项目技术需求书》｡</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30" w:name="_Toc22803"/>
      <w:bookmarkStart w:id="231" w:name="_Toc149585871"/>
      <w:bookmarkStart w:id="232" w:name="_Toc475095460"/>
      <w:bookmarkStart w:id="233" w:name="_Toc475094749"/>
      <w:r>
        <w:rPr>
          <w:rFonts w:hint="eastAsia" w:ascii="宋体" w:hAnsi="宋体" w:eastAsia="宋体" w:cs="宋体"/>
          <w:color w:val="auto"/>
          <w:sz w:val="21"/>
          <w:szCs w:val="21"/>
          <w:highlight w:val="none"/>
        </w:rPr>
        <w:t>供货范围</w:t>
      </w:r>
      <w:bookmarkEnd w:id="230"/>
      <w:bookmarkEnd w:id="231"/>
      <w:bookmarkEnd w:id="232"/>
      <w:bookmarkEnd w:id="233"/>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合同供货范围详见《东莞市海心沙资源综合利用中心环保热电厂循环水膜处理系统采购项目技术需求书》｡</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供货范围包括了所有设备、设备基础施工（设备基础需经有资质设计院进行复核）､材料､安装､调试､培训、专用工具､备品备件技术服务等，但在执行合同过程中如发现有任何漏项和短缺，在设备清单和工程清单中并未列入而且确实是乙方供货范围中应该有的，并且是满足《东莞市海心沙资源综合利用中心环保热电厂循环水膜处理系统采购项目技术需求书》对合同设备的性能保证值要求所必须的，均应由乙方负责免费补齐，合同价格不受影响｡</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34" w:name="_Toc475095461"/>
      <w:bookmarkStart w:id="235" w:name="_Toc475094750"/>
      <w:bookmarkStart w:id="236" w:name="_Toc149585872"/>
      <w:bookmarkStart w:id="237" w:name="_Toc8426"/>
      <w:r>
        <w:rPr>
          <w:rFonts w:hint="eastAsia" w:ascii="宋体" w:hAnsi="宋体" w:eastAsia="宋体" w:cs="宋体"/>
          <w:color w:val="auto"/>
          <w:sz w:val="21"/>
          <w:szCs w:val="21"/>
          <w:highlight w:val="none"/>
        </w:rPr>
        <w:t>合同价格</w:t>
      </w:r>
      <w:bookmarkEnd w:id="234"/>
      <w:bookmarkEnd w:id="235"/>
      <w:bookmarkEnd w:id="236"/>
      <w:bookmarkEnd w:id="237"/>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本合同总价为RMB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元整),开具税率为13%增值税专用发票,其中不含税金额为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元,税额为       元｡合同不含税价固定，不作调整；税率按国家相关规定据实调整结算。</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格包括合同设备的设计费､设备费､人工费、材料费､安装费､调试费､工程安全和技术措施费､专利费､知识产权费､包装费､运输费､运杂费､保险费､备品备件费､专用工具费､技术资料费､技术服务费，以及乙方完成本合同责任义务所应承担的所有费用和应缴纳的各种税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本合同价格为合同设备完成安装､调试，并达到最终验收要求的整体系统交货价｡</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本合同不含税金额在合同执行期内为不变价｡</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合同生效后三年内，乙方向甲方供货的价格不能高于合同附件的单价｡</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38" w:name="_Toc475095462"/>
      <w:bookmarkStart w:id="239" w:name="_Toc149585873"/>
      <w:bookmarkStart w:id="240" w:name="_Toc4912"/>
      <w:bookmarkStart w:id="241" w:name="_Toc475094751"/>
      <w:r>
        <w:rPr>
          <w:rFonts w:hint="eastAsia" w:ascii="宋体" w:hAnsi="宋体" w:eastAsia="宋体" w:cs="宋体"/>
          <w:color w:val="auto"/>
          <w:sz w:val="21"/>
          <w:szCs w:val="21"/>
          <w:highlight w:val="none"/>
        </w:rPr>
        <w:t>付款</w:t>
      </w:r>
      <w:bookmarkEnd w:id="238"/>
      <w:bookmarkEnd w:id="239"/>
      <w:bookmarkEnd w:id="240"/>
      <w:bookmarkEnd w:id="241"/>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本合同使用货币种类为人民币，付款方式：对公转账｡</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本合同项下确定的合同总价由甲方向乙方按如下方式及比例支付：</w:t>
      </w:r>
    </w:p>
    <w:p>
      <w:pPr>
        <w:pStyle w:val="117"/>
        <w:keepNext w:val="0"/>
        <w:keepLines w:val="0"/>
        <w:pageBreakBefore w:val="0"/>
        <w:widowControl w:val="0"/>
        <w:numPr>
          <w:ilvl w:val="0"/>
          <w:numId w:val="0"/>
        </w:numPr>
        <w:kinsoku/>
        <w:wordWrap/>
        <w:overflowPunct/>
        <w:autoSpaceDE/>
        <w:autoSpaceDN/>
        <w:bidi w:val="0"/>
        <w:adjustRightInd w:val="0"/>
        <w:snapToGrid w:val="0"/>
        <w:spacing w:line="360" w:lineRule="auto"/>
        <w:ind w:left="1200" w:hanging="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1合同签订后，乙方提交请款资料及合同金额20%的增值税专用发票，甲方在收到上述有效资料之日起20个工作日内支付至合同金额的20%。</w:t>
      </w:r>
    </w:p>
    <w:p>
      <w:pPr>
        <w:pStyle w:val="117"/>
        <w:keepNext w:val="0"/>
        <w:keepLines w:val="0"/>
        <w:pageBreakBefore w:val="0"/>
        <w:widowControl w:val="0"/>
        <w:numPr>
          <w:ilvl w:val="0"/>
          <w:numId w:val="0"/>
        </w:numPr>
        <w:kinsoku/>
        <w:wordWrap/>
        <w:overflowPunct/>
        <w:autoSpaceDE/>
        <w:autoSpaceDN/>
        <w:bidi w:val="0"/>
        <w:adjustRightInd w:val="0"/>
        <w:snapToGrid w:val="0"/>
        <w:spacing w:line="360" w:lineRule="auto"/>
        <w:ind w:left="1200" w:hanging="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乙方按交货顺序及进度在规定的时间内将全部合同设备和随机资料运到交货地点，并将等额增值税专用发票、清单、质量检验合格证明、甲方现场验收合格单复印件等请款资料提交至甲方，甲方在收到上述有效资料之日起20个工作日内支付至合同金额的60%。</w:t>
      </w:r>
    </w:p>
    <w:p>
      <w:pPr>
        <w:pStyle w:val="117"/>
        <w:keepNext w:val="0"/>
        <w:keepLines w:val="0"/>
        <w:pageBreakBefore w:val="0"/>
        <w:widowControl w:val="0"/>
        <w:numPr>
          <w:ilvl w:val="0"/>
          <w:numId w:val="0"/>
        </w:numPr>
        <w:kinsoku/>
        <w:wordWrap/>
        <w:overflowPunct/>
        <w:autoSpaceDE/>
        <w:autoSpaceDN/>
        <w:bidi w:val="0"/>
        <w:adjustRightInd w:val="0"/>
        <w:snapToGrid w:val="0"/>
        <w:spacing w:line="360" w:lineRule="auto"/>
        <w:ind w:left="1200" w:hanging="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乙方完成项目全部安装调试及施工，系统经72小时试运行完成，经甲方组织性能验收合格且乙方完成结算办理后，乙方提交至项目结算金额100%的增值税专用发票及请款资料，甲方在收到上述有效资料之日起20个工作日内支付至、项目结算金额的90%；</w:t>
      </w:r>
    </w:p>
    <w:p>
      <w:pPr>
        <w:pStyle w:val="117"/>
        <w:keepNext w:val="0"/>
        <w:keepLines w:val="0"/>
        <w:pageBreakBefore w:val="0"/>
        <w:widowControl w:val="0"/>
        <w:numPr>
          <w:ilvl w:val="0"/>
          <w:numId w:val="0"/>
        </w:numPr>
        <w:kinsoku/>
        <w:wordWrap/>
        <w:overflowPunct/>
        <w:autoSpaceDE/>
        <w:autoSpaceDN/>
        <w:bidi w:val="0"/>
        <w:adjustRightInd w:val="0"/>
        <w:snapToGrid w:val="0"/>
        <w:spacing w:line="360" w:lineRule="auto"/>
        <w:ind w:left="1200" w:hanging="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 剩余项目结算金额的10%为质保金（</w:t>
      </w:r>
      <w:r>
        <w:rPr>
          <w:rFonts w:hint="eastAsia" w:ascii="宋体" w:hAnsi="宋体" w:eastAsia="宋体" w:cs="宋体"/>
          <w:b/>
          <w:bCs/>
          <w:color w:val="auto"/>
          <w:sz w:val="21"/>
          <w:szCs w:val="21"/>
          <w:highlight w:val="none"/>
        </w:rPr>
        <w:t>合同设备保证期贰年，自甲方最终验收合格之日起算</w:t>
      </w:r>
      <w:r>
        <w:rPr>
          <w:rFonts w:hint="eastAsia" w:ascii="宋体" w:hAnsi="宋体" w:eastAsia="宋体" w:cs="宋体"/>
          <w:color w:val="auto"/>
          <w:sz w:val="21"/>
          <w:szCs w:val="21"/>
          <w:highlight w:val="none"/>
        </w:rPr>
        <w:t>），待合同设备保证期满、合同执行无争议且</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完成全部质保服务，乙方提供合同设备最终验收证书及请款资料经甲方审核无误后，由甲方在收到上述有效资料之日起20个工作日内完成支付（甲方有权扣除</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违约金、赔偿款等应承担的款项后再支付）。本合同设备最终验收证书一式四份。</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签订之日起7天内，向甲方提交金额为本合同总价10%的不可撤销银行保函或履约保证金作为履行合同的担保，履约担保期限从合同签订之日起至项目完工且经甲方总体验收合格后，双方签字确认之日起7天内保持有效；若本合同因乙方违约导致提前终止或解除，甲方有权没收履约保证金（或向银行申请索赔，乙方不得以任何理由要求甲方退回相关款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甲乙双方各自承担因执行合同所发生的银行费用及各项税费｡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甲方支付合同款项时，应按各期付款数额向甲方开具按付款方式和付款条件要求的票据和证明材料｡不开具或开具不合格的，甲方有权迟延支付应付款项且不承担任何违约责任，且乙方的各项合同义务仍应按合同约定履行｡</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如果乙方有赔偿和/或支付违约金的责任，则甲方有权从最近一笔付款中扣除相应金额｡如果最近一笔付款不足以抵扣违约金的，则可从下一笔付款中继续扣除并视为甲方已足额支付相应款项｡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由于乙方未足额缴纳应缴税款和开具发票不真实､不合格而引起的一切责任(包括但不限于商业责任和法律责任)和损失，由乙方承担｡</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双方结算银行账号如下：</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甲方名称：东莞市新东元环保投资有限公司</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行</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纳税人登记号：     </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乙方名称：  </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行</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纳税人登记号：       </w:t>
      </w:r>
    </w:p>
    <w:p>
      <w:pPr>
        <w:keepNext w:val="0"/>
        <w:keepLines w:val="0"/>
        <w:pageBreakBefore w:val="0"/>
        <w:widowControl w:val="0"/>
        <w:kinsoku/>
        <w:wordWrap/>
        <w:overflowPunct/>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pPr>
        <w:keepNext w:val="0"/>
        <w:keepLines w:val="0"/>
        <w:pageBreakBefore w:val="0"/>
        <w:widowControl w:val="0"/>
        <w:kinsoku/>
        <w:wordWrap/>
        <w:overflowPunct/>
        <w:autoSpaceDE/>
        <w:autoSpaceDN/>
        <w:bidi w:val="0"/>
        <w:adjustRightInd w:val="0"/>
        <w:snapToGrid w:val="0"/>
        <w:spacing w:line="360" w:lineRule="auto"/>
        <w:ind w:left="1251" w:leftChars="571" w:hanging="52" w:hangingChars="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任何一方如需改变上述账户，应提前十(10)日以书面通知另一方｡如一方未按本合同规定通知而使另一方遭受损失的，应予以赔偿｡</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42" w:name="_Toc149585874"/>
      <w:bookmarkStart w:id="243" w:name="_Toc475095463"/>
      <w:bookmarkStart w:id="244" w:name="_Toc475094752"/>
      <w:bookmarkStart w:id="245" w:name="_Toc7149"/>
      <w:r>
        <w:rPr>
          <w:rFonts w:hint="eastAsia" w:ascii="宋体" w:hAnsi="宋体" w:eastAsia="宋体" w:cs="宋体"/>
          <w:color w:val="auto"/>
          <w:sz w:val="21"/>
          <w:szCs w:val="21"/>
          <w:highlight w:val="none"/>
        </w:rPr>
        <w:t>工期和运输</w:t>
      </w:r>
      <w:bookmarkEnd w:id="242"/>
      <w:bookmarkEnd w:id="243"/>
      <w:bookmarkEnd w:id="244"/>
      <w:bookmarkEnd w:id="245"/>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r>
        <w:rPr>
          <w:rFonts w:hint="eastAsia" w:ascii="宋体" w:hAnsi="宋体" w:eastAsia="宋体" w:cs="宋体"/>
          <w:b/>
          <w:bCs/>
          <w:color w:val="auto"/>
          <w:sz w:val="21"/>
          <w:szCs w:val="21"/>
          <w:highlight w:val="none"/>
        </w:rPr>
        <w:t>本合同工期为自合同签订之日起90个日历天，具体为：乙方应于合同签订后30个日历天内完成设备基础施工、60个日历天内将所有设备及材料运送到交货地点，90个日历天内完成设备调试并投入试运行。</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交货地点与方式：合同设备的交货地点为东莞市新东元环保投资有限公司工地现场，【落地交货】｡所有合同设备完成安装调试经双方确认后交甲方试运行｡</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合同生效后10天内，乙方向甲方提供设备制造计划､到货计划､安装计划､调试计划､技术服务计划､合同设备移交计划； </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乙方自行负责所有合同设备材料的运输；乙方自行负责整体工程移交甲方前的安全管理，在移交前包括损毁在内的全部风险由乙方承担｡</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乙方向甲方移交已完成调试､具备试运行条件的合同设备时，同时移交合同备品备件；双方应办理移交手续｡此移交日期即本合同11.11款计算迟交货物违约金时的根据｡</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保证期内和在保证期满后至第一次大修时止由于乙方的过失或疏忽造成的供应设备(或部件)的损坏或潜在缺陷，而动用了甲方库存中的备品备件以调换损坏的设备或部件，则乙方应负责免费将动用的备品备件补齐，最迟不得超过15天运到甲方工地｡</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技术文件交付和要求</w:t>
      </w:r>
    </w:p>
    <w:p>
      <w:pPr>
        <w:pStyle w:val="119"/>
        <w:keepNext w:val="0"/>
        <w:keepLines w:val="0"/>
        <w:pageBreakBefore w:val="0"/>
        <w:widowControl w:val="0"/>
        <w:kinsoku/>
        <w:wordWrap/>
        <w:overflowPunct/>
        <w:autoSpaceDE/>
        <w:autoSpaceDN/>
        <w:bidi w:val="0"/>
        <w:adjustRightInd w:val="0"/>
        <w:snapToGrid w:val="0"/>
        <w:spacing w:line="360" w:lineRule="auto"/>
        <w:ind w:right="-82" w:rightChars="-39"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按《东莞市海心沙资源综合利用中心环保热电厂循环水膜处理系统采购项目技术需求书》规定，向甲方分批提供满足垃圾发电厂设计､监造､施工､调试､试验､检验､培训､运行和维修所需的技术资料，按《东莞市海心沙资源综合利用中心环保热电厂循环水膜处理系统采购项目技术需求书》的规定提供技术资料的纸质版8套及电子版1套；并分别列出上述技术资料的清单及符合附件《东莞市海心沙资源综合利用中心环保热电厂循环水膜处理系统采购项目技术需求书》规定的交付进度｡</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资料应使用国家法定单位制即国际单位制，语言为中文，进口部件的外文图纸及文件应由乙方无偿翻译成中文，并提供外文原件和中文译本(投标文本以中文为准)｡说明书､计算书､资料清单等资料应使用WORD文档或EXCEL文档，图纸交付应同时交付蓝图及.dwg电子版文档；乙方应提供的详细资料，包括：</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产品质量合格证明书､出厂检测报告；</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产品安装使用说明书(含电气和控制部分)； </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产品技术资料､图纸(含设备结构图､总装图，设备外形尺寸图，电气接线原理图等)；</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产品装箱清单；</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备品备件，易损件清单；</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其他有关的资料｡</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技术资料一般以邮寄方式递交，每批技术资料交邮后，乙方应在24小时内将技术资料的交邮日期､邮单号､技术资料的详细清单､件数及重量､合同号等以传真或电报通知甲方｡</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料的实际交付日期以甲方有关人员签字时间为准；如没有甲方有关人员签字的，以邮政部门提货通知单戳记时间为准，此日期将作为对任何延期交付资料进行延期违约金计算的依据｡如果技术资料经甲方或甲方代表检查后发现有缺少､丢失或损坏，且非甲方原因，乙方应在收到甲方通知后三天内(对急用者应在一天内)免费向现场补充提供缺少､丢失或损坏的部分｡如因甲方原因发生缺少､丢失或损坏，乙方应在接到甲方通知后五天内(对急用者应在两天内)，向现场补充提供缺少､丢失或损坏部分，费用由甲方承担｡</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46" w:name="_Toc475095464"/>
      <w:bookmarkStart w:id="247" w:name="_Toc27702"/>
      <w:bookmarkStart w:id="248" w:name="_Toc475094753"/>
      <w:bookmarkStart w:id="249" w:name="_Toc149585875"/>
      <w:r>
        <w:rPr>
          <w:rFonts w:hint="eastAsia" w:ascii="宋体" w:hAnsi="宋体" w:eastAsia="宋体" w:cs="宋体"/>
          <w:color w:val="auto"/>
          <w:sz w:val="21"/>
          <w:szCs w:val="21"/>
          <w:highlight w:val="none"/>
        </w:rPr>
        <w:t>包装与标记</w:t>
      </w:r>
      <w:bookmarkEnd w:id="246"/>
      <w:bookmarkEnd w:id="247"/>
      <w:bookmarkEnd w:id="248"/>
      <w:bookmarkEnd w:id="249"/>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到货的所有货物的包装､储运指示标志要符合国家､行业对本合同设备类设备的相关规定【GB191-2008】｡具有适合长途运输､多次搬运和装卸的坚固包装，包装应保证在运输､装卸过程中完好无损，并有减震､防冲击的措施｡若包装无法防止运输､装卸过程中垂直､水平加速度等引起的设备损坏，乙方要在设备的设计结构上予以解决｡包装应按设备特点，按需要分别加上防潮､防霉､防锈､防腐蚀的保护措施，以保证货物在没有任何损坏和腐蚀的情况下安全运抵合同设备安装现场｡产品包装前，乙方负责按部套进行检查清理，不留异物，并保证零部件齐全｡</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乙方对包装箱内和捆内的各散装部件在装配图中的部件号､零件号应标记清楚｡</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乙方应在每件包装箱的两个侧面上，用不褪色的油漆以明显易见的中文字样印刷以下标记：</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合同号：</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目的地：</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供货､收货单位名称：</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设备名称､图号：</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箱号/件号：</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毛重/净重(公斤)：</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体积(长×宽×高，以毫米表示)｡</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包装箱外部应有如下运输作业标志：</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包括防潮､防震､放置方向，重心位置､绳索固定部位等｡</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凡重量二吨以上或者尺寸超过9米×3米×3 米的每件货物，应在包装箱的侧面以运输常用的标记和图案标明重心位置及起吊点，以便于装卸搬运｡按照货物的特点，装卸和运输上的不同要求，包装箱上应明显地印刷有“轻放”､“勿倒置”和“防雨”等字样｡</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对裸装货物应以金属标签或直接在设备本身上注明上述有关内容｡大件货物应带有足够的货物支架或包装垫木｡</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每件包装箱内，应附有包括分件名称､规格型号､数量､价格､图号的详细装箱单､合格证｡外购件包装箱内应有产品出厂质量合格证明书､技术说明各一份｡另邮寄装箱清单各二份｡</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《东莞市海心沙资源综合利用中心环保热电厂循环水膜处理系统采购项目技术需求书》中列明的备品备件､专用工具应按每套设备分别包装，并在包装箱外加以注明，一次性发货｡</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各种设备的松散零星部件应采用好的包装方式，装入尺寸适当的箱内，并尽可能整车发运以减少运输费用｡</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栅格式箱子和/或类似的包装，应能用于盛装不至于被偷窃或被其他物品或雨水造成损坏的设备及零部件｡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所有管道､管件､阀门及其它设备的端口必须用保护盖或其它方式妥善防护｡</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乙方和/或其分包商不得用同一箱号标明任何两个箱件｡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对于需要精确装配的明亮洁净加工面的货物，加工面应采用优良，耐久的保护层(不得用油漆)以防止在安装前发生锈蚀和损坏｡</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乙方交付的技术资料应使用适合于长途各类运输､多次搬运､防雨和防潮的包装｡每包技术资料的封面上应注明下述内容：</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合同号：</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供货､收货单位名称：</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目的地：</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毛重：</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箱号/件号｡</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每一包资料内应附有技术资料的详细清单一式二份，标明技术资料的序号､文件项号､名称和页数｡</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凡由于乙方包装或保管不善致使货物遭到损坏或丢失时，不论在何时何地发现，一经证实，乙方均应按本合同11款的规定负责及时修理､更换或补充｡</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50" w:name="_Toc149585876"/>
      <w:bookmarkStart w:id="251" w:name="_Toc24656"/>
      <w:bookmarkStart w:id="252" w:name="_Toc475094754"/>
      <w:bookmarkStart w:id="253" w:name="_Toc475095465"/>
      <w:r>
        <w:rPr>
          <w:rFonts w:hint="eastAsia" w:ascii="宋体" w:hAnsi="宋体" w:eastAsia="宋体" w:cs="宋体"/>
          <w:color w:val="auto"/>
          <w:sz w:val="21"/>
          <w:szCs w:val="21"/>
          <w:highlight w:val="none"/>
        </w:rPr>
        <w:t>技术服务和联络</w:t>
      </w:r>
      <w:bookmarkEnd w:id="250"/>
      <w:bookmarkEnd w:id="251"/>
      <w:bookmarkEnd w:id="252"/>
      <w:bookmarkEnd w:id="253"/>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及时提供与本合同设备有关的工程设计､设备监造､检验､土建､安装､调试､验收､性能验收试验､运行､检修等相应的技术指导､技术配合(包括各类资质资料､技术资料提供)､技术培训等全过程的服务｡</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在合同生效后半个月内，双方确定技术联络会的次数､时间和地点｡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乙方有义务在必要时或应甲方的要求邀请甲方参与乙方的技术设计，并向甲方解释技术设计｡</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如遇有重大问题需要双方立即研究协商时，任何一方均可建议召开会议，在一般情况下，另一方应同意参加｡</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次会议及其他联络方式双方均应签订会议或联络纪要，所签纪要双方均应执行｡如涉及合同条款修改和有重大技术方案修正引起合同价格的增减，需经双方法定代表人批准或其授权代表批准，所有修改应形成文本，并签字盖章确认｡</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的安装､调试方案需在工程进行前不迟于一个月提交甲方，并经甲方认可；如有修改，须以书面形式通知甲方，经甲方确认后方可进行｡为适应现场条件的要求，甲方有权提出变更或修改意见，并书面通知乙方，乙方应给予充分考虑，应设法满足甲方要求｡</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乙方或甲方有权将对方所提供的一切与本合同设备有关的资料分发给与本工程有关的各方，并不由此而构成任何侵权，但不得向任何与本工程无关的第三方提供｡</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对盖有“密件”及相同性质印章的乙方或甲方的资料，双方都有为其保密的义务｡</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乙方的分包商到甲方工程现场工作，应由乙方统一组织并征得甲方同意，费用应由乙方自行负担｡</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乙方须对一切与本合同有关的供货､设备及技术接口､技术服务等问题负全部责任，乙方责任包括其分包方与外购设备提乙方责任｡</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凡与本合同设备相连接的其它设备装置，乙方有提供接口和技术配合的义务，并不由此而发生合同价格以外的任何费用｡</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派到现场服务的管理人员､技术人员和施工人员应是有实践经验､可胜任此项工作的人员｡乙方派到甲方现场的人员需在进入甲方现场前一个月内提交甲方予以确认｡甲方有权提出更换不符合要求的乙方现场服务人员，乙方无条件接受甲方更换人员的要求，并根据现场需要，一周内重新选派甲方认可的服务人员｡如果甲方在书面提出该项要求15天内乙方没有答复，将按11.11款为延误工期等同处理。</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54" w:name="_Toc475095466"/>
      <w:bookmarkStart w:id="255" w:name="_Toc10195"/>
      <w:bookmarkStart w:id="256" w:name="_Toc149585877"/>
      <w:bookmarkStart w:id="257" w:name="_Toc475094755"/>
      <w:r>
        <w:rPr>
          <w:rFonts w:hint="eastAsia" w:ascii="宋体" w:hAnsi="宋体" w:eastAsia="宋体" w:cs="宋体"/>
          <w:color w:val="auto"/>
          <w:sz w:val="21"/>
          <w:szCs w:val="21"/>
          <w:highlight w:val="none"/>
        </w:rPr>
        <w:t>设备监造与检验</w:t>
      </w:r>
      <w:bookmarkEnd w:id="254"/>
      <w:bookmarkEnd w:id="255"/>
      <w:bookmarkEnd w:id="256"/>
      <w:bookmarkEnd w:id="257"/>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监造</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在本合同生效日期起两周内，向甲方提供本合同设备的设计､制造､安装､调试和检验标准的目录｡设计､制造､安装､调试和检验标准应符合《东莞市海心沙资源综合利用中心环保热电厂循环水膜处理系统采购项目技术需求书》的规定。</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派遣专业人员进行设备监造，包括乙方生产现场和甲方安装调试现场｡监造检验的标准为《东莞市海心沙资源综合利用中心环保热电厂循环水膜处理系统采购项目技术需求书》所列的相应标准｡乙方有配合监造的义务，在监造中及时提供相应资料和标准，并不由此而发生任何费用｡</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监造的范围及具体监造检验/见证项目见《东莞市海心沙资源综合利用中心环保热电厂循环水膜处理系统采购项目技术需求书》｡</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乙方必须为监造代表的监造检验提供：</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本合同设备的生产计划､安装计划和调试计划｡</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提前十五天书面提供设备的监造内容和检验时间｡</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合同设备监造有关的标准(包括工厂标准)､图纸､资料､工艺及实际工艺过程和检验记录(包括中间检验记录和/或不一致性报告)及《东莞市海心沙资源综合利用中心环保热电厂循环水膜处理系统采购项目技术需求书》规定的有关文件以及复印件｡</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向监造代表提供工作､生活方便｡</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造检验/见证(一般为现场见证)一般不得影响乙方的正常生产进度(不包括发现重大问题时的停工检验)，应尽量结合实际生产过程｡若监造代表不能按乙方通知时间及时到场，乙方工厂的试验工作可正常进行，试验结果有效，但是监造代表有权事后了解､查阅､复制检查试验报告和结果(转为文件见证人)｡对必须停工检查的工程关键节点(由双方在合同执行过程中具体议定)，若乙方未及时通知监造代表而单独检验，甲方将不承认该检验结果，乙方应在甲方代表在场的情况下进行该项试验。</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造代表在监造中如发现设备､材料及工程存在质量问题或不符合本规定的标准时，有权提出意见并暂不予以签字，乙方须采取相应改进措施，以保证交货质量，直至监造代表在监造与检验报告上签字｡无论监造代表是否要求和是否知道，乙方均有义务主动及时地向其提供合同设备制造和安装调试过程中出现的较大的质量缺陷和问题，不得隐瞒，在监造代表不知道的情况下乙方不得擅自处理｡</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不论监造代表是否参与监造与检验，是否签署了监造与检验报告，均不能被视为乙方按合同11款规定应承担的质量保证责任的任何减免｡</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工厂检验与现场开箱检验</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乙方供应的所有合同设备/部件(包括分包与外购)，在生产过程中都须进行严格的检验和试验，出厂前须进行部套和/或整机总装和试验｡所有检验､试验和总装(装配)必须有正式的记录文件｡以上工作完成之后，合格者才能出厂发运｡所有这些正式的记录文件及合格证作为技术资料的一部分邮寄给甲方存档｡此外，乙方还应在随机文件中提供合格证和质量证明文件｡</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设备到达安装现场后，应按国家相应规范标准的规定存放和保管｡</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货物到达甲方现场后，甲方有权进行开箱时的检查和设备安装前的检查，乙方应提供配合；</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检验时，如发现设备有任何损坏､缺陷､短少或不符合合同中规定的质量标准和规范时，应做好记录，并由双方代表签字，各执一份；所有损坏､缺陷设备及材料，乙方无条件更换；所有缺少件，乙方自行补齐；除非甲方书面同意，任何损坏､缺陷设备及材料不得维修后用于甲方工程｡</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如双方代表在会同检验中对检验记录不能取得一致意见时，可由双方委托权威的第三方检验机构/双方权威检验机构联合进行检验｡检验结果对双方都有约束力，检验费用由责任方负担｡</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由于乙方原因而引起的设备或部件的修理或更换的时间，以不影响工程建设进度为原则，但最迟不得晚于发现缺陷､损坏或短缺等之后一个月，否则按11.11款处理。</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到货检验，无论是否发现问题或乙方已进行更换或修理均不能被视为乙方按合同11款及《东莞市海心沙资源综合利用中心环保热电厂循环水膜处理系统采购项目技术需求书》的规定应承担的质量保证责任的解除｡</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58" w:name="_Toc11717"/>
      <w:bookmarkStart w:id="259" w:name="_Toc475095467"/>
      <w:bookmarkStart w:id="260" w:name="_Toc149585878"/>
      <w:bookmarkStart w:id="261" w:name="_Toc475094756"/>
      <w:r>
        <w:rPr>
          <w:rFonts w:hint="eastAsia" w:ascii="宋体" w:hAnsi="宋体" w:eastAsia="宋体" w:cs="宋体"/>
          <w:color w:val="auto"/>
          <w:sz w:val="21"/>
          <w:szCs w:val="21"/>
          <w:highlight w:val="none"/>
        </w:rPr>
        <w:t>安装､调试､试运和验收</w:t>
      </w:r>
      <w:bookmarkEnd w:id="258"/>
      <w:bookmarkEnd w:id="259"/>
      <w:bookmarkEnd w:id="260"/>
      <w:bookmarkEnd w:id="261"/>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双方确认本合同设备的安装及调试按以下</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10.2</w:t>
      </w:r>
      <w:r>
        <w:rPr>
          <w:rFonts w:hint="eastAsia" w:ascii="宋体" w:hAnsi="宋体" w:eastAsia="宋体" w:cs="宋体"/>
          <w:b/>
          <w:color w:val="auto"/>
          <w:sz w:val="21"/>
          <w:szCs w:val="21"/>
          <w:highlight w:val="none"/>
        </w:rPr>
        <w:t>乙方包安装及调试】</w:t>
      </w:r>
      <w:r>
        <w:rPr>
          <w:rFonts w:hint="eastAsia" w:ascii="宋体" w:hAnsi="宋体" w:eastAsia="宋体" w:cs="宋体"/>
          <w:color w:val="auto"/>
          <w:sz w:val="21"/>
          <w:szCs w:val="21"/>
          <w:highlight w:val="none"/>
        </w:rPr>
        <w:t>条款执行：</w:t>
      </w:r>
    </w:p>
    <w:p>
      <w:pPr>
        <w:pStyle w:val="117"/>
        <w:keepNext w:val="0"/>
        <w:keepLines w:val="0"/>
        <w:pageBreakBefore w:val="0"/>
        <w:widowControl w:val="0"/>
        <w:kinsoku/>
        <w:wordWrap/>
        <w:overflowPunct/>
        <w:autoSpaceDE/>
        <w:autoSpaceDN/>
        <w:bidi w:val="0"/>
        <w:adjustRightInd w:val="0"/>
        <w:snapToGrid w:val="0"/>
        <w:spacing w:line="360" w:lineRule="auto"/>
        <w:ind w:left="1203" w:hanging="723"/>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乙方包安装及调试</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设备由乙方负责安装和调试工作；甲方将派遣管理人员､技术人员监督､检查和配合乙方的安装调试工作；乙方的安装调试工作须服从甲方的现场管理，甲方现场工作管理的相关制度，包括安全要求､技术要求等，在乙方人员入场前不迟于一个月提交乙方，乙方不得异议｡</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乙方的安装､调试方案需在工程进行前不迟于一个月提交甲方，并经甲方书面认可；</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的安装调试工作须按照包括但不限于双方于《东莞市海心沙资源综合利用中心环保热电厂循环水膜处理系统采购项目技术需求书》列示的国家､行业和地方的安全､技术的标准､规范和规定执行；乙方自行负责施工安全工作，同时接受甲方的现场管理；乙方如有违反，甲方有权中止乙方工作；乙方违章违规工作，情节严重､拒不整改､多次重复出现的，甲方有权终止双方合同｡</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设备稳定运行三日后，由乙方提交移交申请；甲方收到乙方申请两周内进行系统移交验收和接收工作｡相关设备及工程安装调试后的验收移交细则参照双方《东莞市海心沙资源综合利用中心环保热电厂循环水膜处理系统采购项目技术需求书》，由双方在安装工程进行前一个月议定｡本次的移交和验收仅代表系统设备管理权属的转移，不代表初步验收｡</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和设备移交甲方后，由甲方负责试运行工作，乙方现场技术服务人员负责技术指导；试运行期间因甲方人员未按双方议定的运行规程造成的损失由甲方承担，因乙方设备和工程原因､乙方指导错误造成的损失由乙方承担｡</w:t>
      </w:r>
    </w:p>
    <w:p>
      <w:pPr>
        <w:pStyle w:val="117"/>
        <w:keepNext w:val="0"/>
        <w:keepLines w:val="0"/>
        <w:pageBreakBefore w:val="0"/>
        <w:widowControl w:val="0"/>
        <w:kinsoku/>
        <w:wordWrap/>
        <w:overflowPunct/>
        <w:autoSpaceDE/>
        <w:autoSpaceDN/>
        <w:bidi w:val="0"/>
        <w:adjustRightInd w:val="0"/>
        <w:snapToGrid w:val="0"/>
        <w:spacing w:line="360" w:lineRule="auto"/>
        <w:ind w:left="1203" w:hanging="723"/>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乙方指导甲方安装及调试</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设备由甲方根据乙方提供的技术资料､检验标准､图纸及说明书进行安装､调试､运行和维修，软件系统的安装与整个合同范围内工作的调试由乙方负责｡整个安装､调试过程须在乙方现场技术服务人员指导下进行｡重要工序须经乙方现场技术服务人员签字确认｡重要工序由乙方提供(见《东莞市海心沙资源综合利用中心环保热电厂循环水膜处理系统采购项目技术需求书》)｡安装､调试过程中，若甲方未按乙方的技术资料规定和现场技术服务人员指导､未经乙方现场技术服务人员签字确认而出现问题，甲方自行负责(设备问题除外)；若甲方按乙方技术资料规定､现场技术服务人员的指导､乙方现场技术服务人员签字确认而出现问题，乙方承担责任｡</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安装之前，乙方技术人员应讲解安装方法和要求｡在安装过程中，乙方技术人员应对安装工作给予技术指导/监督服务，并参加为满足保证指标和安全稳定运行所需的每套机组合同设备的安装质量的检验和测试｡</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设备安装完毕后，双方代表将进一步核实､确认安装工作，并共同签署安装完毕证书一式二份，双方各执一份｡但此证书不能解除乙方在试运行､性能验收试验和保证期内的责任，以及技术性能和保证与合同规定不相符的责任｡</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本合同设备安装完毕后的验收工作按照《东莞市海心沙资源综合利用中心环保热电厂循环水膜处理系统采购项目技术需求书》的要求进行｡</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合同设备安装完毕后，乙方应派人参加调试､进行技术指导，并应尽快解决调试中出现的设备问题，其所需时间应不超过一个月，否则将按11.13款视为延误工期等同处理｡</w:t>
      </w:r>
    </w:p>
    <w:p>
      <w:pPr>
        <w:pStyle w:val="117"/>
        <w:keepNext w:val="0"/>
        <w:keepLines w:val="0"/>
        <w:pageBreakBefore w:val="0"/>
        <w:widowControl w:val="0"/>
        <w:kinsoku/>
        <w:wordWrap/>
        <w:overflowPunct/>
        <w:autoSpaceDE/>
        <w:autoSpaceDN/>
        <w:bidi w:val="0"/>
        <w:adjustRightInd w:val="0"/>
        <w:snapToGrid w:val="0"/>
        <w:spacing w:line="360" w:lineRule="auto"/>
        <w:ind w:left="1203" w:hanging="723"/>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性能验收与初步验收：</w:t>
      </w:r>
      <w:r>
        <w:rPr>
          <w:rFonts w:hint="eastAsia" w:ascii="宋体" w:hAnsi="宋体" w:eastAsia="宋体" w:cs="宋体"/>
          <w:color w:val="auto"/>
          <w:sz w:val="21"/>
          <w:szCs w:val="21"/>
          <w:highlight w:val="none"/>
        </w:rPr>
        <w:t>合同设备及工程的性能验收以设备在额定工况连续稳定运行96小时为验收条件，期间检查确认双方《东莞市海心沙资源综合利用中心环保热电厂循环水膜处理系统采购项目技术需求书》书中所列示的各种技术指标，该项实验由甲方负责､乙方参与配合；性能验收以</w:t>
      </w:r>
      <w:r>
        <w:rPr>
          <w:rFonts w:hint="eastAsia" w:ascii="宋体" w:hAnsi="宋体" w:cs="宋体"/>
          <w:color w:val="auto"/>
          <w:sz w:val="21"/>
          <w:szCs w:val="21"/>
          <w:highlight w:val="none"/>
          <w:lang w:val="en-US" w:eastAsia="zh-CN"/>
        </w:rPr>
        <w:t>甲方认可的</w:t>
      </w:r>
      <w:r>
        <w:rPr>
          <w:rFonts w:hint="eastAsia" w:ascii="宋体" w:hAnsi="宋体" w:eastAsia="宋体" w:cs="宋体"/>
          <w:color w:val="auto"/>
          <w:sz w:val="21"/>
          <w:szCs w:val="21"/>
          <w:highlight w:val="none"/>
        </w:rPr>
        <w:t>有资质的第三方单位的测试结果为准，第三方测试费</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rPr>
        <w:t>承担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如双方对检测结果产生争议，可再委托双方认可的</w:t>
      </w:r>
      <w:r>
        <w:rPr>
          <w:rFonts w:hint="eastAsia" w:ascii="宋体" w:hAnsi="宋体" w:eastAsia="宋体" w:cs="宋体"/>
          <w:color w:val="auto"/>
          <w:sz w:val="21"/>
          <w:szCs w:val="21"/>
          <w:highlight w:val="none"/>
        </w:rPr>
        <w:t>有资质的</w:t>
      </w:r>
      <w:r>
        <w:rPr>
          <w:rFonts w:hint="eastAsia" w:ascii="宋体" w:hAnsi="宋体" w:cs="宋体"/>
          <w:color w:val="auto"/>
          <w:sz w:val="21"/>
          <w:szCs w:val="21"/>
          <w:highlight w:val="none"/>
          <w:lang w:val="en-US" w:eastAsia="zh-CN"/>
        </w:rPr>
        <w:t>第三方单位进行复测，复测费用由责任方承担</w:t>
      </w:r>
      <w:r>
        <w:rPr>
          <w:rFonts w:hint="eastAsia" w:ascii="宋体" w:hAnsi="宋体" w:eastAsia="宋体" w:cs="宋体"/>
          <w:color w:val="auto"/>
          <w:sz w:val="21"/>
          <w:szCs w:val="21"/>
          <w:highlight w:val="none"/>
        </w:rPr>
        <w:t>；性能验收试验完毕，合同设备达到《东莞市海心沙资源综合利用中心环保热电厂循环水膜处理系统采购项目技术需求书》所规定的各项性能保证值指标；设备停机检查未见异常，双方合同执行无争议，视为初步验收合格｡初步验收合格，双方会签的本合同设备初步验收证书一式二份，双方各执一份｡</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如果合同设备不能达到《东莞市海心沙资源综合利用中心环保热电厂循环水膜处理系统采购项目技术需求书》所规定的一项或多项保证指标时则按10.7款和11.9款办理｡</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非乙方责任，设备安装调试移交甲方后6个月，若甲方未组织调试验收，视为初步验收合格｡</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在不影响本合同设备安全､可靠运行的条件下，如有个别微小缺陷，乙方在双方商定的时间内免费修理上述的缺陷，在乙方修理完毕后，甲方则可同意签署初步验收证书｡</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第一次性能验收试验达不到《东莞市海心沙资源综合利用中心环保热电厂循环水膜处理系统采购项目技术需求书》所规定的一项或多项性能保证值，则双方应共同分析原因，澄清责任，由责任一方采取措施，并在第一次验收试验结束后三个月内进行第二次验收试验；如需第三方测试，第三方测试费由责任方承担｡</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在第二次性能验收试验后，如仍有一项或多项指标未能达到《东莞市海心沙资源综合利用中心环保热电厂循环水膜处理系统采购项目技术需求书》所规定的性能保证值，双方应共同研究，分析原因，澄清责任：</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如属乙方原因，则应按本合同11款执行。</w:t>
      </w:r>
    </w:p>
    <w:p>
      <w:pPr>
        <w:pStyle w:val="119"/>
        <w:keepNext w:val="0"/>
        <w:keepLines w:val="0"/>
        <w:pageBreakBefore w:val="0"/>
        <w:widowControl w:val="0"/>
        <w:kinsoku/>
        <w:wordWrap/>
        <w:overflowPunct/>
        <w:autoSpaceDE/>
        <w:autoSpaceDN/>
        <w:bidi w:val="0"/>
        <w:adjustRightInd w:val="0"/>
        <w:snapToGrid w:val="0"/>
        <w:spacing w:line="360" w:lineRule="auto"/>
        <w:ind w:hanging="7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属甲方原因，本合同设备应被认为初步验收通过，此后三十天内由甲方代表签署由乙方代表会签的本合同设备初步验收证书一式二份，双方各执一份｡此时乙方仍有义务与甲方一起采取措施，使合同设备性能达到保证值｡</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不管合同设备性能验收试验进行一次或二次，甲方将于初步验收证书签发之日起按照10.11款的规定进行最终验收｡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上述条款出具的初步验收证书只是证明乙方所提供的合同设备性能和参数截至出具初步验收证明时可以按合同要求予以接受，但不能视为乙方对合同设备中存在的可能引起合同设备损坏的潜在缺陷所应负的责任解除的证据，同样，最终验收证书也不能被视为乙方对合同设备中存在可能引起合同设备损坏的潜在缺陷应负责任的解除的证据｡潜在缺陷指在正常情况下不能或不容易在设计､制造和短期运行过程中被发现的设计､设备和工程缺陷和隐患，乙方对纠正潜在缺陷所应负的责任，其时间应保证到两年保证期终止后到第一次大修时｡当发现这类潜在缺陷时(经双方确认)，乙方应按照本合同6款及11款的规定进行修理或调换｡</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合同执行过程中的任何时候，对由于乙方责任需要进行的检查､试验､再试验､修理或调换，在甲方提出请求时，乙方应作好安排进行配合以便进行上述工作｡乙方应负担修理或调换所发生的各种费用｡如果乙方委托甲方施工人员进行加工和/或修理､更换设备，或由于乙方设计图纸错误或乙方技术服务人员的指导错误造成返工，乙方应按下列公式向甲方支付费用：(所有费用按发生时的费率水平计费)</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P=ah+M+cm</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其中：P-总费用(元)</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a-人工费(元/小时·人)</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h-人时(小时·人)</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M-材料费(元)</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c-台班数(台·班)</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m-每台设备的台班费(元/台·班)</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至保证期满前十日内，参照初步验收的要求，由甲方负责､乙方参与进行设备最终验收｡设备通过最终验收，质保期满，双方共同会签最终验收证书。</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安装调试费用：乙方自行负责所有安装费､调试费､工程措施费､人员费用､交通费用､食宿费用､设备费用､设施费用､水电费等的所有费用</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62" w:name="_Toc475095468"/>
      <w:bookmarkStart w:id="263" w:name="_Toc149585879"/>
      <w:bookmarkStart w:id="264" w:name="_Toc28331"/>
      <w:bookmarkStart w:id="265" w:name="_Toc475094757"/>
      <w:r>
        <w:rPr>
          <w:rFonts w:hint="eastAsia" w:ascii="宋体" w:hAnsi="宋体" w:eastAsia="宋体" w:cs="宋体"/>
          <w:color w:val="auto"/>
          <w:sz w:val="21"/>
          <w:szCs w:val="21"/>
          <w:highlight w:val="none"/>
        </w:rPr>
        <w:t>保证与索赔</w:t>
      </w:r>
      <w:bookmarkEnd w:id="262"/>
      <w:bookmarkEnd w:id="263"/>
      <w:bookmarkEnd w:id="264"/>
      <w:bookmarkEnd w:id="265"/>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在本合同执行期内，对应本合同范围：乙方的设计资质､制造资质､施工建设(包括安装调试)资质符合国家､部门､地方的相关规定并在有效期内；乙方资质虚假､资质不符､资质过期等所有可能和/或已造成甲方工程障碍和损失的，一经发现，甲方有权单方立即终止合同，乙方赔偿由此造成的所有甲方损失，并承担相应的法律责任｡</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设备及工程的整体质量保证期是指甲方最终验收合格签收之日起贰年｡该保证期是乙方对合同设备及工程的整体质量保证期，对双方《东莞市海心沙资源综合利用中心环保热电厂循环水膜处理系统采购项目技术需求书》中列明的具体合同设备和材料，在乙方的承诺使用寿命期内，乙方承担本合同质量保证期条款相同的责任和义务｡</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其供应的本合同设备是全新的，技术水平是先进的､成熟的､质量优良的，设备的造型均符合安全可靠､经济运行和易于维护的要求｡乙方保证根据本合同《东莞市海心沙资源综合利用中心环保热电厂循环水膜处理系统采购项目技术需求书》要求所交付的技术服务(含技术资料､技术培训和运行､检修指导等)完整统一和内容正确､准确的并能满足合同设备的设计､安装､调试､运行和维修的要求｡乙方保证其所负责的安装调试工程满足国家､行业和地方的相关安全标准和技术标准，满足本合同附件《东莞市海心沙资源综合利用中心环保热电厂循环水膜处理系统采购项目技术需求书》的相关要求｡</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本合同执行期间，因乙方设备缺陷､工程缺陷和技术资料错误，或者由于乙方技术人员指导错误和疏忽，造成的甲方损失，一经查实由乙方无条件全额赔偿甲方｡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甲方未按乙方所提供的技术资料､图纸､说明书､指导书和乙方现场技术服务人员的指导而生产运行造成的设备损坏，由甲方负责修理，更换，但乙方有义务尽快提供所需更换的部件，对于甲方要求的紧急部件，乙方应安排最快的方式运输到甲方施工工地，所有费用均由甲方负担｡</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合同规定的保证期满后且满足最终验收通过､质保期间设备运行正常､乙方已赔偿甲方提出的索赔(如有)，双方合同无争议和遗留问题的条件时，由甲方在15天内出具合同设备保证期满最终验收证书交给乙方｡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保证期内，如发现设备和工程有缺陷，不符合本合同规定时，如属乙方责任，则甲方有权向乙方以书面形式提出索赔｡乙方应承担由此产生的设备及配件配品费用､运输费､检修费､保险费及甲方损失等所有费用｡</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如由于乙方责任需要更换､修理有缺陷的设备或工程整改，合同设备和工程整体交货期不得延长；质保期间，因此导致合同设备停运，则保证期应按实际修理或更换所延误的时间做相应的延长｡</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对于初步验收还是最终验收，由于乙方责任，在合同规定的性能验收试验后，如经第二次验收试验(由于乙方原因)仍不能达到《东莞市海心沙资源综合利用中心环保热电厂循环水膜处理系统采购项目技术需求书》所规定的一项或多项保证指标时：</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经双方协商，如甲方同意，乙方无偿进行设备完善，至所有指标满足双方合同要求，期间由此引起的甲方损失由乙方赔偿甲方；</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经双方协商，如甲方同意继续使用有缺陷的合同设备，视具体情况，乙方应赔付甲方违约金，违约金不低于双方合同金额的10%，具体金额由双方协商，违约金可由甲方在下次合同应付款中扣除；</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双方协商，如甲方不同意乙方整改设备和/或甲方不同意继续使用有缺陷的合同设备，甲方有权单方终止合同，乙方无条件接受：自甲方单方终止合同日起，按甲方确定的时间，乙方退回甲方全部已支付合同款，赔付甲方所有损失，并按合同总金额的30%赔付甲方违约金，之后乙方自费拆除全部已安装的设备，自费回运全部设备及未使用消耗的备品备件和材料；乙方拆除设备和外运设备，不得影响甲方工程的建设或运行，如发生此种情况，甲方有权自行拆除，因此产生的全部费用由乙方支付｡</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乙方提交违约金后，仍有义务向甲方提供技术帮助，采取各种措施以便设备达到各项经济指标｡</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同意乙方整改设备的，在乙方支付全部违约金或者乙方提供的满意的替换件被甲方接受后，在合同设备达到《东莞市海心沙资源综合利用中心环保热电厂循环水膜处理系统采购项目技术需求书》所规定的一项或多项保证指标之日，即为甲方承认设备可以验收并出具验收证书之日｡</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如合同设备和工程在保证期内发现属乙方责任的十分严重的缺陷，如乙方供货范围内主要零部件损坏或该缺陷导致系统不能达到整体性能要求，则其保证期将自该缺陷修正并经甲方验收后开始重新计算贰年｡</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如果不是由于甲方原因或甲方要求推迟交货而乙方未能按本合同规定的交货期交货时(不可抗力除外)，实际交货日期按本合同第6款规定计算，甲方有权按下列比例向乙方收取违约金：</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迟交1~4周，每周违约金金额为迟交货物金额的0.5%；</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迟交5~8周，每周违约金余额为迟交货物金额的1%；</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迟交9周以上，每周违约金金额为迟交货物金额的1.5%；</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不满一周按一周计算｡</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在不影响甲方整体垃圾焚烧发电厂工程进度的情况下，合同设备及工程迟交货物的违约金总金额不超过合同设备总价的10%｡</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乙方支付迟交违约金，并不解除乙方按照合同继续交货的义务｡</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设备及工程迟交8周以上，并已影响甲方整体垃圾焚烧发电厂工程的，甲方有权单方终止全部或部分合同：甲方终止全部合同的，乙方退回甲方全部已支付合同款，并赔付合同金额的30%违约金；甲方终止部分合同的，自合同终止日起，对未交货部分，三个月内，乙方退回对应未交货部分的甲方已支付合同款，并赔付未交货部分合同金额的30%违约金｡</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由于确属乙方责任未能按《东莞市海心沙资源综合利用中心环保热电厂循环水膜处理系统采购项目技术需求书》的规定按时交付，经双方确认属严重影响施工的关键技术资料时，则每迟交一周，乙方支付合同金额的0.5%的违约金/件，迟交时间的计算以本合同相关条款的规定为准｡</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由于乙方技术服务的延误､疏忽和/或错误，在执行合同中造成延误，每延误工期一周乙方将向甲方支付合同设备总价的0.5%违约赔偿金，合同设备这部分赔偿金最多不超过合同设备总价的10%｡且乙方需支付由于乙方技术服务错误或违约造成甲方的全部损失｡</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乙方支付迟交违约金并不解除按合同所规定的相应义务｡</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如果由于甲方原因，迟付货款，甲方须按下列方式支付违约金：</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迟付1~4周，每周违约金金额为迟付金额的0.5%；</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迟付5~8周，每周违约金金额为迟付金额的1.0%；</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迟付9周以上，每周违约金金额为迟付金额的l.5%；</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不满一周按一周计算｡</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合同设备迟付款违约金总额不超过合同设备总价的10%｡</w:t>
      </w:r>
    </w:p>
    <w:p>
      <w:pPr>
        <w:pStyle w:val="118"/>
        <w:keepNext w:val="0"/>
        <w:keepLines w:val="0"/>
        <w:pageBreakBefore w:val="0"/>
        <w:widowControl w:val="0"/>
        <w:numPr>
          <w:ilvl w:val="255"/>
          <w:numId w:val="0"/>
        </w:numPr>
        <w:kinsoku/>
        <w:wordWrap/>
        <w:overflowPunct/>
        <w:autoSpaceDE/>
        <w:autoSpaceDN/>
        <w:bidi w:val="0"/>
        <w:adjustRightInd w:val="0"/>
        <w:snapToGrid w:val="0"/>
        <w:spacing w:line="360" w:lineRule="auto"/>
        <w:ind w:left="1050" w:leftChars="200" w:hanging="630" w:hanging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任一方违反本合同的其他约定，违约方应向对方承担违约责任，并赔偿守约方全部损失。本合同中的全部损失包括直接损失（包括但不限于对守约方所造成的直接损失、可得利益损失、守约方支付给第三方的赔偿费用/违约金/罚款、调查取证费用/公证费、诉讼费用、律师费用、担保费用、维权费用以及其他合理费用）和间接损失。</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66" w:name="_Toc475095469"/>
      <w:bookmarkStart w:id="267" w:name="_Toc475094758"/>
      <w:bookmarkStart w:id="268" w:name="_Toc149585880"/>
      <w:bookmarkStart w:id="269" w:name="_Toc15161"/>
      <w:r>
        <w:rPr>
          <w:rFonts w:hint="eastAsia" w:ascii="宋体" w:hAnsi="宋体" w:eastAsia="宋体" w:cs="宋体"/>
          <w:color w:val="auto"/>
          <w:sz w:val="21"/>
          <w:szCs w:val="21"/>
          <w:highlight w:val="none"/>
        </w:rPr>
        <w:t>保险</w:t>
      </w:r>
      <w:bookmarkEnd w:id="266"/>
      <w:bookmarkEnd w:id="267"/>
      <w:bookmarkEnd w:id="268"/>
      <w:bookmarkEnd w:id="269"/>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乙方须对合同设备和工程，向保险公司以乙方为受益人投保合同总价格110%的一切险，保险区段至保证期届满之日止｡</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对合同设备的关键部件的加工制造过程向保险公司投保合同设备关键部件价格110%的以乙方为受益人的设备制造质量险，投保范围为制造过程中合同设备发生制造质量问题和/或车间内搬运等损坏和现场安装､调试､运行直至保证期内出现的设备质量问题｡</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70" w:name="_Toc20867"/>
      <w:bookmarkStart w:id="271" w:name="_Toc475094759"/>
      <w:bookmarkStart w:id="272" w:name="_Toc475095470"/>
      <w:bookmarkStart w:id="273" w:name="_Toc149585881"/>
      <w:r>
        <w:rPr>
          <w:rFonts w:hint="eastAsia" w:ascii="宋体" w:hAnsi="宋体" w:eastAsia="宋体" w:cs="宋体"/>
          <w:color w:val="auto"/>
          <w:sz w:val="21"/>
          <w:szCs w:val="21"/>
          <w:highlight w:val="none"/>
        </w:rPr>
        <w:t>税费</w:t>
      </w:r>
      <w:bookmarkEnd w:id="270"/>
      <w:bookmarkEnd w:id="271"/>
      <w:bookmarkEnd w:id="272"/>
      <w:bookmarkEnd w:id="273"/>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根据国家有关税务的法律､法规和规定，乙方应该交纳的与本合同有关的税费，由乙方承担｡</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本合同价格为含税价｡</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74" w:name="_Toc475094760"/>
      <w:bookmarkStart w:id="275" w:name="_Toc23993"/>
      <w:bookmarkStart w:id="276" w:name="_Toc149585882"/>
      <w:bookmarkStart w:id="277" w:name="_Toc475095471"/>
      <w:r>
        <w:rPr>
          <w:rFonts w:hint="eastAsia" w:ascii="宋体" w:hAnsi="宋体" w:eastAsia="宋体" w:cs="宋体"/>
          <w:color w:val="auto"/>
          <w:sz w:val="21"/>
          <w:szCs w:val="21"/>
          <w:highlight w:val="none"/>
        </w:rPr>
        <w:t>分包与外购</w:t>
      </w:r>
      <w:bookmarkEnd w:id="274"/>
      <w:bookmarkEnd w:id="275"/>
      <w:bookmarkEnd w:id="276"/>
      <w:bookmarkEnd w:id="277"/>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乙方未经甲方同意不得将本合同范围内的设备/部件进行分包或转包(包括主要部件外购)。个别部件如在乙方的联营单位生产也应征得甲方书面同意，否则不许可｡</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本合同范围内需由联营单位生产的设备/部件的内容和比例提交甲方同意后，在本合同生效一个月内，将此部分设备/部件的联营单位预选名单､联营单位资质､生产能力等材料，提交给甲方｡甲方收到乙方提交的联营单位文件后壹个月内进行审查，审查同意后，以书面形式予以答复｡乙方须在甲方同意的联营单位名单中选定联营单位，并以书面形式正式通知甲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分包(外购)设备/部件的技术服务､技术配合按本合同第8款的相关规定办理｡</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乙方对所有分包设备､部件和工程承担本合同项下的全部责任｡</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78" w:name="_Toc17161"/>
      <w:bookmarkStart w:id="279" w:name="_Toc149585883"/>
      <w:bookmarkStart w:id="280" w:name="_Toc475094761"/>
      <w:bookmarkStart w:id="281" w:name="_Toc475095472"/>
      <w:r>
        <w:rPr>
          <w:rFonts w:hint="eastAsia" w:ascii="宋体" w:hAnsi="宋体" w:eastAsia="宋体" w:cs="宋体"/>
          <w:color w:val="auto"/>
          <w:sz w:val="21"/>
          <w:szCs w:val="21"/>
          <w:highlight w:val="none"/>
        </w:rPr>
        <w:t>合同的变更､修改和终止</w:t>
      </w:r>
      <w:bookmarkEnd w:id="278"/>
      <w:bookmarkEnd w:id="279"/>
      <w:bookmarkEnd w:id="280"/>
      <w:bookmarkEnd w:id="281"/>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经生效，合同双方均不得擅自对本合同的内容(包括附件)作任何单方的修改｡但任何一方均可以对合同内容以书面形式提出变更､修改､取消或补充的建议｡该项建议应以书面形式通知对方并经双方签字、盖章确认｡</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有违反或拒绝执行本合同规定的行为时，甲方将用书面通知乙方，乙方在接到通知后3天内作出修正，如果认为在3天内来不及纠正时，应提出修正计划｡如果乙方未纠正或未提出修正计划，甲方有权单方终止全部或部分合同｡由此而发生的一切费用､损失和索赔将由乙方负担｡如果乙方的违约行为在本合同其它条款有明确规定，则按有关条款处理｡</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如果甲方行使终止权利，甲方有权停付到期应向乙方支付终止部分的款项，并有权索回在执行合同中预付给乙方的终止部分款项｡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在合同执行过程中，若因国家计划调整或其他不可抗力而引起本合同无法正常执行时，乙方和/或甲方可以向对方提出终止执行合同或修改合同有关条款的建议，与之有关的事宜双方协商办理｡</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15.5款考虑的情况确实发生，甲方有权从乙方手中将与本合同设备有关的工作接管并收归己有，并在合理期限内从乙方的现场房屋中迁出所有与本合同设备有关的设计､图纸､说明和材料，这些东西的所有权已属甲方，乙方应给甲方提供全权处理并提供一切合理的方便，使其能搬走上述这类设计､图纸､说明和材料，甲方对这种终止合同直接或间接引起的对乙方的任何索赔不承担责任｡此外，双方应对乙方已经实际履行的合同部分评价达成协议，并处理合同提前结束的一切后果｡</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82" w:name="_Toc20399"/>
      <w:bookmarkStart w:id="283" w:name="_Toc149585884"/>
      <w:bookmarkStart w:id="284" w:name="_Toc475094762"/>
      <w:bookmarkStart w:id="285" w:name="_Toc475095473"/>
      <w:r>
        <w:rPr>
          <w:rFonts w:hint="eastAsia" w:ascii="宋体" w:hAnsi="宋体" w:eastAsia="宋体" w:cs="宋体"/>
          <w:color w:val="auto"/>
          <w:sz w:val="21"/>
          <w:szCs w:val="21"/>
          <w:highlight w:val="none"/>
        </w:rPr>
        <w:t>不可抗力</w:t>
      </w:r>
      <w:bookmarkEnd w:id="282"/>
      <w:bookmarkEnd w:id="283"/>
      <w:bookmarkEnd w:id="284"/>
      <w:bookmarkEnd w:id="285"/>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到不可抗力影响的一方应在不可抗力事故发生后，尽快将所发生的不可抗力事件的情况以传真或电报通知另一方，并在15天内将有关当局出具的证明文件提交给另一方审阅确认，受影响的一方同时应尽量设法缩小这种影响和由此而引起的延误，一旦不可抗力的影响消除后，应将此情况立即通知对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如双方对不可抗力事件的影响估计将延续到120天以上时，双方应通过友好协商解决本合同的执行问题(包括交货､安装､试运行和验收等问题)｡</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86" w:name="_Toc475094763"/>
      <w:bookmarkStart w:id="287" w:name="_Toc149585885"/>
      <w:bookmarkStart w:id="288" w:name="_Toc475095474"/>
      <w:bookmarkStart w:id="289" w:name="_Toc9391"/>
      <w:r>
        <w:rPr>
          <w:rFonts w:hint="eastAsia" w:ascii="宋体" w:hAnsi="宋体" w:eastAsia="宋体" w:cs="宋体"/>
          <w:color w:val="auto"/>
          <w:sz w:val="21"/>
          <w:szCs w:val="21"/>
          <w:highlight w:val="none"/>
        </w:rPr>
        <w:t>合同争议的解决</w:t>
      </w:r>
      <w:bookmarkEnd w:id="286"/>
      <w:bookmarkEnd w:id="287"/>
      <w:bookmarkEnd w:id="288"/>
      <w:bookmarkEnd w:id="289"/>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与本合同有关而引起的一切争议，双方应首先通过协商解决，如经协商后仍不能达成协议时，则提交双方上级主管部门调解｡如仍不能解决，双方同意任何一方可以向甲方项目所在地有管辖权的人民法院提出诉讼｡</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法院判决对双方都有约束力｡</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由上述过程发生的费用除上述法院判决另有规定外，应由败诉方承担｡</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在进行法院审理期间，除提交法院审理的事项外，合同仍应继续履行。</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90" w:name="_Toc475095475"/>
      <w:bookmarkStart w:id="291" w:name="_Toc25287"/>
      <w:bookmarkStart w:id="292" w:name="_Toc475094764"/>
      <w:bookmarkStart w:id="293" w:name="_Toc149585886"/>
      <w:r>
        <w:rPr>
          <w:rFonts w:hint="eastAsia" w:ascii="宋体" w:hAnsi="宋体" w:eastAsia="宋体" w:cs="宋体"/>
          <w:color w:val="auto"/>
          <w:sz w:val="21"/>
          <w:szCs w:val="21"/>
          <w:highlight w:val="none"/>
        </w:rPr>
        <w:t>合同生效</w:t>
      </w:r>
      <w:bookmarkEnd w:id="290"/>
      <w:bookmarkEnd w:id="291"/>
      <w:bookmarkEnd w:id="292"/>
      <w:bookmarkEnd w:id="293"/>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本合同经双方法定代表人或授权代表签字并加盖合同专用章后方可生效，合同生效日期以最后签字盖章日为准｡</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本合同有效期：从合同生效之日起到甲乙双方完成合同责任义务之日止｡</w:t>
      </w:r>
    </w:p>
    <w:p>
      <w:pPr>
        <w:pStyle w:val="116"/>
        <w:keepNext w:val="0"/>
        <w:keepLines w:val="0"/>
        <w:pageBreakBefore w:val="0"/>
        <w:widowControl w:val="0"/>
        <w:kinsoku/>
        <w:wordWrap/>
        <w:overflowPunct/>
        <w:autoSpaceDE/>
        <w:autoSpaceDN/>
        <w:bidi w:val="0"/>
        <w:adjustRightInd w:val="0"/>
        <w:snapToGrid w:val="0"/>
        <w:spacing w:before="289" w:line="360" w:lineRule="auto"/>
        <w:ind w:hanging="482"/>
        <w:textAlignment w:val="auto"/>
        <w:rPr>
          <w:rFonts w:hint="eastAsia" w:ascii="宋体" w:hAnsi="宋体" w:eastAsia="宋体" w:cs="宋体"/>
          <w:color w:val="auto"/>
          <w:sz w:val="21"/>
          <w:szCs w:val="21"/>
          <w:highlight w:val="none"/>
        </w:rPr>
      </w:pPr>
      <w:bookmarkStart w:id="294" w:name="_Toc475094765"/>
      <w:bookmarkStart w:id="295" w:name="_Toc10087"/>
      <w:bookmarkStart w:id="296" w:name="_Toc475095476"/>
      <w:bookmarkStart w:id="297" w:name="_Toc149585887"/>
      <w:r>
        <w:rPr>
          <w:rFonts w:hint="eastAsia" w:ascii="宋体" w:hAnsi="宋体" w:eastAsia="宋体" w:cs="宋体"/>
          <w:color w:val="auto"/>
          <w:sz w:val="21"/>
          <w:szCs w:val="21"/>
          <w:highlight w:val="none"/>
        </w:rPr>
        <w:t>其它</w:t>
      </w:r>
      <w:bookmarkEnd w:id="294"/>
      <w:bookmarkEnd w:id="295"/>
      <w:bookmarkEnd w:id="296"/>
      <w:bookmarkEnd w:id="297"/>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本合同适用法律为中华人民共和国法律｡</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除本合同外，以下文件均为本合同的构成部分，与本合同相互补充，如合同文件有含糊不清､不相一致甚至冲突时，优先以以下合同文件顺序解释，其次以时间顺序在后的文件的优先前期的文件解释｡</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补充协议(如果有)；</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甲乙双方在合同执行过程中产生的经双方商务､技术负责人签署的并加盖双方合同章的各种商务和技术文件；</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本合同附件《东莞市海心沙资源综合利用中心环保热电厂循环水膜处理系统采购项目技术需求书》；</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cs="宋体"/>
          <w:color w:val="auto"/>
          <w:sz w:val="21"/>
          <w:szCs w:val="21"/>
          <w:highlight w:val="none"/>
          <w:lang w:eastAsia="zh-CN"/>
        </w:rPr>
        <w:t>询价文件</w:t>
      </w:r>
      <w:r>
        <w:rPr>
          <w:rFonts w:hint="eastAsia" w:ascii="宋体" w:hAnsi="宋体" w:eastAsia="宋体" w:cs="宋体"/>
          <w:color w:val="auto"/>
          <w:sz w:val="21"/>
          <w:szCs w:val="21"/>
          <w:highlight w:val="none"/>
        </w:rPr>
        <w:t>(如果有)；</w:t>
      </w:r>
    </w:p>
    <w:p>
      <w:pPr>
        <w:pStyle w:val="118"/>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乙方响应文件(如果有)。</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合同双方承担的合同义务都不得超过合同的规定，合同任何一方也不得对另一方作出有约束力的声明，陈述，许诺或行动｡</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本合同列明了双方的责任､义务､补偿和补救条款｡任何一方不承担本合同规定以外的责任､义务､补偿和补救｡</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双方任何一方未取得另一方事先同意前，不得将本合同项下的部分或全部权利或义务转让给第三方｡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双方相互提供的文件､资料，双方除为履行合同的目的外，均不得提供给与本合同设备及相关工程无关的第三方，但接收信息的一方根据适用的法律和法规的规定有义务进行披露的情形除外。保密义务为永久，如任一方违反保密义务的，应按照本合同约定承担相应的违约责任｡</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合同双方应指定二名授权代表，分别负责直接处理本合同设备及合同工程的技术和商务问题｡双方授权代表的名称和通讯地址在合同生效的同时通知对方｡</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任何一方向对方提出的函电通知或要求，如系正式书写并按对方下述地址派员递送或挂号､航空邮寄､电报､传真或电传发送的，在取得对方人员和/或通讯设施接收确认后，即被认为已经被对方正式接收｡</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本合同一式伍份，甲方执叁份，乙方执贰份，均具同等法律效力｡</w:t>
      </w:r>
    </w:p>
    <w:p>
      <w:pPr>
        <w:pStyle w:val="117"/>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本合同签约地点：【东莞市】</w:t>
      </w:r>
    </w:p>
    <w:p>
      <w:pPr>
        <w:pStyle w:val="117"/>
        <w:keepNext w:val="0"/>
        <w:keepLines w:val="0"/>
        <w:pageBreakBefore w:val="0"/>
        <w:widowControl w:val="0"/>
        <w:numPr>
          <w:ilvl w:val="1"/>
          <w:numId w:val="0"/>
        </w:numPr>
        <w:kinsoku/>
        <w:wordWrap/>
        <w:overflowPunct/>
        <w:autoSpaceDE/>
        <w:autoSpaceDN/>
        <w:bidi w:val="0"/>
        <w:adjustRightInd w:val="0"/>
        <w:snapToGrid w:val="0"/>
        <w:spacing w:line="360" w:lineRule="auto"/>
        <w:ind w:left="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w:t>
      </w:r>
    </w:p>
    <w:p>
      <w:pPr>
        <w:pStyle w:val="117"/>
        <w:keepNext w:val="0"/>
        <w:keepLines w:val="0"/>
        <w:pageBreakBefore w:val="0"/>
        <w:widowControl w:val="0"/>
        <w:numPr>
          <w:ilvl w:val="1"/>
          <w:numId w:val="0"/>
        </w:numPr>
        <w:kinsoku/>
        <w:wordWrap/>
        <w:overflowPunct/>
        <w:autoSpaceDE/>
        <w:autoSpaceDN/>
        <w:bidi w:val="0"/>
        <w:adjustRightInd w:val="0"/>
        <w:snapToGrid w:val="0"/>
        <w:spacing w:line="360" w:lineRule="auto"/>
        <w:ind w:left="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1、主要供货明细清单</w:t>
      </w:r>
    </w:p>
    <w:p>
      <w:pPr>
        <w:pStyle w:val="117"/>
        <w:keepNext w:val="0"/>
        <w:keepLines w:val="0"/>
        <w:pageBreakBefore w:val="0"/>
        <w:widowControl w:val="0"/>
        <w:numPr>
          <w:ilvl w:val="1"/>
          <w:numId w:val="0"/>
        </w:numPr>
        <w:kinsoku/>
        <w:wordWrap/>
        <w:overflowPunct/>
        <w:autoSpaceDE/>
        <w:autoSpaceDN/>
        <w:bidi w:val="0"/>
        <w:adjustRightInd w:val="0"/>
        <w:snapToGrid w:val="0"/>
        <w:spacing w:line="360" w:lineRule="auto"/>
        <w:ind w:left="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2、东莞市海心沙资源综合利用中心环保热电厂循环水膜处理系统采购项目技术需求书</w:t>
      </w:r>
    </w:p>
    <w:p>
      <w:pPr>
        <w:pStyle w:val="117"/>
        <w:keepNext w:val="0"/>
        <w:keepLines w:val="0"/>
        <w:pageBreakBefore w:val="0"/>
        <w:widowControl w:val="0"/>
        <w:numPr>
          <w:ilvl w:val="1"/>
          <w:numId w:val="0"/>
        </w:numPr>
        <w:kinsoku/>
        <w:wordWrap/>
        <w:overflowPunct/>
        <w:autoSpaceDE/>
        <w:autoSpaceDN/>
        <w:bidi w:val="0"/>
        <w:adjustRightInd w:val="0"/>
        <w:snapToGrid w:val="0"/>
        <w:spacing w:line="360" w:lineRule="auto"/>
        <w:ind w:left="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3、安全协议</w:t>
      </w:r>
    </w:p>
    <w:p>
      <w:pPr>
        <w:pStyle w:val="117"/>
        <w:keepNext w:val="0"/>
        <w:keepLines w:val="0"/>
        <w:pageBreakBefore w:val="0"/>
        <w:widowControl w:val="0"/>
        <w:numPr>
          <w:ilvl w:val="1"/>
          <w:numId w:val="0"/>
        </w:numPr>
        <w:kinsoku/>
        <w:wordWrap/>
        <w:overflowPunct/>
        <w:autoSpaceDE/>
        <w:autoSpaceDN/>
        <w:bidi w:val="0"/>
        <w:adjustRightInd w:val="0"/>
        <w:snapToGrid w:val="0"/>
        <w:spacing w:line="360" w:lineRule="auto"/>
        <w:ind w:left="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4、阳光合作协议</w:t>
      </w:r>
    </w:p>
    <w:p>
      <w:pPr>
        <w:keepNext w:val="0"/>
        <w:keepLines w:val="0"/>
        <w:pageBreakBefore w:val="0"/>
        <w:widowControl w:val="0"/>
        <w:kinsoku/>
        <w:wordWrap/>
        <w:overflowPunct/>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(以下无正文，下转签署页)</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117"/>
        <w:keepNext w:val="0"/>
        <w:keepLines w:val="0"/>
        <w:pageBreakBefore w:val="0"/>
        <w:widowControl w:val="0"/>
        <w:numPr>
          <w:ilvl w:val="1"/>
          <w:numId w:val="0"/>
        </w:numPr>
        <w:kinsoku/>
        <w:wordWrap/>
        <w:overflowPunct/>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【签署页】</w:t>
      </w:r>
    </w:p>
    <w:tbl>
      <w:tblPr>
        <w:tblStyle w:val="38"/>
        <w:tblW w:w="4999" w:type="pct"/>
        <w:tblInd w:w="0" w:type="dxa"/>
        <w:tblLayout w:type="autofit"/>
        <w:tblCellMar>
          <w:top w:w="0" w:type="dxa"/>
          <w:left w:w="108" w:type="dxa"/>
          <w:bottom w:w="0" w:type="dxa"/>
          <w:right w:w="108" w:type="dxa"/>
        </w:tblCellMar>
      </w:tblPr>
      <w:tblGrid>
        <w:gridCol w:w="4201"/>
        <w:gridCol w:w="4319"/>
      </w:tblGrid>
      <w:tr>
        <w:tblPrEx>
          <w:tblCellMar>
            <w:top w:w="0" w:type="dxa"/>
            <w:left w:w="108" w:type="dxa"/>
            <w:bottom w:w="0" w:type="dxa"/>
            <w:right w:w="108" w:type="dxa"/>
          </w:tblCellMar>
        </w:tblPrEx>
        <w:tc>
          <w:tcPr>
            <w:tcW w:w="2465"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东莞市新东元环保投资有限公司</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纳税人登记号：</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签约代表：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253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纳税人登记号：</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签约代表：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r>
    </w:tbl>
    <w:p>
      <w:pPr>
        <w:pStyle w:val="37"/>
        <w:ind w:left="0" w:leftChars="0" w:firstLine="0" w:firstLineChars="0"/>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pPr>
        <w:pStyle w:val="37"/>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附件1：主要供货明细清单</w:t>
      </w:r>
    </w:p>
    <w:tbl>
      <w:tblPr>
        <w:tblStyle w:val="38"/>
        <w:tblpPr w:leftFromText="180" w:rightFromText="180" w:vertAnchor="text" w:horzAnchor="margin" w:tblpY="232"/>
        <w:tblW w:w="4998" w:type="pct"/>
        <w:tblInd w:w="0" w:type="dxa"/>
        <w:tblLayout w:type="autofit"/>
        <w:tblCellMar>
          <w:top w:w="0" w:type="dxa"/>
          <w:left w:w="108" w:type="dxa"/>
          <w:bottom w:w="0" w:type="dxa"/>
          <w:right w:w="108" w:type="dxa"/>
        </w:tblCellMar>
      </w:tblPr>
      <w:tblGrid>
        <w:gridCol w:w="731"/>
        <w:gridCol w:w="1186"/>
        <w:gridCol w:w="2395"/>
        <w:gridCol w:w="689"/>
        <w:gridCol w:w="777"/>
        <w:gridCol w:w="777"/>
        <w:gridCol w:w="777"/>
        <w:gridCol w:w="1187"/>
      </w:tblGrid>
      <w:tr>
        <w:tblPrEx>
          <w:tblCellMar>
            <w:top w:w="0" w:type="dxa"/>
            <w:left w:w="108" w:type="dxa"/>
            <w:bottom w:w="0" w:type="dxa"/>
            <w:right w:w="108" w:type="dxa"/>
          </w:tblCellMar>
        </w:tblPrEx>
        <w:trPr>
          <w:trHeight w:val="570" w:hRule="atLeast"/>
        </w:trPr>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69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名称</w:t>
            </w:r>
          </w:p>
        </w:tc>
        <w:tc>
          <w:tcPr>
            <w:tcW w:w="140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规格型号</w:t>
            </w:r>
          </w:p>
        </w:tc>
        <w:tc>
          <w:tcPr>
            <w:tcW w:w="40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单位</w:t>
            </w:r>
          </w:p>
        </w:tc>
        <w:tc>
          <w:tcPr>
            <w:tcW w:w="45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数量</w:t>
            </w:r>
          </w:p>
        </w:tc>
        <w:tc>
          <w:tcPr>
            <w:tcW w:w="45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产地</w:t>
            </w:r>
          </w:p>
        </w:tc>
        <w:tc>
          <w:tcPr>
            <w:tcW w:w="45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生产厂家</w:t>
            </w:r>
          </w:p>
        </w:tc>
        <w:tc>
          <w:tcPr>
            <w:tcW w:w="69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tblPrEx>
          <w:tblCellMar>
            <w:top w:w="0" w:type="dxa"/>
            <w:left w:w="108" w:type="dxa"/>
            <w:bottom w:w="0" w:type="dxa"/>
            <w:right w:w="108" w:type="dxa"/>
          </w:tblCellMar>
        </w:tblPrEx>
        <w:trPr>
          <w:trHeight w:val="798"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r>
      <w:tr>
        <w:tblPrEx>
          <w:tblCellMar>
            <w:top w:w="0" w:type="dxa"/>
            <w:left w:w="108" w:type="dxa"/>
            <w:bottom w:w="0" w:type="dxa"/>
            <w:right w:w="108" w:type="dxa"/>
          </w:tblCellMar>
        </w:tblPrEx>
        <w:trPr>
          <w:trHeight w:val="1263"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28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946"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28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28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70"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70"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85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85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85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85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855"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88" w:hRule="atLeast"/>
        </w:trPr>
        <w:tc>
          <w:tcPr>
            <w:tcW w:w="42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1405"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c>
          <w:tcPr>
            <w:tcW w:w="696" w:type="pct"/>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auto"/>
                <w:kern w:val="0"/>
                <w:szCs w:val="21"/>
                <w:highlight w:val="none"/>
              </w:rPr>
            </w:pPr>
          </w:p>
        </w:tc>
      </w:tr>
    </w:tbl>
    <w:p>
      <w:pPr>
        <w:pStyle w:val="37"/>
        <w:ind w:left="0" w:leftChars="0" w:firstLine="0" w:firstLineChars="0"/>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pPr>
        <w:pStyle w:val="37"/>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附件2：《东莞市海心沙资源综合利用中心环保热电厂循环水膜处理系统采购项目技术需求书》</w:t>
      </w:r>
    </w:p>
    <w:p>
      <w:pPr>
        <w:widowControl/>
        <w:jc w:val="left"/>
        <w:rPr>
          <w:rFonts w:hint="eastAsia" w:ascii="宋体" w:hAnsi="宋体" w:eastAsia="宋体" w:cs="宋体"/>
          <w:color w:val="auto"/>
          <w:sz w:val="21"/>
          <w:szCs w:val="21"/>
          <w:highlight w:val="none"/>
          <w:lang w:val="en-US" w:eastAsia="zh-CN"/>
        </w:rPr>
      </w:pPr>
    </w:p>
    <w:p>
      <w:pPr>
        <w:widowControl/>
        <w:jc w:val="left"/>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16"/>
        <w:jc w:val="left"/>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附件3：安全协议</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安全协议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t>发包单位：</w:t>
      </w:r>
      <w:r>
        <w:rPr>
          <w:rFonts w:hint="eastAsia" w:ascii="宋体" w:hAnsi="宋体" w:eastAsia="宋体" w:cs="宋体"/>
          <w:bCs/>
          <w:color w:val="auto"/>
          <w:spacing w:val="-10"/>
          <w:sz w:val="21"/>
          <w:szCs w:val="21"/>
          <w:highlight w:val="none"/>
          <w:u w:val="single"/>
        </w:rPr>
        <w:t xml:space="preserve"> 东莞市新东元环保投资有限公司 </w:t>
      </w:r>
      <w:r>
        <w:rPr>
          <w:rFonts w:hint="eastAsia" w:ascii="宋体" w:hAnsi="宋体" w:eastAsia="宋体" w:cs="宋体"/>
          <w:bCs/>
          <w:color w:val="auto"/>
          <w:spacing w:val="-10"/>
          <w:sz w:val="21"/>
          <w:szCs w:val="21"/>
          <w:highlight w:val="none"/>
        </w:rPr>
        <w:t xml:space="preserve">   （以下简称甲方）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t>承包单位：</w:t>
      </w:r>
      <w:r>
        <w:rPr>
          <w:rFonts w:hint="eastAsia" w:ascii="宋体" w:hAnsi="宋体" w:eastAsia="宋体" w:cs="宋体"/>
          <w:bCs/>
          <w:color w:val="auto"/>
          <w:spacing w:val="-10"/>
          <w:sz w:val="21"/>
          <w:szCs w:val="21"/>
          <w:highlight w:val="none"/>
          <w:u w:val="single"/>
        </w:rPr>
        <w:t xml:space="preserve">                                </w:t>
      </w:r>
      <w:r>
        <w:rPr>
          <w:rFonts w:hint="eastAsia" w:ascii="宋体" w:hAnsi="宋体" w:eastAsia="宋体" w:cs="宋体"/>
          <w:bCs/>
          <w:color w:val="auto"/>
          <w:spacing w:val="-10"/>
          <w:sz w:val="21"/>
          <w:szCs w:val="21"/>
          <w:highlight w:val="none"/>
        </w:rPr>
        <w:t xml:space="preserve">   （以下简称乙方）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 xml:space="preserve">    根据甲方工作需要，</w:t>
      </w:r>
      <w:r>
        <w:rPr>
          <w:rFonts w:hint="eastAsia" w:ascii="宋体" w:hAnsi="宋体" w:eastAsia="宋体" w:cs="宋体"/>
          <w:color w:val="auto"/>
          <w:sz w:val="21"/>
          <w:szCs w:val="21"/>
          <w:highlight w:val="none"/>
          <w:u w:val="single"/>
        </w:rPr>
        <w:t>现将                   项目（合同编号：          ）发包乙方</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为了确保实现甲方的安全生产目标，进一步明确双方的安全管理责任，加强安全生产管理工作的协调、管理力度，甲方与乙方依据国家安全生产相关的法律、法规、条例、标准、行业标准，双方同意签订该协议作为正式合同安全管理方面的补充规定，并承诺本协议具有与合同相同的法律效力。具体条款如下：</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298" w:name="_Toc31292"/>
      <w:r>
        <w:rPr>
          <w:rFonts w:hint="eastAsia" w:ascii="宋体" w:hAnsi="宋体" w:eastAsia="宋体" w:cs="宋体"/>
          <w:color w:val="auto"/>
          <w:sz w:val="21"/>
          <w:szCs w:val="21"/>
          <w:highlight w:val="none"/>
        </w:rPr>
        <w:t>一、协议有效期限</w:t>
      </w:r>
      <w:bookmarkEnd w:id="298"/>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本协议中所涉及的安全管理责任自合同签订之日起开始生效，至合同终止之日。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299" w:name="_Toc1868"/>
      <w:r>
        <w:rPr>
          <w:rFonts w:hint="eastAsia" w:ascii="宋体" w:hAnsi="宋体" w:eastAsia="宋体" w:cs="宋体"/>
          <w:color w:val="auto"/>
          <w:sz w:val="21"/>
          <w:szCs w:val="21"/>
          <w:highlight w:val="none"/>
        </w:rPr>
        <w:t>二、安全管理目标</w:t>
      </w:r>
      <w:bookmarkEnd w:id="299"/>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一</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乙方承诺履行和承担合同和甲方程序所规定的安全责任，并完成如下控制目标：</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不发生重伤及以上人身伤亡事故；</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不发生单项直接损失超过20万元以上的经济损失事故；</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不发生造成20万元以上直接经济损失或致人重伤的火灾事故；</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不发生负同等及同等以上责任的且导致重伤1人或轻伤3人及以上，或财产损失3万元以上的交通事故；</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不发生被生态环境部门挂网通报或行政处罚的环保事件；</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不发生职业病病例；</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不发生乙方管理责任导致的治安案件、群体事件；</w:t>
      </w:r>
    </w:p>
    <w:p>
      <w:pPr>
        <w:pStyle w:val="113"/>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w:t>
      </w:r>
      <w:r>
        <w:rPr>
          <w:rFonts w:hint="eastAsia" w:ascii="宋体" w:hAnsi="宋体" w:eastAsia="宋体" w:cs="宋体"/>
          <w:color w:val="auto"/>
          <w:sz w:val="21"/>
          <w:szCs w:val="21"/>
          <w:highlight w:val="none"/>
          <w:shd w:val="clear" w:color="auto" w:fill="FFFFFF"/>
        </w:rPr>
        <w:t>安全事故隐瞒不报、谎报或严重迟报（指超过24h）行为。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二</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乙方承诺在作业中控制以下安全事件（行为）的发生：</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人员轻伤事故；</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未遂事故；</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恶性误操作；</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无票作业；</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严重违章、群体违章；</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未经培训或培训不合格人员上岗；</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特种作业人员无证上岗；</w:t>
      </w:r>
    </w:p>
    <w:p>
      <w:pPr>
        <w:pStyle w:val="113"/>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重大安全隐患。</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0" w:name="_Toc22629"/>
      <w:r>
        <w:rPr>
          <w:rFonts w:hint="eastAsia" w:ascii="宋体" w:hAnsi="宋体" w:eastAsia="宋体" w:cs="宋体"/>
          <w:color w:val="auto"/>
          <w:sz w:val="21"/>
          <w:szCs w:val="21"/>
          <w:highlight w:val="none"/>
        </w:rPr>
        <w:t>三、安全责任</w:t>
      </w:r>
      <w:bookmarkEnd w:id="300"/>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1" w:name="_Toc856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）甲方安全责任</w:t>
      </w:r>
      <w:bookmarkEnd w:id="301"/>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对乙方的资质、条件进行审查，符合安全生产相关规定的要求。</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开工前，对乙方提供的人员名单进行入厂安全教育培训、考试。</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开工前甲方对乙方进行施工安全技术交底，并应有书面记录或资料。</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甲方有权检查督促乙方执行有关安全生产方面的工作规定，对乙方不符合安全文明施工标准的行为进行制止、纠正并发出安全整改通知书。</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甲方指派负责与乙方联系安全生产、质量控制、进度协调等方面的工作。</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甲方有权对工作票所填写的安全措施是否正确完备进行监督。</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甲方有权要求乙方制定确保施工安全的组织措施、安全措施和技术措施，并监督执行。</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甲方有权对乙方参与施工的人员进行安全技术知识和安全工作规程的抽考。</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pPr>
        <w:pStyle w:val="113"/>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在有可能造成火灾、爆炸、中毒、窒息、坍塌、高空坠落、触电等容易引起人身伤害和设备事故的高风险区域内的作业，甲方要求乙方制定安全技术措施，经甲方审查后，监督实施。</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2" w:name="_Toc25005"/>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）乙方安全责任</w:t>
      </w:r>
      <w:bookmarkEnd w:id="302"/>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乙方的法定代表人对本合同内容的安全管理负有全面领导责任。</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乙方项目经理对作业现场的安全工作负有直接领导责任。</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乙方保证对本项目安全生产条件及其管理资源的投入，保证安全资金的专款专用，并建立适用于本项目的《项目生产安全费用明细一览表》，如实填报，作为项目安全投入的技术性依据。</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乙方保证建立本项目的安全管理体系，项目安全管理大纲/手册报甲方审查批准后发布实施，安全奖惩制度等安全管理性的程序/制度文件须报甲方备案，相关文件如有升版，应及时分发甲方。</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乙方保证现场的项目经理、安全管理专职人员、特种作业人员必须持有符合规定的安全生产培训考核合格证书。</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乙方保证为现场所有工作人员配备符合国家标准的个人劳动保护用品。</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乙方保证按照国家法律规定为所有从业人员办理意外伤害保险、工伤保险，保额不低于当地赔付标准。</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乙方保证生活营地（包括自建的和租用的营地）满足消防、环保、安全用电、卫生防疫、防暴雨、防雷击、防台风等方面的安全标准。</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乙方保证对入场大型施工机械、特种设备、工器具、大宗材料按照国家法规和标准进行检测、试验，并按规定持有法定部门出具的检验合格证书。</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pPr>
        <w:pStyle w:val="113"/>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保证作业现场符合甲方现场安全要求规范，保持作业现场的良好秩序和整洁的作业环境，作业现场的物料堆放要摆放整齐，安全标志和宣传标志要清楚醒目，废料、废物要按规定分类收集处置，安全通道要畅通。</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3" w:name="_Toc7554"/>
      <w:r>
        <w:rPr>
          <w:rFonts w:hint="eastAsia" w:ascii="宋体" w:hAnsi="宋体" w:eastAsia="宋体" w:cs="宋体"/>
          <w:color w:val="auto"/>
          <w:sz w:val="21"/>
          <w:szCs w:val="21"/>
          <w:highlight w:val="none"/>
        </w:rPr>
        <w:t>四、安全投入</w:t>
      </w:r>
      <w:bookmarkEnd w:id="303"/>
    </w:p>
    <w:p>
      <w:pPr>
        <w:pStyle w:val="113"/>
        <w:keepNext w:val="0"/>
        <w:keepLines w:val="0"/>
        <w:pageBreakBefore w:val="0"/>
        <w:widowControl w:val="0"/>
        <w:numPr>
          <w:ilvl w:val="0"/>
          <w:numId w:val="1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乙方应按照法规要求对项目的安全投入做出合理、及时、足量的安排，保证有足够的资金用于建立、维护、改善作业安全环境条件和安全作业条件。</w:t>
      </w:r>
    </w:p>
    <w:p>
      <w:pPr>
        <w:pStyle w:val="113"/>
        <w:keepNext w:val="0"/>
        <w:keepLines w:val="0"/>
        <w:pageBreakBefore w:val="0"/>
        <w:widowControl w:val="0"/>
        <w:numPr>
          <w:ilvl w:val="0"/>
          <w:numId w:val="1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乙方必须建立专项资金管理机制，保证安全投入专款专用，及时投入，满足现场的安全需求，禁止挪用安全资金。若甲方发现乙方挪用安全资金，则甲方有权在合同支付中扣除，并返作安全投入资金，同时对乙方实施考核。</w:t>
      </w:r>
    </w:p>
    <w:p>
      <w:pPr>
        <w:pStyle w:val="113"/>
        <w:keepNext w:val="0"/>
        <w:keepLines w:val="0"/>
        <w:pageBreakBefore w:val="0"/>
        <w:widowControl w:val="0"/>
        <w:numPr>
          <w:ilvl w:val="0"/>
          <w:numId w:val="1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乙方的安全投入项目清单如有遗漏，导致合同规定的安全投入专项资金不能满足“安全投入项目”资金需求时，乙方应从其他渠道安排资金，满足现场安全资金的需求。</w:t>
      </w:r>
    </w:p>
    <w:p>
      <w:pPr>
        <w:pStyle w:val="113"/>
        <w:keepNext w:val="0"/>
        <w:keepLines w:val="0"/>
        <w:pageBreakBefore w:val="0"/>
        <w:widowControl w:val="0"/>
        <w:numPr>
          <w:ilvl w:val="0"/>
          <w:numId w:val="1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甲方有权对安全投入的使用情况进行检查，乙方应予以配合。</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4" w:name="_Toc18535"/>
      <w:r>
        <w:rPr>
          <w:rFonts w:hint="eastAsia" w:ascii="宋体" w:hAnsi="宋体" w:eastAsia="宋体" w:cs="宋体"/>
          <w:color w:val="auto"/>
          <w:sz w:val="21"/>
          <w:szCs w:val="21"/>
          <w:highlight w:val="none"/>
        </w:rPr>
        <w:t>五、接口及协调</w:t>
      </w:r>
      <w:bookmarkEnd w:id="304"/>
    </w:p>
    <w:p>
      <w:pPr>
        <w:pStyle w:val="113"/>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乙方必须符合甲方的安全规范，人员、车辆的出入，带入现场的设备、机具、材料，在现场使用的或直接管理的办公、生活、生产性设施的安全管理须满足甲方现场管理的基本要求。</w:t>
      </w:r>
    </w:p>
    <w:p>
      <w:pPr>
        <w:pStyle w:val="113"/>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乙方应指定专职（或兼职）安全管理人员与甲方接口，在业务上接受甲方的协调和指导，参与安全协调和管理。</w:t>
      </w:r>
    </w:p>
    <w:p>
      <w:pPr>
        <w:pStyle w:val="113"/>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乙方的安全管理人员应具备协调安全工作的能力和授权。甲方有权对安全管理人员的能力和权力做出评价，对于不能胜任的安全管理人员，甲方有权要求乙方换人。</w:t>
      </w:r>
    </w:p>
    <w:p>
      <w:pPr>
        <w:pStyle w:val="113"/>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如合同内容出现较大变更，本协议的有关条款也应做出相应的修改。</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5" w:name="_Toc28862"/>
      <w:r>
        <w:rPr>
          <w:rFonts w:hint="eastAsia" w:ascii="宋体" w:hAnsi="宋体" w:eastAsia="宋体" w:cs="宋体"/>
          <w:color w:val="auto"/>
          <w:sz w:val="21"/>
          <w:szCs w:val="21"/>
          <w:highlight w:val="none"/>
        </w:rPr>
        <w:t>六、安全资质审查</w:t>
      </w:r>
      <w:bookmarkEnd w:id="305"/>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乙方在项目开工前5个工作日向甲方提供以下安全资质供审查和存档：</w:t>
      </w:r>
    </w:p>
    <w:p>
      <w:pPr>
        <w:pStyle w:val="113"/>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项目经理及安全管理人员资质；</w:t>
      </w:r>
    </w:p>
    <w:p>
      <w:pPr>
        <w:pStyle w:val="113"/>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特种作业人员资格证书；</w:t>
      </w:r>
    </w:p>
    <w:p>
      <w:pPr>
        <w:pStyle w:val="113"/>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适用于本项目的安全管理体系文件；</w:t>
      </w:r>
    </w:p>
    <w:p>
      <w:pPr>
        <w:pStyle w:val="113"/>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适用于本项目的《项目生产安全费用明细一览表》；</w:t>
      </w:r>
    </w:p>
    <w:p>
      <w:pPr>
        <w:pStyle w:val="113"/>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近三年的安全无事故证明（针对建设施工单位）。</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6" w:name="_Toc28694"/>
      <w:r>
        <w:rPr>
          <w:rFonts w:hint="eastAsia" w:ascii="宋体" w:hAnsi="宋体" w:eastAsia="宋体" w:cs="宋体"/>
          <w:color w:val="auto"/>
          <w:sz w:val="21"/>
          <w:szCs w:val="21"/>
          <w:highlight w:val="none"/>
        </w:rPr>
        <w:t>七、人员基本素质</w:t>
      </w:r>
      <w:bookmarkEnd w:id="306"/>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乙方提供的人员必须满足下列要求:</w:t>
      </w:r>
    </w:p>
    <w:p>
      <w:pPr>
        <w:pStyle w:val="113"/>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身体健康，无影响工作的高血压、心脏病、低血糖，无精神疾病、无传染病和其他重大疾病，年龄在</w:t>
      </w:r>
      <w:r>
        <w:rPr>
          <w:rFonts w:hint="eastAsia" w:ascii="宋体" w:hAnsi="宋体" w:eastAsia="宋体" w:cs="宋体"/>
          <w:snapToGrid w:val="0"/>
          <w:color w:val="auto"/>
          <w:sz w:val="21"/>
          <w:szCs w:val="21"/>
          <w:highlight w:val="none"/>
          <w:u w:val="single"/>
        </w:rPr>
        <w:t>55</w:t>
      </w:r>
      <w:r>
        <w:rPr>
          <w:rFonts w:hint="eastAsia" w:ascii="宋体" w:hAnsi="宋体" w:eastAsia="宋体" w:cs="宋体"/>
          <w:snapToGrid w:val="0"/>
          <w:color w:val="auto"/>
          <w:sz w:val="21"/>
          <w:szCs w:val="21"/>
          <w:highlight w:val="none"/>
        </w:rPr>
        <w:t>岁以下；在上岗前应提供符合甲方要求的体检报告以供审核评价，作为人员办理相应入场授权证件的必备材料；</w:t>
      </w:r>
    </w:p>
    <w:p>
      <w:pPr>
        <w:pStyle w:val="113"/>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无刑事案件牵连；</w:t>
      </w:r>
    </w:p>
    <w:p>
      <w:pPr>
        <w:pStyle w:val="113"/>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无吸毒、酗酒、赌博、嫖娼等恶习及违法行为；</w:t>
      </w:r>
    </w:p>
    <w:p>
      <w:pPr>
        <w:pStyle w:val="113"/>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甲方有权对乙方员工的基本素质情况进行检查，对不能满足要求的人员有权进行清理，对乙方则予以考核。</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7" w:name="_Toc28325"/>
      <w:r>
        <w:rPr>
          <w:rFonts w:hint="eastAsia" w:ascii="宋体" w:hAnsi="宋体" w:eastAsia="宋体" w:cs="宋体"/>
          <w:color w:val="auto"/>
          <w:sz w:val="21"/>
          <w:szCs w:val="21"/>
          <w:highlight w:val="none"/>
        </w:rPr>
        <w:t>八、劳动保护</w:t>
      </w:r>
      <w:bookmarkEnd w:id="307"/>
    </w:p>
    <w:p>
      <w:pPr>
        <w:pStyle w:val="113"/>
        <w:keepNext w:val="0"/>
        <w:keepLines w:val="0"/>
        <w:pageBreakBefore w:val="0"/>
        <w:widowControl w:val="0"/>
        <w:numPr>
          <w:ilvl w:val="0"/>
          <w:numId w:val="19"/>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乙方须为其从业人员提供符合国家标准的劳动保护用品，包括安全鞋、工作服和安全帽、安全带、防酸碱服和防酸碱手套、呼吸保护器、口罩、护目镜等。</w:t>
      </w:r>
    </w:p>
    <w:p>
      <w:pPr>
        <w:pStyle w:val="113"/>
        <w:keepNext w:val="0"/>
        <w:keepLines w:val="0"/>
        <w:pageBreakBefore w:val="0"/>
        <w:widowControl w:val="0"/>
        <w:numPr>
          <w:ilvl w:val="0"/>
          <w:numId w:val="19"/>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乙方入场前将个人劳动保护用品配用标准交甲方审核。</w:t>
      </w:r>
    </w:p>
    <w:p>
      <w:pPr>
        <w:pStyle w:val="113"/>
        <w:keepNext w:val="0"/>
        <w:keepLines w:val="0"/>
        <w:pageBreakBefore w:val="0"/>
        <w:widowControl w:val="0"/>
        <w:numPr>
          <w:ilvl w:val="0"/>
          <w:numId w:val="19"/>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乙方应为其从事射线探伤人员配备个人剂量计。</w:t>
      </w:r>
    </w:p>
    <w:p>
      <w:pPr>
        <w:pStyle w:val="113"/>
        <w:keepNext w:val="0"/>
        <w:keepLines w:val="0"/>
        <w:pageBreakBefore w:val="0"/>
        <w:widowControl w:val="0"/>
        <w:numPr>
          <w:ilvl w:val="0"/>
          <w:numId w:val="19"/>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乙方的劳动保护必须满足甲方的劳动保护要求；甲方对乙方安全实施的情况进行检查，乙方应予以配合,不满足安全条件的，甲方有权中止现场活动，由此产生的工期和成本的影响,由乙方自行负责。</w:t>
      </w:r>
    </w:p>
    <w:p>
      <w:pPr>
        <w:pStyle w:val="113"/>
        <w:keepNext w:val="0"/>
        <w:keepLines w:val="0"/>
        <w:pageBreakBefore w:val="0"/>
        <w:widowControl w:val="0"/>
        <w:numPr>
          <w:ilvl w:val="0"/>
          <w:numId w:val="19"/>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开工前应组织全体施工人员认真学习《中华人民共和国安全生产法》、《电力安全工作规程》、《电力建设安全工作规程》、甲方安健环管理规章制度等规定中的相关部分，经考试合格方可进行工作，并将考试成绩书面报甲方项目公司审核备案。若发生人员变更，在进入现场前，保证遵照以上程序办理报备。</w:t>
      </w:r>
    </w:p>
    <w:p>
      <w:pPr>
        <w:pStyle w:val="113"/>
        <w:keepNext w:val="0"/>
        <w:keepLines w:val="0"/>
        <w:pageBreakBefore w:val="0"/>
        <w:widowControl w:val="0"/>
        <w:numPr>
          <w:ilvl w:val="0"/>
          <w:numId w:val="19"/>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乙方负责所属工作人员着装整齐，符合《电力安全工作规程》着装规定，佩戴《出入证》和反光马甲。乙方保证不使用未成年工和不适应现场安全施工的老、弱、病、残等人员进行施工。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8" w:name="_Toc3106"/>
      <w:r>
        <w:rPr>
          <w:rFonts w:hint="eastAsia" w:ascii="宋体" w:hAnsi="宋体" w:eastAsia="宋体" w:cs="宋体"/>
          <w:color w:val="auto"/>
          <w:sz w:val="21"/>
          <w:szCs w:val="21"/>
          <w:highlight w:val="none"/>
        </w:rPr>
        <w:t>九、作业机具与材料</w:t>
      </w:r>
      <w:bookmarkEnd w:id="308"/>
    </w:p>
    <w:p>
      <w:pPr>
        <w:pStyle w:val="113"/>
        <w:keepNext w:val="0"/>
        <w:keepLines w:val="0"/>
        <w:pageBreakBefore w:val="0"/>
        <w:widowControl w:val="0"/>
        <w:numPr>
          <w:ilvl w:val="0"/>
          <w:numId w:val="20"/>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乙方对带入现场的作业机械和工器具的安全可靠性负责。</w:t>
      </w:r>
    </w:p>
    <w:p>
      <w:pPr>
        <w:pStyle w:val="113"/>
        <w:keepNext w:val="0"/>
        <w:keepLines w:val="0"/>
        <w:pageBreakBefore w:val="0"/>
        <w:widowControl w:val="0"/>
        <w:numPr>
          <w:ilvl w:val="0"/>
          <w:numId w:val="20"/>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对于乙方带入现场的特殊工器具、设备，如起重设备、索具、机动车辆、压缩气瓶等，乙方必须按国家法规和标准进行检测、试验，并按规定持有法定部门出具的检验合格证书。</w:t>
      </w:r>
    </w:p>
    <w:p>
      <w:pPr>
        <w:pStyle w:val="113"/>
        <w:keepNext w:val="0"/>
        <w:keepLines w:val="0"/>
        <w:pageBreakBefore w:val="0"/>
        <w:widowControl w:val="0"/>
        <w:numPr>
          <w:ilvl w:val="0"/>
          <w:numId w:val="20"/>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对于不属于法定检测的工器具，乙方也必须建立相应的管理、检测制度。</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09" w:name="_Toc31578"/>
      <w:r>
        <w:rPr>
          <w:rFonts w:hint="eastAsia" w:ascii="宋体" w:hAnsi="宋体" w:eastAsia="宋体" w:cs="宋体"/>
          <w:color w:val="auto"/>
          <w:sz w:val="21"/>
          <w:szCs w:val="21"/>
          <w:highlight w:val="none"/>
        </w:rPr>
        <w:t>十、安全监督</w:t>
      </w:r>
      <w:bookmarkEnd w:id="309"/>
    </w:p>
    <w:p>
      <w:pPr>
        <w:pStyle w:val="113"/>
        <w:keepNext w:val="0"/>
        <w:keepLines w:val="0"/>
        <w:pageBreakBefore w:val="0"/>
        <w:widowControl w:val="0"/>
        <w:numPr>
          <w:ilvl w:val="0"/>
          <w:numId w:val="2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乙方应设安全监督机构，建立、健全安全、消防、应急、环保、职业健康等管理体系。配备有满足项目安全管理需要的安全管理人员，并持证上岗。</w:t>
      </w:r>
    </w:p>
    <w:p>
      <w:pPr>
        <w:pStyle w:val="113"/>
        <w:keepNext w:val="0"/>
        <w:keepLines w:val="0"/>
        <w:pageBreakBefore w:val="0"/>
        <w:widowControl w:val="0"/>
        <w:numPr>
          <w:ilvl w:val="0"/>
          <w:numId w:val="2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乙方的安全管理专职人员必须经过甲方考核，且常驻现场；乙方的专职安全监督人员在业务上接受甲方的协调和指导。</w:t>
      </w:r>
    </w:p>
    <w:p>
      <w:pPr>
        <w:pStyle w:val="113"/>
        <w:keepNext w:val="0"/>
        <w:keepLines w:val="0"/>
        <w:pageBreakBefore w:val="0"/>
        <w:widowControl w:val="0"/>
        <w:numPr>
          <w:ilvl w:val="0"/>
          <w:numId w:val="2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乙方应定期开展安全生产自我评估，开展经验反馈活动和日常安全宣传教育，传达甲方的安全要求和信息、对本单位的风险和安全指标趋势进行分析和预测，提出安全工作重点，并向甲方提供评估报告。</w:t>
      </w:r>
    </w:p>
    <w:p>
      <w:pPr>
        <w:pStyle w:val="113"/>
        <w:keepNext w:val="0"/>
        <w:keepLines w:val="0"/>
        <w:pageBreakBefore w:val="0"/>
        <w:widowControl w:val="0"/>
        <w:numPr>
          <w:ilvl w:val="0"/>
          <w:numId w:val="2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乙方应接受和配合甲方的监督与安全评估。</w:t>
      </w:r>
    </w:p>
    <w:p>
      <w:pPr>
        <w:pStyle w:val="113"/>
        <w:keepNext w:val="0"/>
        <w:keepLines w:val="0"/>
        <w:pageBreakBefore w:val="0"/>
        <w:widowControl w:val="0"/>
        <w:numPr>
          <w:ilvl w:val="0"/>
          <w:numId w:val="21"/>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甲方有权对乙方履行安全条款的情况进行监督，并有权对违章行为进行考核。</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10" w:name="_Toc23830"/>
      <w:r>
        <w:rPr>
          <w:rFonts w:hint="eastAsia" w:ascii="宋体" w:hAnsi="宋体" w:eastAsia="宋体" w:cs="宋体"/>
          <w:color w:val="auto"/>
          <w:sz w:val="21"/>
          <w:szCs w:val="21"/>
          <w:highlight w:val="none"/>
        </w:rPr>
        <w:t>十一、安全培训与授权</w:t>
      </w:r>
      <w:bookmarkEnd w:id="310"/>
    </w:p>
    <w:p>
      <w:pPr>
        <w:pStyle w:val="113"/>
        <w:keepNext w:val="0"/>
        <w:keepLines w:val="0"/>
        <w:pageBreakBefore w:val="0"/>
        <w:widowControl w:val="0"/>
        <w:numPr>
          <w:ilvl w:val="0"/>
          <w:numId w:val="2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乙方所有特种作业人员必须持证上岗，甲方有权对其进行抽查。乙方要建立特种作业定期培训和检查计划，这些工种包括但不限于：高压焊工、起重工、电工、架子工等。</w:t>
      </w:r>
    </w:p>
    <w:p>
      <w:pPr>
        <w:pStyle w:val="113"/>
        <w:keepNext w:val="0"/>
        <w:keepLines w:val="0"/>
        <w:pageBreakBefore w:val="0"/>
        <w:widowControl w:val="0"/>
        <w:numPr>
          <w:ilvl w:val="0"/>
          <w:numId w:val="22"/>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由乙方负责其员工安全、消防、应急、环保、职业健康培训和授权的，其培训大纲、教材内容、教员资格等提交甲方审核。甲方有权对乙方培训质量进行检查，对不符合要求的人员，将不能进入现场工作。</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11" w:name="_Toc22120"/>
      <w:r>
        <w:rPr>
          <w:rFonts w:hint="eastAsia" w:ascii="宋体" w:hAnsi="宋体" w:eastAsia="宋体" w:cs="宋体"/>
          <w:color w:val="auto"/>
          <w:sz w:val="21"/>
          <w:szCs w:val="21"/>
          <w:highlight w:val="none"/>
        </w:rPr>
        <w:t>十二、入场控制</w:t>
      </w:r>
      <w:bookmarkEnd w:id="311"/>
    </w:p>
    <w:p>
      <w:pPr>
        <w:pStyle w:val="113"/>
        <w:keepNext w:val="0"/>
        <w:keepLines w:val="0"/>
        <w:pageBreakBefore w:val="0"/>
        <w:widowControl w:val="0"/>
        <w:numPr>
          <w:ilvl w:val="0"/>
          <w:numId w:val="2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甲方对乙方安全准备的情况进行检查。不满足开工安全条件的，乙方不得入场，由此产生的工期和成本的影响，由乙方自行负责。</w:t>
      </w:r>
    </w:p>
    <w:p>
      <w:pPr>
        <w:pStyle w:val="113"/>
        <w:keepNext w:val="0"/>
        <w:keepLines w:val="0"/>
        <w:pageBreakBefore w:val="0"/>
        <w:widowControl w:val="0"/>
        <w:numPr>
          <w:ilvl w:val="0"/>
          <w:numId w:val="23"/>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入场前安全检查的基本内容包括：安全责任制建设、安全投入、危险源识别和风险分析、施工机械的安全状况、安全工器具和材料、安全培训教材和教员、专职安全人员的到岗情况、培训的有效性、流动人员控制、个人劳动保护用品的发放等内容。</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eastAsia" w:ascii="宋体" w:hAnsi="宋体" w:eastAsia="宋体" w:cs="宋体"/>
          <w:color w:val="auto"/>
          <w:sz w:val="21"/>
          <w:szCs w:val="21"/>
          <w:highlight w:val="none"/>
        </w:rPr>
      </w:pPr>
      <w:bookmarkStart w:id="312" w:name="_Toc18642"/>
      <w:r>
        <w:rPr>
          <w:rFonts w:hint="eastAsia" w:ascii="宋体" w:hAnsi="宋体" w:eastAsia="宋体" w:cs="宋体"/>
          <w:color w:val="auto"/>
          <w:sz w:val="21"/>
          <w:szCs w:val="21"/>
          <w:highlight w:val="none"/>
        </w:rPr>
        <w:t>十三、职业健康与卫生防疫</w:t>
      </w:r>
      <w:bookmarkEnd w:id="312"/>
    </w:p>
    <w:p>
      <w:pPr>
        <w:pStyle w:val="113"/>
        <w:keepNext w:val="0"/>
        <w:keepLines w:val="0"/>
        <w:pageBreakBefore w:val="0"/>
        <w:widowControl w:val="0"/>
        <w:numPr>
          <w:ilvl w:val="0"/>
          <w:numId w:val="2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乙方应有特殊健康检查制度，预防有禁忌症患者从事有关职业，如恐高症患者不得从事高空作业，特种作业人员的体检应符合国家的规定。杜绝体检不合格或犯职业禁忌症人员上岗。</w:t>
      </w:r>
    </w:p>
    <w:p>
      <w:pPr>
        <w:pStyle w:val="113"/>
        <w:keepNext w:val="0"/>
        <w:keepLines w:val="0"/>
        <w:pageBreakBefore w:val="0"/>
        <w:widowControl w:val="0"/>
        <w:numPr>
          <w:ilvl w:val="0"/>
          <w:numId w:val="2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乙方应保证卫生防疫基本设施的投入，以满足医疗、急救的要求。</w:t>
      </w:r>
    </w:p>
    <w:p>
      <w:pPr>
        <w:pStyle w:val="113"/>
        <w:keepNext w:val="0"/>
        <w:keepLines w:val="0"/>
        <w:pageBreakBefore w:val="0"/>
        <w:widowControl w:val="0"/>
        <w:numPr>
          <w:ilvl w:val="0"/>
          <w:numId w:val="24"/>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建立卫生防疫措施计划，做好生活区和作业区的卫生防疫工作；制定和执行保证饮水卫生、饮食卫生、环境卫生和预防集体食物中毒的措施；有灭蚊、灭鼠和消毒的专项工作计划；有针对性地制订预防SARS、冠状病毒肺炎、禽流感、疟疾、霍乱、肠道传染病、肝炎等疾病的措施。</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13" w:name="_Toc26791"/>
      <w:r>
        <w:rPr>
          <w:rFonts w:hint="eastAsia" w:ascii="宋体" w:hAnsi="宋体" w:eastAsia="宋体" w:cs="宋体"/>
          <w:color w:val="auto"/>
          <w:sz w:val="21"/>
          <w:szCs w:val="21"/>
          <w:highlight w:val="none"/>
        </w:rPr>
        <w:t>十四、项目风险管理与事故预防</w:t>
      </w:r>
      <w:bookmarkEnd w:id="313"/>
    </w:p>
    <w:p>
      <w:pPr>
        <w:pStyle w:val="113"/>
        <w:keepNext w:val="0"/>
        <w:keepLines w:val="0"/>
        <w:pageBreakBefore w:val="0"/>
        <w:widowControl w:val="0"/>
        <w:numPr>
          <w:ilvl w:val="0"/>
          <w:numId w:val="2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乙方应对作业过程进行全面、深入的危险源识别和风险分析。在作业安全组织设计中提供危险源及重要危险源清单、作业风险分析报告，该报告应包括（但不限于）如下信息：</w:t>
      </w:r>
    </w:p>
    <w:p>
      <w:pPr>
        <w:pStyle w:val="113"/>
        <w:keepNext w:val="0"/>
        <w:keepLines w:val="0"/>
        <w:pageBreakBefore w:val="0"/>
        <w:widowControl w:val="0"/>
        <w:numPr>
          <w:ilvl w:val="0"/>
          <w:numId w:val="2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高风险作业和工种清单：作业名称、这些作业工种的类别和数量、主要事故风险。</w:t>
      </w:r>
    </w:p>
    <w:p>
      <w:pPr>
        <w:pStyle w:val="113"/>
        <w:keepNext w:val="0"/>
        <w:keepLines w:val="0"/>
        <w:pageBreakBefore w:val="0"/>
        <w:widowControl w:val="0"/>
        <w:numPr>
          <w:ilvl w:val="0"/>
          <w:numId w:val="2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作业机械的种类、数量和主要事故风险。</w:t>
      </w:r>
    </w:p>
    <w:p>
      <w:pPr>
        <w:pStyle w:val="113"/>
        <w:keepNext w:val="0"/>
        <w:keepLines w:val="0"/>
        <w:pageBreakBefore w:val="0"/>
        <w:widowControl w:val="0"/>
        <w:numPr>
          <w:ilvl w:val="0"/>
          <w:numId w:val="2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作业条件的类型和主要事故风险。</w:t>
      </w:r>
    </w:p>
    <w:p>
      <w:pPr>
        <w:pStyle w:val="113"/>
        <w:keepNext w:val="0"/>
        <w:keepLines w:val="0"/>
        <w:pageBreakBefore w:val="0"/>
        <w:widowControl w:val="0"/>
        <w:numPr>
          <w:ilvl w:val="0"/>
          <w:numId w:val="2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主要工艺过程（或作业活动）的类别及其相关的事故风险。</w:t>
      </w:r>
    </w:p>
    <w:p>
      <w:pPr>
        <w:pStyle w:val="113"/>
        <w:keepNext w:val="0"/>
        <w:keepLines w:val="0"/>
        <w:pageBreakBefore w:val="0"/>
        <w:widowControl w:val="0"/>
        <w:numPr>
          <w:ilvl w:val="0"/>
          <w:numId w:val="2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主要火灾危险（可燃物、点火源）。</w:t>
      </w:r>
    </w:p>
    <w:p>
      <w:pPr>
        <w:pStyle w:val="113"/>
        <w:keepNext w:val="0"/>
        <w:keepLines w:val="0"/>
        <w:pageBreakBefore w:val="0"/>
        <w:widowControl w:val="0"/>
        <w:numPr>
          <w:ilvl w:val="0"/>
          <w:numId w:val="26"/>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其他。</w:t>
      </w:r>
    </w:p>
    <w:p>
      <w:pPr>
        <w:pStyle w:val="113"/>
        <w:keepNext w:val="0"/>
        <w:keepLines w:val="0"/>
        <w:pageBreakBefore w:val="0"/>
        <w:widowControl w:val="0"/>
        <w:numPr>
          <w:ilvl w:val="0"/>
          <w:numId w:val="2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乙方应针对识别出的危险源制定有针对性的事故预防措施并确保在作业中得到有效落实。</w:t>
      </w:r>
    </w:p>
    <w:p>
      <w:pPr>
        <w:pStyle w:val="113"/>
        <w:keepNext w:val="0"/>
        <w:keepLines w:val="0"/>
        <w:pageBreakBefore w:val="0"/>
        <w:widowControl w:val="0"/>
        <w:numPr>
          <w:ilvl w:val="0"/>
          <w:numId w:val="2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乙方应建立日常作业活动的动态作业风险分析和安全交底制度。该制度应明确规定风险分析的方法、责任和交底的内容、时间及记录。</w:t>
      </w:r>
    </w:p>
    <w:p>
      <w:pPr>
        <w:pStyle w:val="113"/>
        <w:keepNext w:val="0"/>
        <w:keepLines w:val="0"/>
        <w:pageBreakBefore w:val="0"/>
        <w:widowControl w:val="0"/>
        <w:numPr>
          <w:ilvl w:val="0"/>
          <w:numId w:val="25"/>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对于危险性较大的施工、维修作业，乙方必须专门制定施工安全方案，并报甲方备案。甲方认为不合格的方案，有权要求乙方重新进行制定，新方案批准前不得开工。开工前，对作业组成员开展安全技术交底。</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14" w:name="_Toc11612"/>
      <w:r>
        <w:rPr>
          <w:rFonts w:hint="eastAsia" w:ascii="宋体" w:hAnsi="宋体" w:eastAsia="宋体" w:cs="宋体"/>
          <w:color w:val="auto"/>
          <w:sz w:val="21"/>
          <w:szCs w:val="21"/>
          <w:highlight w:val="none"/>
        </w:rPr>
        <w:t>十五、事故报告与应急救援</w:t>
      </w:r>
      <w:bookmarkEnd w:id="314"/>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乙方应建立安全事故统计记录、医学处置事件统计记录、未遂事件统计记录、违章统计记录，并根据统计情况进行分析，并就分析结果制定相应的预防措施。</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乙方应根据《电力安全隐患监督管理暂行规定》等规定要求建立安全隐患统计记录，并根据统计情况进行分析，并就分析结果制定相应的预防措施。</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建立生产安全事件报告准则；对于未遂事件及以上级别的安全事件和事故，应建立事故快速报告制度，即在事件、事故发生后，立即口头报告甲方。在事件发生后的24小时以内，向甲方发出书面安全事件通告。</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乙方应制定安全生产事故/事件管理程序，发生事故/事件后要及时向甲方报告，不得瞒报、漏报、谎报和迟报。</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应根据国家相关法规、文件规定和甲方相关管理程序要求，建立应急管理体系和应急救援机制，制定本单位突发事件应急预案和核事故应急撤离计划，准备并保障相应的应急物资，严格按照甲方的要求及时报送应急值班信息和本单位人员、资源等信息，在事故情况下及时启动应急响应机制，及时报告相关信息，并采取措施限制事故扩大,必要时接受甲方的统一协调和指挥。</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在现场其他单位发生重大事故时，乙方应无条件立即配合、支持事故抢险。</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乙方必须为事故处置支付各项费用，包括受伤者的抚恤、补偿等费用，对甲方造成损失的，造价赔偿。</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涉及乙方员工的伤害事故，乙方除要报告甲方外，还应负责按照国家、行业和本单位上级公司的要求，上报事故。</w:t>
      </w:r>
    </w:p>
    <w:p>
      <w:pPr>
        <w:pStyle w:val="113"/>
        <w:keepNext w:val="0"/>
        <w:keepLines w:val="0"/>
        <w:pageBreakBefore w:val="0"/>
        <w:widowControl w:val="0"/>
        <w:numPr>
          <w:ilvl w:val="0"/>
          <w:numId w:val="27"/>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乙方负责组织事件调查的，甲方有权参与。</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15" w:name="_Toc5709"/>
      <w:r>
        <w:rPr>
          <w:rFonts w:hint="eastAsia" w:ascii="宋体" w:hAnsi="宋体" w:eastAsia="宋体" w:cs="宋体"/>
          <w:color w:val="auto"/>
          <w:sz w:val="21"/>
          <w:szCs w:val="21"/>
          <w:highlight w:val="none"/>
        </w:rPr>
        <w:t>十六、协议条款的修订</w:t>
      </w:r>
      <w:bookmarkEnd w:id="315"/>
    </w:p>
    <w:p>
      <w:pPr>
        <w:pStyle w:val="113"/>
        <w:keepNext w:val="0"/>
        <w:keepLines w:val="0"/>
        <w:pageBreakBefore w:val="0"/>
        <w:widowControl w:val="0"/>
        <w:numPr>
          <w:ilvl w:val="0"/>
          <w:numId w:val="28"/>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在项目实施过程中，经双方友好协商，本协议的有关条款也可做出相应的修改。</w:t>
      </w:r>
    </w:p>
    <w:p>
      <w:pPr>
        <w:pStyle w:val="113"/>
        <w:keepNext w:val="0"/>
        <w:keepLines w:val="0"/>
        <w:pageBreakBefore w:val="0"/>
        <w:widowControl w:val="0"/>
        <w:numPr>
          <w:ilvl w:val="0"/>
          <w:numId w:val="28"/>
        </w:numPr>
        <w:kinsoku/>
        <w:wordWrap/>
        <w:overflowPunct/>
        <w:topLinePunct w:val="0"/>
        <w:autoSpaceDE/>
        <w:autoSpaceDN/>
        <w:bidi w:val="0"/>
        <w:adjustRightInd w:val="0"/>
        <w:snapToGrid w:val="0"/>
        <w:spacing w:line="560" w:lineRule="exact"/>
        <w:ind w:right="0" w:rightChars="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本协议自合同生效日起实施，甲方保留最终解释权。</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color w:val="auto"/>
          <w:sz w:val="21"/>
          <w:szCs w:val="21"/>
          <w:highlight w:val="none"/>
        </w:rPr>
      </w:pPr>
      <w:bookmarkStart w:id="316" w:name="_Toc2873"/>
      <w:r>
        <w:rPr>
          <w:rFonts w:hint="eastAsia" w:ascii="宋体" w:hAnsi="宋体" w:eastAsia="宋体" w:cs="宋体"/>
          <w:color w:val="auto"/>
          <w:sz w:val="21"/>
          <w:szCs w:val="21"/>
          <w:highlight w:val="none"/>
        </w:rPr>
        <w:t>十七、附件</w:t>
      </w:r>
      <w:bookmarkEnd w:id="316"/>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b w:val="0"/>
          <w:bCs w:val="0"/>
          <w:color w:val="auto"/>
          <w:sz w:val="21"/>
          <w:szCs w:val="21"/>
          <w:highlight w:val="none"/>
        </w:rPr>
      </w:pPr>
      <w:bookmarkStart w:id="317" w:name="_Toc24170"/>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1：考核指标定义</w:t>
      </w:r>
      <w:bookmarkEnd w:id="317"/>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jc w:val="left"/>
        <w:textAlignment w:val="auto"/>
        <w:rPr>
          <w:rFonts w:hint="eastAsia" w:ascii="宋体" w:hAnsi="宋体" w:eastAsia="宋体" w:cs="宋体"/>
          <w:b w:val="0"/>
          <w:bCs w:val="0"/>
          <w:color w:val="auto"/>
          <w:sz w:val="21"/>
          <w:szCs w:val="21"/>
          <w:highlight w:val="none"/>
        </w:rPr>
      </w:pPr>
      <w:bookmarkStart w:id="318" w:name="_Toc19306"/>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2：考核条款</w:t>
      </w:r>
      <w:bookmarkEnd w:id="318"/>
    </w:p>
    <w:p>
      <w:pPr>
        <w:keepNext w:val="0"/>
        <w:keepLines w:val="0"/>
        <w:pageBreakBefore w:val="0"/>
        <w:widowControl w:val="0"/>
        <w:tabs>
          <w:tab w:val="center" w:pos="4433"/>
        </w:tabs>
        <w:kinsoku/>
        <w:wordWrap/>
        <w:overflowPunct/>
        <w:topLinePunct w:val="0"/>
        <w:autoSpaceDE/>
        <w:autoSpaceDN/>
        <w:bidi w:val="0"/>
        <w:adjustRightInd w:val="0"/>
        <w:snapToGrid w:val="0"/>
        <w:spacing w:line="56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本协议一式伍份，经双方法定代表人或委托代理人签字、盖章后生效，与合同（合同编号：        ）具有同等法律效率。本协议一式伍份，甲方执三份、乙方贰份。</w:t>
      </w:r>
    </w:p>
    <w:p>
      <w:pPr>
        <w:keepNext w:val="0"/>
        <w:keepLines w:val="0"/>
        <w:pageBreakBefore w:val="0"/>
        <w:widowControl w:val="0"/>
        <w:tabs>
          <w:tab w:val="center" w:pos="4433"/>
        </w:tabs>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发包单位：</w:t>
      </w:r>
      <w:r>
        <w:rPr>
          <w:rFonts w:hint="eastAsia" w:ascii="宋体" w:hAnsi="宋体" w:eastAsia="宋体" w:cs="宋体"/>
          <w:bCs/>
          <w:color w:val="auto"/>
          <w:spacing w:val="-10"/>
          <w:sz w:val="21"/>
          <w:szCs w:val="21"/>
          <w:highlight w:val="none"/>
          <w:u w:val="single"/>
        </w:rPr>
        <w:t>东莞市新东元环保投资有限公司</w:t>
      </w:r>
      <w:r>
        <w:rPr>
          <w:rFonts w:hint="eastAsia" w:ascii="宋体" w:hAnsi="宋体" w:eastAsia="宋体" w:cs="宋体"/>
          <w:bCs/>
          <w:color w:val="auto"/>
          <w:spacing w:val="-10"/>
          <w:sz w:val="21"/>
          <w:szCs w:val="21"/>
          <w:highlight w:val="none"/>
        </w:rPr>
        <w:t xml:space="preserve">  </w:t>
      </w:r>
      <w:r>
        <w:rPr>
          <w:rFonts w:hint="eastAsia" w:ascii="宋体" w:hAnsi="宋体" w:eastAsia="宋体" w:cs="宋体"/>
          <w:bCs/>
          <w:color w:val="auto"/>
          <w:sz w:val="21"/>
          <w:szCs w:val="21"/>
          <w:highlight w:val="none"/>
        </w:rPr>
        <w:t xml:space="preserve">  承包单位：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（盖章）                              （盖章）</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                           法定代表人或</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代表人：                               代表人：</w:t>
      </w:r>
    </w:p>
    <w:p>
      <w:pPr>
        <w:pStyle w:val="37"/>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日  期：  年  月   日                  日  期：  年    月   日</w:t>
      </w:r>
    </w:p>
    <w:p>
      <w:pPr>
        <w:widowControl/>
        <w:jc w:val="left"/>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16"/>
        <w:jc w:val="left"/>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附件</w:t>
      </w:r>
      <w:r>
        <w:rPr>
          <w:rFonts w:hint="eastAsia" w:ascii="宋体" w:hAnsi="宋体" w:eastAsia="宋体" w:cs="宋体"/>
          <w:b w:val="0"/>
          <w:color w:val="auto"/>
          <w:kern w:val="2"/>
          <w:sz w:val="21"/>
          <w:szCs w:val="21"/>
          <w:highlight w:val="none"/>
          <w:lang w:val="en-US" w:eastAsia="zh-CN"/>
        </w:rPr>
        <w:t>3-1</w:t>
      </w:r>
      <w:r>
        <w:rPr>
          <w:rFonts w:hint="eastAsia" w:ascii="宋体" w:hAnsi="宋体" w:eastAsia="宋体" w:cs="宋体"/>
          <w:b w:val="0"/>
          <w:color w:val="auto"/>
          <w:kern w:val="2"/>
          <w:sz w:val="21"/>
          <w:szCs w:val="21"/>
          <w:highlight w:val="none"/>
        </w:rPr>
        <w:t xml:space="preserve"> 考核指标定义</w:t>
      </w:r>
    </w:p>
    <w:p>
      <w:pPr>
        <w:spacing w:line="560" w:lineRule="exact"/>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考核指标定义</w:t>
      </w:r>
    </w:p>
    <w:p>
      <w:pPr>
        <w:pStyle w:val="113"/>
        <w:numPr>
          <w:ilvl w:val="0"/>
          <w:numId w:val="29"/>
        </w:numPr>
        <w:spacing w:line="540" w:lineRule="exact"/>
        <w:ind w:firstLineChars="0"/>
        <w:rPr>
          <w:rStyle w:val="41"/>
          <w:rFonts w:hint="eastAsia" w:ascii="宋体" w:hAnsi="宋体" w:eastAsia="宋体" w:cs="宋体"/>
          <w:b w:val="0"/>
          <w:bCs w:val="0"/>
          <w:color w:val="auto"/>
          <w:sz w:val="21"/>
          <w:szCs w:val="21"/>
          <w:highlight w:val="none"/>
        </w:rPr>
      </w:pPr>
      <w:r>
        <w:rPr>
          <w:rFonts w:hint="eastAsia" w:ascii="宋体" w:hAnsi="宋体" w:eastAsia="宋体" w:cs="宋体"/>
          <w:snapToGrid w:val="0"/>
          <w:color w:val="auto"/>
          <w:sz w:val="21"/>
          <w:szCs w:val="21"/>
          <w:highlight w:val="none"/>
        </w:rPr>
        <w:t>死亡及以上事故：见</w:t>
      </w:r>
      <w:r>
        <w:rPr>
          <w:rFonts w:hint="eastAsia" w:ascii="宋体" w:hAnsi="宋体" w:eastAsia="宋体" w:cs="宋体"/>
          <w:color w:val="auto"/>
          <w:sz w:val="21"/>
          <w:szCs w:val="21"/>
          <w:highlight w:val="none"/>
        </w:rPr>
        <w:t>中华人民共和国《生产安全事故报告和调查处理条例》（国务院令第493号）事故标准。</w:t>
      </w:r>
    </w:p>
    <w:p>
      <w:pPr>
        <w:pStyle w:val="113"/>
        <w:numPr>
          <w:ilvl w:val="0"/>
          <w:numId w:val="29"/>
        </w:numPr>
        <w:spacing w:line="540" w:lineRule="exact"/>
        <w:ind w:firstLineChars="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重伤事故：（1）</w:t>
      </w:r>
      <w:r>
        <w:rPr>
          <w:rStyle w:val="41"/>
          <w:rFonts w:hint="eastAsia" w:ascii="宋体" w:hAnsi="宋体" w:eastAsia="宋体" w:cs="宋体"/>
          <w:b w:val="0"/>
          <w:bCs w:val="0"/>
          <w:color w:val="auto"/>
          <w:sz w:val="21"/>
          <w:szCs w:val="21"/>
          <w:highlight w:val="none"/>
        </w:rPr>
        <w:t>指造成人员肢体残废、毁人容貌、丧失听觉、丧失视觉、丧失其他器官功能或者其他对于人身健康有重大伤害的事故，包括重伤一级和重伤二级，具体以劳动能力鉴定委员会的最终评定结果为准。（2）</w:t>
      </w:r>
      <w:r>
        <w:rPr>
          <w:rStyle w:val="41"/>
          <w:rFonts w:hint="eastAsia" w:ascii="宋体" w:hAnsi="宋体" w:eastAsia="宋体" w:cs="宋体"/>
          <w:b w:val="0"/>
          <w:color w:val="auto"/>
          <w:sz w:val="21"/>
          <w:szCs w:val="21"/>
          <w:highlight w:val="none"/>
        </w:rPr>
        <w:t>造成20万元以上100万元以下直接经济损失的，与重伤事故同等级别认定。</w:t>
      </w:r>
    </w:p>
    <w:p>
      <w:pPr>
        <w:pStyle w:val="113"/>
        <w:numPr>
          <w:ilvl w:val="0"/>
          <w:numId w:val="29"/>
        </w:numPr>
        <w:spacing w:line="540" w:lineRule="exact"/>
        <w:ind w:firstLineChars="0"/>
        <w:rPr>
          <w:rFonts w:hint="eastAsia" w:ascii="宋体" w:hAnsi="宋体" w:eastAsia="宋体" w:cs="宋体"/>
          <w:snapToGrid w:val="0"/>
          <w:color w:val="auto"/>
          <w:sz w:val="21"/>
          <w:szCs w:val="21"/>
          <w:highlight w:val="none"/>
        </w:rPr>
      </w:pPr>
      <w:r>
        <w:rPr>
          <w:rStyle w:val="41"/>
          <w:rFonts w:hint="eastAsia" w:ascii="宋体" w:hAnsi="宋体" w:eastAsia="宋体" w:cs="宋体"/>
          <w:b w:val="0"/>
          <w:color w:val="auto"/>
          <w:sz w:val="21"/>
          <w:szCs w:val="21"/>
          <w:highlight w:val="none"/>
        </w:rPr>
        <w:t>轻伤事故：（1）造成1人肢体或者容貌损害，听觉、视觉或者其他器官功能部分障碍或者其他对于人身健康有中度伤害的事故，</w:t>
      </w:r>
      <w:r>
        <w:rPr>
          <w:rStyle w:val="41"/>
          <w:rFonts w:hint="eastAsia" w:ascii="宋体" w:hAnsi="宋体" w:eastAsia="宋体" w:cs="宋体"/>
          <w:b w:val="0"/>
          <w:bCs w:val="0"/>
          <w:color w:val="auto"/>
          <w:sz w:val="21"/>
          <w:szCs w:val="21"/>
          <w:highlight w:val="none"/>
        </w:rPr>
        <w:t>包括轻伤一级和轻伤二级，具体</w:t>
      </w:r>
      <w:r>
        <w:rPr>
          <w:rStyle w:val="41"/>
          <w:rFonts w:hint="eastAsia" w:ascii="宋体" w:hAnsi="宋体" w:eastAsia="宋体" w:cs="宋体"/>
          <w:b w:val="0"/>
          <w:color w:val="auto"/>
          <w:sz w:val="21"/>
          <w:szCs w:val="21"/>
          <w:highlight w:val="none"/>
        </w:rPr>
        <w:t>以劳动能力鉴定委员会的最终评定结果为准。（2）造成3万元以上20万元以下直接经济损失的，与重伤事故同等级别认定。</w:t>
      </w:r>
    </w:p>
    <w:p>
      <w:pPr>
        <w:pStyle w:val="113"/>
        <w:numPr>
          <w:ilvl w:val="0"/>
          <w:numId w:val="29"/>
        </w:numPr>
        <w:spacing w:line="540" w:lineRule="exact"/>
        <w:ind w:firstLineChars="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损失工时事故（LWC）：造成员工离开工作岗位一天或一天以上（不含事故当天）；</w:t>
      </w:r>
    </w:p>
    <w:p>
      <w:pPr>
        <w:pStyle w:val="113"/>
        <w:numPr>
          <w:ilvl w:val="0"/>
          <w:numId w:val="29"/>
        </w:numPr>
        <w:spacing w:line="540" w:lineRule="exact"/>
        <w:ind w:firstLineChars="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限制工时事故（RWC）：造成员工工作受限制一天或一天以上（不含事故当天）；限制性工业事故由职业医疗根据员工的实际情况和医疗部门给出的休息建议确定；</w:t>
      </w:r>
    </w:p>
    <w:p>
      <w:pPr>
        <w:pStyle w:val="113"/>
        <w:numPr>
          <w:ilvl w:val="0"/>
          <w:numId w:val="29"/>
        </w:numPr>
        <w:spacing w:line="540" w:lineRule="exact"/>
        <w:ind w:firstLineChars="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医学处置事件（MTC）：该事故需要医疗处置但又没有LWC和RWC的后果；医疗处置事件分为医护处置事件、急救箱处置事件；</w:t>
      </w:r>
    </w:p>
    <w:p>
      <w:pPr>
        <w:pStyle w:val="113"/>
        <w:numPr>
          <w:ilvl w:val="0"/>
          <w:numId w:val="29"/>
        </w:numPr>
        <w:spacing w:line="540" w:lineRule="exact"/>
        <w:ind w:firstLineChars="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医护处置事件：需要专业医护人员进行一般医学处理的事件。</w:t>
      </w:r>
    </w:p>
    <w:p>
      <w:pPr>
        <w:pStyle w:val="113"/>
        <w:numPr>
          <w:ilvl w:val="0"/>
          <w:numId w:val="29"/>
        </w:numPr>
        <w:spacing w:line="540" w:lineRule="exact"/>
        <w:ind w:firstLineChars="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急救箱处置事件：需要专业医护人员进行简单医学处理的事件，或可自行处理的伤害事件，例如：</w:t>
      </w:r>
    </w:p>
    <w:p>
      <w:pPr>
        <w:numPr>
          <w:ilvl w:val="3"/>
          <w:numId w:val="30"/>
        </w:numPr>
        <w:tabs>
          <w:tab w:val="clear" w:pos="226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使用创可贴、纱布及绷带对伤口包扎，不影响工作活动；</w:t>
      </w:r>
    </w:p>
    <w:p>
      <w:pPr>
        <w:numPr>
          <w:ilvl w:val="3"/>
          <w:numId w:val="30"/>
        </w:numPr>
        <w:tabs>
          <w:tab w:val="clear" w:pos="226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轻微挫伤，皮肤没有破损，只需冷敷或理疗处理；</w:t>
      </w:r>
    </w:p>
    <w:p>
      <w:pPr>
        <w:numPr>
          <w:ilvl w:val="3"/>
          <w:numId w:val="30"/>
        </w:numPr>
        <w:tabs>
          <w:tab w:val="clear" w:pos="226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推拿治疗；</w:t>
      </w:r>
    </w:p>
    <w:p>
      <w:pPr>
        <w:numPr>
          <w:ilvl w:val="3"/>
          <w:numId w:val="30"/>
        </w:numPr>
        <w:tabs>
          <w:tab w:val="clear" w:pos="226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只使用冲洗或棉签来清除眼中的异物；</w:t>
      </w:r>
    </w:p>
    <w:p>
      <w:pPr>
        <w:numPr>
          <w:ilvl w:val="3"/>
          <w:numId w:val="30"/>
        </w:numPr>
        <w:tabs>
          <w:tab w:val="clear" w:pos="226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使用非刚性的方法进行支撑，例如弹性绷带、护套、非刚性的腰背带等；</w:t>
      </w:r>
    </w:p>
    <w:p>
      <w:pPr>
        <w:numPr>
          <w:ilvl w:val="3"/>
          <w:numId w:val="30"/>
        </w:numPr>
        <w:tabs>
          <w:tab w:val="clear" w:pos="226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使用手指防护装置等。</w:t>
      </w:r>
    </w:p>
    <w:p>
      <w:pPr>
        <w:numPr>
          <w:ilvl w:val="0"/>
          <w:numId w:val="31"/>
        </w:numPr>
        <w:tabs>
          <w:tab w:val="left" w:pos="360"/>
        </w:tabs>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未遂事件：</w:t>
      </w:r>
    </w:p>
    <w:p>
      <w:pPr>
        <w:spacing w:line="540" w:lineRule="exact"/>
        <w:ind w:firstLine="472" w:firstLineChars="225"/>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未造成人员伤害但是可能会导致工业事故的事件，未遂事件分为严重未遂事件、普通未遂事件。</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严重未遂事件：指已经发生，未构成事故，潜在后果严重，可能导致人员死亡、重伤的意外事件。满足下列条件的可确定为严重未遂（举例）：</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脚手架坍塌时人员及时撤离、躲避或不在现场；</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吊运物品过程中挂碰周围设备（施），造成周围设备（施）划痕、变形、不可用但未造成人员受伤的；</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车辆倾翻但未造成人员受伤的；</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物品运输、装卸过程中坠落倾翻，但未造成人员受伤的；</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较重物体从高处落下或突然弹射出，未砸到人，或人员不在场但落在人行通道上；</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无证作业、作业中发现隔离边界不完整，误操作（如误合刀闸、误开或误关重要阀门）或操作严重漏项，且有较大人身伤害或主要设备损坏风险；</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人员高处坠落（2m及以上），但因保护设施起作用或缓冲等因素避免人员受伤的；</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作业过程中安全防护装置发生故障（如起重机电梯限位、紧急制动失效）；</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高温（≥70℃）、高压水（水蒸气、绝对压力＞1bar）、低温液体（液N2）等危险品突然泄漏喷射，没有造成在场人员的受伤的；</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设备、设施的专设安全保护装置在非控情况下被拆除，如格栅、盖板、围栏、转动机械防护装置，给人员带来较大伤害风险；</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可导致人员窒息、中毒、触电、淹溺的作业，未采取有效措施且已出现较大伤害风险；</w:t>
      </w:r>
    </w:p>
    <w:p>
      <w:pPr>
        <w:numPr>
          <w:ilvl w:val="0"/>
          <w:numId w:val="32"/>
        </w:numPr>
        <w:tabs>
          <w:tab w:val="clear" w:pos="1848"/>
        </w:tabs>
        <w:spacing w:line="540" w:lineRule="exact"/>
        <w:ind w:left="42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经甲方认定的对人身有重大伤害风险的事件。</w:t>
      </w:r>
    </w:p>
    <w:p>
      <w:pPr>
        <w:numPr>
          <w:ilvl w:val="0"/>
          <w:numId w:val="33"/>
        </w:numPr>
        <w:tabs>
          <w:tab w:val="left" w:pos="900"/>
        </w:tabs>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普通未遂事件：指已经发生未构成事件，潜在后果一般的意外事件。满足下列条件的可确定为普通未遂（举例）：</w:t>
      </w:r>
    </w:p>
    <w:p>
      <w:pPr>
        <w:numPr>
          <w:ilvl w:val="0"/>
          <w:numId w:val="34"/>
        </w:numPr>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较轻物体（如手电、小工具）高处坠落未砸（击）到人；</w:t>
      </w:r>
    </w:p>
    <w:p>
      <w:pPr>
        <w:numPr>
          <w:ilvl w:val="0"/>
          <w:numId w:val="34"/>
        </w:numPr>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走错间隔，有人身伤害风险，但未造成后果；</w:t>
      </w:r>
    </w:p>
    <w:p>
      <w:pPr>
        <w:numPr>
          <w:ilvl w:val="0"/>
          <w:numId w:val="34"/>
        </w:numPr>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错用工作票作业，工作开始前被发现且潜在后果存在人身伤害风险；</w:t>
      </w:r>
    </w:p>
    <w:p>
      <w:pPr>
        <w:numPr>
          <w:ilvl w:val="0"/>
          <w:numId w:val="34"/>
        </w:numPr>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造成人员失足、失手、身体不适的作业条件（如孔洞、照明、通风），并已给人员带来普通风险。</w:t>
      </w:r>
    </w:p>
    <w:p>
      <w:pPr>
        <w:numPr>
          <w:ilvl w:val="0"/>
          <w:numId w:val="35"/>
        </w:numPr>
        <w:tabs>
          <w:tab w:val="left" w:pos="360"/>
        </w:tabs>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异常事件：任何未构成未遂事故的不安全的条件、设备/设施缺陷违章行为、不良工作习惯等不构成未遂事故的事件；或</w:t>
      </w:r>
      <w:r>
        <w:rPr>
          <w:rStyle w:val="41"/>
          <w:rFonts w:hint="eastAsia" w:ascii="宋体" w:hAnsi="宋体" w:eastAsia="宋体" w:cs="宋体"/>
          <w:b w:val="0"/>
          <w:bCs w:val="0"/>
          <w:color w:val="auto"/>
          <w:sz w:val="21"/>
          <w:szCs w:val="21"/>
          <w:highlight w:val="none"/>
        </w:rPr>
        <w:t>主设备被迫停运12h以内、火灾一次损失0.2万以下等生产安全事件。</w:t>
      </w:r>
    </w:p>
    <w:p>
      <w:pPr>
        <w:tabs>
          <w:tab w:val="left" w:pos="360"/>
        </w:tabs>
        <w:spacing w:line="540" w:lineRule="exact"/>
        <w:rPr>
          <w:rStyle w:val="41"/>
          <w:rFonts w:hint="eastAsia" w:ascii="宋体" w:hAnsi="宋体" w:eastAsia="宋体" w:cs="宋体"/>
          <w:b w:val="0"/>
          <w:bCs w:val="0"/>
          <w:color w:val="auto"/>
          <w:sz w:val="21"/>
          <w:szCs w:val="21"/>
          <w:highlight w:val="none"/>
        </w:rPr>
      </w:pPr>
      <w:r>
        <w:rPr>
          <w:rFonts w:hint="eastAsia" w:ascii="宋体" w:hAnsi="宋体" w:eastAsia="宋体" w:cs="宋体"/>
          <w:snapToGrid w:val="0"/>
          <w:color w:val="auto"/>
          <w:sz w:val="21"/>
          <w:szCs w:val="21"/>
          <w:highlight w:val="none"/>
        </w:rPr>
        <w:t>12.一类障碍：</w:t>
      </w:r>
      <w:r>
        <w:rPr>
          <w:rFonts w:hint="eastAsia" w:ascii="宋体" w:hAnsi="宋体" w:eastAsia="宋体" w:cs="宋体"/>
          <w:color w:val="auto"/>
          <w:sz w:val="21"/>
          <w:szCs w:val="21"/>
          <w:highlight w:val="none"/>
          <w:shd w:val="clear" w:color="auto" w:fill="FFFFFF"/>
        </w:rPr>
        <w:t>主设备被迫停运超过48h低于96小于、火灾一次损失0.5万—1万元、恶性电气误操作（如带负荷拉、合隔离刀闸等）等安全生产事件。</w:t>
      </w:r>
    </w:p>
    <w:p>
      <w:pPr>
        <w:tabs>
          <w:tab w:val="left" w:pos="360"/>
        </w:tabs>
        <w:spacing w:line="540" w:lineRule="exact"/>
        <w:rPr>
          <w:rStyle w:val="41"/>
          <w:rFonts w:hint="eastAsia" w:ascii="宋体" w:hAnsi="宋体" w:eastAsia="宋体" w:cs="宋体"/>
          <w:b w:val="0"/>
          <w:bCs w:val="0"/>
          <w:color w:val="auto"/>
          <w:sz w:val="21"/>
          <w:szCs w:val="21"/>
          <w:highlight w:val="none"/>
        </w:rPr>
      </w:pPr>
      <w:r>
        <w:rPr>
          <w:rStyle w:val="41"/>
          <w:rFonts w:hint="eastAsia" w:ascii="宋体" w:hAnsi="宋体" w:eastAsia="宋体" w:cs="宋体"/>
          <w:b w:val="0"/>
          <w:bCs w:val="0"/>
          <w:color w:val="auto"/>
          <w:sz w:val="21"/>
          <w:szCs w:val="21"/>
          <w:highlight w:val="none"/>
        </w:rPr>
        <w:t>13.二类障碍：主设备被迫停运超过12h低于48h、火灾一次损失0.2万—0.5万、误操作引起主设备被迫停运等安全生产事件。</w:t>
      </w:r>
    </w:p>
    <w:p>
      <w:pPr>
        <w:tabs>
          <w:tab w:val="left" w:pos="360"/>
        </w:tabs>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14.一类设备缺陷：严重威胁系统主设备安全运行及人身安全的或已造成发电出力降低和影响对外输送电力的重大缺陷。</w:t>
      </w:r>
    </w:p>
    <w:p>
      <w:pPr>
        <w:tabs>
          <w:tab w:val="left" w:pos="360"/>
        </w:tabs>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15.二类设备缺陷：暂时不影响机组继续运行，但对设备安全经济运行和人身安全有一定的威胁，继续发展将导致设备停止运行，或损坏设备，需机组停运或降低出力才能消除的缺陷。</w:t>
      </w:r>
    </w:p>
    <w:p>
      <w:pPr>
        <w:tabs>
          <w:tab w:val="left" w:pos="360"/>
        </w:tabs>
        <w:spacing w:line="5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16.三类设备缺陷：不需要停用主设备或降低出力可随时消除的设备缺陷，以及不影响主设备正常运行，可结合检修或停机备用期间进行消除的缺陷。</w:t>
      </w:r>
    </w:p>
    <w:p>
      <w:pPr>
        <w:pStyle w:val="37"/>
        <w:ind w:left="0" w:leftChars="0" w:firstLine="0" w:firstLineChars="0"/>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16"/>
        <w:jc w:val="left"/>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附件</w:t>
      </w:r>
      <w:r>
        <w:rPr>
          <w:rFonts w:hint="eastAsia" w:ascii="宋体" w:hAnsi="宋体" w:eastAsia="宋体" w:cs="宋体"/>
          <w:b w:val="0"/>
          <w:color w:val="auto"/>
          <w:kern w:val="2"/>
          <w:sz w:val="21"/>
          <w:szCs w:val="21"/>
          <w:highlight w:val="none"/>
          <w:lang w:val="en-US" w:eastAsia="zh-CN"/>
        </w:rPr>
        <w:t>3-</w:t>
      </w:r>
      <w:r>
        <w:rPr>
          <w:rFonts w:hint="eastAsia" w:ascii="宋体" w:hAnsi="宋体" w:eastAsia="宋体" w:cs="宋体"/>
          <w:b w:val="0"/>
          <w:color w:val="auto"/>
          <w:kern w:val="2"/>
          <w:sz w:val="21"/>
          <w:szCs w:val="21"/>
          <w:highlight w:val="none"/>
        </w:rPr>
        <w:t>2：考核条款</w:t>
      </w:r>
    </w:p>
    <w:p>
      <w:pPr>
        <w:spacing w:line="560" w:lineRule="exact"/>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考核条款</w:t>
      </w:r>
    </w:p>
    <w:tbl>
      <w:tblPr>
        <w:tblStyle w:val="38"/>
        <w:tblW w:w="5062" w:type="pct"/>
        <w:jc w:val="center"/>
        <w:tblLayout w:type="autofit"/>
        <w:tblCellMar>
          <w:top w:w="0" w:type="dxa"/>
          <w:left w:w="108" w:type="dxa"/>
          <w:bottom w:w="0" w:type="dxa"/>
          <w:right w:w="108" w:type="dxa"/>
        </w:tblCellMar>
      </w:tblPr>
      <w:tblGrid>
        <w:gridCol w:w="747"/>
        <w:gridCol w:w="4139"/>
        <w:gridCol w:w="3742"/>
      </w:tblGrid>
      <w:tr>
        <w:tblPrEx>
          <w:tblCellMar>
            <w:top w:w="0" w:type="dxa"/>
            <w:left w:w="108" w:type="dxa"/>
            <w:bottom w:w="0" w:type="dxa"/>
            <w:right w:w="108" w:type="dxa"/>
          </w:tblCellMar>
        </w:tblPrEx>
        <w:trPr>
          <w:trHeight w:val="285" w:hRule="atLeast"/>
          <w:tblHeader/>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39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考核项目</w:t>
            </w:r>
          </w:p>
        </w:tc>
        <w:tc>
          <w:tcPr>
            <w:tcW w:w="216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考核标准</w:t>
            </w:r>
          </w:p>
        </w:tc>
      </w:tr>
      <w:tr>
        <w:tblPrEx>
          <w:tblCellMar>
            <w:top w:w="0" w:type="dxa"/>
            <w:left w:w="108" w:type="dxa"/>
            <w:bottom w:w="0" w:type="dxa"/>
            <w:right w:w="108" w:type="dxa"/>
          </w:tblCellMar>
        </w:tblPrEx>
        <w:trPr>
          <w:trHeight w:val="45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4566" w:type="pct"/>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安全目标考核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乙方发生责任性人身死亡事件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乙方除接受政府主管部门的处罚和承担死者善后费用外，甲方对乙方另按每死亡一人不低于10万元的标准进行考核。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乙方发生责任性人身重伤事件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考核3万-5万元/人·次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乙方发生责任性人身轻伤事件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考核1万-2万元/人·次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乙方发生责任性人身未遂事件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考核0.3万元-0.5万元/次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发生乙方责任导致的经济损失事故</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承担相应经济损失并按损失金额的10%进行考核。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乙方发生管辖范围内（含检修厂房、生活区域和运输车辆等）责任性火灾事故。</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根据人员伤害及财产损失情况，参照以上标准分别考核。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乙方因管理疏忽、员工违章等原因导致工作期间或管辖范围内发生火灾险情。</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考核0.4万-1万元/次，并包赔甲方损失。</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乙方在甲方范围内发生责任性交通事故</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按人身伤亡、经济损失类事故考核标准执行，并包赔甲方损失。</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乙方管理责任导致发生、发现职业病病例。</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参照重伤考核标准</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乙方原因导致被环保主管部门通报、考核的环保事件。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考核1万－5万元/次，并按责任定性承担主管部门的考核或罚款，并包赔甲方损失。</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乙方在甲方范围内发生性质恶劣的治安事件，或乙方员工组织或参与盗窃的事件。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考核0.3－3万元/次，并负责赔偿损失；情节特别严重的按国家法律处理。</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乙方3个月内重复发生同样性质的人身伤亡、治安事件、违法事件或火灾事故、环保事件、交通事故。</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对应上述款项加倍处罚。</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发生乙方原因导致的责任性一类障碍</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考核1万-3万元/次，视具体情况追加考核同期电量损失。</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发生乙方原因导致的责任性二类障碍</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考核0.4万-1万元/次，视具体情况追加考核同期电量损失。</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乙方发生责任性异常事件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考核0.1万—0.4万元/次，视具体情况追加考核同期电量损失。</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乙方发生误操作事件</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一般误操作考核0.4万－1万元/次，恶性误操作按一类障碍考核，造成后果的按责任定性另外考核。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乙方发生安全事故不及时汇报（超过24h），或谎报、瞒报，逃避责任等行为。</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按事故事件的级别给予不超过2万元/次的考核（事故责任另计）</w:t>
            </w:r>
          </w:p>
        </w:tc>
      </w:tr>
      <w:tr>
        <w:tblPrEx>
          <w:tblCellMar>
            <w:top w:w="0" w:type="dxa"/>
            <w:left w:w="108" w:type="dxa"/>
            <w:bottom w:w="0" w:type="dxa"/>
            <w:right w:w="108" w:type="dxa"/>
          </w:tblCellMar>
        </w:tblPrEx>
        <w:trPr>
          <w:trHeight w:val="372"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安全管理考核</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乙方不设立现场安全组织管理机构，不按要求设置安全员，项目经理或专职安全人员不具备国家要求的相应安全资格。</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考核0.1万－0.5万元/人·次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乙方新人员未经安全教育或考试不合格上岗</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考核500－1000元/人，屡教不改或形成普遍现象的加倍考核.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乙方人员变更未及时向甲方或监理方申报、备案的。</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考核500元－1000元/人·次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乙方施工过程中特种作业人员没有特种作业证，或不随身携带特种作业证。</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特种作业人员无证上岗考核0.2万-0.5万元/人.次，特种作业证未随身携带考核500元/人次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乙方不按规定开展安全培训、安全交底、风险分析、隐患排查、事故应急等安全活动，或安全活动查无实据、或弄虚作假。</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考核0.1万－0.3万元/项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乙方不按要求落实甲方反事故措施或重大安全事故隐患整改措施。</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考核0.1万－0.5万元/项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乙方对甲方提出的安全整改意见无特殊原因未安排整改的。</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每逾期1天考核500元</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乙方在甲方厂区内未经许可，未履行完申请报批手续，违规建设。</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考核0.5万－1万元/次，并恢复原貌。</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乙方未落实审批程序擅自开工</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考核0.2万－0.5万元/次，并立即停工整改。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乙方施工现场在用的特种设备未经法定检验或未及时备案，或超检验期使用。</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考核0.5万－1万元/次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乙方使用未经检验或超过检验期的安全工器具</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考核500元-0.2万元/项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乙方不按规定投入安全资金或虚报、瞒报安全设施投入情况。</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考核0.5万－2万元/次，并责令按规定投入足额安全资金。</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乙方不服从甲方对口管理部门、管理人员指挥，且态度恶劣、拒不整改的。</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考核0.1万－0.3万元/次，情节严重者驱逐出厂。</w:t>
            </w:r>
          </w:p>
        </w:tc>
      </w:tr>
      <w:tr>
        <w:tblPrEx>
          <w:tblCellMar>
            <w:top w:w="0" w:type="dxa"/>
            <w:left w:w="108" w:type="dxa"/>
            <w:bottom w:w="0" w:type="dxa"/>
            <w:right w:w="108" w:type="dxa"/>
          </w:tblCellMar>
        </w:tblPrEx>
        <w:trPr>
          <w:trHeight w:val="457"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违章考核</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乙方违反甲方两票管理制度</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无票作业考核0.3万－1万元/次，工作票不合格或未按安措执行的每次考核500元－0.2万元</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乙方人员未经许可擅动甲方的生产设备、设施</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考核0.2万元-0.5万元/次，造成后果的视损失另行考核。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乙方不经批准在甲方设备、结构、建筑物上开孔或焊接临时构件，变更设备设施用途。</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考核0.2万元-0.5万元/次，造成后果的视损失另行考核。</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乙方违规搭设脚手架或无票随意搭设脚手架，脚手架未验收或无验收合格证投入使用。</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脚手架存在较大安全隐患考核0.1万－0.5万元/项，未经验收投入使用考核0.5万元-1万元/处。</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乙方违反《电力安全工作规程》高处、临边、起重等作业有关规定，隔离、防护设施不到位。</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考核0.1万－0.5万元/处</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乙方在受限空间作业时，未办理许可票，未遵守通风、检测、监护、电动工具的使用、电源管理等有关规定的行为。</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考核0.1万－0.5万元/处</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乙方违反起重设备使用规定或由于使用不当造成起重设备的损坏。</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考核0.1万－0.3万元/次，并负责修复。</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乙方员工工作现场不穿戴或不正确穿戴劳动防护用品，使用不合格工器具。</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考核500元－0.1万元/人·次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乙方工作人员在甲方厂区内吸烟（规定的吸烟点除外）。</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厂（场）区吸烟考核500元/人次，重点防火区域吸烟考核0.1万－0.2万元/人·次。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乙方在重点防火部位违规动火</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考核0.2万－0.5万元/项</w:t>
            </w:r>
          </w:p>
        </w:tc>
      </w:tr>
      <w:tr>
        <w:tblPrEx>
          <w:tblCellMar>
            <w:top w:w="0" w:type="dxa"/>
            <w:left w:w="108" w:type="dxa"/>
            <w:bottom w:w="0" w:type="dxa"/>
            <w:right w:w="108" w:type="dxa"/>
          </w:tblCellMar>
        </w:tblPrEx>
        <w:trPr>
          <w:trHeight w:val="937"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39</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乙方高处动火作业，对下方的设备不采取防火隔离措施，或在地板砖、网格栅等处施工未采取保护措施。</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考核500元－0.1万元/次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乙方擅自使用甲方消防水源，挪用、摆压、封堵、圈围、拆除、停用甲方消防设施。</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考核500元－0.1万元/项，并负责修复或恢复。</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乙方未经批准堵塞安全出口、疏散通道、消防通道或者占用防火间距。</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考核500元－0.1万元/项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乙方不执行甲方临时电源管理规定，私拉乱接电线，或不正确使用现场检修电源箱。</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考核500元－0.1万元/项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乙方违反规程中有关电焊、气焊管理规定，气瓶储存、定置不附合规定，作业工具及施工工艺不附合要求。</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考核500元-0.1万元/项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乙方车辆超速行驶或不按规定线路行驶、停放，违反甲方厂（场）区交通规定。</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考核200元－500万元/次，造成经济损失的照价赔偿。</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乙方在甲方范围违反规定使用叉车、推扒机、电瓶车等厂内专用车辆，或车辆维护、保养不到位，安全可靠性不达标。</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考核500元－0.2万元/次</w:t>
            </w:r>
          </w:p>
        </w:tc>
      </w:tr>
      <w:tr>
        <w:tblPrEx>
          <w:tblCellMar>
            <w:top w:w="0" w:type="dxa"/>
            <w:left w:w="108" w:type="dxa"/>
            <w:bottom w:w="0" w:type="dxa"/>
            <w:right w:w="108" w:type="dxa"/>
          </w:tblCellMar>
        </w:tblPrEx>
        <w:trPr>
          <w:trHeight w:val="415"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其它类考核</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乙方无故缺席甲方项目安全会议，或未及时传达、下发甲方专项要求、事故通报等。</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考核200-500元/次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47</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乙方违反《电力安全工作规程》中搬运规定，造成厂区道路污染、草木或设备损坏等。</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考核500元－0.2万元/次，并负责修复。</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乙方作业区域脏、乱、差现象严重，工作结束未做到“工完、料尽、场地清”。</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考核500元－0.2万元/次</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49</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乙方现场材料、工具、部件、棚架、油漆、废料等不符合定置管理要求，经提出后仍不整改</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考核500元－0.2万元/项</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乙方设备作业区域不采取完善的隔离保护措施，或由此造成设备、备品备件、零配件丢失或损坏，杂物掉入、设施损坏、环境污染等。</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考核500元－0.1万元/次，设备和备件丢失、损坏按原价赔偿。</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乙方损坏或丢弃甲方设备标示牌及安措警示牌，未及时恢复。</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考核100元－200元/个，并负责恢复。</w:t>
            </w:r>
          </w:p>
        </w:tc>
      </w:tr>
      <w:tr>
        <w:tblPrEx>
          <w:tblCellMar>
            <w:top w:w="0" w:type="dxa"/>
            <w:left w:w="108" w:type="dxa"/>
            <w:bottom w:w="0" w:type="dxa"/>
            <w:right w:w="108" w:type="dxa"/>
          </w:tblCellMar>
        </w:tblPrEx>
        <w:trPr>
          <w:trHeight w:val="510" w:hRule="atLeast"/>
          <w:jc w:val="center"/>
        </w:trPr>
        <w:tc>
          <w:tcPr>
            <w:tcW w:w="433"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w:t>
            </w:r>
          </w:p>
        </w:tc>
        <w:tc>
          <w:tcPr>
            <w:tcW w:w="2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乙方违反甲方安全管理制度等的其它未列事项。</w:t>
            </w:r>
          </w:p>
        </w:tc>
        <w:tc>
          <w:tcPr>
            <w:tcW w:w="216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考核200元－0.1万元/次，或按甲方相关管理制度执行。</w:t>
            </w:r>
          </w:p>
        </w:tc>
      </w:tr>
    </w:tbl>
    <w:p>
      <w:pPr>
        <w:pStyle w:val="37"/>
        <w:ind w:left="0" w:leftChars="0" w:firstLine="0" w:firstLineChars="0"/>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16"/>
        <w:jc w:val="left"/>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附件4：阳光合作协议</w:t>
      </w:r>
    </w:p>
    <w:p>
      <w:pPr>
        <w:adjustRightInd/>
        <w:snapToGrid/>
        <w:spacing w:line="360" w:lineRule="auto"/>
        <w:jc w:val="center"/>
        <w:rPr>
          <w:rFonts w:hint="eastAsia" w:ascii="宋体" w:hAnsi="宋体" w:eastAsia="宋体" w:cs="宋体"/>
          <w:b/>
          <w:color w:val="auto"/>
          <w:sz w:val="21"/>
          <w:szCs w:val="21"/>
          <w:highlight w:val="none"/>
        </w:rPr>
      </w:pPr>
      <w:bookmarkStart w:id="319" w:name="_Toc23645_WPSOffice_Level1"/>
      <w:r>
        <w:rPr>
          <w:rFonts w:hint="eastAsia" w:ascii="宋体" w:hAnsi="宋体" w:eastAsia="宋体" w:cs="宋体"/>
          <w:b/>
          <w:color w:val="auto"/>
          <w:sz w:val="21"/>
          <w:szCs w:val="21"/>
          <w:highlight w:val="none"/>
        </w:rPr>
        <w:t>阳光合作协议</w:t>
      </w:r>
      <w:bookmarkEnd w:id="319"/>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甲方（采购方全称）： 东莞市新东元环保投资有限公司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乙方（供应方全称）：            </w:t>
      </w: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甲乙双方于2025年  月  日签署了东莞市海心沙资源综合利用中心环保热电厂循环水膜处理系统采购项目合同，为加强双方阳光合作，保证职员职业安全，甲乙双方经协商签订本协议并作为双方共同遵守的阳光合作行为准则。</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一、甲方责任</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1.甲方有责任向乙方介绍本单位有关采购管理通用原则和本协议的规定。</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2.甲方有责任对本单位相关人员进行阳光合作教育。</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4.甲方人员如违反阳光合作管理制度及本协议规定，甲方视情节轻重、影响大小给予行政及经济处罚。</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5．对于乙方举报甲方人员违反阳光合作规定的情况，甲方应及时进行调查，根据调查情况进行处理，并将调查结果向乙方反馈。</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二、乙方责任</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1.乙方应保证乙方人员了解甲方有关采购管理通用原则和及本协议的规定，并遵照执行。</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3.乙方有责任接受甲方对乙方在合作期间阳光合作管理执行情况的监督，并对甲方相关调查工作主动配合。</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4.乙方有义务就甲方人员任何形式的索取或收受财物行为及时向甲方（直接联系人为东莞实业投资控股集团有限公司</w:t>
      </w:r>
      <w:r>
        <w:rPr>
          <w:rFonts w:hint="eastAsia" w:ascii="宋体" w:hAnsi="宋体" w:eastAsia="宋体" w:cs="宋体"/>
          <w:color w:val="auto"/>
          <w:sz w:val="21"/>
          <w:szCs w:val="21"/>
          <w:highlight w:val="none"/>
          <w:lang w:val="en-US" w:eastAsia="zh-CN"/>
        </w:rPr>
        <w:t>风控法务</w:t>
      </w:r>
      <w:r>
        <w:rPr>
          <w:rFonts w:hint="eastAsia" w:ascii="宋体" w:hAnsi="宋体" w:eastAsia="宋体" w:cs="宋体"/>
          <w:color w:val="auto"/>
          <w:sz w:val="21"/>
          <w:szCs w:val="21"/>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5．甲方接受乙方实名或匿名举报，保证为举报者的信息保密，常设举报部门及电话： </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举报受理部门：东莞实业投资控股集团有限公司</w:t>
      </w:r>
      <w:r>
        <w:rPr>
          <w:rFonts w:hint="eastAsia" w:ascii="宋体" w:hAnsi="宋体" w:eastAsia="宋体" w:cs="宋体"/>
          <w:color w:val="auto"/>
          <w:sz w:val="21"/>
          <w:szCs w:val="21"/>
          <w:highlight w:val="none"/>
          <w:lang w:val="en-US" w:eastAsia="zh-CN"/>
        </w:rPr>
        <w:t>风控法务</w:t>
      </w:r>
      <w:r>
        <w:rPr>
          <w:rFonts w:hint="eastAsia" w:ascii="宋体" w:hAnsi="宋体" w:eastAsia="宋体" w:cs="宋体"/>
          <w:color w:val="auto"/>
          <w:sz w:val="21"/>
          <w:szCs w:val="21"/>
          <w:highlight w:val="none"/>
        </w:rPr>
        <w:t>部</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东实集团举报邮箱：dgsyxf@163.com</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东实集团举报电话：0769-28820703（周一至周五9:00-12:00和14:00-18:00）</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邮寄地址：东莞市东城区八一路1号机关二号大院9号楼，东莞实业投资控股集团有限公司</w:t>
      </w:r>
      <w:r>
        <w:rPr>
          <w:rFonts w:hint="eastAsia" w:ascii="宋体" w:hAnsi="宋体" w:eastAsia="宋体" w:cs="宋体"/>
          <w:color w:val="auto"/>
          <w:sz w:val="21"/>
          <w:szCs w:val="21"/>
          <w:highlight w:val="none"/>
          <w:lang w:val="en-US" w:eastAsia="zh-CN"/>
        </w:rPr>
        <w:t>风控法务</w:t>
      </w:r>
      <w:r>
        <w:rPr>
          <w:rFonts w:hint="eastAsia" w:ascii="宋体" w:hAnsi="宋体" w:eastAsia="宋体" w:cs="宋体"/>
          <w:color w:val="auto"/>
          <w:sz w:val="21"/>
          <w:szCs w:val="21"/>
          <w:highlight w:val="none"/>
        </w:rPr>
        <w:t>部收，邮编523000。</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三、其他</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1.本协议是原合同的补充协议，与原合同有同等法律效力。</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2.本协议一式伍份，甲方执叁份，乙方执贰份,具有同等法律效力。</w:t>
      </w:r>
    </w:p>
    <w:p>
      <w:pPr>
        <w:keepNext w:val="0"/>
        <w:keepLines w:val="0"/>
        <w:pageBreakBefore w:val="0"/>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3.本协议经双方签署后生效。</w:t>
      </w: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法定代表人（授权代表）：</w:t>
      </w: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签约日期：2025年   月   日</w:t>
      </w:r>
      <w:bookmarkStart w:id="320" w:name="现场签证通知单"/>
      <w:bookmarkEnd w:id="320"/>
      <w:bookmarkStart w:id="321" w:name="设计变更通知单"/>
      <w:bookmarkEnd w:id="321"/>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签约日期：2025年   月   日</w:t>
      </w:r>
    </w:p>
    <w:p>
      <w:pPr>
        <w:widowControl/>
        <w:jc w:val="left"/>
        <w:rPr>
          <w:rFonts w:hint="default" w:ascii="宋体"/>
          <w:color w:val="auto"/>
          <w:sz w:val="28"/>
          <w:szCs w:val="28"/>
          <w:highlight w:val="none"/>
          <w:lang w:val="en-US" w:eastAsia="zh-CN"/>
        </w:rPr>
      </w:pPr>
    </w:p>
    <w:p>
      <w:pPr>
        <w:widowControl/>
        <w:jc w:val="left"/>
        <w:rPr>
          <w:rFonts w:ascii="宋体"/>
          <w:b/>
          <w:bCs/>
          <w:color w:val="auto"/>
          <w:kern w:val="44"/>
          <w:sz w:val="28"/>
          <w:szCs w:val="28"/>
          <w:highlight w:val="none"/>
        </w:rPr>
      </w:pPr>
      <w:r>
        <w:rPr>
          <w:rFonts w:ascii="宋体"/>
          <w:color w:val="auto"/>
          <w:sz w:val="28"/>
          <w:szCs w:val="28"/>
          <w:highlight w:val="none"/>
        </w:rPr>
        <w:br w:type="page"/>
      </w:r>
    </w:p>
    <w:p>
      <w:pPr>
        <w:pStyle w:val="3"/>
        <w:jc w:val="center"/>
        <w:rPr>
          <w:rFonts w:ascii="宋体"/>
          <w:color w:val="auto"/>
          <w:sz w:val="28"/>
          <w:szCs w:val="28"/>
          <w:highlight w:val="none"/>
        </w:rPr>
      </w:pPr>
      <w:bookmarkStart w:id="322" w:name="_Toc7008"/>
      <w:r>
        <w:rPr>
          <w:rFonts w:hint="eastAsia" w:ascii="宋体" w:hAnsi="宋体"/>
          <w:color w:val="auto"/>
          <w:sz w:val="28"/>
          <w:szCs w:val="28"/>
          <w:highlight w:val="none"/>
        </w:rPr>
        <w:t>第六章</w:t>
      </w:r>
      <w:r>
        <w:rPr>
          <w:rFonts w:ascii="宋体" w:hAnsi="宋体"/>
          <w:color w:val="auto"/>
          <w:sz w:val="28"/>
          <w:szCs w:val="28"/>
          <w:highlight w:val="none"/>
        </w:rPr>
        <w:t xml:space="preserve"> </w:t>
      </w:r>
      <w:r>
        <w:rPr>
          <w:rFonts w:hint="eastAsia" w:ascii="宋体" w:hAnsi="宋体"/>
          <w:color w:val="auto"/>
          <w:sz w:val="28"/>
          <w:szCs w:val="28"/>
          <w:highlight w:val="none"/>
        </w:rPr>
        <w:t>响应文件格式</w:t>
      </w:r>
      <w:bookmarkEnd w:id="217"/>
      <w:bookmarkEnd w:id="218"/>
      <w:bookmarkEnd w:id="219"/>
      <w:bookmarkEnd w:id="220"/>
      <w:bookmarkEnd w:id="322"/>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jc w:val="center"/>
        <w:rPr>
          <w:rFonts w:ascii="黑体" w:hAnsi="宋体" w:eastAsia="黑体"/>
          <w:color w:val="auto"/>
          <w:sz w:val="32"/>
          <w:szCs w:val="32"/>
          <w:highlight w:val="none"/>
        </w:rPr>
      </w:pPr>
    </w:p>
    <w:p>
      <w:pPr>
        <w:spacing w:line="480" w:lineRule="auto"/>
        <w:rPr>
          <w:rFonts w:eastAsia="黑体"/>
          <w:color w:val="auto"/>
          <w:sz w:val="20"/>
          <w:szCs w:val="20"/>
          <w:highlight w:val="none"/>
        </w:rPr>
      </w:pPr>
    </w:p>
    <w:p>
      <w:pPr>
        <w:spacing w:line="480" w:lineRule="auto"/>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（项目名称）</w:t>
      </w:r>
      <w:r>
        <w:rPr>
          <w:rFonts w:eastAsia="黑体"/>
          <w:color w:val="auto"/>
          <w:sz w:val="28"/>
          <w:szCs w:val="28"/>
          <w:highlight w:val="none"/>
          <w:u w:val="single"/>
        </w:rPr>
        <w:t xml:space="preserve">   </w:t>
      </w:r>
    </w:p>
    <w:p>
      <w:pPr>
        <w:spacing w:line="480" w:lineRule="auto"/>
        <w:jc w:val="center"/>
        <w:rPr>
          <w:rFonts w:eastAsia="黑体"/>
          <w:color w:val="auto"/>
          <w:sz w:val="20"/>
          <w:szCs w:val="20"/>
          <w:highlight w:val="none"/>
        </w:rPr>
      </w:pPr>
    </w:p>
    <w:p>
      <w:pPr>
        <w:spacing w:line="480" w:lineRule="auto"/>
        <w:jc w:val="center"/>
        <w:rPr>
          <w:rFonts w:eastAsia="黑体"/>
          <w:color w:val="auto"/>
          <w:sz w:val="20"/>
          <w:szCs w:val="20"/>
          <w:highlight w:val="none"/>
        </w:rPr>
      </w:pPr>
    </w:p>
    <w:p>
      <w:pPr>
        <w:spacing w:line="480" w:lineRule="auto"/>
        <w:jc w:val="center"/>
        <w:rPr>
          <w:rFonts w:ascii="宋体"/>
          <w:b/>
          <w:color w:val="auto"/>
          <w:sz w:val="52"/>
          <w:szCs w:val="52"/>
          <w:highlight w:val="none"/>
        </w:rPr>
      </w:pPr>
      <w:r>
        <w:rPr>
          <w:rFonts w:hint="eastAsia" w:ascii="宋体" w:hAnsi="宋体"/>
          <w:b/>
          <w:color w:val="auto"/>
          <w:sz w:val="52"/>
          <w:szCs w:val="52"/>
          <w:highlight w:val="none"/>
        </w:rPr>
        <w:t>响</w:t>
      </w:r>
      <w:r>
        <w:rPr>
          <w:rFonts w:ascii="宋体" w:hAnsi="宋体"/>
          <w:b/>
          <w:color w:val="auto"/>
          <w:sz w:val="52"/>
          <w:szCs w:val="52"/>
          <w:highlight w:val="none"/>
        </w:rPr>
        <w:t xml:space="preserve">  </w:t>
      </w:r>
      <w:r>
        <w:rPr>
          <w:rFonts w:hint="eastAsia" w:ascii="宋体" w:hAnsi="宋体"/>
          <w:b/>
          <w:color w:val="auto"/>
          <w:sz w:val="52"/>
          <w:szCs w:val="52"/>
          <w:highlight w:val="none"/>
        </w:rPr>
        <w:t>应</w:t>
      </w:r>
      <w:r>
        <w:rPr>
          <w:rFonts w:ascii="宋体" w:hAnsi="宋体"/>
          <w:b/>
          <w:color w:val="auto"/>
          <w:sz w:val="52"/>
          <w:szCs w:val="52"/>
          <w:highlight w:val="none"/>
        </w:rPr>
        <w:t xml:space="preserve">  </w:t>
      </w:r>
      <w:r>
        <w:rPr>
          <w:rFonts w:hint="eastAsia" w:ascii="宋体" w:hAnsi="宋体"/>
          <w:b/>
          <w:color w:val="auto"/>
          <w:sz w:val="52"/>
          <w:szCs w:val="52"/>
          <w:highlight w:val="none"/>
        </w:rPr>
        <w:t>文</w:t>
      </w:r>
      <w:r>
        <w:rPr>
          <w:rFonts w:ascii="宋体" w:hAnsi="宋体"/>
          <w:b/>
          <w:color w:val="auto"/>
          <w:sz w:val="52"/>
          <w:szCs w:val="52"/>
          <w:highlight w:val="none"/>
        </w:rPr>
        <w:t xml:space="preserve">  </w:t>
      </w:r>
      <w:r>
        <w:rPr>
          <w:rFonts w:hint="eastAsia" w:ascii="宋体" w:hAnsi="宋体"/>
          <w:b/>
          <w:color w:val="auto"/>
          <w:sz w:val="52"/>
          <w:szCs w:val="52"/>
          <w:highlight w:val="none"/>
        </w:rPr>
        <w:t>件</w:t>
      </w:r>
    </w:p>
    <w:p>
      <w:pPr>
        <w:jc w:val="center"/>
        <w:rPr>
          <w:rFonts w:eastAsia="黑体"/>
          <w:color w:val="auto"/>
          <w:sz w:val="28"/>
          <w:szCs w:val="28"/>
          <w:highlight w:val="none"/>
        </w:rPr>
      </w:pPr>
    </w:p>
    <w:p>
      <w:pPr>
        <w:jc w:val="cente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spacing w:line="360" w:lineRule="auto"/>
        <w:jc w:val="center"/>
        <w:rPr>
          <w:rFonts w:eastAsia="黑体"/>
          <w:color w:val="auto"/>
          <w:sz w:val="28"/>
          <w:szCs w:val="28"/>
          <w:highlight w:val="none"/>
          <w:u w:val="single"/>
        </w:rPr>
      </w:pPr>
      <w:r>
        <w:rPr>
          <w:rFonts w:hint="eastAsia" w:eastAsia="黑体"/>
          <w:color w:val="auto"/>
          <w:sz w:val="28"/>
          <w:szCs w:val="28"/>
          <w:highlight w:val="none"/>
        </w:rPr>
        <w:t>响应人：</w:t>
      </w:r>
      <w:r>
        <w:rPr>
          <w:rFonts w:eastAsia="黑体"/>
          <w:color w:val="auto"/>
          <w:sz w:val="28"/>
          <w:szCs w:val="28"/>
          <w:highlight w:val="none"/>
          <w:u w:val="single"/>
        </w:rPr>
        <w:t xml:space="preserve">                       </w:t>
      </w:r>
      <w:r>
        <w:rPr>
          <w:rFonts w:hint="eastAsia" w:eastAsia="黑体"/>
          <w:color w:val="auto"/>
          <w:sz w:val="28"/>
          <w:szCs w:val="28"/>
          <w:highlight w:val="none"/>
        </w:rPr>
        <w:t>（盖单位公章）</w:t>
      </w:r>
    </w:p>
    <w:p>
      <w:pPr>
        <w:spacing w:line="360" w:lineRule="auto"/>
        <w:jc w:val="center"/>
        <w:rPr>
          <w:rFonts w:eastAsia="黑体"/>
          <w:color w:val="auto"/>
          <w:sz w:val="28"/>
          <w:szCs w:val="28"/>
          <w:highlight w:val="none"/>
        </w:rPr>
      </w:pPr>
      <w:r>
        <w:rPr>
          <w:rFonts w:hint="eastAsia" w:eastAsia="黑体"/>
          <w:color w:val="auto"/>
          <w:sz w:val="28"/>
          <w:szCs w:val="28"/>
          <w:highlight w:val="none"/>
        </w:rPr>
        <w:t>法定代表人或其委托代理人：</w:t>
      </w:r>
      <w:r>
        <w:rPr>
          <w:rFonts w:eastAsia="黑体"/>
          <w:color w:val="auto"/>
          <w:sz w:val="28"/>
          <w:szCs w:val="28"/>
          <w:highlight w:val="none"/>
          <w:u w:val="single"/>
        </w:rPr>
        <w:t xml:space="preserve">         </w:t>
      </w:r>
      <w:r>
        <w:rPr>
          <w:rFonts w:hint="eastAsia" w:eastAsia="黑体"/>
          <w:color w:val="auto"/>
          <w:sz w:val="28"/>
          <w:szCs w:val="28"/>
          <w:highlight w:val="none"/>
        </w:rPr>
        <w:t>（签字）</w:t>
      </w:r>
    </w:p>
    <w:p>
      <w:pPr>
        <w:spacing w:line="36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pPr>
        <w:jc w:val="center"/>
        <w:rPr>
          <w:rFonts w:eastAsia="黑体"/>
          <w:color w:val="auto"/>
          <w:sz w:val="28"/>
          <w:szCs w:val="28"/>
          <w:highlight w:val="none"/>
        </w:rPr>
      </w:pPr>
    </w:p>
    <w:p>
      <w:pPr>
        <w:widowControl/>
        <w:jc w:val="left"/>
        <w:rPr>
          <w:color w:val="auto"/>
          <w:highlight w:val="none"/>
        </w:rPr>
      </w:pPr>
      <w:r>
        <w:rPr>
          <w:color w:val="auto"/>
          <w:highlight w:val="none"/>
        </w:rPr>
        <w:br w:type="page"/>
      </w:r>
    </w:p>
    <w:p>
      <w:pPr>
        <w:pStyle w:val="4"/>
        <w:jc w:val="center"/>
        <w:rPr>
          <w:rFonts w:ascii="黑体" w:hAnsi="宋体"/>
          <w:b w:val="0"/>
          <w:color w:val="auto"/>
          <w:szCs w:val="28"/>
          <w:highlight w:val="none"/>
        </w:rPr>
      </w:pPr>
      <w:bookmarkStart w:id="323" w:name="_Toc18057"/>
      <w:r>
        <w:rPr>
          <w:color w:val="auto"/>
          <w:highlight w:val="none"/>
        </w:rPr>
        <w:fldChar w:fldCharType="begin"/>
      </w:r>
      <w:r>
        <w:rPr>
          <w:color w:val="auto"/>
          <w:highlight w:val="none"/>
        </w:rPr>
        <w:instrText xml:space="preserve"> HYPERLINK \l "_Toc338661805" </w:instrText>
      </w:r>
      <w:r>
        <w:rPr>
          <w:color w:val="auto"/>
          <w:highlight w:val="none"/>
        </w:rPr>
        <w:fldChar w:fldCharType="separate"/>
      </w:r>
      <w:bookmarkStart w:id="324" w:name="_Toc475407552"/>
      <w:r>
        <w:rPr>
          <w:rFonts w:hint="eastAsia" w:ascii="黑体" w:hAnsi="宋体"/>
          <w:b w:val="0"/>
          <w:color w:val="auto"/>
          <w:szCs w:val="28"/>
          <w:highlight w:val="none"/>
        </w:rPr>
        <w:t>目</w:t>
      </w:r>
      <w:r>
        <w:rPr>
          <w:rFonts w:ascii="黑体" w:hAnsi="宋体"/>
          <w:b w:val="0"/>
          <w:color w:val="auto"/>
          <w:szCs w:val="28"/>
          <w:highlight w:val="none"/>
        </w:rPr>
        <w:t xml:space="preserve">    </w:t>
      </w:r>
      <w:r>
        <w:rPr>
          <w:rFonts w:hint="eastAsia" w:ascii="黑体" w:hAnsi="宋体"/>
          <w:b w:val="0"/>
          <w:color w:val="auto"/>
          <w:szCs w:val="28"/>
          <w:highlight w:val="none"/>
        </w:rPr>
        <w:t>录</w:t>
      </w:r>
      <w:bookmarkEnd w:id="324"/>
      <w:r>
        <w:rPr>
          <w:rFonts w:hint="eastAsia" w:ascii="黑体" w:hAnsi="宋体"/>
          <w:b w:val="0"/>
          <w:color w:val="auto"/>
          <w:szCs w:val="28"/>
          <w:highlight w:val="none"/>
        </w:rPr>
        <w:fldChar w:fldCharType="end"/>
      </w:r>
      <w:bookmarkEnd w:id="323"/>
    </w:p>
    <w:p>
      <w:pPr>
        <w:spacing w:line="540" w:lineRule="exact"/>
        <w:rPr>
          <w:rFonts w:eastAsia="黑体"/>
          <w:color w:val="auto"/>
          <w:sz w:val="20"/>
          <w:szCs w:val="20"/>
          <w:highlight w:val="none"/>
        </w:rPr>
      </w:pPr>
      <w:r>
        <w:rPr>
          <w:color w:val="auto"/>
          <w:highlight w:val="none"/>
        </w:rPr>
        <w:br w:type="page"/>
      </w:r>
    </w:p>
    <w:p>
      <w:pPr>
        <w:pStyle w:val="4"/>
        <w:jc w:val="left"/>
        <w:rPr>
          <w:color w:val="auto"/>
          <w:highlight w:val="none"/>
        </w:rPr>
      </w:pPr>
      <w:bookmarkStart w:id="325" w:name="_Toc327827430"/>
      <w:bookmarkStart w:id="326" w:name="_Toc338669151"/>
      <w:bookmarkStart w:id="327" w:name="_Toc7577"/>
      <w:bookmarkStart w:id="328" w:name="_Toc152045788"/>
      <w:bookmarkStart w:id="329" w:name="_Toc247085874"/>
      <w:bookmarkStart w:id="330" w:name="_Toc179632808"/>
      <w:bookmarkStart w:id="331" w:name="_Toc144974857"/>
      <w:bookmarkStart w:id="332" w:name="_Toc246997099"/>
      <w:bookmarkStart w:id="333" w:name="_Toc152042577"/>
      <w:bookmarkStart w:id="334" w:name="_Toc246996356"/>
      <w:r>
        <w:rPr>
          <w:rFonts w:hint="eastAsia"/>
          <w:color w:val="auto"/>
          <w:highlight w:val="none"/>
        </w:rPr>
        <w:t>第一部分</w:t>
      </w:r>
      <w:r>
        <w:rPr>
          <w:color w:val="auto"/>
          <w:highlight w:val="none"/>
        </w:rPr>
        <w:t xml:space="preserve">  </w:t>
      </w:r>
      <w:r>
        <w:rPr>
          <w:rFonts w:hint="eastAsia"/>
          <w:color w:val="auto"/>
          <w:highlight w:val="none"/>
        </w:rPr>
        <w:t>技术商务</w:t>
      </w:r>
      <w:bookmarkEnd w:id="325"/>
      <w:bookmarkEnd w:id="326"/>
      <w:r>
        <w:rPr>
          <w:rFonts w:hint="eastAsia"/>
          <w:color w:val="auto"/>
          <w:highlight w:val="none"/>
        </w:rPr>
        <w:t>部分</w:t>
      </w:r>
      <w:bookmarkEnd w:id="327"/>
    </w:p>
    <w:p>
      <w:pPr>
        <w:pStyle w:val="4"/>
        <w:jc w:val="center"/>
        <w:rPr>
          <w:rFonts w:ascii="黑体" w:hAnsi="宋体"/>
          <w:b w:val="0"/>
          <w:color w:val="auto"/>
          <w:szCs w:val="28"/>
          <w:highlight w:val="none"/>
        </w:rPr>
      </w:pPr>
      <w:bookmarkStart w:id="335" w:name="_Toc475483721"/>
      <w:bookmarkStart w:id="336" w:name="_Toc19493"/>
      <w:bookmarkStart w:id="337" w:name="_Toc338669152"/>
      <w:r>
        <w:rPr>
          <w:rFonts w:hint="eastAsia"/>
          <w:color w:val="auto"/>
          <w:highlight w:val="none"/>
        </w:rPr>
        <w:t>一、</w:t>
      </w:r>
      <w:r>
        <w:rPr>
          <w:rFonts w:hint="eastAsia" w:ascii="黑体" w:hAnsi="宋体"/>
          <w:b w:val="0"/>
          <w:color w:val="auto"/>
          <w:szCs w:val="28"/>
          <w:highlight w:val="none"/>
        </w:rPr>
        <w:t>评审索引表</w:t>
      </w:r>
      <w:bookmarkEnd w:id="335"/>
      <w:bookmarkEnd w:id="336"/>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405"/>
        <w:gridCol w:w="1701"/>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jc w:val="center"/>
              <w:rPr>
                <w:rFonts w:ascii="宋体"/>
                <w:color w:val="auto"/>
                <w:sz w:val="24"/>
                <w:highlight w:val="none"/>
              </w:rPr>
            </w:pPr>
            <w:r>
              <w:rPr>
                <w:rFonts w:hint="eastAsia" w:ascii="宋体" w:hAnsi="宋体"/>
                <w:color w:val="auto"/>
                <w:sz w:val="24"/>
                <w:highlight w:val="none"/>
              </w:rPr>
              <w:t>条款号</w:t>
            </w:r>
          </w:p>
        </w:tc>
        <w:tc>
          <w:tcPr>
            <w:tcW w:w="2405" w:type="dxa"/>
            <w:vAlign w:val="center"/>
          </w:tcPr>
          <w:p>
            <w:pPr>
              <w:jc w:val="center"/>
              <w:rPr>
                <w:rFonts w:ascii="宋体"/>
                <w:color w:val="auto"/>
                <w:sz w:val="24"/>
                <w:highlight w:val="none"/>
              </w:rPr>
            </w:pPr>
            <w:r>
              <w:rPr>
                <w:rFonts w:hint="eastAsia" w:ascii="宋体" w:hAnsi="宋体"/>
                <w:color w:val="auto"/>
                <w:sz w:val="24"/>
                <w:highlight w:val="none"/>
              </w:rPr>
              <w:t>评审因素</w:t>
            </w:r>
          </w:p>
        </w:tc>
        <w:tc>
          <w:tcPr>
            <w:tcW w:w="1701" w:type="dxa"/>
            <w:vAlign w:val="center"/>
          </w:tcPr>
          <w:p>
            <w:pPr>
              <w:jc w:val="center"/>
              <w:rPr>
                <w:rFonts w:ascii="宋体"/>
                <w:color w:val="auto"/>
                <w:sz w:val="24"/>
                <w:highlight w:val="none"/>
              </w:rPr>
            </w:pPr>
            <w:r>
              <w:rPr>
                <w:rFonts w:hint="eastAsia" w:ascii="宋体" w:hAnsi="宋体"/>
                <w:color w:val="auto"/>
                <w:sz w:val="24"/>
                <w:highlight w:val="none"/>
              </w:rPr>
              <w:t>响应情况</w:t>
            </w:r>
          </w:p>
        </w:tc>
        <w:tc>
          <w:tcPr>
            <w:tcW w:w="1701" w:type="dxa"/>
            <w:vAlign w:val="center"/>
          </w:tcPr>
          <w:p>
            <w:pPr>
              <w:jc w:val="center"/>
              <w:rPr>
                <w:rFonts w:ascii="宋体"/>
                <w:color w:val="auto"/>
                <w:sz w:val="24"/>
                <w:highlight w:val="none"/>
              </w:rPr>
            </w:pPr>
            <w:r>
              <w:rPr>
                <w:rFonts w:hint="eastAsia" w:ascii="宋体" w:hAnsi="宋体"/>
                <w:color w:val="auto"/>
                <w:sz w:val="24"/>
                <w:highlight w:val="none"/>
              </w:rPr>
              <w:t>对应页码</w:t>
            </w:r>
          </w:p>
        </w:tc>
        <w:tc>
          <w:tcPr>
            <w:tcW w:w="2126" w:type="dxa"/>
            <w:vAlign w:val="center"/>
          </w:tcPr>
          <w:p>
            <w:pPr>
              <w:jc w:val="center"/>
              <w:rPr>
                <w:rFonts w:ascii="宋体"/>
                <w:color w:val="auto"/>
                <w:sz w:val="24"/>
                <w:highlight w:val="none"/>
              </w:rPr>
            </w:pPr>
            <w:r>
              <w:rPr>
                <w:rFonts w:hint="eastAsia" w:ascii="宋体" w:hAnsi="宋体"/>
                <w:color w:val="auto"/>
                <w:sz w:val="24"/>
                <w:highlight w:val="none"/>
              </w:rPr>
              <w:t>备注或说明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ind w:left="-2" w:firstLine="1"/>
              <w:jc w:val="center"/>
              <w:rPr>
                <w:rFonts w:ascii="宋体"/>
                <w:color w:val="auto"/>
                <w:sz w:val="24"/>
                <w:highlight w:val="none"/>
              </w:rPr>
            </w:pPr>
            <w:r>
              <w:rPr>
                <w:rFonts w:hint="eastAsia" w:ascii="宋体"/>
                <w:color w:val="auto"/>
                <w:sz w:val="24"/>
                <w:highlight w:val="none"/>
              </w:rPr>
              <w:t>…</w:t>
            </w:r>
          </w:p>
        </w:tc>
        <w:tc>
          <w:tcPr>
            <w:tcW w:w="2405" w:type="dxa"/>
            <w:vAlign w:val="center"/>
          </w:tcPr>
          <w:p>
            <w:pPr>
              <w:tabs>
                <w:tab w:val="left" w:pos="720"/>
              </w:tabs>
              <w:spacing w:line="360" w:lineRule="auto"/>
              <w:ind w:left="-2" w:firstLine="1"/>
              <w:jc w:val="center"/>
              <w:rPr>
                <w:rFonts w:ascii="宋体"/>
                <w:color w:val="auto"/>
                <w:sz w:val="24"/>
                <w:highlight w:val="none"/>
              </w:rPr>
            </w:pPr>
            <w:r>
              <w:rPr>
                <w:rFonts w:hint="eastAsia" w:ascii="宋体"/>
                <w:color w:val="auto"/>
                <w:sz w:val="24"/>
                <w:highlight w:val="none"/>
              </w:rPr>
              <w:t>…</w:t>
            </w: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ind w:left="420"/>
              <w:jc w:val="center"/>
              <w:rPr>
                <w:rFonts w:ascii="宋体"/>
                <w:color w:val="auto"/>
                <w:sz w:val="24"/>
                <w:highlight w:val="none"/>
              </w:rPr>
            </w:pPr>
          </w:p>
        </w:tc>
        <w:tc>
          <w:tcPr>
            <w:tcW w:w="1701" w:type="dxa"/>
            <w:vAlign w:val="center"/>
          </w:tcPr>
          <w:p>
            <w:pPr>
              <w:tabs>
                <w:tab w:val="left" w:pos="720"/>
              </w:tabs>
              <w:spacing w:line="360" w:lineRule="auto"/>
              <w:ind w:left="420"/>
              <w:jc w:val="center"/>
              <w:rPr>
                <w:rFonts w:ascii="宋体"/>
                <w:color w:val="auto"/>
                <w:sz w:val="24"/>
                <w:highlight w:val="none"/>
              </w:rPr>
            </w:pPr>
          </w:p>
        </w:tc>
        <w:tc>
          <w:tcPr>
            <w:tcW w:w="2126" w:type="dxa"/>
            <w:vAlign w:val="center"/>
          </w:tcPr>
          <w:p>
            <w:pPr>
              <w:tabs>
                <w:tab w:val="left" w:pos="720"/>
              </w:tabs>
              <w:spacing w:line="360" w:lineRule="auto"/>
              <w:ind w:left="420"/>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ind w:left="420"/>
              <w:jc w:val="center"/>
              <w:rPr>
                <w:rFonts w:ascii="宋体"/>
                <w:color w:val="auto"/>
                <w:sz w:val="24"/>
                <w:highlight w:val="none"/>
              </w:rPr>
            </w:pPr>
          </w:p>
        </w:tc>
        <w:tc>
          <w:tcPr>
            <w:tcW w:w="1701" w:type="dxa"/>
            <w:vAlign w:val="center"/>
          </w:tcPr>
          <w:p>
            <w:pPr>
              <w:tabs>
                <w:tab w:val="left" w:pos="720"/>
              </w:tabs>
              <w:spacing w:line="360" w:lineRule="auto"/>
              <w:ind w:left="420"/>
              <w:jc w:val="center"/>
              <w:rPr>
                <w:rFonts w:ascii="宋体"/>
                <w:color w:val="auto"/>
                <w:sz w:val="24"/>
                <w:highlight w:val="none"/>
              </w:rPr>
            </w:pPr>
          </w:p>
        </w:tc>
        <w:tc>
          <w:tcPr>
            <w:tcW w:w="2126" w:type="dxa"/>
            <w:vAlign w:val="center"/>
          </w:tcPr>
          <w:p>
            <w:pPr>
              <w:tabs>
                <w:tab w:val="left" w:pos="720"/>
              </w:tabs>
              <w:spacing w:line="360" w:lineRule="auto"/>
              <w:ind w:left="420"/>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color w:val="auto"/>
                <w:sz w:val="24"/>
                <w:highlight w:val="none"/>
              </w:rPr>
            </w:pPr>
          </w:p>
        </w:tc>
        <w:tc>
          <w:tcPr>
            <w:tcW w:w="2405" w:type="dxa"/>
            <w:vAlign w:val="center"/>
          </w:tcPr>
          <w:p>
            <w:pPr>
              <w:tabs>
                <w:tab w:val="left" w:pos="720"/>
              </w:tabs>
              <w:spacing w:line="360" w:lineRule="auto"/>
              <w:jc w:val="center"/>
              <w:rPr>
                <w:rFonts w:ascii="宋体"/>
                <w:color w:val="auto"/>
                <w:sz w:val="24"/>
                <w:highlight w:val="none"/>
              </w:rPr>
            </w:pPr>
          </w:p>
        </w:tc>
        <w:tc>
          <w:tcPr>
            <w:tcW w:w="1701" w:type="dxa"/>
          </w:tcPr>
          <w:p>
            <w:pPr>
              <w:tabs>
                <w:tab w:val="left" w:pos="720"/>
              </w:tabs>
              <w:spacing w:line="360" w:lineRule="auto"/>
              <w:jc w:val="center"/>
              <w:rPr>
                <w:rFonts w:ascii="宋体"/>
                <w:color w:val="auto"/>
                <w:sz w:val="24"/>
                <w:highlight w:val="none"/>
              </w:rPr>
            </w:pPr>
          </w:p>
        </w:tc>
        <w:tc>
          <w:tcPr>
            <w:tcW w:w="1701" w:type="dxa"/>
            <w:vAlign w:val="center"/>
          </w:tcPr>
          <w:p>
            <w:pPr>
              <w:tabs>
                <w:tab w:val="left" w:pos="720"/>
              </w:tabs>
              <w:spacing w:line="360" w:lineRule="auto"/>
              <w:jc w:val="center"/>
              <w:rPr>
                <w:rFonts w:ascii="宋体"/>
                <w:color w:val="auto"/>
                <w:sz w:val="24"/>
                <w:highlight w:val="none"/>
              </w:rPr>
            </w:pPr>
          </w:p>
        </w:tc>
        <w:tc>
          <w:tcPr>
            <w:tcW w:w="2126" w:type="dxa"/>
            <w:vAlign w:val="center"/>
          </w:tcPr>
          <w:p>
            <w:pPr>
              <w:tabs>
                <w:tab w:val="left" w:pos="720"/>
              </w:tabs>
              <w:spacing w:line="360" w:lineRule="auto"/>
              <w:jc w:val="center"/>
              <w:rPr>
                <w:rFonts w:ascii="宋体"/>
                <w:color w:val="auto"/>
                <w:sz w:val="24"/>
                <w:highlight w:val="none"/>
              </w:rPr>
            </w:pPr>
          </w:p>
        </w:tc>
      </w:tr>
    </w:tbl>
    <w:p>
      <w:pPr>
        <w:pStyle w:val="4"/>
        <w:jc w:val="center"/>
        <w:rPr>
          <w:color w:val="auto"/>
          <w:highlight w:val="none"/>
        </w:rPr>
      </w:pPr>
      <w:r>
        <w:rPr>
          <w:color w:val="auto"/>
          <w:highlight w:val="none"/>
        </w:rPr>
        <w:br w:type="page"/>
      </w:r>
      <w:bookmarkStart w:id="338" w:name="_Toc14980"/>
      <w:r>
        <w:rPr>
          <w:rFonts w:hint="eastAsia"/>
          <w:color w:val="auto"/>
          <w:highlight w:val="none"/>
        </w:rPr>
        <w:t>二、询价响应函</w:t>
      </w:r>
      <w:bookmarkEnd w:id="328"/>
      <w:bookmarkEnd w:id="329"/>
      <w:bookmarkEnd w:id="330"/>
      <w:bookmarkEnd w:id="331"/>
      <w:bookmarkEnd w:id="332"/>
      <w:bookmarkEnd w:id="333"/>
      <w:bookmarkEnd w:id="334"/>
      <w:bookmarkEnd w:id="337"/>
      <w:bookmarkEnd w:id="338"/>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rFonts w:hint="eastAsia"/>
          <w:color w:val="auto"/>
          <w:szCs w:val="21"/>
          <w:highlight w:val="none"/>
          <w:u w:val="single"/>
        </w:rPr>
        <w:t>（采购人名称）</w:t>
      </w:r>
      <w:r>
        <w:rPr>
          <w:color w:val="auto"/>
          <w:szCs w:val="21"/>
          <w:highlight w:val="none"/>
          <w:u w:val="single"/>
        </w:rPr>
        <w:t xml:space="preserve">        </w:t>
      </w:r>
      <w:r>
        <w:rPr>
          <w:rFonts w:hint="eastAsia"/>
          <w:color w:val="auto"/>
          <w:szCs w:val="21"/>
          <w:highlight w:val="none"/>
        </w:rPr>
        <w:t>：</w:t>
      </w:r>
    </w:p>
    <w:p>
      <w:pPr>
        <w:spacing w:line="400" w:lineRule="exact"/>
        <w:ind w:firstLine="422" w:firstLineChars="200"/>
        <w:rPr>
          <w:color w:val="auto"/>
          <w:szCs w:val="21"/>
          <w:highlight w:val="none"/>
        </w:rPr>
      </w:pPr>
      <w:r>
        <w:rPr>
          <w:b/>
          <w:color w:val="auto"/>
          <w:szCs w:val="21"/>
          <w:highlight w:val="none"/>
          <w:u w:val="single"/>
        </w:rPr>
        <w:t xml:space="preserve"> </w:t>
      </w:r>
      <w:r>
        <w:rPr>
          <w:rFonts w:hint="eastAsia"/>
          <w:color w:val="auto"/>
          <w:szCs w:val="21"/>
          <w:highlight w:val="none"/>
          <w:u w:val="single"/>
        </w:rPr>
        <w:t>（响应人名称）（以下简称我方）</w:t>
      </w:r>
      <w:r>
        <w:rPr>
          <w:rFonts w:hint="eastAsia"/>
          <w:color w:val="auto"/>
          <w:szCs w:val="21"/>
          <w:highlight w:val="none"/>
        </w:rPr>
        <w:t>已仔细研究了</w:t>
      </w:r>
      <w:r>
        <w:rPr>
          <w:color w:val="auto"/>
          <w:szCs w:val="21"/>
          <w:highlight w:val="none"/>
          <w:u w:val="single"/>
        </w:rPr>
        <w:t xml:space="preserve"> </w:t>
      </w:r>
      <w:r>
        <w:rPr>
          <w:rFonts w:hint="eastAsia"/>
          <w:color w:val="auto"/>
          <w:szCs w:val="21"/>
          <w:highlight w:val="none"/>
          <w:u w:val="single"/>
        </w:rPr>
        <w:t>（项目名称）（</w:t>
      </w:r>
      <w:r>
        <w:rPr>
          <w:rFonts w:hint="eastAsia"/>
          <w:color w:val="auto"/>
          <w:szCs w:val="21"/>
          <w:highlight w:val="none"/>
        </w:rPr>
        <w:t>采购代理机构编号：</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rPr>
        <w:t>询价文件的全部内容，</w:t>
      </w:r>
      <w:r>
        <w:rPr>
          <w:rFonts w:hint="eastAsia" w:hAnsi="宋体"/>
          <w:bCs/>
          <w:color w:val="auto"/>
          <w:szCs w:val="21"/>
          <w:highlight w:val="none"/>
        </w:rPr>
        <w:t>包括澄清、修改文件以及有关附件</w:t>
      </w:r>
      <w:r>
        <w:rPr>
          <w:rFonts w:hint="eastAsia"/>
          <w:color w:val="auto"/>
          <w:szCs w:val="21"/>
          <w:highlight w:val="none"/>
        </w:rPr>
        <w:t>，</w:t>
      </w:r>
      <w:r>
        <w:rPr>
          <w:rFonts w:hint="eastAsia"/>
          <w:color w:val="auto"/>
          <w:szCs w:val="21"/>
          <w:highlight w:val="none"/>
          <w:u w:val="single"/>
        </w:rPr>
        <w:t>愿意以《报价一览表》的价格</w:t>
      </w:r>
      <w:r>
        <w:rPr>
          <w:rFonts w:hint="eastAsia"/>
          <w:color w:val="auto"/>
          <w:szCs w:val="21"/>
          <w:highlight w:val="none"/>
        </w:rPr>
        <w:t>，按合同约定实施和完成上述项目的相关服务。</w:t>
      </w:r>
    </w:p>
    <w:p>
      <w:pPr>
        <w:spacing w:line="400" w:lineRule="exact"/>
        <w:ind w:firstLine="420" w:firstLineChars="200"/>
        <w:rPr>
          <w:color w:val="auto"/>
          <w:szCs w:val="21"/>
          <w:highlight w:val="none"/>
        </w:rPr>
      </w:pPr>
      <w:r>
        <w:rPr>
          <w:rFonts w:hint="eastAsia"/>
          <w:color w:val="auto"/>
          <w:szCs w:val="21"/>
          <w:highlight w:val="none"/>
        </w:rPr>
        <w:t>我方承诺如下内容：</w:t>
      </w:r>
    </w:p>
    <w:p>
      <w:pPr>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rPr>
        <w:t>我方的响应文件包含第二章“询价响应须知”第</w:t>
      </w:r>
      <w:r>
        <w:rPr>
          <w:color w:val="auto"/>
          <w:highlight w:val="none"/>
        </w:rPr>
        <w:t>3.1</w:t>
      </w:r>
      <w:r>
        <w:rPr>
          <w:rFonts w:hint="eastAsia"/>
          <w:color w:val="auto"/>
          <w:szCs w:val="21"/>
          <w:highlight w:val="none"/>
        </w:rPr>
        <w:t>款规定的全部内容。</w:t>
      </w:r>
    </w:p>
    <w:p>
      <w:pPr>
        <w:spacing w:line="400" w:lineRule="exact"/>
        <w:ind w:firstLine="420" w:firstLineChars="200"/>
        <w:rPr>
          <w:color w:val="auto"/>
          <w:szCs w:val="21"/>
          <w:highlight w:val="none"/>
        </w:rPr>
      </w:pPr>
      <w:r>
        <w:rPr>
          <w:color w:val="auto"/>
          <w:szCs w:val="21"/>
          <w:highlight w:val="none"/>
        </w:rPr>
        <w:t>2.</w:t>
      </w:r>
      <w:r>
        <w:rPr>
          <w:rFonts w:hint="eastAsia"/>
          <w:color w:val="auto"/>
          <w:szCs w:val="21"/>
          <w:highlight w:val="none"/>
        </w:rPr>
        <w:t>我方承诺在询价文件规定的询价有效期（询价有效期为</w:t>
      </w:r>
      <w:r>
        <w:rPr>
          <w:color w:val="auto"/>
          <w:szCs w:val="21"/>
          <w:highlight w:val="none"/>
          <w:u w:val="single"/>
        </w:rPr>
        <w:t xml:space="preserve"> </w:t>
      </w:r>
      <w:r>
        <w:rPr>
          <w:rFonts w:hint="eastAsia"/>
          <w:color w:val="auto"/>
          <w:szCs w:val="21"/>
          <w:highlight w:val="none"/>
          <w:u w:val="single"/>
          <w:lang w:val="en-US" w:eastAsia="zh-CN"/>
        </w:rPr>
        <w:t>90</w:t>
      </w:r>
      <w:r>
        <w:rPr>
          <w:color w:val="auto"/>
          <w:szCs w:val="21"/>
          <w:highlight w:val="none"/>
          <w:u w:val="single"/>
        </w:rPr>
        <w:t xml:space="preserve"> </w:t>
      </w:r>
      <w:r>
        <w:rPr>
          <w:rFonts w:hint="eastAsia"/>
          <w:color w:val="auto"/>
          <w:szCs w:val="21"/>
          <w:highlight w:val="none"/>
        </w:rPr>
        <w:t>天）内不修改、撤销响应文件。</w:t>
      </w:r>
    </w:p>
    <w:p>
      <w:pPr>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rPr>
        <w:t>随同本询价响应函提交询价保证金一份，金额为人民币（大写）</w:t>
      </w:r>
      <w:r>
        <w:rPr>
          <w:color w:val="auto"/>
          <w:szCs w:val="21"/>
          <w:highlight w:val="none"/>
          <w:u w:val="singl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color w:val="auto"/>
          <w:szCs w:val="21"/>
          <w:highlight w:val="none"/>
        </w:rPr>
        <w:t>）。</w:t>
      </w:r>
    </w:p>
    <w:p>
      <w:pPr>
        <w:spacing w:line="400" w:lineRule="exact"/>
        <w:ind w:firstLine="420" w:firstLineChars="200"/>
        <w:rPr>
          <w:color w:val="auto"/>
          <w:szCs w:val="21"/>
          <w:highlight w:val="none"/>
        </w:rPr>
      </w:pPr>
      <w:r>
        <w:rPr>
          <w:color w:val="auto"/>
          <w:szCs w:val="21"/>
          <w:highlight w:val="none"/>
        </w:rPr>
        <w:t>4.</w:t>
      </w:r>
      <w:r>
        <w:rPr>
          <w:rFonts w:hint="eastAsia"/>
          <w:color w:val="auto"/>
          <w:szCs w:val="21"/>
          <w:highlight w:val="none"/>
        </w:rPr>
        <w:t>我方在评审过程中根据询价小组要求提供的符合相关规定的澄清文件，构成响应文件的组成部分。</w:t>
      </w:r>
    </w:p>
    <w:p>
      <w:pPr>
        <w:spacing w:line="400" w:lineRule="exact"/>
        <w:ind w:firstLine="420" w:firstLineChars="200"/>
        <w:rPr>
          <w:color w:val="auto"/>
          <w:szCs w:val="21"/>
          <w:highlight w:val="none"/>
        </w:rPr>
      </w:pPr>
      <w:r>
        <w:rPr>
          <w:color w:val="auto"/>
          <w:szCs w:val="21"/>
          <w:highlight w:val="none"/>
        </w:rPr>
        <w:t>5.</w:t>
      </w:r>
      <w:r>
        <w:rPr>
          <w:rFonts w:hint="eastAsia"/>
          <w:color w:val="auto"/>
          <w:szCs w:val="21"/>
          <w:highlight w:val="none"/>
        </w:rPr>
        <w:t>我方同意提供贵方可能要求的与询价有关的一切数据或者资料，并完全理解贵方不一定接受最低价的询价。</w:t>
      </w:r>
    </w:p>
    <w:p>
      <w:pPr>
        <w:spacing w:line="400" w:lineRule="exact"/>
        <w:ind w:firstLine="420" w:firstLineChars="200"/>
        <w:rPr>
          <w:color w:val="auto"/>
          <w:szCs w:val="21"/>
          <w:highlight w:val="none"/>
        </w:rPr>
      </w:pPr>
      <w:r>
        <w:rPr>
          <w:color w:val="auto"/>
          <w:szCs w:val="21"/>
          <w:highlight w:val="none"/>
        </w:rPr>
        <w:t>6.</w:t>
      </w:r>
      <w:r>
        <w:rPr>
          <w:rFonts w:hint="eastAsia"/>
          <w:color w:val="auto"/>
          <w:szCs w:val="21"/>
          <w:highlight w:val="none"/>
        </w:rPr>
        <w:t>我方承诺不向第三方透露与询价相关的所有信息。</w:t>
      </w:r>
    </w:p>
    <w:p>
      <w:pPr>
        <w:spacing w:line="400" w:lineRule="exact"/>
        <w:ind w:firstLine="420" w:firstLineChars="200"/>
        <w:rPr>
          <w:color w:val="auto"/>
          <w:szCs w:val="21"/>
          <w:highlight w:val="none"/>
        </w:rPr>
      </w:pPr>
      <w:r>
        <w:rPr>
          <w:color w:val="auto"/>
          <w:szCs w:val="21"/>
          <w:highlight w:val="none"/>
        </w:rPr>
        <w:t>7.</w:t>
      </w:r>
      <w:r>
        <w:rPr>
          <w:rFonts w:hint="eastAsia"/>
          <w:color w:val="auto"/>
          <w:szCs w:val="21"/>
          <w:highlight w:val="none"/>
        </w:rPr>
        <w:t>如我方成交：</w:t>
      </w:r>
    </w:p>
    <w:p>
      <w:pPr>
        <w:spacing w:line="400" w:lineRule="exact"/>
        <w:ind w:firstLine="422" w:firstLineChars="201"/>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）我方承诺在收到成交通知书后，在成交通知书规定的期限内与你方签订合同。</w:t>
      </w:r>
    </w:p>
    <w:p>
      <w:pPr>
        <w:spacing w:line="400" w:lineRule="exact"/>
        <w:ind w:firstLine="422" w:firstLineChars="201"/>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）我方承诺按照询价文件规定递交履约担保、支付采购代理服务费。</w:t>
      </w:r>
    </w:p>
    <w:p>
      <w:pPr>
        <w:spacing w:line="400" w:lineRule="exact"/>
        <w:ind w:firstLine="422" w:firstLineChars="201"/>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）按照询价文件的规定及合同约定履行相关责任和义务。</w:t>
      </w:r>
    </w:p>
    <w:p>
      <w:pPr>
        <w:spacing w:line="400" w:lineRule="exact"/>
        <w:ind w:firstLine="420" w:firstLineChars="200"/>
        <w:rPr>
          <w:b/>
          <w:color w:val="auto"/>
          <w:szCs w:val="21"/>
          <w:highlight w:val="none"/>
        </w:rPr>
      </w:pPr>
      <w:r>
        <w:rPr>
          <w:rFonts w:hint="eastAsia"/>
          <w:color w:val="auto"/>
          <w:highlight w:val="none"/>
        </w:rPr>
        <w:t>我方在此声明，所递交的响应文件以及有关资料内容完整、真实和准确，且不存在第二章“询价响应须知”第</w:t>
      </w:r>
      <w:r>
        <w:rPr>
          <w:color w:val="auto"/>
          <w:highlight w:val="none"/>
        </w:rPr>
        <w:t>1.7</w:t>
      </w:r>
      <w:r>
        <w:rPr>
          <w:rFonts w:hint="eastAsia"/>
          <w:color w:val="auto"/>
          <w:highlight w:val="none"/>
        </w:rPr>
        <w:t>款规定的任何一种情形。</w:t>
      </w:r>
      <w:r>
        <w:rPr>
          <w:rFonts w:hint="eastAsia" w:hAnsi="宋体"/>
          <w:bCs/>
          <w:color w:val="auto"/>
          <w:szCs w:val="21"/>
          <w:highlight w:val="none"/>
        </w:rPr>
        <w:t>如有弄虚作假，将承担相应的法律责任，并赔偿由此造成的一切损失。</w:t>
      </w:r>
    </w:p>
    <w:p>
      <w:pPr>
        <w:spacing w:line="400" w:lineRule="exact"/>
        <w:ind w:firstLine="420" w:firstLineChars="200"/>
        <w:rPr>
          <w:color w:val="auto"/>
          <w:szCs w:val="21"/>
          <w:highlight w:val="none"/>
        </w:rPr>
      </w:pPr>
      <w:r>
        <w:rPr>
          <w:color w:val="auto"/>
          <w:szCs w:val="21"/>
          <w:highlight w:val="none"/>
        </w:rPr>
        <w:t>8</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u w:val="single"/>
        </w:rPr>
        <w:t>（其他补充说明）</w:t>
      </w:r>
      <w:r>
        <w:rPr>
          <w:color w:val="auto"/>
          <w:szCs w:val="21"/>
          <w:highlight w:val="none"/>
          <w:u w:val="single"/>
        </w:rPr>
        <w:t xml:space="preserve">         </w:t>
      </w:r>
      <w:r>
        <w:rPr>
          <w:rFonts w:hint="eastAsia"/>
          <w:color w:val="auto"/>
          <w:szCs w:val="21"/>
          <w:highlight w:val="none"/>
        </w:rPr>
        <w:t>。</w:t>
      </w:r>
    </w:p>
    <w:p>
      <w:pPr>
        <w:spacing w:line="400" w:lineRule="exact"/>
        <w:ind w:firstLine="3675" w:firstLineChars="1750"/>
        <w:rPr>
          <w:color w:val="auto"/>
          <w:szCs w:val="21"/>
          <w:highlight w:val="none"/>
        </w:rPr>
      </w:pPr>
      <w:r>
        <w:rPr>
          <w:rFonts w:hint="eastAsia"/>
          <w:color w:val="auto"/>
          <w:szCs w:val="21"/>
          <w:highlight w:val="none"/>
        </w:rPr>
        <w:t>参</w:t>
      </w:r>
      <w:r>
        <w:rPr>
          <w:color w:val="auto"/>
          <w:szCs w:val="21"/>
          <w:highlight w:val="none"/>
        </w:rPr>
        <w:t xml:space="preserve"> </w:t>
      </w:r>
      <w:r>
        <w:rPr>
          <w:rFonts w:hint="eastAsia"/>
          <w:color w:val="auto"/>
          <w:szCs w:val="21"/>
          <w:highlight w:val="none"/>
        </w:rPr>
        <w:t>选</w:t>
      </w:r>
      <w:r>
        <w:rPr>
          <w:color w:val="auto"/>
          <w:szCs w:val="21"/>
          <w:highlight w:val="none"/>
        </w:rPr>
        <w:t xml:space="preserve"> </w:t>
      </w:r>
      <w:r>
        <w:rPr>
          <w:rFonts w:hint="eastAsia"/>
          <w:color w:val="auto"/>
          <w:szCs w:val="21"/>
          <w:highlight w:val="none"/>
        </w:rPr>
        <w:t>人：</w:t>
      </w:r>
      <w:r>
        <w:rPr>
          <w:color w:val="auto"/>
          <w:szCs w:val="21"/>
          <w:highlight w:val="none"/>
          <w:u w:val="single"/>
        </w:rPr>
        <w:t xml:space="preserve">                      </w:t>
      </w:r>
      <w:r>
        <w:rPr>
          <w:rFonts w:hint="eastAsia"/>
          <w:color w:val="auto"/>
          <w:szCs w:val="21"/>
          <w:highlight w:val="none"/>
        </w:rPr>
        <w:t>（盖单位公章）</w:t>
      </w:r>
    </w:p>
    <w:p>
      <w:pPr>
        <w:spacing w:line="400" w:lineRule="exact"/>
        <w:ind w:firstLine="3675" w:firstLineChars="1750"/>
        <w:rPr>
          <w:color w:val="auto"/>
          <w:szCs w:val="21"/>
          <w:highlight w:val="none"/>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rPr>
        <w:t>（签字）</w:t>
      </w:r>
    </w:p>
    <w:p>
      <w:pPr>
        <w:spacing w:line="400" w:lineRule="exact"/>
        <w:ind w:firstLine="3675" w:firstLineChars="1750"/>
        <w:rPr>
          <w:color w:val="auto"/>
          <w:szCs w:val="21"/>
          <w:highlight w:val="none"/>
        </w:rPr>
      </w:pPr>
      <w:r>
        <w:rPr>
          <w:rFonts w:hint="eastAsia"/>
          <w:color w:val="auto"/>
          <w:szCs w:val="21"/>
          <w:highlight w:val="none"/>
        </w:rPr>
        <w:t>地址：</w:t>
      </w:r>
      <w:r>
        <w:rPr>
          <w:color w:val="auto"/>
          <w:szCs w:val="21"/>
          <w:highlight w:val="none"/>
          <w:u w:val="single"/>
        </w:rPr>
        <w:t xml:space="preserve">                                     </w:t>
      </w:r>
    </w:p>
    <w:p>
      <w:pPr>
        <w:spacing w:line="400" w:lineRule="exact"/>
        <w:ind w:firstLine="3675" w:firstLineChars="1750"/>
        <w:rPr>
          <w:color w:val="auto"/>
          <w:szCs w:val="21"/>
          <w:highlight w:val="none"/>
          <w:u w:val="single"/>
        </w:rPr>
      </w:pPr>
      <w:r>
        <w:rPr>
          <w:rFonts w:hint="eastAsia"/>
          <w:color w:val="auto"/>
          <w:szCs w:val="21"/>
          <w:highlight w:val="none"/>
        </w:rPr>
        <w:t>邮政编码：</w:t>
      </w:r>
      <w:r>
        <w:rPr>
          <w:color w:val="auto"/>
          <w:szCs w:val="21"/>
          <w:highlight w:val="none"/>
          <w:u w:val="single"/>
        </w:rPr>
        <w:t xml:space="preserve">                                 </w:t>
      </w:r>
    </w:p>
    <w:p>
      <w:pPr>
        <w:spacing w:line="400" w:lineRule="exact"/>
        <w:ind w:firstLine="3675" w:firstLineChars="1750"/>
        <w:rPr>
          <w:color w:val="auto"/>
          <w:szCs w:val="21"/>
          <w:highlight w:val="none"/>
        </w:rPr>
      </w:pPr>
      <w:r>
        <w:rPr>
          <w:rFonts w:hint="eastAsia"/>
          <w:color w:val="auto"/>
          <w:szCs w:val="21"/>
          <w:highlight w:val="none"/>
        </w:rPr>
        <w:t>电话：</w:t>
      </w:r>
      <w:r>
        <w:rPr>
          <w:color w:val="auto"/>
          <w:szCs w:val="21"/>
          <w:highlight w:val="none"/>
          <w:u w:val="single"/>
        </w:rPr>
        <w:t xml:space="preserve">                                     </w:t>
      </w:r>
    </w:p>
    <w:p>
      <w:pPr>
        <w:spacing w:line="400" w:lineRule="exact"/>
        <w:ind w:firstLine="3675" w:firstLineChars="1750"/>
        <w:rPr>
          <w:color w:val="auto"/>
          <w:szCs w:val="21"/>
          <w:highlight w:val="none"/>
        </w:rPr>
      </w:pPr>
      <w:r>
        <w:rPr>
          <w:rFonts w:hint="eastAsia"/>
          <w:color w:val="auto"/>
          <w:szCs w:val="21"/>
          <w:highlight w:val="none"/>
        </w:rPr>
        <w:t>传真：</w:t>
      </w:r>
      <w:r>
        <w:rPr>
          <w:color w:val="auto"/>
          <w:szCs w:val="21"/>
          <w:highlight w:val="none"/>
          <w:u w:val="single"/>
        </w:rPr>
        <w:t xml:space="preserve">                                     </w:t>
      </w:r>
    </w:p>
    <w:p>
      <w:pPr>
        <w:spacing w:line="400" w:lineRule="exact"/>
        <w:ind w:firstLine="3675" w:firstLineChars="1750"/>
        <w:rPr>
          <w:color w:val="auto"/>
          <w:szCs w:val="21"/>
          <w:highlight w:val="none"/>
        </w:rPr>
      </w:pPr>
      <w:r>
        <w:rPr>
          <w:rFonts w:hint="eastAsia"/>
          <w:color w:val="auto"/>
          <w:szCs w:val="21"/>
          <w:highlight w:val="none"/>
        </w:rPr>
        <w:t>电子邮箱：</w:t>
      </w:r>
      <w:r>
        <w:rPr>
          <w:color w:val="auto"/>
          <w:szCs w:val="21"/>
          <w:highlight w:val="none"/>
          <w:u w:val="single"/>
        </w:rPr>
        <w:t xml:space="preserve">                                 </w:t>
      </w:r>
    </w:p>
    <w:p>
      <w:pPr>
        <w:spacing w:line="400" w:lineRule="exact"/>
        <w:ind w:firstLine="3675" w:firstLineChars="1750"/>
        <w:rPr>
          <w:color w:val="auto"/>
          <w:szCs w:val="21"/>
          <w:highlight w:val="none"/>
        </w:rPr>
      </w:pPr>
    </w:p>
    <w:p>
      <w:pPr>
        <w:spacing w:line="440" w:lineRule="exact"/>
        <w:jc w:val="right"/>
        <w:rPr>
          <w:rFonts w:eastAsia="黑体"/>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4"/>
        <w:jc w:val="center"/>
        <w:rPr>
          <w:rFonts w:ascii="黑体"/>
          <w:b w:val="0"/>
          <w:color w:val="auto"/>
          <w:highlight w:val="none"/>
        </w:rPr>
      </w:pPr>
      <w:bookmarkStart w:id="339" w:name="_Toc475483723"/>
      <w:bookmarkStart w:id="340" w:name="_Toc12433"/>
      <w:r>
        <w:rPr>
          <w:rFonts w:hint="eastAsia" w:ascii="黑体"/>
          <w:b w:val="0"/>
          <w:color w:val="auto"/>
          <w:highlight w:val="none"/>
        </w:rPr>
        <w:t>三、联合体协议书（如有）</w:t>
      </w:r>
      <w:bookmarkEnd w:id="339"/>
      <w:bookmarkEnd w:id="340"/>
    </w:p>
    <w:p>
      <w:pPr>
        <w:pStyle w:val="2"/>
        <w:spacing w:line="440" w:lineRule="exact"/>
        <w:rPr>
          <w:color w:val="auto"/>
          <w:szCs w:val="21"/>
          <w:highlight w:val="none"/>
        </w:rPr>
      </w:pPr>
      <w:r>
        <w:rPr>
          <w:rFonts w:hint="eastAsia"/>
          <w:color w:val="auto"/>
          <w:szCs w:val="21"/>
          <w:highlight w:val="none"/>
          <w:u w:val="single"/>
        </w:rPr>
        <w:t>（所有成员单位名单）</w:t>
      </w:r>
      <w:r>
        <w:rPr>
          <w:color w:val="auto"/>
          <w:szCs w:val="21"/>
          <w:highlight w:val="none"/>
          <w:u w:val="single"/>
        </w:rPr>
        <w:t xml:space="preserve">  </w:t>
      </w:r>
      <w:r>
        <w:rPr>
          <w:rFonts w:hint="eastAsia" w:hAnsi="宋体"/>
          <w:color w:val="auto"/>
          <w:szCs w:val="21"/>
          <w:highlight w:val="none"/>
        </w:rPr>
        <w:t>自愿组成：</w:t>
      </w:r>
      <w:r>
        <w:rPr>
          <w:color w:val="auto"/>
          <w:szCs w:val="21"/>
          <w:highlight w:val="none"/>
          <w:u w:val="single"/>
        </w:rPr>
        <w:t xml:space="preserve">    </w:t>
      </w:r>
      <w:r>
        <w:rPr>
          <w:rFonts w:hint="eastAsia" w:hAnsi="宋体"/>
          <w:color w:val="auto"/>
          <w:szCs w:val="21"/>
          <w:highlight w:val="none"/>
          <w:u w:val="single"/>
        </w:rPr>
        <w:t>（联合体名称）</w:t>
      </w:r>
      <w:r>
        <w:rPr>
          <w:rFonts w:hAnsi="宋体"/>
          <w:color w:val="auto"/>
          <w:szCs w:val="21"/>
          <w:highlight w:val="none"/>
          <w:u w:val="single"/>
        </w:rPr>
        <w:t xml:space="preserve">  </w:t>
      </w:r>
      <w:r>
        <w:rPr>
          <w:rFonts w:hint="eastAsia" w:hAnsi="宋体"/>
          <w:color w:val="auto"/>
          <w:szCs w:val="21"/>
          <w:highlight w:val="none"/>
        </w:rPr>
        <w:t>联合体，共同参加</w:t>
      </w:r>
      <w:r>
        <w:rPr>
          <w:rFonts w:hint="eastAsia" w:hAnsi="宋体"/>
          <w:color w:val="auto"/>
          <w:szCs w:val="21"/>
          <w:highlight w:val="none"/>
          <w:u w:val="single"/>
        </w:rPr>
        <w:t>（询价项目名称）</w:t>
      </w:r>
      <w:r>
        <w:rPr>
          <w:rFonts w:hint="eastAsia" w:hAnsi="宋体"/>
          <w:color w:val="auto"/>
          <w:szCs w:val="21"/>
          <w:highlight w:val="none"/>
        </w:rPr>
        <w:t>询价。现就联合体询价事宜订立如下协议：</w:t>
      </w:r>
    </w:p>
    <w:p>
      <w:pPr>
        <w:pStyle w:val="2"/>
        <w:spacing w:line="440" w:lineRule="exact"/>
        <w:rPr>
          <w:color w:val="auto"/>
          <w:szCs w:val="21"/>
          <w:highlight w:val="none"/>
        </w:rPr>
      </w:pPr>
      <w:r>
        <w:rPr>
          <w:color w:val="auto"/>
          <w:szCs w:val="21"/>
          <w:highlight w:val="none"/>
        </w:rPr>
        <w:t>1</w:t>
      </w:r>
      <w:r>
        <w:rPr>
          <w:rFonts w:hint="eastAsia"/>
          <w:color w:val="auto"/>
          <w:szCs w:val="21"/>
          <w:highlight w:val="none"/>
        </w:rPr>
        <w:t>．</w:t>
      </w:r>
      <w:r>
        <w:rPr>
          <w:rFonts w:hint="eastAsia" w:hAnsi="宋体"/>
          <w:color w:val="auto"/>
          <w:szCs w:val="21"/>
          <w:highlight w:val="none"/>
          <w:u w:val="single"/>
        </w:rPr>
        <w:t>（成员单位名称）</w:t>
      </w:r>
      <w:r>
        <w:rPr>
          <w:rFonts w:hint="eastAsia" w:hAnsi="宋体"/>
          <w:color w:val="auto"/>
          <w:szCs w:val="21"/>
          <w:highlight w:val="none"/>
        </w:rPr>
        <w:t>为</w:t>
      </w:r>
      <w:r>
        <w:rPr>
          <w:rFonts w:hint="eastAsia" w:hAnsi="宋体"/>
          <w:color w:val="auto"/>
          <w:szCs w:val="21"/>
          <w:highlight w:val="none"/>
          <w:u w:val="single"/>
        </w:rPr>
        <w:t>（联合体名称）</w:t>
      </w:r>
      <w:r>
        <w:rPr>
          <w:rFonts w:hint="eastAsia" w:hAnsi="宋体"/>
          <w:color w:val="auto"/>
          <w:szCs w:val="21"/>
          <w:highlight w:val="none"/>
        </w:rPr>
        <w:t>牵头人。</w:t>
      </w:r>
    </w:p>
    <w:p>
      <w:pPr>
        <w:pStyle w:val="2"/>
        <w:spacing w:line="440" w:lineRule="exact"/>
        <w:rPr>
          <w:color w:val="auto"/>
          <w:szCs w:val="21"/>
          <w:highlight w:val="none"/>
        </w:rPr>
      </w:pPr>
      <w:r>
        <w:rPr>
          <w:color w:val="auto"/>
          <w:szCs w:val="21"/>
          <w:highlight w:val="none"/>
        </w:rPr>
        <w:t>2</w:t>
      </w:r>
      <w:r>
        <w:rPr>
          <w:rFonts w:hint="eastAsia"/>
          <w:color w:val="auto"/>
          <w:szCs w:val="21"/>
          <w:highlight w:val="none"/>
        </w:rPr>
        <w:t>．</w:t>
      </w:r>
      <w:r>
        <w:rPr>
          <w:rFonts w:hint="eastAsia" w:hAnsi="宋体"/>
          <w:color w:val="auto"/>
          <w:szCs w:val="21"/>
          <w:highlight w:val="none"/>
        </w:rPr>
        <w:t>联合体牵头人合法代表联合体各成员，负责本询价项目响应文件编制和合同询价活动，并代表联合体成员递交和接受相关的资料、信息及指示，并处理与之有关的一切事务，负责合同实施阶段的主办、组织和协调工作。</w:t>
      </w:r>
    </w:p>
    <w:p>
      <w:pPr>
        <w:pStyle w:val="2"/>
        <w:spacing w:line="440" w:lineRule="exact"/>
        <w:rPr>
          <w:rFonts w:hAnsi="宋体"/>
          <w:color w:val="auto"/>
          <w:szCs w:val="21"/>
          <w:highlight w:val="none"/>
        </w:rPr>
      </w:pPr>
      <w:r>
        <w:rPr>
          <w:color w:val="auto"/>
          <w:szCs w:val="21"/>
          <w:highlight w:val="none"/>
        </w:rPr>
        <w:t>3</w:t>
      </w:r>
      <w:r>
        <w:rPr>
          <w:rFonts w:hint="eastAsia"/>
          <w:color w:val="auto"/>
          <w:szCs w:val="21"/>
          <w:highlight w:val="none"/>
        </w:rPr>
        <w:t>．</w:t>
      </w:r>
      <w:r>
        <w:rPr>
          <w:rFonts w:hint="eastAsia" w:hAnsi="宋体"/>
          <w:color w:val="auto"/>
          <w:szCs w:val="21"/>
          <w:highlight w:val="none"/>
        </w:rPr>
        <w:t>联合体将严格按照询价文件的各项要求，递交响应文件，履行合同，并对外承担连带责任。</w:t>
      </w:r>
    </w:p>
    <w:p>
      <w:pPr>
        <w:pStyle w:val="2"/>
        <w:spacing w:line="440" w:lineRule="exact"/>
        <w:rPr>
          <w:color w:val="auto"/>
          <w:szCs w:val="21"/>
          <w:highlight w:val="none"/>
        </w:rPr>
      </w:pPr>
      <w:r>
        <w:rPr>
          <w:color w:val="auto"/>
          <w:szCs w:val="21"/>
          <w:highlight w:val="none"/>
        </w:rPr>
        <w:t>4</w:t>
      </w:r>
      <w:r>
        <w:rPr>
          <w:rFonts w:hint="eastAsia"/>
          <w:color w:val="auto"/>
          <w:szCs w:val="21"/>
          <w:highlight w:val="none"/>
        </w:rPr>
        <w:t>．</w:t>
      </w:r>
      <w:r>
        <w:rPr>
          <w:rFonts w:hint="eastAsia" w:hAnsi="宋体"/>
          <w:color w:val="auto"/>
          <w:szCs w:val="21"/>
          <w:highlight w:val="none"/>
        </w:rPr>
        <w:t>联合体各成员单位内部的职责分工以及资质等级如下：</w:t>
      </w:r>
      <w:r>
        <w:rPr>
          <w:color w:val="auto"/>
          <w:szCs w:val="21"/>
          <w:highlight w:val="none"/>
        </w:rPr>
        <w:t>_________________</w:t>
      </w:r>
      <w:r>
        <w:rPr>
          <w:rFonts w:hint="eastAsia"/>
          <w:color w:val="auto"/>
          <w:szCs w:val="21"/>
          <w:highlight w:val="none"/>
        </w:rPr>
        <w:t>。</w:t>
      </w:r>
    </w:p>
    <w:p>
      <w:pPr>
        <w:pStyle w:val="2"/>
        <w:spacing w:line="440" w:lineRule="exact"/>
        <w:rPr>
          <w:rFonts w:ascii="宋体"/>
          <w:color w:val="auto"/>
          <w:szCs w:val="21"/>
          <w:highlight w:val="none"/>
        </w:rPr>
      </w:pPr>
      <w:r>
        <w:rPr>
          <w:rFonts w:hint="eastAsia" w:ascii="宋体" w:hAnsi="宋体"/>
          <w:color w:val="auto"/>
          <w:szCs w:val="21"/>
          <w:highlight w:val="none"/>
        </w:rPr>
        <w:t>按照本条上述分工，联合体成员单位各自所承担的合同工作量比例如下：</w:t>
      </w:r>
      <w:r>
        <w:rPr>
          <w:rFonts w:ascii="宋体" w:hAnsi="宋体"/>
          <w:color w:val="auto"/>
          <w:szCs w:val="21"/>
          <w:highlight w:val="none"/>
          <w:u w:val="single"/>
        </w:rPr>
        <w:t xml:space="preserve">           </w:t>
      </w:r>
    </w:p>
    <w:p>
      <w:pPr>
        <w:spacing w:line="440" w:lineRule="exact"/>
        <w:rPr>
          <w:rFonts w:asci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440" w:lineRule="exact"/>
        <w:ind w:firstLine="424" w:firstLineChars="202"/>
        <w:rPr>
          <w:color w:val="auto"/>
          <w:szCs w:val="21"/>
          <w:highlight w:val="none"/>
        </w:rPr>
      </w:pPr>
      <w:r>
        <w:rPr>
          <w:color w:val="auto"/>
          <w:szCs w:val="21"/>
          <w:highlight w:val="none"/>
        </w:rPr>
        <w:t>5</w:t>
      </w:r>
      <w:r>
        <w:rPr>
          <w:rFonts w:hint="eastAsia"/>
          <w:color w:val="auto"/>
          <w:szCs w:val="21"/>
          <w:highlight w:val="none"/>
        </w:rPr>
        <w:t>．</w:t>
      </w:r>
      <w:r>
        <w:rPr>
          <w:color w:val="auto"/>
          <w:szCs w:val="21"/>
          <w:highlight w:val="none"/>
        </w:rPr>
        <w:t xml:space="preserve"> </w:t>
      </w:r>
      <w:r>
        <w:rPr>
          <w:rFonts w:hint="eastAsia"/>
          <w:color w:val="auto"/>
          <w:szCs w:val="21"/>
          <w:highlight w:val="none"/>
        </w:rPr>
        <w:t>询价工作以及联合体在成交后项目实施过程中的有关费用按照各自承担的工作量分摊。</w:t>
      </w:r>
    </w:p>
    <w:p>
      <w:pPr>
        <w:spacing w:line="440" w:lineRule="exact"/>
        <w:ind w:firstLine="424" w:firstLineChars="202"/>
        <w:rPr>
          <w:color w:val="auto"/>
          <w:szCs w:val="21"/>
          <w:highlight w:val="none"/>
        </w:rPr>
      </w:pPr>
      <w:r>
        <w:rPr>
          <w:color w:val="auto"/>
          <w:szCs w:val="21"/>
          <w:highlight w:val="none"/>
        </w:rPr>
        <w:t>6</w:t>
      </w:r>
      <w:r>
        <w:rPr>
          <w:rFonts w:hint="eastAsia"/>
          <w:color w:val="auto"/>
          <w:szCs w:val="21"/>
          <w:highlight w:val="none"/>
        </w:rPr>
        <w:t>．联合体成交后，本联合体协议是合同的附件，对联合体各成员单位有合同约束力。</w:t>
      </w:r>
    </w:p>
    <w:p>
      <w:pPr>
        <w:pStyle w:val="2"/>
        <w:tabs>
          <w:tab w:val="left" w:pos="6645"/>
        </w:tabs>
        <w:spacing w:line="440" w:lineRule="exact"/>
        <w:rPr>
          <w:color w:val="auto"/>
          <w:szCs w:val="21"/>
          <w:highlight w:val="none"/>
        </w:rPr>
      </w:pPr>
      <w:r>
        <w:rPr>
          <w:color w:val="auto"/>
          <w:szCs w:val="21"/>
          <w:highlight w:val="none"/>
        </w:rPr>
        <w:t>7</w:t>
      </w:r>
      <w:r>
        <w:rPr>
          <w:rFonts w:hint="eastAsia"/>
          <w:color w:val="auto"/>
          <w:szCs w:val="21"/>
          <w:highlight w:val="none"/>
        </w:rPr>
        <w:t>．本协议书自签署之日起生效，合同履行完毕后自动失效。</w:t>
      </w:r>
      <w:r>
        <w:rPr>
          <w:color w:val="auto"/>
          <w:szCs w:val="21"/>
          <w:highlight w:val="none"/>
        </w:rPr>
        <w:tab/>
      </w:r>
    </w:p>
    <w:p>
      <w:pPr>
        <w:pStyle w:val="2"/>
        <w:spacing w:line="440" w:lineRule="exact"/>
        <w:rPr>
          <w:color w:val="auto"/>
          <w:szCs w:val="21"/>
          <w:highlight w:val="none"/>
        </w:rPr>
      </w:pPr>
      <w:r>
        <w:rPr>
          <w:color w:val="auto"/>
          <w:szCs w:val="21"/>
          <w:highlight w:val="none"/>
        </w:rPr>
        <w:t>8</w:t>
      </w:r>
      <w:r>
        <w:rPr>
          <w:rFonts w:hint="eastAsia"/>
          <w:color w:val="auto"/>
          <w:szCs w:val="21"/>
          <w:highlight w:val="none"/>
        </w:rPr>
        <w:t>．本协议书一式</w:t>
      </w:r>
      <w:r>
        <w:rPr>
          <w:color w:val="auto"/>
          <w:szCs w:val="21"/>
          <w:highlight w:val="none"/>
        </w:rPr>
        <w:t>____</w:t>
      </w:r>
      <w:r>
        <w:rPr>
          <w:rFonts w:hint="eastAsia"/>
          <w:color w:val="auto"/>
          <w:szCs w:val="21"/>
          <w:highlight w:val="none"/>
        </w:rPr>
        <w:t>份，联合体成员和采购人各执一份。</w:t>
      </w:r>
    </w:p>
    <w:p>
      <w:pPr>
        <w:pStyle w:val="2"/>
        <w:spacing w:line="440" w:lineRule="exact"/>
        <w:rPr>
          <w:color w:val="auto"/>
          <w:szCs w:val="21"/>
          <w:highlight w:val="none"/>
        </w:rPr>
      </w:pPr>
      <w:r>
        <w:rPr>
          <w:rFonts w:hint="eastAsia" w:hAnsi="宋体"/>
          <w:color w:val="auto"/>
          <w:szCs w:val="21"/>
          <w:highlight w:val="none"/>
        </w:rPr>
        <w:t>注：本协议书由委托人签字的，应附法定代表人签字的授权委托书。</w:t>
      </w:r>
    </w:p>
    <w:p>
      <w:pPr>
        <w:pStyle w:val="2"/>
        <w:wordWrap w:val="0"/>
        <w:spacing w:line="360" w:lineRule="auto"/>
        <w:jc w:val="right"/>
        <w:rPr>
          <w:color w:val="auto"/>
          <w:szCs w:val="21"/>
          <w:highlight w:val="none"/>
        </w:rPr>
      </w:pPr>
      <w:r>
        <w:rPr>
          <w:rFonts w:hint="eastAsia" w:hAnsi="宋体"/>
          <w:color w:val="auto"/>
          <w:szCs w:val="21"/>
          <w:highlight w:val="none"/>
        </w:rPr>
        <w:t>牵头人名称：</w:t>
      </w:r>
      <w:r>
        <w:rPr>
          <w:color w:val="auto"/>
          <w:szCs w:val="21"/>
          <w:highlight w:val="none"/>
        </w:rPr>
        <w:t>_______________________</w:t>
      </w:r>
      <w:r>
        <w:rPr>
          <w:rFonts w:hint="eastAsia" w:hAnsi="宋体"/>
          <w:color w:val="auto"/>
          <w:szCs w:val="21"/>
          <w:highlight w:val="none"/>
        </w:rPr>
        <w:t>（盖单位公章）</w:t>
      </w:r>
    </w:p>
    <w:p>
      <w:pPr>
        <w:pStyle w:val="2"/>
        <w:spacing w:line="360" w:lineRule="auto"/>
        <w:jc w:val="right"/>
        <w:rPr>
          <w:color w:val="auto"/>
          <w:szCs w:val="21"/>
          <w:highlight w:val="none"/>
        </w:rPr>
      </w:pPr>
      <w:r>
        <w:rPr>
          <w:rFonts w:hint="eastAsia" w:hAnsi="宋体"/>
          <w:color w:val="auto"/>
          <w:szCs w:val="21"/>
          <w:highlight w:val="none"/>
        </w:rPr>
        <w:t>法定代表人或其委托代理人：</w:t>
      </w:r>
      <w:r>
        <w:rPr>
          <w:color w:val="auto"/>
          <w:szCs w:val="21"/>
          <w:highlight w:val="none"/>
        </w:rPr>
        <w:t>_____________</w:t>
      </w:r>
      <w:r>
        <w:rPr>
          <w:rFonts w:hint="eastAsia" w:hAnsi="宋体"/>
          <w:color w:val="auto"/>
          <w:szCs w:val="21"/>
          <w:highlight w:val="none"/>
        </w:rPr>
        <w:t>（签字）</w:t>
      </w:r>
    </w:p>
    <w:p>
      <w:pPr>
        <w:pStyle w:val="2"/>
        <w:spacing w:line="360" w:lineRule="auto"/>
        <w:jc w:val="right"/>
        <w:rPr>
          <w:color w:val="auto"/>
          <w:szCs w:val="21"/>
          <w:highlight w:val="none"/>
        </w:rPr>
      </w:pPr>
    </w:p>
    <w:p>
      <w:pPr>
        <w:pStyle w:val="2"/>
        <w:wordWrap w:val="0"/>
        <w:spacing w:line="360" w:lineRule="auto"/>
        <w:jc w:val="right"/>
        <w:rPr>
          <w:color w:val="auto"/>
          <w:szCs w:val="21"/>
          <w:highlight w:val="none"/>
        </w:rPr>
      </w:pPr>
      <w:r>
        <w:rPr>
          <w:rFonts w:hint="eastAsia" w:hAnsi="宋体"/>
          <w:color w:val="auto"/>
          <w:szCs w:val="21"/>
          <w:highlight w:val="none"/>
        </w:rPr>
        <w:t>成员一名称：</w:t>
      </w:r>
      <w:r>
        <w:rPr>
          <w:color w:val="auto"/>
          <w:szCs w:val="21"/>
          <w:highlight w:val="none"/>
        </w:rPr>
        <w:t>_______________________</w:t>
      </w:r>
      <w:r>
        <w:rPr>
          <w:rFonts w:hint="eastAsia" w:hAnsi="宋体"/>
          <w:color w:val="auto"/>
          <w:szCs w:val="21"/>
          <w:highlight w:val="none"/>
        </w:rPr>
        <w:t>（盖单位公章）</w:t>
      </w:r>
    </w:p>
    <w:p>
      <w:pPr>
        <w:pStyle w:val="2"/>
        <w:spacing w:line="360" w:lineRule="auto"/>
        <w:jc w:val="right"/>
        <w:rPr>
          <w:color w:val="auto"/>
          <w:szCs w:val="21"/>
          <w:highlight w:val="none"/>
        </w:rPr>
      </w:pPr>
      <w:r>
        <w:rPr>
          <w:rFonts w:hint="eastAsia" w:hAnsi="宋体"/>
          <w:color w:val="auto"/>
          <w:szCs w:val="21"/>
          <w:highlight w:val="none"/>
        </w:rPr>
        <w:t>法定代表人或其委托代理人：</w:t>
      </w:r>
      <w:r>
        <w:rPr>
          <w:color w:val="auto"/>
          <w:szCs w:val="21"/>
          <w:highlight w:val="none"/>
        </w:rPr>
        <w:t>_____________</w:t>
      </w:r>
      <w:r>
        <w:rPr>
          <w:rFonts w:hint="eastAsia" w:hAnsi="宋体"/>
          <w:color w:val="auto"/>
          <w:szCs w:val="21"/>
          <w:highlight w:val="none"/>
        </w:rPr>
        <w:t>（签字）</w:t>
      </w:r>
    </w:p>
    <w:p>
      <w:pPr>
        <w:pStyle w:val="2"/>
        <w:spacing w:line="360" w:lineRule="auto"/>
        <w:jc w:val="right"/>
        <w:rPr>
          <w:color w:val="auto"/>
          <w:szCs w:val="21"/>
          <w:highlight w:val="none"/>
        </w:rPr>
      </w:pPr>
    </w:p>
    <w:p>
      <w:pPr>
        <w:pStyle w:val="2"/>
        <w:spacing w:line="360" w:lineRule="auto"/>
        <w:jc w:val="right"/>
        <w:rPr>
          <w:color w:val="auto"/>
          <w:szCs w:val="21"/>
          <w:highlight w:val="none"/>
        </w:rPr>
      </w:pPr>
      <w:r>
        <w:rPr>
          <w:rFonts w:hint="eastAsia" w:hAnsi="宋体"/>
          <w:color w:val="auto"/>
          <w:szCs w:val="21"/>
          <w:highlight w:val="none"/>
        </w:rPr>
        <w:t>成员二名称：</w:t>
      </w:r>
      <w:r>
        <w:rPr>
          <w:color w:val="auto"/>
          <w:szCs w:val="21"/>
          <w:highlight w:val="none"/>
        </w:rPr>
        <w:t>_______________________</w:t>
      </w:r>
      <w:r>
        <w:rPr>
          <w:rFonts w:hint="eastAsia" w:hAnsi="宋体"/>
          <w:color w:val="auto"/>
          <w:szCs w:val="21"/>
          <w:highlight w:val="none"/>
        </w:rPr>
        <w:t>（盖单位公章）</w:t>
      </w:r>
    </w:p>
    <w:p>
      <w:pPr>
        <w:pStyle w:val="2"/>
        <w:spacing w:line="360" w:lineRule="auto"/>
        <w:jc w:val="right"/>
        <w:rPr>
          <w:rFonts w:hAnsi="宋体"/>
          <w:color w:val="auto"/>
          <w:szCs w:val="21"/>
          <w:highlight w:val="none"/>
        </w:rPr>
      </w:pPr>
      <w:r>
        <w:rPr>
          <w:rFonts w:hint="eastAsia" w:hAnsi="宋体"/>
          <w:color w:val="auto"/>
          <w:szCs w:val="21"/>
          <w:highlight w:val="none"/>
        </w:rPr>
        <w:t>法定代表人或其委托代理人：</w:t>
      </w:r>
      <w:r>
        <w:rPr>
          <w:color w:val="auto"/>
          <w:szCs w:val="21"/>
          <w:highlight w:val="none"/>
        </w:rPr>
        <w:t>_____________</w:t>
      </w:r>
      <w:r>
        <w:rPr>
          <w:rFonts w:hint="eastAsia" w:hAnsi="宋体"/>
          <w:color w:val="auto"/>
          <w:szCs w:val="21"/>
          <w:highlight w:val="none"/>
        </w:rPr>
        <w:t>（签字）</w:t>
      </w:r>
    </w:p>
    <w:p>
      <w:pPr>
        <w:pStyle w:val="2"/>
        <w:spacing w:line="360" w:lineRule="auto"/>
        <w:ind w:right="840"/>
        <w:rPr>
          <w:rFonts w:hAnsi="宋体"/>
          <w:color w:val="auto"/>
          <w:szCs w:val="21"/>
          <w:highlight w:val="none"/>
        </w:rPr>
      </w:pPr>
      <w:r>
        <w:rPr>
          <w:rFonts w:hAnsi="宋体"/>
          <w:color w:val="auto"/>
          <w:szCs w:val="21"/>
          <w:highlight w:val="none"/>
        </w:rPr>
        <w:t xml:space="preserve">                             </w:t>
      </w:r>
      <w:r>
        <w:rPr>
          <w:rFonts w:hint="eastAsia" w:hAnsi="宋体"/>
          <w:color w:val="auto"/>
          <w:szCs w:val="21"/>
          <w:highlight w:val="none"/>
        </w:rPr>
        <w:t>……</w:t>
      </w:r>
    </w:p>
    <w:p>
      <w:pPr>
        <w:spacing w:line="360" w:lineRule="auto"/>
        <w:ind w:firstLine="2879" w:firstLineChars="1371"/>
        <w:jc w:val="right"/>
        <w:rPr>
          <w:rFonts w:ascii="宋体"/>
          <w:color w:val="auto"/>
          <w:highlight w:val="none"/>
        </w:rPr>
      </w:pPr>
      <w:r>
        <w:rPr>
          <w:rFonts w:ascii="宋体" w:hAnsi="宋体"/>
          <w:color w:val="auto"/>
          <w:highlight w:val="none"/>
          <w:u w:val="single"/>
        </w:rPr>
        <w:t xml:space="preserve">        </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rPr>
        <w:t>日</w:t>
      </w:r>
    </w:p>
    <w:p>
      <w:pPr>
        <w:pStyle w:val="4"/>
        <w:jc w:val="center"/>
        <w:rPr>
          <w:color w:val="auto"/>
          <w:szCs w:val="21"/>
          <w:highlight w:val="none"/>
        </w:rPr>
      </w:pPr>
      <w:bookmarkStart w:id="341" w:name="_Toc15710"/>
      <w:bookmarkStart w:id="342" w:name="_Toc475483724"/>
      <w:r>
        <w:rPr>
          <w:rFonts w:hint="eastAsia"/>
          <w:b w:val="0"/>
          <w:color w:val="auto"/>
          <w:highlight w:val="none"/>
        </w:rPr>
        <w:t>四、法定代表人身份证明</w:t>
      </w:r>
      <w:bookmarkEnd w:id="341"/>
      <w:bookmarkEnd w:id="342"/>
    </w:p>
    <w:p>
      <w:pPr>
        <w:jc w:val="center"/>
        <w:rPr>
          <w:color w:val="auto"/>
          <w:szCs w:val="21"/>
          <w:highlight w:val="none"/>
        </w:rPr>
      </w:pPr>
    </w:p>
    <w:p>
      <w:pPr>
        <w:topLinePunct/>
        <w:spacing w:line="600" w:lineRule="exact"/>
        <w:rPr>
          <w:bCs/>
          <w:color w:val="auto"/>
          <w:szCs w:val="21"/>
          <w:highlight w:val="none"/>
          <w:u w:val="single"/>
        </w:rPr>
      </w:pPr>
      <w:r>
        <w:rPr>
          <w:rFonts w:hint="eastAsia"/>
          <w:bCs/>
          <w:color w:val="auto"/>
          <w:szCs w:val="21"/>
          <w:highlight w:val="none"/>
        </w:rPr>
        <w:t>响应人名称：</w:t>
      </w:r>
      <w:r>
        <w:rPr>
          <w:bCs/>
          <w:color w:val="auto"/>
          <w:szCs w:val="21"/>
          <w:highlight w:val="none"/>
          <w:u w:val="single"/>
        </w:rPr>
        <w:t xml:space="preserve">                         </w:t>
      </w:r>
    </w:p>
    <w:p>
      <w:pPr>
        <w:topLinePunct/>
        <w:spacing w:line="600" w:lineRule="exact"/>
        <w:rPr>
          <w:bCs/>
          <w:color w:val="auto"/>
          <w:szCs w:val="21"/>
          <w:highlight w:val="none"/>
        </w:rPr>
      </w:pPr>
      <w:r>
        <w:rPr>
          <w:rFonts w:hint="eastAsia"/>
          <w:bCs/>
          <w:color w:val="auto"/>
          <w:szCs w:val="21"/>
          <w:highlight w:val="none"/>
        </w:rPr>
        <w:t>单位性质：</w:t>
      </w:r>
      <w:r>
        <w:rPr>
          <w:bCs/>
          <w:color w:val="auto"/>
          <w:szCs w:val="21"/>
          <w:highlight w:val="none"/>
          <w:u w:val="single"/>
        </w:rPr>
        <w:t xml:space="preserve">                           </w:t>
      </w:r>
    </w:p>
    <w:p>
      <w:pPr>
        <w:topLinePunct/>
        <w:spacing w:line="600" w:lineRule="exact"/>
        <w:rPr>
          <w:bCs/>
          <w:color w:val="auto"/>
          <w:szCs w:val="21"/>
          <w:highlight w:val="none"/>
        </w:rPr>
      </w:pPr>
      <w:r>
        <w:rPr>
          <w:rFonts w:hint="eastAsia"/>
          <w:bCs/>
          <w:color w:val="auto"/>
          <w:szCs w:val="21"/>
          <w:highlight w:val="none"/>
        </w:rPr>
        <w:t>成立时间：</w:t>
      </w:r>
      <w:r>
        <w:rPr>
          <w:bCs/>
          <w:color w:val="auto"/>
          <w:szCs w:val="21"/>
          <w:highlight w:val="none"/>
          <w:u w:val="single"/>
        </w:rPr>
        <w:t xml:space="preserve">       </w:t>
      </w:r>
      <w:r>
        <w:rPr>
          <w:rFonts w:hint="eastAsia"/>
          <w:bCs/>
          <w:color w:val="auto"/>
          <w:szCs w:val="21"/>
          <w:highlight w:val="none"/>
        </w:rPr>
        <w:t>年</w:t>
      </w:r>
      <w:r>
        <w:rPr>
          <w:bCs/>
          <w:color w:val="auto"/>
          <w:szCs w:val="21"/>
          <w:highlight w:val="none"/>
          <w:u w:val="single"/>
        </w:rPr>
        <w:t xml:space="preserve">       </w:t>
      </w:r>
      <w:r>
        <w:rPr>
          <w:rFonts w:hint="eastAsia"/>
          <w:bCs/>
          <w:color w:val="auto"/>
          <w:szCs w:val="21"/>
          <w:highlight w:val="none"/>
        </w:rPr>
        <w:t>月</w:t>
      </w:r>
      <w:r>
        <w:rPr>
          <w:bCs/>
          <w:color w:val="auto"/>
          <w:szCs w:val="21"/>
          <w:highlight w:val="none"/>
          <w:u w:val="single"/>
        </w:rPr>
        <w:t xml:space="preserve">       </w:t>
      </w:r>
      <w:r>
        <w:rPr>
          <w:rFonts w:hint="eastAsia"/>
          <w:bCs/>
          <w:color w:val="auto"/>
          <w:szCs w:val="21"/>
          <w:highlight w:val="none"/>
        </w:rPr>
        <w:t>日</w:t>
      </w:r>
    </w:p>
    <w:p>
      <w:pPr>
        <w:topLinePunct/>
        <w:spacing w:line="600" w:lineRule="exact"/>
        <w:rPr>
          <w:bCs/>
          <w:color w:val="auto"/>
          <w:szCs w:val="21"/>
          <w:highlight w:val="none"/>
        </w:rPr>
      </w:pPr>
      <w:r>
        <w:rPr>
          <w:rFonts w:hint="eastAsia"/>
          <w:bCs/>
          <w:color w:val="auto"/>
          <w:szCs w:val="21"/>
          <w:highlight w:val="none"/>
        </w:rPr>
        <w:t>经营期限：</w:t>
      </w:r>
      <w:r>
        <w:rPr>
          <w:bCs/>
          <w:color w:val="auto"/>
          <w:szCs w:val="21"/>
          <w:highlight w:val="none"/>
          <w:u w:val="single"/>
        </w:rPr>
        <w:t xml:space="preserve">            </w:t>
      </w:r>
    </w:p>
    <w:p>
      <w:pPr>
        <w:topLinePunct/>
        <w:spacing w:line="600" w:lineRule="exact"/>
        <w:rPr>
          <w:bCs/>
          <w:color w:val="auto"/>
          <w:szCs w:val="21"/>
          <w:highlight w:val="none"/>
          <w:u w:val="single"/>
        </w:rPr>
      </w:pPr>
      <w:r>
        <w:rPr>
          <w:rFonts w:hint="eastAsia"/>
          <w:bCs/>
          <w:color w:val="auto"/>
          <w:szCs w:val="21"/>
          <w:highlight w:val="none"/>
        </w:rPr>
        <w:t>姓名：</w:t>
      </w:r>
      <w:r>
        <w:rPr>
          <w:bCs/>
          <w:color w:val="auto"/>
          <w:szCs w:val="21"/>
          <w:highlight w:val="none"/>
          <w:u w:val="single"/>
        </w:rPr>
        <w:t xml:space="preserve">         </w:t>
      </w:r>
      <w:r>
        <w:rPr>
          <w:rFonts w:hint="eastAsia"/>
          <w:bCs/>
          <w:color w:val="auto"/>
          <w:szCs w:val="21"/>
          <w:highlight w:val="none"/>
        </w:rPr>
        <w:t>性别：</w:t>
      </w:r>
      <w:r>
        <w:rPr>
          <w:bCs/>
          <w:color w:val="auto"/>
          <w:szCs w:val="21"/>
          <w:highlight w:val="none"/>
          <w:u w:val="single"/>
        </w:rPr>
        <w:t xml:space="preserve">          </w:t>
      </w:r>
      <w:r>
        <w:rPr>
          <w:rFonts w:hint="eastAsia"/>
          <w:bCs/>
          <w:color w:val="auto"/>
          <w:szCs w:val="21"/>
          <w:highlight w:val="none"/>
        </w:rPr>
        <w:t>年龄：</w:t>
      </w:r>
      <w:r>
        <w:rPr>
          <w:bCs/>
          <w:color w:val="auto"/>
          <w:szCs w:val="21"/>
          <w:highlight w:val="none"/>
          <w:u w:val="single"/>
        </w:rPr>
        <w:t xml:space="preserve">         </w:t>
      </w:r>
      <w:r>
        <w:rPr>
          <w:rFonts w:hint="eastAsia"/>
          <w:bCs/>
          <w:color w:val="auto"/>
          <w:szCs w:val="21"/>
          <w:highlight w:val="none"/>
        </w:rPr>
        <w:t>职务：</w:t>
      </w:r>
      <w:r>
        <w:rPr>
          <w:bCs/>
          <w:color w:val="auto"/>
          <w:szCs w:val="21"/>
          <w:highlight w:val="none"/>
          <w:u w:val="single"/>
        </w:rPr>
        <w:t xml:space="preserve">         </w:t>
      </w:r>
    </w:p>
    <w:p>
      <w:pPr>
        <w:topLinePunct/>
        <w:spacing w:line="600" w:lineRule="exact"/>
        <w:rPr>
          <w:bCs/>
          <w:color w:val="auto"/>
          <w:szCs w:val="21"/>
          <w:highlight w:val="none"/>
        </w:rPr>
      </w:pPr>
      <w:r>
        <w:rPr>
          <w:rFonts w:hint="eastAsia"/>
          <w:bCs/>
          <w:color w:val="auto"/>
          <w:szCs w:val="21"/>
          <w:highlight w:val="none"/>
        </w:rPr>
        <w:t>系</w:t>
      </w:r>
      <w:r>
        <w:rPr>
          <w:bCs/>
          <w:color w:val="auto"/>
          <w:szCs w:val="21"/>
          <w:highlight w:val="none"/>
          <w:u w:val="single"/>
        </w:rPr>
        <w:t xml:space="preserve">                   </w:t>
      </w:r>
      <w:r>
        <w:rPr>
          <w:rFonts w:hint="eastAsia"/>
          <w:bCs/>
          <w:color w:val="auto"/>
          <w:szCs w:val="21"/>
          <w:highlight w:val="none"/>
        </w:rPr>
        <w:t>（响应人名称）的法定代表人。</w:t>
      </w:r>
    </w:p>
    <w:p>
      <w:pPr>
        <w:topLinePunct/>
        <w:spacing w:line="600" w:lineRule="exact"/>
        <w:ind w:firstLine="420" w:firstLineChars="200"/>
        <w:rPr>
          <w:bCs/>
          <w:color w:val="auto"/>
          <w:szCs w:val="21"/>
          <w:highlight w:val="none"/>
        </w:rPr>
      </w:pPr>
      <w:r>
        <w:rPr>
          <w:rFonts w:hint="eastAsia"/>
          <w:bCs/>
          <w:color w:val="auto"/>
          <w:szCs w:val="21"/>
          <w:highlight w:val="none"/>
        </w:rPr>
        <w:t>特此证明。</w:t>
      </w:r>
    </w:p>
    <w:p>
      <w:pPr>
        <w:topLinePunct/>
        <w:spacing w:line="440" w:lineRule="exact"/>
        <w:rPr>
          <w:color w:val="auto"/>
          <w:highlight w:val="none"/>
        </w:rPr>
      </w:pPr>
      <w:r>
        <w:rPr>
          <w:rFonts w:hint="eastAsia"/>
          <w:color w:val="auto"/>
          <w:highlight w:val="none"/>
        </w:rPr>
        <w:t>附：法定代表人身份证复印件（</w:t>
      </w:r>
      <w:r>
        <w:rPr>
          <w:rFonts w:hint="eastAsia" w:ascii="宋体" w:hAnsi="宋体"/>
          <w:color w:val="auto"/>
          <w:szCs w:val="21"/>
          <w:highlight w:val="none"/>
        </w:rPr>
        <w:t>需同时提供正面及背面</w:t>
      </w:r>
      <w:r>
        <w:rPr>
          <w:rFonts w:hint="eastAsia"/>
          <w:color w:val="auto"/>
          <w:highlight w:val="none"/>
        </w:rPr>
        <w:t>）</w:t>
      </w:r>
    </w:p>
    <w:p>
      <w:pPr>
        <w:spacing w:line="440" w:lineRule="exact"/>
        <w:rPr>
          <w:color w:val="auto"/>
          <w:szCs w:val="21"/>
          <w:highlight w:val="none"/>
        </w:rPr>
      </w:pPr>
    </w:p>
    <w:p>
      <w:pPr>
        <w:spacing w:line="500" w:lineRule="exact"/>
        <w:rPr>
          <w:rFonts w:ascii="宋体"/>
          <w:color w:val="auto"/>
          <w:szCs w:val="21"/>
          <w:highlight w:val="none"/>
        </w:rPr>
      </w:pPr>
    </w:p>
    <w:p>
      <w:pPr>
        <w:spacing w:line="440" w:lineRule="exact"/>
        <w:rPr>
          <w:color w:val="auto"/>
          <w:szCs w:val="21"/>
          <w:highlight w:val="none"/>
        </w:rPr>
      </w:pPr>
    </w:p>
    <w:p>
      <w:pPr>
        <w:spacing w:line="500" w:lineRule="exact"/>
        <w:rPr>
          <w:rFonts w:ascii="宋体"/>
          <w:color w:val="auto"/>
          <w:szCs w:val="21"/>
          <w:highlight w:val="none"/>
        </w:rPr>
      </w:pPr>
    </w:p>
    <w:p>
      <w:pPr>
        <w:spacing w:line="440" w:lineRule="exact"/>
        <w:rPr>
          <w:color w:val="auto"/>
          <w:szCs w:val="21"/>
          <w:highlight w:val="none"/>
        </w:rPr>
      </w:pPr>
    </w:p>
    <w:p>
      <w:pPr>
        <w:spacing w:line="500" w:lineRule="exact"/>
        <w:rPr>
          <w:rFonts w:ascii="宋体"/>
          <w:color w:val="auto"/>
          <w:szCs w:val="21"/>
          <w:highlight w:val="none"/>
        </w:rPr>
      </w:pPr>
    </w:p>
    <w:p>
      <w:pPr>
        <w:spacing w:line="440" w:lineRule="exact"/>
        <w:rPr>
          <w:color w:val="auto"/>
          <w:szCs w:val="21"/>
          <w:highlight w:val="none"/>
        </w:rPr>
      </w:pPr>
    </w:p>
    <w:p>
      <w:pPr>
        <w:spacing w:line="500" w:lineRule="exact"/>
        <w:rPr>
          <w:rFonts w:asci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ind w:firstLine="4305" w:firstLineChars="2050"/>
        <w:rPr>
          <w:color w:val="auto"/>
          <w:szCs w:val="21"/>
          <w:highlight w:val="none"/>
        </w:rPr>
      </w:pPr>
    </w:p>
    <w:p>
      <w:pPr>
        <w:spacing w:line="440" w:lineRule="exact"/>
        <w:ind w:firstLine="4305" w:firstLineChars="2050"/>
        <w:rPr>
          <w:color w:val="auto"/>
          <w:szCs w:val="21"/>
          <w:highlight w:val="none"/>
        </w:rPr>
      </w:pPr>
      <w:r>
        <w:rPr>
          <w:rFonts w:hint="eastAsia"/>
          <w:color w:val="auto"/>
          <w:szCs w:val="21"/>
          <w:highlight w:val="none"/>
        </w:rPr>
        <w:t>响应人：</w:t>
      </w:r>
      <w:r>
        <w:rPr>
          <w:color w:val="auto"/>
          <w:szCs w:val="21"/>
          <w:highlight w:val="none"/>
          <w:u w:val="single"/>
        </w:rPr>
        <w:t xml:space="preserve">                 </w:t>
      </w:r>
      <w:r>
        <w:rPr>
          <w:rFonts w:hint="eastAsia"/>
          <w:color w:val="auto"/>
          <w:szCs w:val="21"/>
          <w:highlight w:val="none"/>
        </w:rPr>
        <w:t>（盖单位公章）</w:t>
      </w:r>
    </w:p>
    <w:p>
      <w:pPr>
        <w:spacing w:line="44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rPr>
        <w:t xml:space="preserve"> </w:t>
      </w:r>
    </w:p>
    <w:p>
      <w:pPr>
        <w:widowControl/>
        <w:jc w:val="left"/>
        <w:rPr>
          <w:rFonts w:ascii="Arial" w:hAnsi="Arial" w:eastAsia="黑体"/>
          <w:bCs/>
          <w:color w:val="auto"/>
          <w:sz w:val="32"/>
          <w:szCs w:val="32"/>
          <w:highlight w:val="none"/>
        </w:rPr>
      </w:pPr>
      <w:bookmarkStart w:id="343" w:name="_Toc475483725"/>
      <w:r>
        <w:rPr>
          <w:b/>
          <w:color w:val="auto"/>
          <w:highlight w:val="none"/>
        </w:rPr>
        <w:br w:type="page"/>
      </w:r>
    </w:p>
    <w:p>
      <w:pPr>
        <w:pStyle w:val="4"/>
        <w:jc w:val="center"/>
        <w:rPr>
          <w:b w:val="0"/>
          <w:color w:val="auto"/>
          <w:highlight w:val="none"/>
        </w:rPr>
      </w:pPr>
      <w:bookmarkStart w:id="344" w:name="_Toc29391"/>
      <w:r>
        <w:rPr>
          <w:rFonts w:hint="eastAsia"/>
          <w:b w:val="0"/>
          <w:color w:val="auto"/>
          <w:highlight w:val="none"/>
        </w:rPr>
        <w:t>五、法定代表人授权委托书</w:t>
      </w:r>
      <w:bookmarkEnd w:id="343"/>
      <w:bookmarkEnd w:id="344"/>
    </w:p>
    <w:p>
      <w:pPr>
        <w:topLinePunct/>
        <w:spacing w:line="440" w:lineRule="exact"/>
        <w:ind w:firstLine="420" w:firstLineChars="200"/>
        <w:rPr>
          <w:color w:val="auto"/>
          <w:szCs w:val="21"/>
          <w:highlight w:val="none"/>
        </w:rPr>
      </w:pPr>
      <w:r>
        <w:rPr>
          <w:rFonts w:hint="eastAsia"/>
          <w:color w:val="auto"/>
          <w:szCs w:val="21"/>
          <w:highlight w:val="none"/>
        </w:rPr>
        <w:t>本人</w:t>
      </w:r>
      <w:r>
        <w:rPr>
          <w:color w:val="auto"/>
          <w:szCs w:val="21"/>
          <w:highlight w:val="none"/>
          <w:u w:val="single"/>
        </w:rPr>
        <w:t xml:space="preserve">       </w:t>
      </w:r>
      <w:r>
        <w:rPr>
          <w:rFonts w:hint="eastAsia"/>
          <w:color w:val="auto"/>
          <w:szCs w:val="21"/>
          <w:highlight w:val="none"/>
          <w:u w:val="single"/>
        </w:rPr>
        <w:t>（姓名）</w:t>
      </w:r>
      <w:r>
        <w:rPr>
          <w:rFonts w:hint="eastAsia"/>
          <w:color w:val="auto"/>
          <w:szCs w:val="21"/>
          <w:highlight w:val="none"/>
        </w:rPr>
        <w:t>系</w:t>
      </w:r>
      <w:r>
        <w:rPr>
          <w:color w:val="auto"/>
          <w:szCs w:val="21"/>
          <w:highlight w:val="none"/>
          <w:u w:val="single"/>
        </w:rPr>
        <w:t xml:space="preserve"> </w:t>
      </w:r>
      <w:r>
        <w:rPr>
          <w:rFonts w:hint="eastAsia"/>
          <w:color w:val="auto"/>
          <w:szCs w:val="21"/>
          <w:highlight w:val="none"/>
          <w:u w:val="single"/>
        </w:rPr>
        <w:t>（响应人名称）</w:t>
      </w:r>
      <w:r>
        <w:rPr>
          <w:rFonts w:hint="eastAsia"/>
          <w:color w:val="auto"/>
          <w:szCs w:val="21"/>
          <w:highlight w:val="none"/>
        </w:rPr>
        <w:t>的法定代表人，现委托</w:t>
      </w:r>
      <w:r>
        <w:rPr>
          <w:color w:val="auto"/>
          <w:szCs w:val="21"/>
          <w:highlight w:val="none"/>
          <w:u w:val="single"/>
        </w:rPr>
        <w:t xml:space="preserve"> </w:t>
      </w:r>
      <w:r>
        <w:rPr>
          <w:rFonts w:hint="eastAsia"/>
          <w:color w:val="auto"/>
          <w:szCs w:val="21"/>
          <w:highlight w:val="none"/>
          <w:u w:val="single"/>
        </w:rPr>
        <w:t>（姓名）</w:t>
      </w:r>
      <w:r>
        <w:rPr>
          <w:rFonts w:hint="eastAsia"/>
          <w:color w:val="auto"/>
          <w:szCs w:val="21"/>
          <w:highlight w:val="none"/>
        </w:rPr>
        <w:t>为我方代理人。代理人根据授权，以我方名义全权处理</w:t>
      </w:r>
      <w:r>
        <w:rPr>
          <w:color w:val="auto"/>
          <w:szCs w:val="21"/>
          <w:highlight w:val="none"/>
          <w:u w:val="single"/>
        </w:rPr>
        <w:t xml:space="preserve">      </w:t>
      </w:r>
      <w:r>
        <w:rPr>
          <w:rFonts w:hint="eastAsia"/>
          <w:color w:val="auto"/>
          <w:szCs w:val="21"/>
          <w:highlight w:val="none"/>
          <w:u w:val="single"/>
        </w:rPr>
        <w:t>（项目名称）</w:t>
      </w:r>
      <w:r>
        <w:rPr>
          <w:color w:val="auto"/>
          <w:szCs w:val="21"/>
          <w:highlight w:val="none"/>
          <w:u w:val="single"/>
        </w:rPr>
        <w:t xml:space="preserve">     </w:t>
      </w:r>
      <w:r>
        <w:rPr>
          <w:rFonts w:hint="eastAsia"/>
          <w:color w:val="auto"/>
          <w:szCs w:val="21"/>
          <w:highlight w:val="none"/>
        </w:rPr>
        <w:t>标段（签署、澄清、说明、补正、递交、撤回、修改响应文件，签订合同和处理一切有关事宜），其法律后果由我方承担。</w:t>
      </w:r>
    </w:p>
    <w:p>
      <w:pPr>
        <w:spacing w:line="440" w:lineRule="exact"/>
        <w:rPr>
          <w:color w:val="auto"/>
          <w:szCs w:val="21"/>
          <w:highlight w:val="none"/>
        </w:rPr>
      </w:pPr>
      <w:r>
        <w:rPr>
          <w:color w:val="auto"/>
          <w:szCs w:val="21"/>
          <w:highlight w:val="none"/>
        </w:rPr>
        <w:t xml:space="preserve">    </w:t>
      </w:r>
      <w:r>
        <w:rPr>
          <w:rFonts w:hint="eastAsia"/>
          <w:color w:val="auto"/>
          <w:szCs w:val="21"/>
          <w:highlight w:val="none"/>
        </w:rPr>
        <w:t>委托期限：</w:t>
      </w:r>
      <w:r>
        <w:rPr>
          <w:color w:val="auto"/>
          <w:szCs w:val="21"/>
          <w:highlight w:val="none"/>
          <w:u w:val="single"/>
        </w:rPr>
        <w:t xml:space="preserve">             </w:t>
      </w:r>
      <w:r>
        <w:rPr>
          <w:rFonts w:hint="eastAsia"/>
          <w:color w:val="auto"/>
          <w:szCs w:val="21"/>
          <w:highlight w:val="none"/>
        </w:rPr>
        <w:t>。</w:t>
      </w:r>
    </w:p>
    <w:p>
      <w:pPr>
        <w:spacing w:line="440" w:lineRule="exact"/>
        <w:ind w:firstLine="420" w:firstLineChars="200"/>
        <w:rPr>
          <w:color w:val="auto"/>
          <w:szCs w:val="21"/>
          <w:highlight w:val="none"/>
        </w:rPr>
      </w:pPr>
      <w:r>
        <w:rPr>
          <w:rFonts w:hint="eastAsia"/>
          <w:color w:val="auto"/>
          <w:szCs w:val="21"/>
          <w:highlight w:val="none"/>
        </w:rPr>
        <w:t>代理人无转委托权。</w:t>
      </w:r>
    </w:p>
    <w:p>
      <w:pPr>
        <w:spacing w:line="440" w:lineRule="exact"/>
        <w:rPr>
          <w:rFonts w:ascii="宋体"/>
          <w:color w:val="auto"/>
          <w:szCs w:val="21"/>
          <w:highlight w:val="none"/>
        </w:rPr>
      </w:pPr>
      <w:r>
        <w:rPr>
          <w:rFonts w:hint="eastAsia" w:ascii="宋体" w:hAnsi="宋体"/>
          <w:color w:val="auto"/>
          <w:szCs w:val="21"/>
          <w:highlight w:val="none"/>
        </w:rPr>
        <w:t>附：委托代理人身份证复印件</w:t>
      </w:r>
      <w:r>
        <w:rPr>
          <w:rFonts w:ascii="宋体" w:hAnsi="宋体"/>
          <w:color w:val="auto"/>
          <w:szCs w:val="21"/>
          <w:highlight w:val="none"/>
        </w:rPr>
        <w:t>(</w:t>
      </w:r>
      <w:r>
        <w:rPr>
          <w:rFonts w:hint="eastAsia" w:ascii="宋体" w:hAnsi="宋体"/>
          <w:color w:val="auto"/>
          <w:szCs w:val="21"/>
          <w:highlight w:val="none"/>
        </w:rPr>
        <w:t>需同时提供正面及背面</w:t>
      </w:r>
      <w:r>
        <w:rPr>
          <w:rFonts w:ascii="宋体" w:hAnsi="宋体"/>
          <w:color w:val="auto"/>
          <w:szCs w:val="21"/>
          <w:highlight w:val="none"/>
        </w:rPr>
        <w:t>)</w:t>
      </w:r>
    </w:p>
    <w:p>
      <w:pPr>
        <w:spacing w:line="500" w:lineRule="exact"/>
        <w:rPr>
          <w:rFonts w:ascii="宋体"/>
          <w:color w:val="auto"/>
          <w:szCs w:val="21"/>
          <w:highlight w:val="none"/>
        </w:rPr>
      </w:pPr>
    </w:p>
    <w:p>
      <w:pPr>
        <w:spacing w:line="440" w:lineRule="exact"/>
        <w:rPr>
          <w:color w:val="auto"/>
          <w:szCs w:val="21"/>
          <w:highlight w:val="none"/>
        </w:rPr>
      </w:pPr>
    </w:p>
    <w:p>
      <w:pPr>
        <w:spacing w:line="500" w:lineRule="exact"/>
        <w:rPr>
          <w:rFonts w:asci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500" w:lineRule="exact"/>
        <w:rPr>
          <w:rFonts w:ascii="宋体"/>
          <w:color w:val="auto"/>
          <w:szCs w:val="21"/>
          <w:highlight w:val="none"/>
        </w:rPr>
      </w:pPr>
    </w:p>
    <w:p>
      <w:pPr>
        <w:spacing w:line="500" w:lineRule="exact"/>
        <w:rPr>
          <w:rFonts w:ascii="宋体"/>
          <w:color w:val="auto"/>
          <w:szCs w:val="21"/>
          <w:highlight w:val="none"/>
        </w:rPr>
      </w:pPr>
    </w:p>
    <w:p>
      <w:pPr>
        <w:spacing w:line="500" w:lineRule="exact"/>
        <w:rPr>
          <w:rFonts w:asci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jc w:val="right"/>
        <w:rPr>
          <w:color w:val="auto"/>
          <w:szCs w:val="21"/>
          <w:highlight w:val="none"/>
        </w:rPr>
      </w:pPr>
      <w:r>
        <w:rPr>
          <w:rFonts w:hint="eastAsia"/>
          <w:color w:val="auto"/>
          <w:szCs w:val="21"/>
          <w:highlight w:val="none"/>
        </w:rPr>
        <w:t>响应人名称：</w:t>
      </w:r>
      <w:r>
        <w:rPr>
          <w:color w:val="auto"/>
          <w:szCs w:val="21"/>
          <w:highlight w:val="none"/>
          <w:u w:val="single"/>
        </w:rPr>
        <w:t xml:space="preserve">                         </w:t>
      </w:r>
      <w:r>
        <w:rPr>
          <w:rFonts w:hint="eastAsia"/>
          <w:color w:val="auto"/>
          <w:szCs w:val="21"/>
          <w:highlight w:val="none"/>
        </w:rPr>
        <w:t>（盖单位公章）</w:t>
      </w:r>
    </w:p>
    <w:p>
      <w:pPr>
        <w:spacing w:line="440" w:lineRule="exact"/>
        <w:jc w:val="right"/>
        <w:rPr>
          <w:color w:val="auto"/>
          <w:szCs w:val="21"/>
          <w:highlight w:val="none"/>
        </w:rPr>
      </w:pPr>
      <w:r>
        <w:rPr>
          <w:rFonts w:hint="eastAsia"/>
          <w:color w:val="auto"/>
          <w:szCs w:val="21"/>
          <w:highlight w:val="none"/>
        </w:rPr>
        <w:t>法定代表人：</w:t>
      </w:r>
      <w:r>
        <w:rPr>
          <w:color w:val="auto"/>
          <w:szCs w:val="21"/>
          <w:highlight w:val="none"/>
          <w:u w:val="single"/>
        </w:rPr>
        <w:t xml:space="preserve">                               </w:t>
      </w:r>
      <w:r>
        <w:rPr>
          <w:rFonts w:hint="eastAsia"/>
          <w:color w:val="auto"/>
          <w:szCs w:val="21"/>
          <w:highlight w:val="none"/>
        </w:rPr>
        <w:t>（签字）</w:t>
      </w:r>
    </w:p>
    <w:p>
      <w:pPr>
        <w:spacing w:line="440" w:lineRule="exact"/>
        <w:ind w:right="420" w:firstLine="2940" w:firstLineChars="14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pPr>
        <w:spacing w:line="440" w:lineRule="exact"/>
        <w:ind w:right="105"/>
        <w:jc w:val="right"/>
        <w:rPr>
          <w:color w:val="auto"/>
          <w:szCs w:val="21"/>
          <w:highlight w:val="none"/>
        </w:rPr>
      </w:pPr>
      <w:r>
        <w:rPr>
          <w:rFonts w:hint="eastAsia"/>
          <w:color w:val="auto"/>
          <w:szCs w:val="21"/>
          <w:highlight w:val="none"/>
        </w:rPr>
        <w:t>委托代理人：</w:t>
      </w:r>
      <w:r>
        <w:rPr>
          <w:color w:val="auto"/>
          <w:szCs w:val="21"/>
          <w:highlight w:val="none"/>
          <w:u w:val="single"/>
        </w:rPr>
        <w:t xml:space="preserve">                              </w:t>
      </w:r>
      <w:r>
        <w:rPr>
          <w:rFonts w:hint="eastAsia"/>
          <w:color w:val="auto"/>
          <w:szCs w:val="21"/>
          <w:highlight w:val="none"/>
        </w:rPr>
        <w:t>（签字）</w:t>
      </w:r>
      <w:r>
        <w:rPr>
          <w:color w:val="auto"/>
          <w:szCs w:val="21"/>
          <w:highlight w:val="none"/>
        </w:rPr>
        <w:t xml:space="preserve"> </w:t>
      </w:r>
    </w:p>
    <w:p>
      <w:pPr>
        <w:spacing w:line="440" w:lineRule="exact"/>
        <w:ind w:right="420" w:firstLine="2940" w:firstLineChars="14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pPr>
        <w:spacing w:line="440" w:lineRule="exact"/>
        <w:ind w:firstLine="2310" w:firstLineChars="1100"/>
        <w:jc w:val="right"/>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pStyle w:val="4"/>
        <w:spacing w:before="0"/>
        <w:jc w:val="center"/>
        <w:rPr>
          <w:color w:val="auto"/>
          <w:highlight w:val="none"/>
        </w:rPr>
        <w:sectPr>
          <w:pgSz w:w="11906" w:h="16838"/>
          <w:pgMar w:top="1418" w:right="1800" w:bottom="1440" w:left="1800" w:header="851" w:footer="992" w:gutter="0"/>
          <w:cols w:space="720" w:num="1"/>
          <w:docGrid w:type="lines" w:linePitch="312" w:charSpace="0"/>
        </w:sectPr>
      </w:pPr>
    </w:p>
    <w:p>
      <w:pPr>
        <w:spacing w:line="400" w:lineRule="exact"/>
        <w:rPr>
          <w:rFonts w:eastAsia="黑体"/>
          <w:color w:val="auto"/>
          <w:sz w:val="27"/>
          <w:szCs w:val="27"/>
          <w:highlight w:val="none"/>
        </w:rPr>
      </w:pPr>
    </w:p>
    <w:p>
      <w:pPr>
        <w:pStyle w:val="4"/>
        <w:jc w:val="center"/>
        <w:rPr>
          <w:color w:val="auto"/>
          <w:highlight w:val="none"/>
        </w:rPr>
      </w:pPr>
      <w:bookmarkStart w:id="345" w:name="_Toc144974864"/>
      <w:bookmarkStart w:id="346" w:name="_Toc246996364"/>
      <w:bookmarkStart w:id="347" w:name="_Toc338669155"/>
      <w:bookmarkStart w:id="348" w:name="_Toc152045796"/>
      <w:bookmarkStart w:id="349" w:name="_Toc246997107"/>
      <w:bookmarkStart w:id="350" w:name="_Toc1250"/>
      <w:bookmarkStart w:id="351" w:name="_Toc179632816"/>
      <w:bookmarkStart w:id="352" w:name="_Toc247085882"/>
      <w:bookmarkStart w:id="353" w:name="_Toc152042585"/>
      <w:r>
        <w:rPr>
          <w:rFonts w:hint="eastAsia"/>
          <w:color w:val="auto"/>
          <w:highlight w:val="none"/>
        </w:rPr>
        <w:t>六、项目实施方案</w:t>
      </w:r>
      <w:bookmarkEnd w:id="345"/>
      <w:bookmarkEnd w:id="346"/>
      <w:bookmarkEnd w:id="347"/>
      <w:bookmarkEnd w:id="348"/>
      <w:bookmarkEnd w:id="349"/>
      <w:bookmarkEnd w:id="350"/>
      <w:bookmarkEnd w:id="351"/>
      <w:bookmarkEnd w:id="352"/>
      <w:bookmarkEnd w:id="353"/>
    </w:p>
    <w:p>
      <w:pPr>
        <w:spacing w:line="440" w:lineRule="exact"/>
        <w:rPr>
          <w:color w:val="auto"/>
          <w:szCs w:val="21"/>
          <w:highlight w:val="none"/>
        </w:rPr>
      </w:pPr>
      <w:r>
        <w:rPr>
          <w:rFonts w:hint="eastAsia"/>
          <w:color w:val="auto"/>
          <w:szCs w:val="21"/>
          <w:highlight w:val="none"/>
        </w:rPr>
        <w:t>响应人应根据第四章“用户需求书</w:t>
      </w:r>
      <w:r>
        <w:rPr>
          <w:color w:val="auto"/>
          <w:szCs w:val="21"/>
          <w:highlight w:val="none"/>
        </w:rPr>
        <w:t>/</w:t>
      </w:r>
      <w:r>
        <w:rPr>
          <w:rFonts w:hint="eastAsia"/>
          <w:color w:val="auto"/>
          <w:szCs w:val="21"/>
          <w:highlight w:val="none"/>
        </w:rPr>
        <w:t>技术规范书”中的要求制定项目实施方案。询价方可以根据实际情况增加内容，但不得擅自减少有关内容。格式自拟。</w:t>
      </w:r>
    </w:p>
    <w:p>
      <w:pPr>
        <w:widowControl/>
        <w:jc w:val="left"/>
        <w:rPr>
          <w:rFonts w:ascii="Arial" w:hAnsi="Arial" w:eastAsia="黑体"/>
          <w:b/>
          <w:bCs/>
          <w:color w:val="auto"/>
          <w:sz w:val="32"/>
          <w:szCs w:val="32"/>
          <w:highlight w:val="none"/>
        </w:rPr>
      </w:pPr>
      <w:bookmarkStart w:id="354" w:name="_Toc152045803"/>
      <w:bookmarkStart w:id="355" w:name="_Toc144974871"/>
      <w:bookmarkStart w:id="356" w:name="_Toc152042592"/>
      <w:bookmarkStart w:id="357" w:name="_Toc179632823"/>
      <w:bookmarkStart w:id="358" w:name="_Toc246997112"/>
      <w:bookmarkStart w:id="359" w:name="_Toc247085887"/>
      <w:bookmarkStart w:id="360" w:name="_Toc486423537"/>
      <w:bookmarkStart w:id="361" w:name="_Toc338669156"/>
      <w:bookmarkStart w:id="362" w:name="_Toc246996369"/>
      <w:r>
        <w:rPr>
          <w:color w:val="auto"/>
          <w:highlight w:val="none"/>
        </w:rPr>
        <w:br w:type="page"/>
      </w:r>
    </w:p>
    <w:p>
      <w:pPr>
        <w:pStyle w:val="4"/>
        <w:jc w:val="center"/>
        <w:rPr>
          <w:color w:val="auto"/>
          <w:szCs w:val="21"/>
          <w:highlight w:val="none"/>
        </w:rPr>
      </w:pPr>
      <w:bookmarkStart w:id="363" w:name="_Toc9639"/>
      <w:r>
        <w:rPr>
          <w:rFonts w:hint="eastAsia"/>
          <w:color w:val="auto"/>
          <w:highlight w:val="none"/>
        </w:rPr>
        <w:t>七、项目管理机构</w:t>
      </w:r>
      <w:bookmarkEnd w:id="354"/>
      <w:bookmarkEnd w:id="355"/>
      <w:bookmarkEnd w:id="356"/>
      <w:bookmarkEnd w:id="357"/>
      <w:bookmarkEnd w:id="358"/>
      <w:bookmarkEnd w:id="359"/>
      <w:bookmarkEnd w:id="360"/>
      <w:bookmarkEnd w:id="361"/>
      <w:bookmarkEnd w:id="362"/>
      <w:bookmarkEnd w:id="363"/>
    </w:p>
    <w:p>
      <w:pPr>
        <w:spacing w:before="312" w:beforeLines="100" w:after="312" w:afterLines="100" w:line="440" w:lineRule="exact"/>
        <w:jc w:val="center"/>
        <w:rPr>
          <w:rFonts w:ascii="Arial" w:hAnsi="Arial" w:eastAsia="黑体"/>
          <w:b/>
          <w:bCs/>
          <w:color w:val="auto"/>
          <w:sz w:val="32"/>
          <w:szCs w:val="32"/>
          <w:highlight w:val="none"/>
        </w:rPr>
      </w:pPr>
      <w:bookmarkStart w:id="364" w:name="_Toc334766997"/>
      <w:bookmarkStart w:id="365" w:name="_Toc332188244"/>
      <w:bookmarkStart w:id="366" w:name="_Toc152045804"/>
      <w:bookmarkStart w:id="367" w:name="_Toc246996370"/>
      <w:bookmarkStart w:id="368" w:name="_Toc144974872"/>
      <w:bookmarkStart w:id="369" w:name="_Toc326223615"/>
      <w:bookmarkStart w:id="370" w:name="_Toc247085888"/>
      <w:bookmarkStart w:id="371" w:name="_Toc152042593"/>
      <w:bookmarkStart w:id="372" w:name="_Toc246997113"/>
      <w:bookmarkStart w:id="373" w:name="_Toc179632824"/>
      <w:r>
        <w:rPr>
          <w:rFonts w:hint="eastAsia" w:ascii="Arial" w:hAnsi="Arial" w:eastAsia="黑体"/>
          <w:b/>
          <w:bCs/>
          <w:color w:val="auto"/>
          <w:sz w:val="32"/>
          <w:szCs w:val="32"/>
          <w:highlight w:val="none"/>
        </w:rPr>
        <w:t>（一）项目管理机构组成表</w:t>
      </w:r>
      <w:bookmarkEnd w:id="364"/>
      <w:bookmarkEnd w:id="365"/>
      <w:bookmarkEnd w:id="366"/>
      <w:bookmarkEnd w:id="367"/>
      <w:bookmarkEnd w:id="368"/>
      <w:bookmarkEnd w:id="369"/>
      <w:bookmarkEnd w:id="370"/>
      <w:bookmarkEnd w:id="371"/>
      <w:bookmarkEnd w:id="372"/>
      <w:bookmarkEnd w:id="373"/>
    </w:p>
    <w:tbl>
      <w:tblPr>
        <w:tblStyle w:val="3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958"/>
        <w:gridCol w:w="709"/>
        <w:gridCol w:w="850"/>
        <w:gridCol w:w="709"/>
        <w:gridCol w:w="709"/>
        <w:gridCol w:w="709"/>
        <w:gridCol w:w="992"/>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restart"/>
            <w:vAlign w:val="center"/>
          </w:tcPr>
          <w:p>
            <w:pPr>
              <w:spacing w:line="440" w:lineRule="exact"/>
              <w:jc w:val="center"/>
              <w:rPr>
                <w:color w:val="auto"/>
                <w:szCs w:val="21"/>
                <w:highlight w:val="none"/>
              </w:rPr>
            </w:pPr>
            <w:r>
              <w:rPr>
                <w:rFonts w:hint="eastAsia"/>
                <w:color w:val="auto"/>
                <w:szCs w:val="21"/>
                <w:highlight w:val="none"/>
              </w:rPr>
              <w:t>职务</w:t>
            </w:r>
          </w:p>
        </w:tc>
        <w:tc>
          <w:tcPr>
            <w:tcW w:w="993" w:type="dxa"/>
            <w:vMerge w:val="restart"/>
            <w:vAlign w:val="center"/>
          </w:tcPr>
          <w:p>
            <w:pPr>
              <w:spacing w:line="440" w:lineRule="exact"/>
              <w:jc w:val="center"/>
              <w:rPr>
                <w:color w:val="auto"/>
                <w:szCs w:val="21"/>
                <w:highlight w:val="none"/>
              </w:rPr>
            </w:pPr>
            <w:r>
              <w:rPr>
                <w:rFonts w:hint="eastAsia"/>
                <w:color w:val="auto"/>
                <w:szCs w:val="21"/>
                <w:highlight w:val="none"/>
              </w:rPr>
              <w:t>姓名</w:t>
            </w:r>
          </w:p>
        </w:tc>
        <w:tc>
          <w:tcPr>
            <w:tcW w:w="958" w:type="dxa"/>
            <w:vMerge w:val="restart"/>
            <w:vAlign w:val="center"/>
          </w:tcPr>
          <w:p>
            <w:pPr>
              <w:spacing w:line="440" w:lineRule="exact"/>
              <w:jc w:val="center"/>
              <w:rPr>
                <w:color w:val="auto"/>
                <w:szCs w:val="21"/>
                <w:highlight w:val="none"/>
              </w:rPr>
            </w:pPr>
            <w:r>
              <w:rPr>
                <w:rFonts w:hint="eastAsia"/>
                <w:color w:val="auto"/>
                <w:szCs w:val="21"/>
                <w:highlight w:val="none"/>
              </w:rPr>
              <w:t>职称</w:t>
            </w:r>
          </w:p>
        </w:tc>
        <w:tc>
          <w:tcPr>
            <w:tcW w:w="709" w:type="dxa"/>
            <w:vMerge w:val="restart"/>
            <w:vAlign w:val="center"/>
          </w:tcPr>
          <w:p>
            <w:pPr>
              <w:spacing w:line="440" w:lineRule="exact"/>
              <w:jc w:val="center"/>
              <w:rPr>
                <w:color w:val="auto"/>
                <w:szCs w:val="21"/>
                <w:highlight w:val="none"/>
              </w:rPr>
            </w:pPr>
            <w:r>
              <w:rPr>
                <w:rFonts w:hint="eastAsia"/>
                <w:color w:val="auto"/>
                <w:szCs w:val="21"/>
                <w:highlight w:val="none"/>
              </w:rPr>
              <w:t>学历</w:t>
            </w:r>
          </w:p>
        </w:tc>
        <w:tc>
          <w:tcPr>
            <w:tcW w:w="2977" w:type="dxa"/>
            <w:gridSpan w:val="4"/>
            <w:vAlign w:val="center"/>
          </w:tcPr>
          <w:p>
            <w:pPr>
              <w:spacing w:line="440" w:lineRule="exact"/>
              <w:jc w:val="center"/>
              <w:rPr>
                <w:color w:val="auto"/>
                <w:szCs w:val="21"/>
                <w:highlight w:val="none"/>
              </w:rPr>
            </w:pPr>
            <w:r>
              <w:rPr>
                <w:rFonts w:hint="eastAsia"/>
                <w:color w:val="auto"/>
                <w:szCs w:val="21"/>
                <w:highlight w:val="none"/>
              </w:rPr>
              <w:t>执业或职业资格证明</w:t>
            </w:r>
          </w:p>
        </w:tc>
        <w:tc>
          <w:tcPr>
            <w:tcW w:w="992" w:type="dxa"/>
            <w:vMerge w:val="restart"/>
            <w:vAlign w:val="center"/>
          </w:tcPr>
          <w:p>
            <w:pPr>
              <w:spacing w:line="440" w:lineRule="exact"/>
              <w:jc w:val="center"/>
              <w:rPr>
                <w:color w:val="auto"/>
                <w:szCs w:val="21"/>
                <w:highlight w:val="none"/>
              </w:rPr>
            </w:pPr>
            <w:r>
              <w:rPr>
                <w:rFonts w:hint="eastAsia"/>
                <w:color w:val="auto"/>
                <w:szCs w:val="21"/>
                <w:highlight w:val="none"/>
              </w:rPr>
              <w:t>同类项目工作年限（年）</w:t>
            </w:r>
          </w:p>
        </w:tc>
        <w:tc>
          <w:tcPr>
            <w:tcW w:w="1876" w:type="dxa"/>
            <w:vMerge w:val="restart"/>
            <w:vAlign w:val="center"/>
          </w:tcPr>
          <w:p>
            <w:pPr>
              <w:spacing w:line="440" w:lineRule="exact"/>
              <w:jc w:val="center"/>
              <w:rPr>
                <w:color w:val="auto"/>
                <w:szCs w:val="21"/>
                <w:highlight w:val="none"/>
              </w:rPr>
            </w:pPr>
            <w:r>
              <w:rPr>
                <w:rFonts w:hint="eastAsia"/>
                <w:color w:val="auto"/>
                <w:szCs w:val="21"/>
                <w:highlight w:val="none"/>
              </w:rPr>
              <w:t>工作简介（项目经验）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continue"/>
            <w:vAlign w:val="center"/>
          </w:tcPr>
          <w:p>
            <w:pPr>
              <w:spacing w:line="440" w:lineRule="exact"/>
              <w:jc w:val="center"/>
              <w:rPr>
                <w:color w:val="auto"/>
                <w:szCs w:val="21"/>
                <w:highlight w:val="none"/>
              </w:rPr>
            </w:pPr>
          </w:p>
        </w:tc>
        <w:tc>
          <w:tcPr>
            <w:tcW w:w="993" w:type="dxa"/>
            <w:vMerge w:val="continue"/>
            <w:vAlign w:val="center"/>
          </w:tcPr>
          <w:p>
            <w:pPr>
              <w:spacing w:line="440" w:lineRule="exact"/>
              <w:jc w:val="center"/>
              <w:rPr>
                <w:color w:val="auto"/>
                <w:szCs w:val="21"/>
                <w:highlight w:val="none"/>
              </w:rPr>
            </w:pPr>
          </w:p>
        </w:tc>
        <w:tc>
          <w:tcPr>
            <w:tcW w:w="958" w:type="dxa"/>
            <w:vMerge w:val="continue"/>
            <w:vAlign w:val="center"/>
          </w:tcPr>
          <w:p>
            <w:pPr>
              <w:spacing w:line="440" w:lineRule="exact"/>
              <w:jc w:val="center"/>
              <w:rPr>
                <w:color w:val="auto"/>
                <w:szCs w:val="21"/>
                <w:highlight w:val="none"/>
              </w:rPr>
            </w:pPr>
          </w:p>
        </w:tc>
        <w:tc>
          <w:tcPr>
            <w:tcW w:w="709" w:type="dxa"/>
            <w:vMerge w:val="continue"/>
            <w:vAlign w:val="center"/>
          </w:tcPr>
          <w:p>
            <w:pPr>
              <w:spacing w:line="440" w:lineRule="exact"/>
              <w:jc w:val="center"/>
              <w:rPr>
                <w:color w:val="auto"/>
                <w:szCs w:val="21"/>
                <w:highlight w:val="none"/>
              </w:rPr>
            </w:pPr>
          </w:p>
        </w:tc>
        <w:tc>
          <w:tcPr>
            <w:tcW w:w="850" w:type="dxa"/>
            <w:vAlign w:val="center"/>
          </w:tcPr>
          <w:p>
            <w:pPr>
              <w:spacing w:line="440" w:lineRule="exact"/>
              <w:jc w:val="center"/>
              <w:rPr>
                <w:color w:val="auto"/>
                <w:szCs w:val="21"/>
                <w:highlight w:val="none"/>
              </w:rPr>
            </w:pPr>
            <w:r>
              <w:rPr>
                <w:rFonts w:hint="eastAsia"/>
                <w:color w:val="auto"/>
                <w:szCs w:val="21"/>
                <w:highlight w:val="none"/>
              </w:rPr>
              <w:t>证书名称</w:t>
            </w:r>
          </w:p>
        </w:tc>
        <w:tc>
          <w:tcPr>
            <w:tcW w:w="709" w:type="dxa"/>
            <w:vAlign w:val="center"/>
          </w:tcPr>
          <w:p>
            <w:pPr>
              <w:spacing w:line="440" w:lineRule="exact"/>
              <w:jc w:val="center"/>
              <w:rPr>
                <w:color w:val="auto"/>
                <w:szCs w:val="21"/>
                <w:highlight w:val="none"/>
              </w:rPr>
            </w:pPr>
            <w:r>
              <w:rPr>
                <w:rFonts w:hint="eastAsia"/>
                <w:color w:val="auto"/>
                <w:szCs w:val="21"/>
                <w:highlight w:val="none"/>
              </w:rPr>
              <w:t>级别</w:t>
            </w:r>
          </w:p>
        </w:tc>
        <w:tc>
          <w:tcPr>
            <w:tcW w:w="709" w:type="dxa"/>
            <w:vAlign w:val="center"/>
          </w:tcPr>
          <w:p>
            <w:pPr>
              <w:spacing w:line="440" w:lineRule="exact"/>
              <w:jc w:val="center"/>
              <w:rPr>
                <w:color w:val="auto"/>
                <w:szCs w:val="21"/>
                <w:highlight w:val="none"/>
              </w:rPr>
            </w:pPr>
            <w:r>
              <w:rPr>
                <w:rFonts w:hint="eastAsia"/>
                <w:color w:val="auto"/>
                <w:szCs w:val="21"/>
                <w:highlight w:val="none"/>
              </w:rPr>
              <w:t>证号</w:t>
            </w:r>
          </w:p>
        </w:tc>
        <w:tc>
          <w:tcPr>
            <w:tcW w:w="709" w:type="dxa"/>
            <w:vAlign w:val="center"/>
          </w:tcPr>
          <w:p>
            <w:pPr>
              <w:spacing w:line="440" w:lineRule="exact"/>
              <w:jc w:val="center"/>
              <w:rPr>
                <w:color w:val="auto"/>
                <w:szCs w:val="21"/>
                <w:highlight w:val="none"/>
              </w:rPr>
            </w:pPr>
            <w:r>
              <w:rPr>
                <w:rFonts w:hint="eastAsia"/>
                <w:color w:val="auto"/>
                <w:szCs w:val="21"/>
                <w:highlight w:val="none"/>
              </w:rPr>
              <w:t>专业</w:t>
            </w:r>
          </w:p>
        </w:tc>
        <w:tc>
          <w:tcPr>
            <w:tcW w:w="992" w:type="dxa"/>
            <w:vMerge w:val="continue"/>
            <w:vAlign w:val="center"/>
          </w:tcPr>
          <w:p>
            <w:pPr>
              <w:spacing w:line="440" w:lineRule="exact"/>
              <w:jc w:val="center"/>
              <w:rPr>
                <w:color w:val="auto"/>
                <w:szCs w:val="21"/>
                <w:highlight w:val="none"/>
              </w:rPr>
            </w:pPr>
          </w:p>
        </w:tc>
        <w:tc>
          <w:tcPr>
            <w:tcW w:w="1876" w:type="dxa"/>
            <w:vMerge w:val="continue"/>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440" w:lineRule="exact"/>
              <w:jc w:val="center"/>
              <w:rPr>
                <w:color w:val="auto"/>
                <w:szCs w:val="21"/>
                <w:highlight w:val="none"/>
              </w:rPr>
            </w:pPr>
          </w:p>
        </w:tc>
        <w:tc>
          <w:tcPr>
            <w:tcW w:w="993" w:type="dxa"/>
            <w:vAlign w:val="center"/>
          </w:tcPr>
          <w:p>
            <w:pPr>
              <w:spacing w:line="440" w:lineRule="exact"/>
              <w:jc w:val="center"/>
              <w:rPr>
                <w:color w:val="auto"/>
                <w:szCs w:val="21"/>
                <w:highlight w:val="none"/>
              </w:rPr>
            </w:pPr>
          </w:p>
        </w:tc>
        <w:tc>
          <w:tcPr>
            <w:tcW w:w="958"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850"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992" w:type="dxa"/>
            <w:vAlign w:val="center"/>
          </w:tcPr>
          <w:p>
            <w:pPr>
              <w:spacing w:line="440" w:lineRule="exact"/>
              <w:jc w:val="center"/>
              <w:rPr>
                <w:color w:val="auto"/>
                <w:szCs w:val="21"/>
                <w:highlight w:val="none"/>
              </w:rPr>
            </w:pPr>
          </w:p>
        </w:tc>
        <w:tc>
          <w:tcPr>
            <w:tcW w:w="1876" w:type="dxa"/>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r>
              <w:rPr>
                <w:color w:val="auto"/>
                <w:szCs w:val="21"/>
                <w:highlight w:val="none"/>
              </w:rPr>
              <w:t>……</w:t>
            </w: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r>
              <w:rPr>
                <w:color w:val="auto"/>
                <w:szCs w:val="21"/>
                <w:highlight w:val="none"/>
              </w:rPr>
              <w:t>…….</w:t>
            </w: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r>
              <w:rPr>
                <w:color w:val="auto"/>
                <w:szCs w:val="21"/>
                <w:highlight w:val="none"/>
              </w:rPr>
              <w:t>…….</w:t>
            </w: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bl>
    <w:p>
      <w:pPr>
        <w:topLinePunct/>
        <w:spacing w:line="440" w:lineRule="exact"/>
        <w:jc w:val="center"/>
        <w:rPr>
          <w:color w:val="auto"/>
          <w:sz w:val="20"/>
          <w:highlight w:val="none"/>
        </w:rPr>
      </w:pPr>
    </w:p>
    <w:p>
      <w:pPr>
        <w:topLinePunct/>
        <w:spacing w:line="440" w:lineRule="exact"/>
        <w:jc w:val="center"/>
        <w:rPr>
          <w:color w:val="auto"/>
          <w:sz w:val="20"/>
          <w:highlight w:val="none"/>
        </w:rPr>
      </w:pPr>
      <w:r>
        <w:rPr>
          <w:color w:val="auto"/>
          <w:sz w:val="20"/>
          <w:highlight w:val="none"/>
        </w:rPr>
        <w:br w:type="page"/>
      </w:r>
    </w:p>
    <w:p>
      <w:pPr>
        <w:spacing w:before="312" w:beforeLines="100" w:after="312" w:afterLines="100" w:line="440" w:lineRule="exact"/>
        <w:jc w:val="center"/>
        <w:rPr>
          <w:rFonts w:ascii="Arial" w:hAnsi="Arial" w:eastAsia="黑体"/>
          <w:b/>
          <w:bCs/>
          <w:color w:val="auto"/>
          <w:sz w:val="32"/>
          <w:szCs w:val="32"/>
          <w:highlight w:val="none"/>
        </w:rPr>
      </w:pPr>
      <w:bookmarkStart w:id="374" w:name="_Toc144974873"/>
      <w:bookmarkStart w:id="375" w:name="_Toc179632825"/>
      <w:bookmarkStart w:id="376" w:name="_Toc246996371"/>
      <w:bookmarkStart w:id="377" w:name="_Toc334766998"/>
      <w:bookmarkStart w:id="378" w:name="_Toc326223616"/>
      <w:bookmarkStart w:id="379" w:name="_Toc332188245"/>
      <w:bookmarkStart w:id="380" w:name="_Toc246997114"/>
      <w:bookmarkStart w:id="381" w:name="_Toc152045805"/>
      <w:bookmarkStart w:id="382" w:name="_Toc247085889"/>
      <w:bookmarkStart w:id="383" w:name="_Toc152042594"/>
      <w:r>
        <w:rPr>
          <w:rFonts w:hint="eastAsia" w:ascii="Arial" w:hAnsi="Arial" w:eastAsia="黑体"/>
          <w:b/>
          <w:bCs/>
          <w:color w:val="auto"/>
          <w:sz w:val="32"/>
          <w:szCs w:val="32"/>
          <w:highlight w:val="none"/>
        </w:rPr>
        <w:t>（二）项目负责人简历表</w:t>
      </w:r>
      <w:bookmarkEnd w:id="374"/>
      <w:bookmarkEnd w:id="375"/>
      <w:bookmarkEnd w:id="376"/>
      <w:bookmarkEnd w:id="377"/>
      <w:bookmarkEnd w:id="378"/>
      <w:bookmarkEnd w:id="379"/>
      <w:bookmarkEnd w:id="380"/>
      <w:bookmarkEnd w:id="381"/>
      <w:bookmarkEnd w:id="382"/>
      <w:bookmarkEnd w:id="383"/>
    </w:p>
    <w:p>
      <w:pPr>
        <w:spacing w:line="400" w:lineRule="exact"/>
        <w:ind w:firstLine="420" w:firstLineChars="200"/>
        <w:rPr>
          <w:color w:val="auto"/>
          <w:highlight w:val="none"/>
        </w:rPr>
      </w:pPr>
      <w:r>
        <w:rPr>
          <w:rFonts w:hint="eastAsia"/>
          <w:color w:val="auto"/>
          <w:highlight w:val="none"/>
        </w:rPr>
        <w:t>项目负责人应附项目负责人身份证、职称证、学历证复印件，管理过的项目业绩须附合同协议书复印件。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73"/>
        <w:gridCol w:w="765"/>
        <w:gridCol w:w="314"/>
        <w:gridCol w:w="927"/>
        <w:gridCol w:w="446"/>
        <w:gridCol w:w="619"/>
        <w:gridCol w:w="708"/>
        <w:gridCol w:w="1097"/>
        <w:gridCol w:w="32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jc w:val="center"/>
              <w:rPr>
                <w:rFonts w:ascii="宋体"/>
                <w:color w:val="auto"/>
                <w:szCs w:val="21"/>
                <w:highlight w:val="none"/>
              </w:rPr>
            </w:pPr>
            <w:r>
              <w:rPr>
                <w:rFonts w:hint="eastAsia" w:ascii="宋体" w:hAnsi="宋体"/>
                <w:color w:val="auto"/>
                <w:szCs w:val="21"/>
                <w:highlight w:val="none"/>
              </w:rPr>
              <w:t>姓</w:t>
            </w:r>
            <w:r>
              <w:rPr>
                <w:rFonts w:ascii="宋体" w:hAnsi="宋体"/>
                <w:color w:val="auto"/>
                <w:szCs w:val="21"/>
                <w:highlight w:val="none"/>
              </w:rPr>
              <w:t xml:space="preserve">  </w:t>
            </w:r>
            <w:r>
              <w:rPr>
                <w:rFonts w:hint="eastAsia" w:ascii="宋体" w:hAnsi="宋体"/>
                <w:color w:val="auto"/>
                <w:szCs w:val="21"/>
                <w:highlight w:val="none"/>
              </w:rPr>
              <w:t>名</w:t>
            </w:r>
          </w:p>
        </w:tc>
        <w:tc>
          <w:tcPr>
            <w:tcW w:w="1079" w:type="dxa"/>
            <w:gridSpan w:val="2"/>
            <w:vAlign w:val="center"/>
          </w:tcPr>
          <w:p>
            <w:pPr>
              <w:spacing w:line="440" w:lineRule="exact"/>
              <w:jc w:val="center"/>
              <w:rPr>
                <w:rFonts w:ascii="宋体"/>
                <w:color w:val="auto"/>
                <w:szCs w:val="21"/>
                <w:highlight w:val="none"/>
              </w:rPr>
            </w:pPr>
          </w:p>
        </w:tc>
        <w:tc>
          <w:tcPr>
            <w:tcW w:w="927"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龄</w:t>
            </w:r>
          </w:p>
        </w:tc>
        <w:tc>
          <w:tcPr>
            <w:tcW w:w="1065" w:type="dxa"/>
            <w:gridSpan w:val="2"/>
            <w:vAlign w:val="center"/>
          </w:tcPr>
          <w:p>
            <w:pPr>
              <w:spacing w:line="440" w:lineRule="exact"/>
              <w:jc w:val="center"/>
              <w:rPr>
                <w:rFonts w:ascii="宋体"/>
                <w:color w:val="auto"/>
                <w:szCs w:val="21"/>
                <w:highlight w:val="none"/>
              </w:rPr>
            </w:pPr>
          </w:p>
        </w:tc>
        <w:tc>
          <w:tcPr>
            <w:tcW w:w="2130" w:type="dxa"/>
            <w:gridSpan w:val="3"/>
            <w:vAlign w:val="center"/>
          </w:tcPr>
          <w:p>
            <w:pPr>
              <w:spacing w:line="440" w:lineRule="exact"/>
              <w:jc w:val="center"/>
              <w:rPr>
                <w:rFonts w:ascii="宋体"/>
                <w:color w:val="auto"/>
                <w:szCs w:val="21"/>
                <w:highlight w:val="none"/>
              </w:rPr>
            </w:pPr>
            <w:r>
              <w:rPr>
                <w:rFonts w:hint="eastAsia" w:ascii="宋体" w:hAnsi="宋体"/>
                <w:color w:val="auto"/>
                <w:szCs w:val="21"/>
                <w:highlight w:val="none"/>
              </w:rPr>
              <w:t>学历</w:t>
            </w:r>
          </w:p>
        </w:tc>
        <w:tc>
          <w:tcPr>
            <w:tcW w:w="2135" w:type="dxa"/>
            <w:vAlign w:val="center"/>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jc w:val="center"/>
              <w:rPr>
                <w:rFonts w:ascii="宋体"/>
                <w:color w:val="auto"/>
                <w:szCs w:val="21"/>
                <w:highlight w:val="none"/>
              </w:rPr>
            </w:pPr>
            <w:r>
              <w:rPr>
                <w:rFonts w:hint="eastAsia" w:ascii="宋体" w:hAnsi="宋体"/>
                <w:color w:val="auto"/>
                <w:szCs w:val="21"/>
                <w:highlight w:val="none"/>
              </w:rPr>
              <w:t>职</w:t>
            </w:r>
            <w:r>
              <w:rPr>
                <w:rFonts w:ascii="宋体" w:hAnsi="宋体"/>
                <w:color w:val="auto"/>
                <w:szCs w:val="21"/>
                <w:highlight w:val="none"/>
              </w:rPr>
              <w:t xml:space="preserve">  </w:t>
            </w:r>
            <w:r>
              <w:rPr>
                <w:rFonts w:hint="eastAsia" w:ascii="宋体" w:hAnsi="宋体"/>
                <w:color w:val="auto"/>
                <w:szCs w:val="21"/>
                <w:highlight w:val="none"/>
              </w:rPr>
              <w:t>称</w:t>
            </w:r>
          </w:p>
        </w:tc>
        <w:tc>
          <w:tcPr>
            <w:tcW w:w="1079" w:type="dxa"/>
            <w:gridSpan w:val="2"/>
            <w:vAlign w:val="center"/>
          </w:tcPr>
          <w:p>
            <w:pPr>
              <w:spacing w:line="440" w:lineRule="exact"/>
              <w:jc w:val="center"/>
              <w:rPr>
                <w:rFonts w:ascii="宋体"/>
                <w:color w:val="auto"/>
                <w:szCs w:val="21"/>
                <w:highlight w:val="none"/>
              </w:rPr>
            </w:pPr>
          </w:p>
        </w:tc>
        <w:tc>
          <w:tcPr>
            <w:tcW w:w="927"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职</w:t>
            </w:r>
            <w:r>
              <w:rPr>
                <w:rFonts w:ascii="宋体" w:hAnsi="宋体"/>
                <w:color w:val="auto"/>
                <w:szCs w:val="21"/>
                <w:highlight w:val="none"/>
              </w:rPr>
              <w:t xml:space="preserve"> </w:t>
            </w:r>
            <w:r>
              <w:rPr>
                <w:rFonts w:hint="eastAsia" w:ascii="宋体" w:hAnsi="宋体"/>
                <w:color w:val="auto"/>
                <w:szCs w:val="21"/>
                <w:highlight w:val="none"/>
              </w:rPr>
              <w:t>务</w:t>
            </w:r>
          </w:p>
        </w:tc>
        <w:tc>
          <w:tcPr>
            <w:tcW w:w="1065" w:type="dxa"/>
            <w:gridSpan w:val="2"/>
            <w:vAlign w:val="center"/>
          </w:tcPr>
          <w:p>
            <w:pPr>
              <w:spacing w:line="440" w:lineRule="exact"/>
              <w:jc w:val="center"/>
              <w:rPr>
                <w:rFonts w:ascii="宋体"/>
                <w:color w:val="auto"/>
                <w:szCs w:val="21"/>
                <w:highlight w:val="none"/>
              </w:rPr>
            </w:pPr>
          </w:p>
        </w:tc>
        <w:tc>
          <w:tcPr>
            <w:tcW w:w="2130" w:type="dxa"/>
            <w:gridSpan w:val="3"/>
            <w:vAlign w:val="center"/>
          </w:tcPr>
          <w:p>
            <w:pPr>
              <w:spacing w:line="440" w:lineRule="exact"/>
              <w:jc w:val="center"/>
              <w:rPr>
                <w:rFonts w:ascii="宋体"/>
                <w:color w:val="auto"/>
                <w:szCs w:val="21"/>
                <w:highlight w:val="none"/>
              </w:rPr>
            </w:pPr>
            <w:r>
              <w:rPr>
                <w:rFonts w:hint="eastAsia" w:ascii="宋体" w:hAnsi="宋体"/>
                <w:color w:val="auto"/>
                <w:szCs w:val="21"/>
                <w:highlight w:val="none"/>
              </w:rPr>
              <w:t>拟在本合同任职</w:t>
            </w:r>
          </w:p>
        </w:tc>
        <w:tc>
          <w:tcPr>
            <w:tcW w:w="2135" w:type="dxa"/>
            <w:vAlign w:val="center"/>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rPr>
                <w:rFonts w:ascii="宋体"/>
                <w:color w:val="auto"/>
                <w:szCs w:val="21"/>
                <w:highlight w:val="none"/>
              </w:rPr>
            </w:pPr>
            <w:r>
              <w:rPr>
                <w:rFonts w:hint="eastAsia" w:ascii="宋体" w:hAnsi="宋体"/>
                <w:color w:val="auto"/>
                <w:szCs w:val="21"/>
                <w:highlight w:val="none"/>
              </w:rPr>
              <w:t>毕业学校</w:t>
            </w:r>
          </w:p>
        </w:tc>
        <w:tc>
          <w:tcPr>
            <w:tcW w:w="7336" w:type="dxa"/>
            <w:gridSpan w:val="9"/>
          </w:tcPr>
          <w:p>
            <w:pPr>
              <w:spacing w:line="440" w:lineRule="exact"/>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年毕业于</w:t>
            </w:r>
            <w:r>
              <w:rPr>
                <w:rFonts w:ascii="宋体" w:hAnsi="宋体"/>
                <w:color w:val="auto"/>
                <w:szCs w:val="21"/>
                <w:highlight w:val="none"/>
              </w:rPr>
              <w:t xml:space="preserve">            </w:t>
            </w:r>
            <w:r>
              <w:rPr>
                <w:rFonts w:hint="eastAsia" w:ascii="宋体" w:hAnsi="宋体"/>
                <w:color w:val="auto"/>
                <w:szCs w:val="21"/>
                <w:highlight w:val="none"/>
              </w:rPr>
              <w:t>学校</w:t>
            </w:r>
            <w:r>
              <w:rPr>
                <w:rFonts w:ascii="宋体" w:hAnsi="宋体"/>
                <w:color w:val="auto"/>
                <w:szCs w:val="21"/>
                <w:highlight w:val="none"/>
              </w:rPr>
              <w:t xml:space="preserve">        </w:t>
            </w:r>
            <w:r>
              <w:rPr>
                <w:rFonts w:hint="eastAsia" w:ascii="宋体" w:hAnsi="宋体"/>
                <w:color w:val="auto"/>
                <w:szCs w:val="21"/>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rPr>
                <w:rFonts w:ascii="宋体"/>
                <w:color w:val="auto"/>
                <w:szCs w:val="21"/>
                <w:highlight w:val="none"/>
              </w:rPr>
            </w:pPr>
            <w:r>
              <w:rPr>
                <w:rFonts w:hint="eastAsia" w:ascii="宋体" w:hAnsi="宋体"/>
                <w:color w:val="auto"/>
                <w:szCs w:val="21"/>
                <w:highlight w:val="none"/>
              </w:rPr>
              <w:t>同类项目工作年限（年）：</w:t>
            </w:r>
          </w:p>
        </w:tc>
        <w:tc>
          <w:tcPr>
            <w:tcW w:w="7336" w:type="dxa"/>
            <w:gridSpan w:val="9"/>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vAlign w:val="center"/>
          </w:tcPr>
          <w:p>
            <w:pPr>
              <w:spacing w:line="440" w:lineRule="exact"/>
              <w:rPr>
                <w:rFonts w:ascii="宋体"/>
                <w:color w:val="auto"/>
                <w:szCs w:val="21"/>
                <w:highlight w:val="none"/>
              </w:rPr>
            </w:pPr>
            <w:r>
              <w:rPr>
                <w:rFonts w:hint="eastAsia"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vAlign w:val="center"/>
          </w:tcPr>
          <w:p>
            <w:pPr>
              <w:spacing w:line="440" w:lineRule="exact"/>
              <w:rPr>
                <w:rFonts w:ascii="宋体"/>
                <w:color w:val="auto"/>
                <w:szCs w:val="21"/>
                <w:highlight w:val="none"/>
              </w:rPr>
            </w:pPr>
            <w:r>
              <w:rPr>
                <w:rFonts w:hint="eastAsia" w:ascii="宋体" w:hAnsi="宋体"/>
                <w:color w:val="auto"/>
                <w:szCs w:val="21"/>
                <w:highlight w:val="none"/>
              </w:rPr>
              <w:t>时</w:t>
            </w:r>
            <w:r>
              <w:rPr>
                <w:rFonts w:ascii="宋体" w:hAnsi="宋体"/>
                <w:color w:val="auto"/>
                <w:szCs w:val="21"/>
                <w:highlight w:val="none"/>
              </w:rPr>
              <w:t xml:space="preserve">  </w:t>
            </w:r>
            <w:r>
              <w:rPr>
                <w:rFonts w:hint="eastAsia" w:ascii="宋体" w:hAnsi="宋体"/>
                <w:color w:val="auto"/>
                <w:szCs w:val="21"/>
                <w:highlight w:val="none"/>
              </w:rPr>
              <w:t>间</w:t>
            </w:r>
          </w:p>
        </w:tc>
        <w:tc>
          <w:tcPr>
            <w:tcW w:w="938" w:type="dxa"/>
            <w:gridSpan w:val="2"/>
            <w:vAlign w:val="center"/>
          </w:tcPr>
          <w:p>
            <w:pPr>
              <w:spacing w:line="440" w:lineRule="exact"/>
              <w:rPr>
                <w:rFonts w:ascii="宋体"/>
                <w:color w:val="auto"/>
                <w:szCs w:val="21"/>
                <w:highlight w:val="none"/>
              </w:rPr>
            </w:pPr>
            <w:r>
              <w:rPr>
                <w:rFonts w:hint="eastAsia" w:ascii="宋体" w:hAnsi="宋体"/>
                <w:color w:val="auto"/>
                <w:szCs w:val="21"/>
                <w:highlight w:val="none"/>
              </w:rPr>
              <w:t>甲方名称</w:t>
            </w:r>
          </w:p>
        </w:tc>
        <w:tc>
          <w:tcPr>
            <w:tcW w:w="1687" w:type="dxa"/>
            <w:gridSpan w:val="3"/>
            <w:vAlign w:val="center"/>
          </w:tcPr>
          <w:p>
            <w:pPr>
              <w:spacing w:line="440" w:lineRule="exact"/>
              <w:rPr>
                <w:rFonts w:ascii="宋体"/>
                <w:color w:val="auto"/>
                <w:szCs w:val="21"/>
                <w:highlight w:val="none"/>
              </w:rPr>
            </w:pPr>
            <w:r>
              <w:rPr>
                <w:rFonts w:hint="eastAsia" w:ascii="宋体" w:hAnsi="宋体"/>
                <w:color w:val="auto"/>
                <w:szCs w:val="21"/>
                <w:highlight w:val="none"/>
              </w:rPr>
              <w:t>参加过的类似项目</w:t>
            </w:r>
            <w:r>
              <w:rPr>
                <w:rFonts w:ascii="宋体" w:hAnsi="宋体"/>
                <w:color w:val="auto"/>
                <w:szCs w:val="21"/>
                <w:highlight w:val="none"/>
              </w:rPr>
              <w:t>(</w:t>
            </w:r>
            <w:r>
              <w:rPr>
                <w:rFonts w:hint="eastAsia" w:ascii="宋体" w:hAnsi="宋体"/>
                <w:color w:val="auto"/>
                <w:szCs w:val="21"/>
                <w:highlight w:val="none"/>
              </w:rPr>
              <w:t>项目名称</w:t>
            </w:r>
            <w:r>
              <w:rPr>
                <w:rFonts w:ascii="宋体" w:hAnsi="宋体"/>
                <w:color w:val="auto"/>
                <w:szCs w:val="21"/>
                <w:highlight w:val="none"/>
              </w:rPr>
              <w:t>)</w:t>
            </w:r>
          </w:p>
        </w:tc>
        <w:tc>
          <w:tcPr>
            <w:tcW w:w="1327" w:type="dxa"/>
            <w:gridSpan w:val="2"/>
            <w:vAlign w:val="center"/>
          </w:tcPr>
          <w:p>
            <w:pPr>
              <w:spacing w:line="440" w:lineRule="exact"/>
              <w:rPr>
                <w:rFonts w:ascii="宋体"/>
                <w:color w:val="auto"/>
                <w:szCs w:val="21"/>
                <w:highlight w:val="none"/>
              </w:rPr>
            </w:pPr>
            <w:r>
              <w:rPr>
                <w:rFonts w:hint="eastAsia" w:ascii="宋体" w:hAnsi="宋体"/>
                <w:color w:val="auto"/>
                <w:szCs w:val="21"/>
                <w:highlight w:val="none"/>
              </w:rPr>
              <w:t>合同金额（万元）</w:t>
            </w:r>
          </w:p>
        </w:tc>
        <w:tc>
          <w:tcPr>
            <w:tcW w:w="1097" w:type="dxa"/>
            <w:vAlign w:val="center"/>
          </w:tcPr>
          <w:p>
            <w:pPr>
              <w:spacing w:line="440" w:lineRule="exact"/>
              <w:rPr>
                <w:rFonts w:ascii="宋体"/>
                <w:color w:val="auto"/>
                <w:szCs w:val="21"/>
                <w:highlight w:val="none"/>
              </w:rPr>
            </w:pPr>
            <w:r>
              <w:rPr>
                <w:rFonts w:hint="eastAsia" w:ascii="宋体" w:hAnsi="宋体"/>
                <w:color w:val="auto"/>
                <w:szCs w:val="21"/>
                <w:highlight w:val="none"/>
              </w:rPr>
              <w:t>担任职务</w:t>
            </w:r>
          </w:p>
        </w:tc>
        <w:tc>
          <w:tcPr>
            <w:tcW w:w="2460" w:type="dxa"/>
            <w:gridSpan w:val="2"/>
            <w:vAlign w:val="center"/>
          </w:tcPr>
          <w:p>
            <w:pPr>
              <w:spacing w:line="440" w:lineRule="exact"/>
              <w:rPr>
                <w:rFonts w:ascii="宋体"/>
                <w:color w:val="auto"/>
                <w:szCs w:val="21"/>
                <w:highlight w:val="none"/>
              </w:rPr>
            </w:pPr>
            <w:r>
              <w:rPr>
                <w:rFonts w:hint="eastAsia" w:ascii="宋体" w:hAnsi="宋体"/>
                <w:color w:val="auto"/>
                <w:szCs w:val="21"/>
                <w:highlight w:val="none"/>
              </w:rPr>
              <w:t>甲方联系人及联系电话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bl>
    <w:p>
      <w:pPr>
        <w:spacing w:line="440" w:lineRule="exact"/>
        <w:rPr>
          <w:color w:val="auto"/>
          <w:szCs w:val="21"/>
          <w:highlight w:val="none"/>
        </w:rPr>
      </w:pPr>
    </w:p>
    <w:p>
      <w:pPr>
        <w:widowControl/>
        <w:jc w:val="left"/>
        <w:rPr>
          <w:color w:val="auto"/>
          <w:szCs w:val="21"/>
          <w:highlight w:val="none"/>
        </w:rPr>
      </w:pPr>
      <w:r>
        <w:rPr>
          <w:color w:val="auto"/>
          <w:szCs w:val="21"/>
          <w:highlight w:val="none"/>
        </w:rPr>
        <w:br w:type="page"/>
      </w:r>
    </w:p>
    <w:p>
      <w:pPr>
        <w:pStyle w:val="4"/>
        <w:jc w:val="center"/>
        <w:rPr>
          <w:rFonts w:ascii="黑体"/>
          <w:b/>
          <w:bCs/>
          <w:color w:val="auto"/>
          <w:highlight w:val="none"/>
        </w:rPr>
      </w:pPr>
      <w:bookmarkStart w:id="384" w:name="_Toc475483727"/>
      <w:bookmarkStart w:id="385" w:name="_Toc486425436"/>
      <w:bookmarkStart w:id="386" w:name="_Toc13259"/>
      <w:r>
        <w:rPr>
          <w:rFonts w:hint="eastAsia" w:ascii="黑体"/>
          <w:b/>
          <w:bCs/>
          <w:color w:val="auto"/>
          <w:highlight w:val="none"/>
        </w:rPr>
        <w:t>八、</w:t>
      </w:r>
      <w:r>
        <w:rPr>
          <w:b/>
          <w:bCs/>
          <w:color w:val="auto"/>
          <w:highlight w:val="none"/>
        </w:rPr>
        <w:fldChar w:fldCharType="begin"/>
      </w:r>
      <w:r>
        <w:rPr>
          <w:b/>
          <w:bCs/>
          <w:color w:val="auto"/>
          <w:highlight w:val="none"/>
        </w:rPr>
        <w:instrText xml:space="preserve"> HYPERLINK \l "_Toc338661813" </w:instrText>
      </w:r>
      <w:r>
        <w:rPr>
          <w:b/>
          <w:bCs/>
          <w:color w:val="auto"/>
          <w:highlight w:val="none"/>
        </w:rPr>
        <w:fldChar w:fldCharType="separate"/>
      </w:r>
      <w:r>
        <w:rPr>
          <w:rFonts w:hint="eastAsia" w:ascii="黑体"/>
          <w:b/>
          <w:bCs/>
          <w:color w:val="auto"/>
          <w:highlight w:val="none"/>
        </w:rPr>
        <w:t>实质性条款偏离表</w:t>
      </w:r>
      <w:bookmarkEnd w:id="384"/>
      <w:bookmarkEnd w:id="385"/>
      <w:r>
        <w:rPr>
          <w:rFonts w:hint="eastAsia" w:ascii="黑体"/>
          <w:b/>
          <w:bCs/>
          <w:color w:val="auto"/>
          <w:highlight w:val="none"/>
        </w:rPr>
        <w:fldChar w:fldCharType="end"/>
      </w:r>
      <w:bookmarkEnd w:id="386"/>
    </w:p>
    <w:p>
      <w:pPr>
        <w:rPr>
          <w:color w:val="auto"/>
          <w:highlight w:val="none"/>
        </w:rPr>
      </w:pPr>
      <w:r>
        <w:rPr>
          <w:rFonts w:hint="eastAsia"/>
          <w:color w:val="auto"/>
          <w:highlight w:val="none"/>
        </w:rPr>
        <w:t>项目名称：</w:t>
      </w:r>
      <w:r>
        <w:rPr>
          <w:color w:val="auto"/>
          <w:highlight w:val="none"/>
          <w:u w:val="single"/>
        </w:rPr>
        <w:t xml:space="preserve">                </w:t>
      </w:r>
      <w:r>
        <w:rPr>
          <w:color w:val="auto"/>
          <w:highlight w:val="none"/>
        </w:rPr>
        <w:t xml:space="preserve">  </w:t>
      </w:r>
      <w:r>
        <w:rPr>
          <w:rFonts w:hint="eastAsia"/>
          <w:color w:val="auto"/>
          <w:highlight w:val="none"/>
        </w:rPr>
        <w:t>项目编号：</w:t>
      </w:r>
      <w:r>
        <w:rPr>
          <w:color w:val="auto"/>
          <w:highlight w:val="none"/>
          <w:u w:val="single"/>
        </w:rPr>
        <w:t xml:space="preserve">               </w:t>
      </w:r>
    </w:p>
    <w:tbl>
      <w:tblPr>
        <w:tblStyle w:val="38"/>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2126"/>
        <w:gridCol w:w="269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序号</w:t>
            </w:r>
          </w:p>
        </w:tc>
        <w:tc>
          <w:tcPr>
            <w:tcW w:w="1701" w:type="dxa"/>
            <w:vAlign w:val="center"/>
          </w:tcPr>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询价文件条目号</w:t>
            </w:r>
          </w:p>
        </w:tc>
        <w:tc>
          <w:tcPr>
            <w:tcW w:w="2126" w:type="dxa"/>
            <w:vAlign w:val="center"/>
          </w:tcPr>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询价文件</w:t>
            </w:r>
            <w:r>
              <w:rPr>
                <w:rFonts w:hint="eastAsia" w:ascii="宋体" w:hAnsi="宋体" w:cs="宋体"/>
                <w:color w:val="auto"/>
                <w:szCs w:val="21"/>
                <w:highlight w:val="none"/>
              </w:rPr>
              <w:t>“</w:t>
            </w:r>
            <w:r>
              <w:rPr>
                <w:rFonts w:eastAsia="黑体"/>
                <w:color w:val="auto"/>
                <w:sz w:val="32"/>
                <w:szCs w:val="32"/>
                <w:highlight w:val="none"/>
              </w:rPr>
              <w:sym w:font="Wingdings" w:char="F0AB"/>
            </w:r>
            <w:r>
              <w:rPr>
                <w:rFonts w:hint="eastAsia" w:ascii="宋体" w:hAnsi="宋体" w:cs="宋体"/>
                <w:color w:val="auto"/>
                <w:szCs w:val="21"/>
                <w:highlight w:val="none"/>
              </w:rPr>
              <w:t>”</w:t>
            </w:r>
            <w:r>
              <w:rPr>
                <w:rFonts w:hint="eastAsia" w:ascii="宋体" w:hAnsi="宋体"/>
                <w:color w:val="auto"/>
                <w:kern w:val="0"/>
                <w:szCs w:val="21"/>
                <w:highlight w:val="none"/>
              </w:rPr>
              <w:t>条款</w:t>
            </w:r>
          </w:p>
        </w:tc>
        <w:tc>
          <w:tcPr>
            <w:tcW w:w="2694" w:type="dxa"/>
            <w:vAlign w:val="center"/>
          </w:tcPr>
          <w:p>
            <w:pPr>
              <w:widowControl/>
              <w:snapToGrid w:val="0"/>
              <w:spacing w:before="156" w:beforeLines="50"/>
              <w:jc w:val="center"/>
              <w:rPr>
                <w:rFonts w:ascii="宋体"/>
                <w:color w:val="auto"/>
                <w:kern w:val="0"/>
                <w:szCs w:val="21"/>
                <w:highlight w:val="none"/>
              </w:rPr>
            </w:pPr>
            <w:r>
              <w:rPr>
                <w:rFonts w:hint="eastAsia" w:ascii="宋体" w:hAnsi="宋体"/>
                <w:color w:val="auto"/>
                <w:kern w:val="0"/>
                <w:szCs w:val="21"/>
                <w:highlight w:val="none"/>
              </w:rPr>
              <w:t>询价响应文件偏离情况</w:t>
            </w:r>
          </w:p>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（正偏离</w:t>
            </w:r>
            <w:r>
              <w:rPr>
                <w:rFonts w:ascii="宋体" w:hAnsi="宋体"/>
                <w:color w:val="auto"/>
                <w:kern w:val="0"/>
                <w:szCs w:val="21"/>
                <w:highlight w:val="none"/>
              </w:rPr>
              <w:t>/</w:t>
            </w:r>
            <w:r>
              <w:rPr>
                <w:rFonts w:hint="eastAsia" w:ascii="宋体" w:hAnsi="宋体"/>
                <w:color w:val="auto"/>
                <w:kern w:val="0"/>
                <w:szCs w:val="21"/>
                <w:highlight w:val="none"/>
              </w:rPr>
              <w:t>负偏离</w:t>
            </w:r>
            <w:r>
              <w:rPr>
                <w:rFonts w:ascii="宋体" w:hAnsi="宋体"/>
                <w:color w:val="auto"/>
                <w:kern w:val="0"/>
                <w:szCs w:val="21"/>
                <w:highlight w:val="none"/>
              </w:rPr>
              <w:t>/</w:t>
            </w:r>
            <w:r>
              <w:rPr>
                <w:rFonts w:hint="eastAsia" w:ascii="宋体" w:hAnsi="宋体"/>
                <w:color w:val="auto"/>
                <w:kern w:val="0"/>
                <w:szCs w:val="21"/>
                <w:highlight w:val="none"/>
              </w:rPr>
              <w:t>无偏离）</w:t>
            </w:r>
          </w:p>
        </w:tc>
        <w:tc>
          <w:tcPr>
            <w:tcW w:w="1134" w:type="dxa"/>
            <w:vAlign w:val="center"/>
          </w:tcPr>
          <w:p>
            <w:pPr>
              <w:widowControl/>
              <w:snapToGrid w:val="0"/>
              <w:spacing w:before="156" w:beforeLines="50"/>
              <w:jc w:val="center"/>
              <w:rPr>
                <w:rFonts w:ascii="宋体"/>
                <w:color w:val="auto"/>
                <w:kern w:val="0"/>
                <w:szCs w:val="21"/>
                <w:highlight w:val="none"/>
              </w:rPr>
            </w:pPr>
            <w:r>
              <w:rPr>
                <w:rFonts w:hint="eastAsia" w:ascii="宋体" w:hAnsi="宋体"/>
                <w:color w:val="auto"/>
                <w:kern w:val="0"/>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color w:val="auto"/>
                <w:kern w:val="0"/>
                <w:szCs w:val="21"/>
                <w:highlight w:val="none"/>
              </w:rPr>
            </w:pPr>
          </w:p>
        </w:tc>
        <w:tc>
          <w:tcPr>
            <w:tcW w:w="2694" w:type="dxa"/>
            <w:vAlign w:val="center"/>
          </w:tcPr>
          <w:p>
            <w:pPr>
              <w:widowControl/>
              <w:snapToGrid w:val="0"/>
              <w:spacing w:before="156" w:beforeLines="50"/>
              <w:jc w:val="center"/>
              <w:rPr>
                <w:rFonts w:ascii="宋体"/>
                <w:color w:val="auto"/>
                <w:kern w:val="0"/>
                <w:szCs w:val="21"/>
                <w:highlight w:val="none"/>
              </w:rPr>
            </w:pPr>
          </w:p>
        </w:tc>
        <w:tc>
          <w:tcPr>
            <w:tcW w:w="1134" w:type="dxa"/>
            <w:vAlign w:val="center"/>
          </w:tcPr>
          <w:p>
            <w:pPr>
              <w:widowControl/>
              <w:snapToGrid w:val="0"/>
              <w:spacing w:before="156" w:beforeLines="50"/>
              <w:jc w:val="center"/>
              <w:rPr>
                <w:rFonts w:asci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color w:val="auto"/>
                <w:kern w:val="0"/>
                <w:szCs w:val="21"/>
                <w:highlight w:val="none"/>
              </w:rPr>
            </w:pPr>
          </w:p>
        </w:tc>
        <w:tc>
          <w:tcPr>
            <w:tcW w:w="2694" w:type="dxa"/>
            <w:vAlign w:val="center"/>
          </w:tcPr>
          <w:p>
            <w:pPr>
              <w:widowControl/>
              <w:snapToGrid w:val="0"/>
              <w:spacing w:before="156" w:beforeLines="50"/>
              <w:jc w:val="center"/>
              <w:rPr>
                <w:rFonts w:ascii="宋体"/>
                <w:color w:val="auto"/>
                <w:kern w:val="0"/>
                <w:szCs w:val="21"/>
                <w:highlight w:val="none"/>
              </w:rPr>
            </w:pPr>
          </w:p>
        </w:tc>
        <w:tc>
          <w:tcPr>
            <w:tcW w:w="1134" w:type="dxa"/>
            <w:vAlign w:val="center"/>
          </w:tcPr>
          <w:p>
            <w:pPr>
              <w:widowControl/>
              <w:snapToGrid w:val="0"/>
              <w:spacing w:before="156" w:beforeLines="50"/>
              <w:jc w:val="center"/>
              <w:rPr>
                <w:rFonts w:asci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color w:val="auto"/>
                <w:kern w:val="0"/>
                <w:szCs w:val="21"/>
                <w:highlight w:val="none"/>
              </w:rPr>
            </w:pPr>
          </w:p>
        </w:tc>
        <w:tc>
          <w:tcPr>
            <w:tcW w:w="2694" w:type="dxa"/>
            <w:vAlign w:val="center"/>
          </w:tcPr>
          <w:p>
            <w:pPr>
              <w:widowControl/>
              <w:snapToGrid w:val="0"/>
              <w:spacing w:before="156" w:beforeLines="50"/>
              <w:jc w:val="center"/>
              <w:rPr>
                <w:rFonts w:ascii="宋体"/>
                <w:color w:val="auto"/>
                <w:kern w:val="0"/>
                <w:szCs w:val="21"/>
                <w:highlight w:val="none"/>
              </w:rPr>
            </w:pPr>
          </w:p>
        </w:tc>
        <w:tc>
          <w:tcPr>
            <w:tcW w:w="1134" w:type="dxa"/>
            <w:vAlign w:val="center"/>
          </w:tcPr>
          <w:p>
            <w:pPr>
              <w:widowControl/>
              <w:snapToGrid w:val="0"/>
              <w:spacing w:before="156" w:beforeLines="50"/>
              <w:jc w:val="center"/>
              <w:rPr>
                <w:rFonts w:ascii="宋体"/>
                <w:color w:val="auto"/>
                <w:kern w:val="0"/>
                <w:szCs w:val="21"/>
                <w:highlight w:val="none"/>
              </w:rPr>
            </w:pPr>
          </w:p>
        </w:tc>
      </w:tr>
    </w:tbl>
    <w:p>
      <w:pPr>
        <w:spacing w:line="440" w:lineRule="exact"/>
        <w:ind w:firstLine="420" w:firstLineChars="200"/>
        <w:jc w:val="left"/>
        <w:rPr>
          <w:rFonts w:asci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响应人应当逐条对照询价通知书</w:t>
      </w:r>
      <w:r>
        <w:rPr>
          <w:rFonts w:hint="eastAsia" w:ascii="宋体" w:hAnsi="宋体" w:cs="宋体"/>
          <w:color w:val="auto"/>
          <w:szCs w:val="21"/>
          <w:highlight w:val="none"/>
        </w:rPr>
        <w:t>“</w:t>
      </w:r>
      <w:r>
        <w:rPr>
          <w:rFonts w:eastAsia="黑体"/>
          <w:color w:val="auto"/>
          <w:sz w:val="32"/>
          <w:szCs w:val="32"/>
          <w:highlight w:val="none"/>
        </w:rPr>
        <w:sym w:font="Wingdings" w:char="F0AB"/>
      </w:r>
      <w:r>
        <w:rPr>
          <w:rFonts w:hint="eastAsia" w:ascii="宋体" w:hAnsi="宋体" w:cs="宋体"/>
          <w:color w:val="auto"/>
          <w:szCs w:val="21"/>
          <w:highlight w:val="none"/>
        </w:rPr>
        <w:t>”</w:t>
      </w:r>
      <w:r>
        <w:rPr>
          <w:rFonts w:hint="eastAsia" w:ascii="宋体" w:hAnsi="宋体"/>
          <w:color w:val="auto"/>
          <w:kern w:val="0"/>
          <w:szCs w:val="21"/>
          <w:highlight w:val="none"/>
        </w:rPr>
        <w:t>条款内容</w:t>
      </w:r>
      <w:r>
        <w:rPr>
          <w:rFonts w:hint="eastAsia" w:ascii="宋体" w:hAnsi="宋体"/>
          <w:color w:val="auto"/>
          <w:szCs w:val="21"/>
          <w:highlight w:val="none"/>
        </w:rPr>
        <w:t>，就询价响应文件对实质性条款存在的偏差与例外逐条做出说明；</w:t>
      </w:r>
    </w:p>
    <w:p>
      <w:pPr>
        <w:spacing w:line="440" w:lineRule="exact"/>
        <w:ind w:firstLine="420" w:firstLineChars="200"/>
        <w:jc w:val="lef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如询价响应文件对合同条款无任何偏差，响应人仅需在本偏离表中填写“无偏离”即可。</w:t>
      </w:r>
    </w:p>
    <w:p>
      <w:pPr>
        <w:spacing w:after="120"/>
        <w:rPr>
          <w:rFonts w:ascii="宋体"/>
          <w:color w:val="auto"/>
          <w:szCs w:val="21"/>
          <w:highlight w:val="none"/>
        </w:rPr>
      </w:pPr>
    </w:p>
    <w:p>
      <w:pPr>
        <w:spacing w:line="360" w:lineRule="auto"/>
        <w:ind w:firstLine="3675" w:firstLineChars="1750"/>
        <w:rPr>
          <w:color w:val="auto"/>
          <w:szCs w:val="21"/>
          <w:highlight w:val="none"/>
        </w:rPr>
      </w:pPr>
      <w:r>
        <w:rPr>
          <w:rFonts w:hint="eastAsia"/>
          <w:color w:val="auto"/>
          <w:szCs w:val="21"/>
          <w:highlight w:val="none"/>
        </w:rPr>
        <w:t>响应人：</w:t>
      </w:r>
      <w:r>
        <w:rPr>
          <w:color w:val="auto"/>
          <w:szCs w:val="21"/>
          <w:highlight w:val="none"/>
          <w:u w:val="single"/>
        </w:rPr>
        <w:t xml:space="preserve">                      </w:t>
      </w:r>
      <w:r>
        <w:rPr>
          <w:rFonts w:hint="eastAsia"/>
          <w:color w:val="auto"/>
          <w:szCs w:val="21"/>
          <w:highlight w:val="none"/>
        </w:rPr>
        <w:t>（盖单位公章）</w:t>
      </w:r>
    </w:p>
    <w:p>
      <w:pPr>
        <w:spacing w:line="360" w:lineRule="auto"/>
        <w:ind w:firstLine="3675" w:firstLineChars="1750"/>
        <w:rPr>
          <w:color w:val="auto"/>
          <w:szCs w:val="21"/>
          <w:highlight w:val="none"/>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rPr>
        <w:t>（签字）</w:t>
      </w:r>
    </w:p>
    <w:p>
      <w:pPr>
        <w:spacing w:line="480" w:lineRule="auto"/>
        <w:rPr>
          <w:rFonts w:hint="eastAsia"/>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pacing w:line="480" w:lineRule="auto"/>
        <w:rPr>
          <w:rFonts w:hint="eastAsia" w:ascii="黑体" w:hAnsi="宋体" w:eastAsia="宋体"/>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2"/>
        <w:ind w:firstLine="0" w:firstLineChars="0"/>
        <w:jc w:val="center"/>
        <w:rPr>
          <w:rFonts w:hint="eastAsia"/>
          <w:b/>
          <w:bCs/>
          <w:color w:val="auto"/>
          <w:sz w:val="24"/>
          <w:szCs w:val="32"/>
          <w:highlight w:val="none"/>
          <w:lang w:val="en-US" w:eastAsia="zh-CN"/>
        </w:rPr>
      </w:pPr>
      <w:r>
        <w:rPr>
          <w:rFonts w:hint="eastAsia"/>
          <w:b/>
          <w:bCs/>
          <w:color w:val="auto"/>
          <w:sz w:val="24"/>
          <w:szCs w:val="32"/>
          <w:highlight w:val="none"/>
          <w:lang w:val="en-US" w:eastAsia="zh-CN"/>
        </w:rPr>
        <w:t>承诺函</w:t>
      </w:r>
    </w:p>
    <w:p>
      <w:pPr>
        <w:pStyle w:val="2"/>
        <w:ind w:firstLine="0" w:firstLineChars="0"/>
        <w:rPr>
          <w:rFonts w:hint="default"/>
          <w:color w:val="auto"/>
          <w:highlight w:val="none"/>
          <w:lang w:val="en-US" w:eastAsia="zh-CN"/>
        </w:rPr>
      </w:pPr>
    </w:p>
    <w:p>
      <w:pPr>
        <w:pStyle w:val="2"/>
        <w:ind w:firstLine="0" w:firstLineChars="0"/>
        <w:rPr>
          <w:rFonts w:hint="default"/>
          <w:color w:val="auto"/>
          <w:highlight w:val="none"/>
          <w:lang w:val="en-US" w:eastAsia="zh-CN"/>
        </w:rPr>
      </w:pPr>
      <w:r>
        <w:rPr>
          <w:rFonts w:hint="eastAsia"/>
          <w:color w:val="auto"/>
          <w:szCs w:val="21"/>
          <w:highlight w:val="none"/>
        </w:rPr>
        <w:t>致：</w:t>
      </w:r>
      <w:r>
        <w:rPr>
          <w:color w:val="auto"/>
          <w:szCs w:val="21"/>
          <w:highlight w:val="none"/>
          <w:u w:val="single"/>
        </w:rPr>
        <w:t xml:space="preserve">       </w:t>
      </w:r>
      <w:r>
        <w:rPr>
          <w:rFonts w:hint="eastAsia"/>
          <w:color w:val="auto"/>
          <w:szCs w:val="21"/>
          <w:highlight w:val="none"/>
          <w:u w:val="single"/>
        </w:rPr>
        <w:t>（采购人名称）</w:t>
      </w:r>
      <w:r>
        <w:rPr>
          <w:color w:val="auto"/>
          <w:szCs w:val="21"/>
          <w:highlight w:val="none"/>
          <w:u w:val="single"/>
        </w:rPr>
        <w:t xml:space="preserve">        </w:t>
      </w:r>
      <w:r>
        <w:rPr>
          <w:rFonts w:hint="eastAsia"/>
          <w:color w:val="auto"/>
          <w:szCs w:val="21"/>
          <w:highlight w:val="none"/>
        </w:rPr>
        <w:t>：</w:t>
      </w:r>
    </w:p>
    <w:p>
      <w:pPr>
        <w:pStyle w:val="2"/>
        <w:ind w:firstLine="0" w:firstLineChars="0"/>
        <w:rPr>
          <w:rFonts w:hint="default"/>
          <w:color w:val="auto"/>
          <w:highlight w:val="none"/>
          <w:lang w:val="en-US" w:eastAsia="zh-CN"/>
        </w:rPr>
      </w:pPr>
    </w:p>
    <w:p>
      <w:pPr>
        <w:pStyle w:val="2"/>
        <w:ind w:firstLine="0" w:firstLineChars="0"/>
        <w:rPr>
          <w:rFonts w:hint="default"/>
          <w:color w:val="auto"/>
          <w:highlight w:val="none"/>
          <w:lang w:val="en-US" w:eastAsia="zh-CN"/>
        </w:rPr>
      </w:pPr>
      <w:r>
        <w:rPr>
          <w:rFonts w:hint="default"/>
          <w:color w:val="auto"/>
          <w:highlight w:val="none"/>
          <w:lang w:val="en-US" w:eastAsia="zh-CN"/>
        </w:rPr>
        <w:t>我方</w:t>
      </w:r>
      <w:r>
        <w:rPr>
          <w:rFonts w:hint="eastAsia"/>
          <w:color w:val="auto"/>
          <w:highlight w:val="none"/>
          <w:u w:val="single"/>
          <w:lang w:val="en-US" w:eastAsia="zh-CN"/>
        </w:rPr>
        <w:t xml:space="preserve">     </w:t>
      </w:r>
      <w:r>
        <w:rPr>
          <w:rFonts w:hint="default"/>
          <w:color w:val="auto"/>
          <w:highlight w:val="none"/>
          <w:u w:val="single"/>
          <w:lang w:val="en-US" w:eastAsia="zh-CN"/>
        </w:rPr>
        <w:t>（响应人）</w:t>
      </w:r>
      <w:r>
        <w:rPr>
          <w:rFonts w:hint="eastAsia"/>
          <w:color w:val="auto"/>
          <w:highlight w:val="none"/>
          <w:u w:val="single"/>
          <w:lang w:val="en-US" w:eastAsia="zh-CN"/>
        </w:rPr>
        <w:t xml:space="preserve">      </w:t>
      </w:r>
      <w:r>
        <w:rPr>
          <w:rFonts w:hint="default"/>
          <w:color w:val="auto"/>
          <w:highlight w:val="none"/>
          <w:lang w:val="en-US" w:eastAsia="zh-CN"/>
        </w:rPr>
        <w:t>郑重承诺如下：</w:t>
      </w:r>
    </w:p>
    <w:p>
      <w:pPr>
        <w:pStyle w:val="2"/>
        <w:ind w:firstLine="0" w:firstLineChars="0"/>
        <w:rPr>
          <w:rFonts w:hint="default"/>
          <w:color w:val="auto"/>
          <w:highlight w:val="none"/>
          <w:lang w:val="en-US" w:eastAsia="zh-CN"/>
        </w:rPr>
      </w:pPr>
    </w:p>
    <w:p>
      <w:pPr>
        <w:pStyle w:val="2"/>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我方已认真阅读并充分理解本项目</w:t>
      </w:r>
      <w:r>
        <w:rPr>
          <w:rFonts w:hint="eastAsia"/>
          <w:color w:val="auto"/>
          <w:highlight w:val="none"/>
          <w:lang w:val="en-US" w:eastAsia="zh-CN"/>
        </w:rPr>
        <w:t>询价文件</w:t>
      </w:r>
      <w:r>
        <w:rPr>
          <w:rFonts w:hint="default"/>
          <w:color w:val="auto"/>
          <w:highlight w:val="none"/>
          <w:lang w:val="en-US" w:eastAsia="zh-CN"/>
        </w:rPr>
        <w:t>（包括技术需求书、商务要求、合同条款及所有附件）的全部内容，自愿参与本项目响应，并对</w:t>
      </w:r>
      <w:r>
        <w:rPr>
          <w:rFonts w:hint="eastAsia"/>
          <w:color w:val="auto"/>
          <w:highlight w:val="none"/>
          <w:lang w:val="en-US" w:eastAsia="zh-CN"/>
        </w:rPr>
        <w:t>询价文件</w:t>
      </w:r>
      <w:r>
        <w:rPr>
          <w:rFonts w:hint="default"/>
          <w:color w:val="auto"/>
          <w:highlight w:val="none"/>
          <w:lang w:val="en-US" w:eastAsia="zh-CN"/>
        </w:rPr>
        <w:t>的各项要求作出完全响应。</w:t>
      </w:r>
    </w:p>
    <w:p>
      <w:pPr>
        <w:pStyle w:val="2"/>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我方承诺所提交的响应文件真实、准确、完整，不存在任何虚假记载、误导性陈述或重大遗漏。我方完全接受并响应本项目技术需求书中的全部要求，对技术规格、参数指标、功能配置、服务标准等内容无任何偏离或保留。</w:t>
      </w:r>
    </w:p>
    <w:p>
      <w:pPr>
        <w:pStyle w:val="2"/>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如因我方未仔细阅读、理解或核实</w:t>
      </w:r>
      <w:r>
        <w:rPr>
          <w:rFonts w:hint="eastAsia"/>
          <w:color w:val="auto"/>
          <w:highlight w:val="none"/>
          <w:lang w:val="en-US" w:eastAsia="zh-CN"/>
        </w:rPr>
        <w:t>询价文件</w:t>
      </w:r>
      <w:r>
        <w:rPr>
          <w:rFonts w:hint="default"/>
          <w:color w:val="auto"/>
          <w:highlight w:val="none"/>
          <w:lang w:val="en-US" w:eastAsia="zh-CN"/>
        </w:rPr>
        <w:t>及相关附件内容，导致响应文件中出现报价缺项、漏项、技术参数不满足或服务承诺不到位等情况，一切责任由我方自行承担，采购人不承担任何责任。</w:t>
      </w:r>
    </w:p>
    <w:p>
      <w:pPr>
        <w:pStyle w:val="2"/>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若我方有幸成交，将严格按照响应文件承诺及采购合同约定履行供货、安装、调试、培训及售后服务等义务，确保项目顺利实施并达到预期目标。</w:t>
      </w:r>
    </w:p>
    <w:p>
      <w:pPr>
        <w:pStyle w:val="2"/>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我方知悉并同意：如响应文件存在实质性偏离</w:t>
      </w:r>
      <w:r>
        <w:rPr>
          <w:rFonts w:hint="eastAsia"/>
          <w:color w:val="auto"/>
          <w:highlight w:val="none"/>
          <w:lang w:val="en-US" w:eastAsia="zh-CN"/>
        </w:rPr>
        <w:t>询价文件</w:t>
      </w:r>
      <w:r>
        <w:rPr>
          <w:rFonts w:hint="default"/>
          <w:color w:val="auto"/>
          <w:highlight w:val="none"/>
          <w:lang w:val="en-US" w:eastAsia="zh-CN"/>
        </w:rPr>
        <w:t>要求，或所提供的证明材料不真实、不完整，采购人有权认定我方响应无效，并依法追究相关责任。</w:t>
      </w:r>
    </w:p>
    <w:p>
      <w:pPr>
        <w:pStyle w:val="2"/>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特此承诺！</w:t>
      </w:r>
    </w:p>
    <w:p>
      <w:pPr>
        <w:pStyle w:val="2"/>
        <w:ind w:firstLine="0" w:firstLineChars="0"/>
        <w:rPr>
          <w:rFonts w:hint="default"/>
          <w:color w:val="auto"/>
          <w:highlight w:val="none"/>
          <w:lang w:val="en-US" w:eastAsia="zh-CN"/>
        </w:rPr>
      </w:pPr>
    </w:p>
    <w:p>
      <w:pPr>
        <w:spacing w:line="360" w:lineRule="auto"/>
        <w:ind w:firstLine="3675" w:firstLineChars="1750"/>
        <w:rPr>
          <w:color w:val="auto"/>
          <w:szCs w:val="21"/>
          <w:highlight w:val="none"/>
        </w:rPr>
      </w:pPr>
      <w:r>
        <w:rPr>
          <w:rFonts w:hint="eastAsia"/>
          <w:color w:val="auto"/>
          <w:szCs w:val="21"/>
          <w:highlight w:val="none"/>
        </w:rPr>
        <w:t>响应人：</w:t>
      </w:r>
      <w:r>
        <w:rPr>
          <w:color w:val="auto"/>
          <w:szCs w:val="21"/>
          <w:highlight w:val="none"/>
          <w:u w:val="single"/>
        </w:rPr>
        <w:t xml:space="preserve">                      </w:t>
      </w:r>
      <w:r>
        <w:rPr>
          <w:rFonts w:hint="eastAsia"/>
          <w:color w:val="auto"/>
          <w:szCs w:val="21"/>
          <w:highlight w:val="none"/>
        </w:rPr>
        <w:t>（盖单位公章）</w:t>
      </w:r>
    </w:p>
    <w:p>
      <w:pPr>
        <w:spacing w:line="360" w:lineRule="auto"/>
        <w:ind w:firstLine="3675" w:firstLineChars="1750"/>
        <w:rPr>
          <w:color w:val="auto"/>
          <w:szCs w:val="21"/>
          <w:highlight w:val="none"/>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rPr>
        <w:t>（签字）</w:t>
      </w:r>
    </w:p>
    <w:p>
      <w:pPr>
        <w:widowControl/>
        <w:jc w:val="left"/>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rPr>
        <w:br w:type="page"/>
      </w:r>
    </w:p>
    <w:p>
      <w:pPr>
        <w:pStyle w:val="4"/>
        <w:jc w:val="center"/>
        <w:rPr>
          <w:rFonts w:ascii="黑体"/>
          <w:b/>
          <w:bCs/>
          <w:color w:val="auto"/>
          <w:highlight w:val="none"/>
        </w:rPr>
      </w:pPr>
      <w:bookmarkStart w:id="387" w:name="_Toc6066"/>
      <w:r>
        <w:rPr>
          <w:rFonts w:hint="eastAsia" w:ascii="黑体"/>
          <w:b/>
          <w:bCs/>
          <w:color w:val="auto"/>
          <w:highlight w:val="none"/>
        </w:rPr>
        <w:t>九、</w:t>
      </w:r>
      <w:r>
        <w:rPr>
          <w:b/>
          <w:bCs/>
          <w:color w:val="auto"/>
          <w:highlight w:val="none"/>
        </w:rPr>
        <w:fldChar w:fldCharType="begin"/>
      </w:r>
      <w:r>
        <w:rPr>
          <w:b/>
          <w:bCs/>
          <w:color w:val="auto"/>
          <w:highlight w:val="none"/>
        </w:rPr>
        <w:instrText xml:space="preserve"> HYPERLINK \l "_Toc338661813" </w:instrText>
      </w:r>
      <w:r>
        <w:rPr>
          <w:b/>
          <w:bCs/>
          <w:color w:val="auto"/>
          <w:highlight w:val="none"/>
        </w:rPr>
        <w:fldChar w:fldCharType="separate"/>
      </w:r>
      <w:r>
        <w:rPr>
          <w:rFonts w:hint="eastAsia" w:ascii="黑体"/>
          <w:b/>
          <w:bCs/>
          <w:color w:val="auto"/>
          <w:highlight w:val="none"/>
        </w:rPr>
        <w:t>技术条款偏离表</w:t>
      </w:r>
      <w:r>
        <w:rPr>
          <w:rFonts w:hint="eastAsia" w:ascii="黑体"/>
          <w:b/>
          <w:bCs/>
          <w:color w:val="auto"/>
          <w:highlight w:val="none"/>
        </w:rPr>
        <w:fldChar w:fldCharType="end"/>
      </w:r>
      <w:bookmarkEnd w:id="387"/>
    </w:p>
    <w:p>
      <w:pPr>
        <w:rPr>
          <w:color w:val="auto"/>
          <w:highlight w:val="none"/>
        </w:rPr>
      </w:pPr>
      <w:r>
        <w:rPr>
          <w:rFonts w:hint="eastAsia"/>
          <w:color w:val="auto"/>
          <w:highlight w:val="none"/>
        </w:rPr>
        <w:t>项目名称：</w:t>
      </w:r>
      <w:r>
        <w:rPr>
          <w:color w:val="auto"/>
          <w:highlight w:val="none"/>
          <w:u w:val="single"/>
        </w:rPr>
        <w:t xml:space="preserve">                </w:t>
      </w:r>
      <w:r>
        <w:rPr>
          <w:color w:val="auto"/>
          <w:highlight w:val="none"/>
        </w:rPr>
        <w:t xml:space="preserve">  </w:t>
      </w:r>
      <w:r>
        <w:rPr>
          <w:rFonts w:hint="eastAsia"/>
          <w:color w:val="auto"/>
          <w:highlight w:val="none"/>
        </w:rPr>
        <w:t>项目编号：</w:t>
      </w:r>
      <w:r>
        <w:rPr>
          <w:color w:val="auto"/>
          <w:highlight w:val="none"/>
          <w:u w:val="single"/>
        </w:rPr>
        <w:t xml:space="preserve">               </w:t>
      </w:r>
      <w:r>
        <w:rPr>
          <w:color w:val="auto"/>
          <w:highlight w:val="none"/>
        </w:rPr>
        <w:t xml:space="preserve"> </w:t>
      </w:r>
    </w:p>
    <w:tbl>
      <w:tblPr>
        <w:tblStyle w:val="38"/>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2126"/>
        <w:gridCol w:w="269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序号</w:t>
            </w:r>
          </w:p>
        </w:tc>
        <w:tc>
          <w:tcPr>
            <w:tcW w:w="1701" w:type="dxa"/>
            <w:vAlign w:val="center"/>
          </w:tcPr>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询价文件条目号</w:t>
            </w:r>
          </w:p>
        </w:tc>
        <w:tc>
          <w:tcPr>
            <w:tcW w:w="2126" w:type="dxa"/>
            <w:vAlign w:val="center"/>
          </w:tcPr>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询价文件《用户需求书》的技术条款</w:t>
            </w:r>
          </w:p>
        </w:tc>
        <w:tc>
          <w:tcPr>
            <w:tcW w:w="2694" w:type="dxa"/>
            <w:vAlign w:val="center"/>
          </w:tcPr>
          <w:p>
            <w:pPr>
              <w:widowControl/>
              <w:snapToGrid w:val="0"/>
              <w:spacing w:before="156" w:beforeLines="50"/>
              <w:jc w:val="center"/>
              <w:rPr>
                <w:rFonts w:ascii="宋体"/>
                <w:color w:val="auto"/>
                <w:kern w:val="0"/>
                <w:szCs w:val="21"/>
                <w:highlight w:val="none"/>
              </w:rPr>
            </w:pPr>
            <w:r>
              <w:rPr>
                <w:rFonts w:hint="eastAsia" w:ascii="宋体" w:hAnsi="宋体"/>
                <w:color w:val="auto"/>
                <w:kern w:val="0"/>
                <w:szCs w:val="21"/>
                <w:highlight w:val="none"/>
              </w:rPr>
              <w:t>询价响应文件偏离情况</w:t>
            </w:r>
          </w:p>
          <w:p>
            <w:pPr>
              <w:widowControl/>
              <w:snapToGrid w:val="0"/>
              <w:spacing w:before="156" w:beforeLines="50" w:line="360" w:lineRule="auto"/>
              <w:jc w:val="center"/>
              <w:rPr>
                <w:rFonts w:ascii="宋体"/>
                <w:color w:val="auto"/>
                <w:kern w:val="0"/>
                <w:szCs w:val="21"/>
                <w:highlight w:val="none"/>
              </w:rPr>
            </w:pPr>
            <w:r>
              <w:rPr>
                <w:rFonts w:hint="eastAsia" w:ascii="宋体" w:hAnsi="宋体"/>
                <w:color w:val="auto"/>
                <w:kern w:val="0"/>
                <w:szCs w:val="21"/>
                <w:highlight w:val="none"/>
              </w:rPr>
              <w:t>（正偏离</w:t>
            </w:r>
            <w:r>
              <w:rPr>
                <w:rFonts w:ascii="宋体" w:hAnsi="宋体"/>
                <w:color w:val="auto"/>
                <w:kern w:val="0"/>
                <w:szCs w:val="21"/>
                <w:highlight w:val="none"/>
              </w:rPr>
              <w:t>/</w:t>
            </w:r>
            <w:r>
              <w:rPr>
                <w:rFonts w:hint="eastAsia" w:ascii="宋体" w:hAnsi="宋体"/>
                <w:color w:val="auto"/>
                <w:kern w:val="0"/>
                <w:szCs w:val="21"/>
                <w:highlight w:val="none"/>
              </w:rPr>
              <w:t>负偏离</w:t>
            </w:r>
            <w:r>
              <w:rPr>
                <w:rFonts w:ascii="宋体" w:hAnsi="宋体"/>
                <w:color w:val="auto"/>
                <w:kern w:val="0"/>
                <w:szCs w:val="21"/>
                <w:highlight w:val="none"/>
              </w:rPr>
              <w:t>/</w:t>
            </w:r>
            <w:r>
              <w:rPr>
                <w:rFonts w:hint="eastAsia" w:ascii="宋体" w:hAnsi="宋体"/>
                <w:color w:val="auto"/>
                <w:kern w:val="0"/>
                <w:szCs w:val="21"/>
                <w:highlight w:val="none"/>
              </w:rPr>
              <w:t>无偏离）</w:t>
            </w:r>
          </w:p>
        </w:tc>
        <w:tc>
          <w:tcPr>
            <w:tcW w:w="1134" w:type="dxa"/>
            <w:vAlign w:val="center"/>
          </w:tcPr>
          <w:p>
            <w:pPr>
              <w:widowControl/>
              <w:snapToGrid w:val="0"/>
              <w:spacing w:before="156" w:beforeLines="50"/>
              <w:jc w:val="center"/>
              <w:rPr>
                <w:rFonts w:ascii="宋体"/>
                <w:color w:val="auto"/>
                <w:kern w:val="0"/>
                <w:szCs w:val="21"/>
                <w:highlight w:val="none"/>
              </w:rPr>
            </w:pPr>
            <w:r>
              <w:rPr>
                <w:rFonts w:hint="eastAsia" w:ascii="宋体" w:hAnsi="宋体"/>
                <w:color w:val="auto"/>
                <w:kern w:val="0"/>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color w:val="auto"/>
                <w:kern w:val="0"/>
                <w:szCs w:val="21"/>
                <w:highlight w:val="none"/>
              </w:rPr>
            </w:pPr>
          </w:p>
        </w:tc>
        <w:tc>
          <w:tcPr>
            <w:tcW w:w="2694" w:type="dxa"/>
            <w:vAlign w:val="center"/>
          </w:tcPr>
          <w:p>
            <w:pPr>
              <w:widowControl/>
              <w:snapToGrid w:val="0"/>
              <w:spacing w:before="156" w:beforeLines="50"/>
              <w:jc w:val="center"/>
              <w:rPr>
                <w:rFonts w:ascii="宋体"/>
                <w:color w:val="auto"/>
                <w:kern w:val="0"/>
                <w:szCs w:val="21"/>
                <w:highlight w:val="none"/>
              </w:rPr>
            </w:pPr>
          </w:p>
        </w:tc>
        <w:tc>
          <w:tcPr>
            <w:tcW w:w="1134" w:type="dxa"/>
            <w:vAlign w:val="center"/>
          </w:tcPr>
          <w:p>
            <w:pPr>
              <w:widowControl/>
              <w:snapToGrid w:val="0"/>
              <w:spacing w:before="156" w:beforeLines="50"/>
              <w:jc w:val="center"/>
              <w:rPr>
                <w:rFonts w:asci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color w:val="auto"/>
                <w:kern w:val="0"/>
                <w:szCs w:val="21"/>
                <w:highlight w:val="none"/>
              </w:rPr>
            </w:pPr>
          </w:p>
        </w:tc>
        <w:tc>
          <w:tcPr>
            <w:tcW w:w="2694" w:type="dxa"/>
            <w:vAlign w:val="center"/>
          </w:tcPr>
          <w:p>
            <w:pPr>
              <w:widowControl/>
              <w:snapToGrid w:val="0"/>
              <w:spacing w:before="156" w:beforeLines="50"/>
              <w:jc w:val="center"/>
              <w:rPr>
                <w:rFonts w:ascii="宋体"/>
                <w:color w:val="auto"/>
                <w:kern w:val="0"/>
                <w:szCs w:val="21"/>
                <w:highlight w:val="none"/>
              </w:rPr>
            </w:pPr>
          </w:p>
        </w:tc>
        <w:tc>
          <w:tcPr>
            <w:tcW w:w="1134" w:type="dxa"/>
            <w:vAlign w:val="center"/>
          </w:tcPr>
          <w:p>
            <w:pPr>
              <w:widowControl/>
              <w:snapToGrid w:val="0"/>
              <w:spacing w:before="156" w:beforeLines="50"/>
              <w:jc w:val="center"/>
              <w:rPr>
                <w:rFonts w:asci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color w:val="auto"/>
                <w:kern w:val="0"/>
                <w:szCs w:val="21"/>
                <w:highlight w:val="none"/>
              </w:rPr>
            </w:pPr>
          </w:p>
        </w:tc>
        <w:tc>
          <w:tcPr>
            <w:tcW w:w="2694" w:type="dxa"/>
            <w:vAlign w:val="center"/>
          </w:tcPr>
          <w:p>
            <w:pPr>
              <w:widowControl/>
              <w:snapToGrid w:val="0"/>
              <w:spacing w:before="156" w:beforeLines="50"/>
              <w:jc w:val="center"/>
              <w:rPr>
                <w:rFonts w:ascii="宋体"/>
                <w:color w:val="auto"/>
                <w:kern w:val="0"/>
                <w:szCs w:val="21"/>
                <w:highlight w:val="none"/>
              </w:rPr>
            </w:pPr>
          </w:p>
        </w:tc>
        <w:tc>
          <w:tcPr>
            <w:tcW w:w="1134" w:type="dxa"/>
            <w:vAlign w:val="center"/>
          </w:tcPr>
          <w:p>
            <w:pPr>
              <w:widowControl/>
              <w:snapToGrid w:val="0"/>
              <w:spacing w:before="156" w:beforeLines="50"/>
              <w:jc w:val="center"/>
              <w:rPr>
                <w:rFonts w:ascii="宋体"/>
                <w:color w:val="auto"/>
                <w:kern w:val="0"/>
                <w:szCs w:val="21"/>
                <w:highlight w:val="none"/>
              </w:rPr>
            </w:pPr>
          </w:p>
        </w:tc>
      </w:tr>
    </w:tbl>
    <w:p>
      <w:pPr>
        <w:spacing w:line="440" w:lineRule="exact"/>
        <w:ind w:firstLine="420" w:firstLineChars="200"/>
        <w:jc w:val="left"/>
        <w:rPr>
          <w:rFonts w:asci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响应人应当逐条对照</w:t>
      </w:r>
      <w:r>
        <w:rPr>
          <w:rFonts w:hint="eastAsia" w:ascii="宋体" w:hAnsi="宋体"/>
          <w:color w:val="auto"/>
          <w:kern w:val="0"/>
          <w:szCs w:val="21"/>
          <w:highlight w:val="none"/>
        </w:rPr>
        <w:t>询价文件《用户需求书》的技术条款</w:t>
      </w:r>
      <w:r>
        <w:rPr>
          <w:rFonts w:hint="eastAsia" w:ascii="宋体" w:hAnsi="宋体"/>
          <w:color w:val="auto"/>
          <w:szCs w:val="21"/>
          <w:highlight w:val="none"/>
        </w:rPr>
        <w:t>，就询价响应文件对技术条款存在的偏差与例外逐条做出说明；</w:t>
      </w:r>
    </w:p>
    <w:p>
      <w:pPr>
        <w:spacing w:line="440" w:lineRule="exact"/>
        <w:ind w:firstLine="420" w:firstLineChars="200"/>
        <w:jc w:val="lef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如询价响应文件对技术条款无任何偏差，响应人仅需在本偏离表中填写“无偏离”即可。</w:t>
      </w:r>
    </w:p>
    <w:p>
      <w:pPr>
        <w:spacing w:after="120"/>
        <w:rPr>
          <w:rFonts w:ascii="宋体"/>
          <w:color w:val="auto"/>
          <w:szCs w:val="21"/>
          <w:highlight w:val="none"/>
        </w:rPr>
      </w:pPr>
    </w:p>
    <w:p>
      <w:pPr>
        <w:spacing w:line="360" w:lineRule="auto"/>
        <w:ind w:firstLine="3675" w:firstLineChars="1750"/>
        <w:rPr>
          <w:color w:val="auto"/>
          <w:szCs w:val="21"/>
          <w:highlight w:val="none"/>
        </w:rPr>
      </w:pPr>
      <w:r>
        <w:rPr>
          <w:rFonts w:hint="eastAsia"/>
          <w:color w:val="auto"/>
          <w:szCs w:val="21"/>
          <w:highlight w:val="none"/>
        </w:rPr>
        <w:t>响应人：</w:t>
      </w:r>
      <w:r>
        <w:rPr>
          <w:color w:val="auto"/>
          <w:szCs w:val="21"/>
          <w:highlight w:val="none"/>
          <w:u w:val="single"/>
        </w:rPr>
        <w:t xml:space="preserve">                      </w:t>
      </w:r>
      <w:r>
        <w:rPr>
          <w:rFonts w:hint="eastAsia"/>
          <w:color w:val="auto"/>
          <w:szCs w:val="21"/>
          <w:highlight w:val="none"/>
        </w:rPr>
        <w:t>（盖单位公章）</w:t>
      </w:r>
    </w:p>
    <w:p>
      <w:pPr>
        <w:spacing w:line="360" w:lineRule="auto"/>
        <w:ind w:firstLine="3675" w:firstLineChars="1750"/>
        <w:rPr>
          <w:color w:val="auto"/>
          <w:szCs w:val="21"/>
          <w:highlight w:val="none"/>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rPr>
        <w:t>（签字）</w:t>
      </w:r>
    </w:p>
    <w:p>
      <w:pPr>
        <w:spacing w:line="480" w:lineRule="auto"/>
        <w:rPr>
          <w:rFonts w:ascii="黑体" w:hAnsi="宋体"/>
          <w:color w:val="auto"/>
          <w:highlight w:val="none"/>
        </w:rPr>
      </w:pPr>
      <w:r>
        <w:rPr>
          <w:color w:val="auto"/>
          <w:szCs w:val="21"/>
          <w:highlight w:val="none"/>
        </w:rPr>
        <w:t xml:space="preserve">                                     </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pStyle w:val="4"/>
        <w:spacing w:before="0"/>
        <w:jc w:val="center"/>
        <w:rPr>
          <w:color w:val="auto"/>
          <w:highlight w:val="none"/>
        </w:rPr>
        <w:sectPr>
          <w:pgSz w:w="11906" w:h="16838"/>
          <w:pgMar w:top="1418" w:right="1800" w:bottom="1440" w:left="1800" w:header="851" w:footer="992" w:gutter="0"/>
          <w:cols w:space="720" w:num="1"/>
          <w:docGrid w:type="lines" w:linePitch="312" w:charSpace="0"/>
        </w:sectPr>
      </w:pPr>
    </w:p>
    <w:p>
      <w:pPr>
        <w:pStyle w:val="4"/>
        <w:jc w:val="center"/>
        <w:rPr>
          <w:color w:val="auto"/>
          <w:highlight w:val="none"/>
        </w:rPr>
      </w:pPr>
      <w:bookmarkStart w:id="388" w:name="_Toc179632827"/>
      <w:bookmarkStart w:id="389" w:name="_Toc152042596"/>
      <w:bookmarkStart w:id="390" w:name="_Toc152045807"/>
      <w:bookmarkStart w:id="391" w:name="_Toc144974875"/>
      <w:bookmarkStart w:id="392" w:name="_Toc246997115"/>
      <w:bookmarkStart w:id="393" w:name="_Toc246996372"/>
      <w:bookmarkStart w:id="394" w:name="_Toc338669161"/>
      <w:bookmarkStart w:id="395" w:name="_Toc247085890"/>
      <w:bookmarkStart w:id="396" w:name="_Toc25075"/>
      <w:bookmarkStart w:id="397" w:name="_Toc486425440"/>
      <w:r>
        <w:rPr>
          <w:rFonts w:hint="eastAsia"/>
          <w:color w:val="auto"/>
          <w:highlight w:val="none"/>
        </w:rPr>
        <w:t>十、资格审查资料</w:t>
      </w:r>
      <w:bookmarkEnd w:id="388"/>
      <w:bookmarkEnd w:id="389"/>
      <w:bookmarkEnd w:id="390"/>
      <w:bookmarkEnd w:id="391"/>
      <w:bookmarkEnd w:id="392"/>
      <w:bookmarkEnd w:id="393"/>
      <w:bookmarkEnd w:id="394"/>
      <w:bookmarkEnd w:id="395"/>
      <w:bookmarkEnd w:id="396"/>
      <w:bookmarkEnd w:id="397"/>
    </w:p>
    <w:p>
      <w:pPr>
        <w:widowControl/>
        <w:adjustRightInd w:val="0"/>
        <w:snapToGrid w:val="0"/>
        <w:spacing w:line="360" w:lineRule="auto"/>
        <w:jc w:val="left"/>
        <w:rPr>
          <w:rFonts w:hint="eastAsia"/>
          <w:color w:val="auto"/>
          <w:szCs w:val="21"/>
          <w:highlight w:val="none"/>
          <w:lang w:val="en-US" w:eastAsia="zh-CN"/>
        </w:rPr>
      </w:pPr>
      <w:r>
        <w:rPr>
          <w:rFonts w:hint="eastAsia"/>
          <w:color w:val="auto"/>
          <w:szCs w:val="21"/>
          <w:highlight w:val="none"/>
          <w:lang w:val="en-US" w:eastAsia="zh-CN"/>
        </w:rPr>
        <w:t>1.提供《营业执照》复印件（加盖公章）或《事业单位法人证书》复印件（加盖公章）或其他主体证书复印件（加盖公章）</w:t>
      </w:r>
    </w:p>
    <w:p>
      <w:pPr>
        <w:widowControl/>
        <w:jc w:val="left"/>
        <w:rPr>
          <w:rFonts w:hint="eastAsia"/>
          <w:color w:val="auto"/>
          <w:szCs w:val="21"/>
          <w:highlight w:val="none"/>
          <w:lang w:val="en-US" w:eastAsia="zh-CN"/>
        </w:rPr>
      </w:pPr>
    </w:p>
    <w:p>
      <w:pPr>
        <w:rPr>
          <w:rFonts w:hint="default"/>
          <w:color w:val="auto"/>
          <w:szCs w:val="21"/>
          <w:highlight w:val="none"/>
          <w:lang w:val="en-US" w:eastAsia="zh-CN"/>
        </w:rPr>
      </w:pPr>
      <w:r>
        <w:rPr>
          <w:rFonts w:hint="default"/>
          <w:color w:val="auto"/>
          <w:szCs w:val="21"/>
          <w:highlight w:val="none"/>
          <w:lang w:val="en-US" w:eastAsia="zh-CN"/>
        </w:rPr>
        <w:br w:type="page"/>
      </w:r>
    </w:p>
    <w:p>
      <w:pPr>
        <w:pageBreakBefore w:val="0"/>
        <w:adjustRightInd w:val="0"/>
        <w:snapToGrid w:val="0"/>
        <w:spacing w:line="360" w:lineRule="auto"/>
        <w:ind w:left="0" w:firstLine="0" w:firstLineChars="0"/>
        <w:outlineLvl w:val="9"/>
        <w:rPr>
          <w:rFonts w:hint="eastAsia" w:ascii="宋体" w:hAnsi="宋体" w:eastAsia="宋体" w:cs="宋体"/>
          <w:b w:val="0"/>
          <w:bCs w:val="0"/>
          <w:color w:val="auto"/>
          <w:sz w:val="21"/>
          <w:szCs w:val="21"/>
          <w:highlight w:val="none"/>
          <w:lang w:val="zh-CN"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cs="宋体"/>
          <w:b w:val="0"/>
          <w:bCs w:val="0"/>
          <w:color w:val="auto"/>
          <w:kern w:val="2"/>
          <w:sz w:val="21"/>
          <w:szCs w:val="21"/>
          <w:highlight w:val="none"/>
          <w:lang w:val="zh-CN"/>
        </w:rPr>
        <w:t>资格业绩</w:t>
      </w:r>
      <w:r>
        <w:rPr>
          <w:rFonts w:hint="eastAsia" w:ascii="宋体" w:hAnsi="宋体" w:eastAsia="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响应人</w:t>
      </w:r>
      <w:r>
        <w:rPr>
          <w:rFonts w:hint="eastAsia" w:ascii="宋体" w:hAnsi="宋体" w:eastAsia="宋体" w:cs="宋体"/>
          <w:b w:val="0"/>
          <w:bCs w:val="0"/>
          <w:color w:val="auto"/>
          <w:sz w:val="21"/>
          <w:szCs w:val="21"/>
          <w:highlight w:val="none"/>
          <w:lang w:val="zh-CN"/>
        </w:rPr>
        <w:t xml:space="preserve"> 2020 年 1 月 1 日起至今，完成至少1个垃圾焚烧发电厂或火力发电厂循环水排水回用加膜法处理系统的供货、安装或施工业绩（合同签订日期为</w:t>
      </w:r>
      <w:r>
        <w:rPr>
          <w:rFonts w:hint="eastAsia" w:ascii="宋体" w:hAnsi="宋体" w:cs="宋体"/>
          <w:b w:val="0"/>
          <w:bCs w:val="0"/>
          <w:color w:val="auto"/>
          <w:sz w:val="21"/>
          <w:szCs w:val="21"/>
          <w:highlight w:val="none"/>
          <w:lang w:val="zh-CN" w:eastAsia="zh-CN"/>
        </w:rPr>
        <w:t>202</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zh-CN"/>
        </w:rPr>
        <w:t>年</w:t>
      </w:r>
      <w:r>
        <w:rPr>
          <w:rFonts w:hint="eastAsia" w:ascii="宋体" w:hAnsi="宋体" w:cs="宋体"/>
          <w:b w:val="0"/>
          <w:bCs w:val="0"/>
          <w:color w:val="auto"/>
          <w:sz w:val="21"/>
          <w:szCs w:val="21"/>
          <w:highlight w:val="none"/>
          <w:lang w:val="zh-CN" w:eastAsia="zh-CN"/>
        </w:rPr>
        <w:t>1</w:t>
      </w:r>
      <w:r>
        <w:rPr>
          <w:rFonts w:hint="eastAsia" w:ascii="宋体" w:hAnsi="宋体" w:eastAsia="宋体" w:cs="宋体"/>
          <w:b w:val="0"/>
          <w:bCs w:val="0"/>
          <w:color w:val="auto"/>
          <w:sz w:val="21"/>
          <w:szCs w:val="21"/>
          <w:highlight w:val="none"/>
          <w:lang w:val="zh-CN"/>
        </w:rPr>
        <w:t>月</w:t>
      </w:r>
      <w:r>
        <w:rPr>
          <w:rFonts w:hint="eastAsia" w:ascii="宋体" w:hAnsi="宋体" w:cs="宋体"/>
          <w:b w:val="0"/>
          <w:bCs w:val="0"/>
          <w:color w:val="auto"/>
          <w:sz w:val="21"/>
          <w:szCs w:val="21"/>
          <w:highlight w:val="none"/>
          <w:lang w:val="zh-CN" w:eastAsia="zh-CN"/>
        </w:rPr>
        <w:t>1</w:t>
      </w:r>
      <w:r>
        <w:rPr>
          <w:rFonts w:hint="eastAsia" w:ascii="宋体" w:hAnsi="宋体" w:eastAsia="宋体" w:cs="宋体"/>
          <w:b w:val="0"/>
          <w:bCs w:val="0"/>
          <w:color w:val="auto"/>
          <w:sz w:val="21"/>
          <w:szCs w:val="21"/>
          <w:highlight w:val="none"/>
          <w:lang w:val="zh-CN"/>
        </w:rPr>
        <w:t>日或以后）</w:t>
      </w:r>
      <w:r>
        <w:rPr>
          <w:rFonts w:hint="eastAsia" w:ascii="宋体" w:hAnsi="宋体" w:cs="宋体"/>
          <w:b w:val="0"/>
          <w:bCs w:val="0"/>
          <w:color w:val="auto"/>
          <w:sz w:val="21"/>
          <w:szCs w:val="21"/>
          <w:highlight w:val="none"/>
          <w:lang w:val="zh-CN" w:eastAsia="zh-CN"/>
        </w:rPr>
        <w:t>】</w:t>
      </w:r>
    </w:p>
    <w:p>
      <w:pPr>
        <w:adjustRightInd w:val="0"/>
        <w:snapToGrid w:val="0"/>
        <w:spacing w:line="360" w:lineRule="auto"/>
        <w:rPr>
          <w:rFonts w:hAnsi="宋体"/>
          <w:color w:val="auto"/>
          <w:szCs w:val="21"/>
          <w:highlight w:val="none"/>
          <w:lang w:val="zh-CN"/>
        </w:rPr>
      </w:pP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8"/>
        <w:gridCol w:w="1246"/>
        <w:gridCol w:w="1243"/>
        <w:gridCol w:w="1141"/>
        <w:gridCol w:w="1207"/>
        <w:gridCol w:w="1591"/>
        <w:gridCol w:w="10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p>
        </w:tc>
      </w:tr>
    </w:tbl>
    <w:p>
      <w:pPr>
        <w:adjustRightInd w:val="0"/>
        <w:snapToGrid w:val="0"/>
        <w:spacing w:line="360" w:lineRule="auto"/>
        <w:ind w:left="424" w:hanging="424" w:hangingChars="201"/>
        <w:rPr>
          <w:rFonts w:hint="eastAsia" w:ascii="宋体" w:hAnsi="宋体" w:eastAsia="宋体" w:cs="宋体"/>
          <w:b/>
          <w:color w:val="auto"/>
          <w:szCs w:val="21"/>
          <w:highlight w:val="none"/>
          <w:lang w:val="zh-CN"/>
        </w:rPr>
      </w:pPr>
    </w:p>
    <w:p>
      <w:pPr>
        <w:pStyle w:val="2"/>
        <w:adjustRightInd w:val="0"/>
        <w:snapToGrid w:val="0"/>
        <w:spacing w:line="360" w:lineRule="auto"/>
        <w:rPr>
          <w:rFonts w:hint="default"/>
          <w:color w:val="auto"/>
          <w:highlight w:val="none"/>
          <w:lang w:val="en-US" w:eastAsia="zh-CN"/>
        </w:rPr>
      </w:pPr>
      <w:r>
        <w:rPr>
          <w:rFonts w:hint="default"/>
          <w:color w:val="auto"/>
          <w:highlight w:val="none"/>
          <w:lang w:val="en-US" w:eastAsia="zh-CN"/>
        </w:rPr>
        <w:t>按合同签订时间为准，须提供：</w:t>
      </w:r>
    </w:p>
    <w:p>
      <w:pPr>
        <w:pStyle w:val="2"/>
        <w:adjustRightInd w:val="0"/>
        <w:snapToGrid w:val="0"/>
        <w:spacing w:line="360" w:lineRule="auto"/>
        <w:rPr>
          <w:rFonts w:hint="default"/>
          <w:color w:val="auto"/>
          <w:highlight w:val="none"/>
          <w:lang w:val="en-US" w:eastAsia="zh-CN"/>
        </w:rPr>
      </w:pPr>
      <w:r>
        <w:rPr>
          <w:rFonts w:hint="default"/>
          <w:color w:val="auto"/>
          <w:highlight w:val="none"/>
          <w:lang w:val="en-US" w:eastAsia="zh-CN"/>
        </w:rPr>
        <w:t>①合同关键页复印件（包含但不限于合同首页、合同金额页、合同签字页等，须体现循环水排水经处理后回用的相关内容）</w:t>
      </w:r>
      <w:r>
        <w:rPr>
          <w:rFonts w:hint="eastAsia"/>
          <w:color w:val="auto"/>
          <w:highlight w:val="none"/>
          <w:lang w:val="en-US" w:eastAsia="zh-CN"/>
        </w:rPr>
        <w:t>；</w:t>
      </w:r>
    </w:p>
    <w:p>
      <w:pPr>
        <w:pStyle w:val="2"/>
        <w:adjustRightInd w:val="0"/>
        <w:snapToGrid w:val="0"/>
        <w:spacing w:line="360" w:lineRule="auto"/>
        <w:rPr>
          <w:rFonts w:hint="default"/>
          <w:color w:val="auto"/>
          <w:highlight w:val="none"/>
          <w:lang w:val="en-US" w:eastAsia="zh-CN"/>
        </w:rPr>
      </w:pPr>
      <w:r>
        <w:rPr>
          <w:rFonts w:hint="default"/>
          <w:color w:val="auto"/>
          <w:highlight w:val="none"/>
          <w:lang w:val="en-US" w:eastAsia="zh-CN"/>
        </w:rPr>
        <w:t>②对应每个业绩项目合同期内任意一期已开具的发票证明材料加盖公章</w:t>
      </w:r>
      <w:r>
        <w:rPr>
          <w:rFonts w:hint="eastAsia"/>
          <w:color w:val="auto"/>
          <w:highlight w:val="none"/>
          <w:lang w:val="en-US" w:eastAsia="zh-CN"/>
        </w:rPr>
        <w:t>。</w:t>
      </w:r>
    </w:p>
    <w:p>
      <w:pPr>
        <w:widowControl/>
        <w:jc w:val="left"/>
        <w:rPr>
          <w:rFonts w:hint="eastAsia"/>
          <w:color w:val="auto"/>
          <w:szCs w:val="21"/>
          <w:highlight w:val="none"/>
          <w:lang w:val="en-US" w:eastAsia="zh-CN"/>
        </w:rPr>
      </w:pPr>
    </w:p>
    <w:p>
      <w:pPr>
        <w:widowControl/>
        <w:jc w:val="left"/>
        <w:rPr>
          <w:rFonts w:hint="eastAsia"/>
          <w:color w:val="auto"/>
          <w:szCs w:val="21"/>
          <w:highlight w:val="none"/>
          <w:lang w:val="en-US" w:eastAsia="zh-CN"/>
        </w:rPr>
      </w:pPr>
      <w:r>
        <w:rPr>
          <w:rFonts w:hint="eastAsia"/>
          <w:color w:val="auto"/>
          <w:szCs w:val="21"/>
          <w:highlight w:val="none"/>
          <w:lang w:val="en-US" w:eastAsia="zh-CN"/>
        </w:rPr>
        <w:br w:type="page"/>
      </w:r>
    </w:p>
    <w:p>
      <w:pPr>
        <w:widowControl/>
        <w:jc w:val="left"/>
        <w:rPr>
          <w:rFonts w:hint="eastAsia"/>
          <w:color w:val="auto"/>
          <w:szCs w:val="21"/>
          <w:highlight w:val="none"/>
          <w:lang w:val="en-US" w:eastAsia="zh-CN"/>
        </w:rPr>
      </w:pPr>
      <w:r>
        <w:rPr>
          <w:rFonts w:hint="eastAsia"/>
          <w:color w:val="auto"/>
          <w:szCs w:val="21"/>
          <w:highlight w:val="none"/>
          <w:lang w:val="en-US" w:eastAsia="zh-CN"/>
        </w:rPr>
        <w:t>3.响应人在采购活动中前三年内未有重大违法记录、没有不良信用记录的声明函</w:t>
      </w:r>
    </w:p>
    <w:p>
      <w:pPr>
        <w:widowControl/>
        <w:jc w:val="left"/>
        <w:rPr>
          <w:rFonts w:hint="eastAsia"/>
          <w:color w:val="auto"/>
          <w:szCs w:val="21"/>
          <w:highlight w:val="none"/>
          <w:lang w:val="en-US" w:eastAsia="zh-CN"/>
        </w:rPr>
      </w:pPr>
    </w:p>
    <w:p>
      <w:pPr>
        <w:pStyle w:val="2"/>
        <w:ind w:firstLine="0" w:firstLineChars="0"/>
        <w:rPr>
          <w:rFonts w:hint="default"/>
          <w:color w:val="auto"/>
          <w:highlight w:val="none"/>
          <w:lang w:val="en-US" w:eastAsia="zh-CN"/>
        </w:rPr>
      </w:pPr>
      <w:r>
        <w:rPr>
          <w:rFonts w:hint="eastAsia"/>
          <w:color w:val="auto"/>
          <w:szCs w:val="21"/>
          <w:highlight w:val="none"/>
        </w:rPr>
        <w:t>致：</w:t>
      </w:r>
      <w:r>
        <w:rPr>
          <w:color w:val="auto"/>
          <w:szCs w:val="21"/>
          <w:highlight w:val="none"/>
          <w:u w:val="single"/>
        </w:rPr>
        <w:t xml:space="preserve">       </w:t>
      </w:r>
      <w:r>
        <w:rPr>
          <w:rFonts w:hint="eastAsia"/>
          <w:color w:val="auto"/>
          <w:szCs w:val="21"/>
          <w:highlight w:val="none"/>
          <w:u w:val="single"/>
        </w:rPr>
        <w:t>（采购人名称）</w:t>
      </w:r>
      <w:r>
        <w:rPr>
          <w:color w:val="auto"/>
          <w:szCs w:val="21"/>
          <w:highlight w:val="none"/>
          <w:u w:val="single"/>
        </w:rPr>
        <w:t xml:space="preserve">        </w:t>
      </w:r>
      <w:r>
        <w:rPr>
          <w:rFonts w:hint="eastAsia"/>
          <w:color w:val="auto"/>
          <w:szCs w:val="21"/>
          <w:highlight w:val="none"/>
        </w:rPr>
        <w:t>：</w:t>
      </w:r>
    </w:p>
    <w:p>
      <w:pPr>
        <w:widowControl/>
        <w:adjustRightInd w:val="0"/>
        <w:snapToGrid w:val="0"/>
        <w:spacing w:line="360" w:lineRule="auto"/>
        <w:ind w:firstLine="420" w:firstLineChars="200"/>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eastAsia"/>
          <w:color w:val="auto"/>
          <w:szCs w:val="21"/>
          <w:highlight w:val="none"/>
          <w:lang w:val="en-US" w:eastAsia="zh-CN"/>
        </w:rPr>
      </w:pPr>
      <w:r>
        <w:rPr>
          <w:rFonts w:hint="eastAsia"/>
          <w:color w:val="auto"/>
          <w:szCs w:val="21"/>
          <w:highlight w:val="none"/>
          <w:lang w:val="en-US" w:eastAsia="zh-CN"/>
        </w:rPr>
        <w:t>我公司郑重承诺：在参加“东莞市海心沙资源综合利用中心环保热电厂循环水膜处理系统采购项目（重新采购）” （项目编号：XDY-XJ-2025-020）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widowControl/>
        <w:adjustRightInd w:val="0"/>
        <w:snapToGrid w:val="0"/>
        <w:spacing w:line="360" w:lineRule="auto"/>
        <w:ind w:firstLine="420" w:firstLineChars="200"/>
        <w:jc w:val="left"/>
        <w:rPr>
          <w:rFonts w:hint="eastAsia"/>
          <w:color w:val="auto"/>
          <w:szCs w:val="21"/>
          <w:highlight w:val="none"/>
          <w:lang w:val="en-US" w:eastAsia="zh-CN"/>
        </w:rPr>
      </w:pPr>
      <w:r>
        <w:rPr>
          <w:rFonts w:hint="eastAsia"/>
          <w:color w:val="auto"/>
          <w:szCs w:val="21"/>
          <w:highlight w:val="none"/>
          <w:lang w:val="en-US" w:eastAsia="zh-CN"/>
        </w:rPr>
        <w:t>我公司以上承诺均为真实有效，绝无任何虚假、伪造的成份，否则，愿承担相应的后果和法律责任。</w:t>
      </w:r>
    </w:p>
    <w:p>
      <w:pPr>
        <w:widowControl/>
        <w:adjustRightInd w:val="0"/>
        <w:snapToGrid w:val="0"/>
        <w:spacing w:line="360" w:lineRule="auto"/>
        <w:ind w:firstLine="420" w:firstLineChars="200"/>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eastAsia"/>
          <w:color w:val="auto"/>
          <w:szCs w:val="21"/>
          <w:highlight w:val="none"/>
          <w:lang w:val="en-US" w:eastAsia="zh-CN"/>
        </w:rPr>
      </w:pPr>
      <w:r>
        <w:rPr>
          <w:rFonts w:hint="eastAsia"/>
          <w:color w:val="auto"/>
          <w:szCs w:val="21"/>
          <w:highlight w:val="none"/>
          <w:lang w:val="en-US" w:eastAsia="zh-CN"/>
        </w:rPr>
        <w:t>响应人名称（盖章）：</w:t>
      </w:r>
    </w:p>
    <w:p>
      <w:pPr>
        <w:widowControl/>
        <w:adjustRightInd w:val="0"/>
        <w:snapToGrid w:val="0"/>
        <w:spacing w:line="360" w:lineRule="auto"/>
        <w:ind w:firstLine="420" w:firstLineChars="200"/>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default"/>
          <w:color w:val="auto"/>
          <w:szCs w:val="21"/>
          <w:highlight w:val="none"/>
          <w:lang w:val="en-US" w:eastAsia="zh-CN"/>
        </w:rPr>
      </w:pPr>
      <w:r>
        <w:rPr>
          <w:rFonts w:hint="eastAsia"/>
          <w:color w:val="auto"/>
          <w:szCs w:val="21"/>
          <w:highlight w:val="none"/>
          <w:lang w:val="en-US" w:eastAsia="zh-CN"/>
        </w:rPr>
        <w:t>日期：</w:t>
      </w:r>
    </w:p>
    <w:p>
      <w:pPr>
        <w:widowControl/>
        <w:jc w:val="left"/>
        <w:rPr>
          <w:rFonts w:hint="eastAsia"/>
          <w:color w:val="auto"/>
          <w:szCs w:val="21"/>
          <w:highlight w:val="none"/>
          <w:lang w:val="en-US" w:eastAsia="zh-CN"/>
        </w:rPr>
      </w:pPr>
    </w:p>
    <w:p>
      <w:pPr>
        <w:widowControl/>
        <w:jc w:val="left"/>
        <w:rPr>
          <w:rFonts w:hint="eastAsia"/>
          <w:color w:val="auto"/>
          <w:szCs w:val="21"/>
          <w:highlight w:val="none"/>
          <w:lang w:val="en-US" w:eastAsia="zh-CN"/>
        </w:rPr>
      </w:pPr>
    </w:p>
    <w:p>
      <w:pPr>
        <w:widowControl/>
        <w:jc w:val="left"/>
        <w:rPr>
          <w:rFonts w:hint="eastAsia"/>
          <w:color w:val="auto"/>
          <w:szCs w:val="21"/>
          <w:highlight w:val="none"/>
          <w:lang w:val="en-US" w:eastAsia="zh-CN"/>
        </w:rPr>
      </w:pPr>
      <w:r>
        <w:rPr>
          <w:rFonts w:hint="eastAsia"/>
          <w:color w:val="auto"/>
          <w:szCs w:val="21"/>
          <w:highlight w:val="none"/>
          <w:lang w:val="en-US" w:eastAsia="zh-CN"/>
        </w:rPr>
        <w:br w:type="page"/>
      </w:r>
    </w:p>
    <w:p>
      <w:pPr>
        <w:widowControl/>
        <w:adjustRightInd w:val="0"/>
        <w:snapToGrid w:val="0"/>
        <w:spacing w:line="360" w:lineRule="auto"/>
        <w:jc w:val="left"/>
        <w:rPr>
          <w:rFonts w:hint="default"/>
          <w:color w:val="auto"/>
          <w:szCs w:val="21"/>
          <w:highlight w:val="none"/>
          <w:lang w:val="en-US" w:eastAsia="zh-CN"/>
        </w:rPr>
      </w:pPr>
      <w:r>
        <w:rPr>
          <w:rFonts w:hint="eastAsia"/>
          <w:color w:val="auto"/>
          <w:szCs w:val="21"/>
          <w:highlight w:val="none"/>
          <w:lang w:val="en-US" w:eastAsia="zh-CN"/>
        </w:rPr>
        <w:t>4.响应人须提供报价截止日前6个月内任意1个月，</w:t>
      </w:r>
      <w:r>
        <w:rPr>
          <w:rFonts w:hint="default" w:ascii="Calibri" w:hAnsi="Calibri" w:cs="Calibri"/>
          <w:color w:val="auto"/>
          <w:szCs w:val="21"/>
          <w:highlight w:val="none"/>
          <w:lang w:val="en-US" w:eastAsia="zh-CN"/>
        </w:rPr>
        <w:t>①</w:t>
      </w:r>
      <w:r>
        <w:rPr>
          <w:rFonts w:hint="eastAsia"/>
          <w:color w:val="auto"/>
          <w:szCs w:val="21"/>
          <w:highlight w:val="none"/>
          <w:lang w:val="en-US" w:eastAsia="zh-CN"/>
        </w:rPr>
        <w:t>依法缴纳税收证明材料，</w:t>
      </w:r>
      <w:r>
        <w:rPr>
          <w:rFonts w:hint="default" w:ascii="Calibri" w:hAnsi="Calibri" w:cs="Calibri"/>
          <w:color w:val="auto"/>
          <w:szCs w:val="21"/>
          <w:highlight w:val="none"/>
          <w:lang w:val="en-US" w:eastAsia="zh-CN"/>
        </w:rPr>
        <w:t>②</w:t>
      </w:r>
      <w:r>
        <w:rPr>
          <w:rFonts w:hint="eastAsia"/>
          <w:color w:val="auto"/>
          <w:szCs w:val="21"/>
          <w:highlight w:val="none"/>
          <w:lang w:val="en-US" w:eastAsia="zh-CN"/>
        </w:rPr>
        <w:t>无欠税的证明材料。如依法免税的，须提供相应证明材料。（证明材料须加盖公章）</w:t>
      </w:r>
    </w:p>
    <w:p>
      <w:pPr>
        <w:widowControl/>
        <w:jc w:val="left"/>
        <w:rPr>
          <w:rFonts w:hint="eastAsia"/>
          <w:color w:val="auto"/>
          <w:szCs w:val="21"/>
          <w:highlight w:val="none"/>
          <w:lang w:val="en-US" w:eastAsia="zh-CN"/>
        </w:rPr>
      </w:pPr>
    </w:p>
    <w:p>
      <w:pPr>
        <w:widowControl/>
        <w:jc w:val="left"/>
        <w:rPr>
          <w:rFonts w:hint="eastAsia"/>
          <w:color w:val="auto"/>
          <w:szCs w:val="21"/>
          <w:highlight w:val="none"/>
          <w:lang w:val="en-US" w:eastAsia="zh-CN"/>
        </w:rPr>
      </w:pPr>
      <w:r>
        <w:rPr>
          <w:rFonts w:hint="eastAsia"/>
          <w:color w:val="auto"/>
          <w:szCs w:val="21"/>
          <w:highlight w:val="none"/>
          <w:lang w:val="en-US" w:eastAsia="zh-CN"/>
        </w:rPr>
        <w:br w:type="page"/>
      </w:r>
    </w:p>
    <w:p>
      <w:pPr>
        <w:widowControl/>
        <w:jc w:val="left"/>
        <w:rPr>
          <w:rFonts w:hint="default"/>
          <w:color w:val="auto"/>
          <w:szCs w:val="21"/>
          <w:highlight w:val="none"/>
          <w:lang w:val="en-US" w:eastAsia="zh-CN"/>
        </w:rPr>
      </w:pPr>
      <w:r>
        <w:rPr>
          <w:rFonts w:hint="eastAsia"/>
          <w:color w:val="auto"/>
          <w:szCs w:val="21"/>
          <w:highlight w:val="none"/>
          <w:lang w:val="en-US" w:eastAsia="zh-CN"/>
        </w:rPr>
        <w:t>5.主要设备清单（包括但不限于）</w:t>
      </w:r>
    </w:p>
    <w:tbl>
      <w:tblPr>
        <w:tblStyle w:val="38"/>
        <w:tblW w:w="8410" w:type="dxa"/>
        <w:tblInd w:w="91" w:type="dxa"/>
        <w:tblLayout w:type="fixed"/>
        <w:tblCellMar>
          <w:top w:w="0" w:type="dxa"/>
          <w:left w:w="108" w:type="dxa"/>
          <w:bottom w:w="0" w:type="dxa"/>
          <w:right w:w="108" w:type="dxa"/>
        </w:tblCellMar>
      </w:tblPr>
      <w:tblGrid>
        <w:gridCol w:w="718"/>
        <w:gridCol w:w="1424"/>
        <w:gridCol w:w="1852"/>
        <w:gridCol w:w="744"/>
        <w:gridCol w:w="792"/>
        <w:gridCol w:w="840"/>
        <w:gridCol w:w="1248"/>
        <w:gridCol w:w="792"/>
      </w:tblGrid>
      <w:tr>
        <w:tblPrEx>
          <w:tblCellMar>
            <w:top w:w="0" w:type="dxa"/>
            <w:left w:w="108" w:type="dxa"/>
            <w:bottom w:w="0" w:type="dxa"/>
            <w:right w:w="108" w:type="dxa"/>
          </w:tblCellMar>
        </w:tblPrEx>
        <w:trPr>
          <w:trHeight w:val="0" w:hRule="atLeast"/>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85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规格型号</w:t>
            </w:r>
          </w:p>
        </w:tc>
        <w:tc>
          <w:tcPr>
            <w:tcW w:w="74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7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84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产地</w:t>
            </w:r>
          </w:p>
        </w:tc>
        <w:tc>
          <w:tcPr>
            <w:tcW w:w="124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生产厂家</w:t>
            </w:r>
          </w:p>
        </w:tc>
        <w:tc>
          <w:tcPr>
            <w:tcW w:w="7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高速精密过滤器系统</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原水泵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中间水箱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过滤器罐体</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进水滤网</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出水滤网</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滤料</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m³</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搅拌器</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电动蝶阀</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电动蝶阀</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手动蝶阀</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手动蝶阀</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管路</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液位计传感器</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超滤系统</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超滤原水泵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超滤大通量保安过滤器</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超滤膜元件</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机架</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反洗水泵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酸加药泵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碱加药泵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次氯酸钠加药泵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碱加药箱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酸加药箱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次氯酸钠加药箱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气压罐</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气源</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气动阀门</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本体管道</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产水和浓水电磁流量计</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现场数显</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压力表</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超滤水箱</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液位计传感器</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反渗透系统</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反渗透原水泵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反渗透大通量保安过滤器</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反渗透高压泵</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循环泵</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段间泵</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产水回用泵</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变频器</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反渗透膜元件</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反渗透膜壳</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机架</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RO产水箱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RO产水提升泵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RO浓水箱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RO浓水提升泵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杀菌剂加药泵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阻垢剂加药泵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还原剂加药泵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PH调节加药泵</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杀菌剂加药箱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阻垢剂加药箱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还原剂加药箱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PH加药箱</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化学清洗水泵</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4</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化学清</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洗水箱</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本体管道</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6</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进水，产水，浓水电导率仪</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电磁流量计</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现场数显</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压力表</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9</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电动球阀</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PH计</w:t>
            </w:r>
          </w:p>
        </w:tc>
        <w:tc>
          <w:tcPr>
            <w:tcW w:w="1852" w:type="dxa"/>
            <w:tcBorders>
              <w:top w:val="nil"/>
              <w:left w:val="nil"/>
              <w:bottom w:val="single" w:color="auto" w:sz="4" w:space="0"/>
              <w:right w:val="single" w:color="auto" w:sz="4" w:space="0"/>
            </w:tcBorders>
            <w:shd w:val="clear" w:color="000000" w:fill="FFFFFF"/>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液位计传感器</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现场管路和桥架</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电线电缆桥架</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控制系统</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电控系统</w:t>
            </w:r>
          </w:p>
        </w:tc>
        <w:tc>
          <w:tcPr>
            <w:tcW w:w="18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0" w:hRule="atLeast"/>
        </w:trPr>
        <w:tc>
          <w:tcPr>
            <w:tcW w:w="718" w:type="dxa"/>
            <w:tcBorders>
              <w:top w:val="single" w:color="auto" w:sz="4" w:space="0"/>
              <w:left w:val="single" w:color="auto" w:sz="4"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监控系统</w:t>
            </w:r>
          </w:p>
        </w:tc>
        <w:tc>
          <w:tcPr>
            <w:tcW w:w="1852"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44"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2"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40" w:type="dxa"/>
            <w:tcBorders>
              <w:top w:val="single" w:color="auto" w:sz="4"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248" w:type="dxa"/>
            <w:tcBorders>
              <w:top w:val="single" w:color="auto" w:sz="4" w:space="0"/>
              <w:left w:val="single" w:color="auto" w:sz="6" w:space="0"/>
              <w:bottom w:val="single" w:color="auto" w:sz="6"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792" w:type="dxa"/>
            <w:tcBorders>
              <w:top w:val="single" w:color="auto" w:sz="4" w:space="0"/>
              <w:left w:val="single" w:color="auto" w:sz="6" w:space="0"/>
              <w:bottom w:val="single" w:color="auto" w:sz="6"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p>
        </w:tc>
      </w:tr>
    </w:tbl>
    <w:p>
      <w:pPr>
        <w:widowControl/>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eastAsia"/>
          <w:color w:val="auto"/>
          <w:szCs w:val="21"/>
          <w:highlight w:val="none"/>
          <w:lang w:val="en-US" w:eastAsia="zh-CN"/>
        </w:rPr>
      </w:pPr>
      <w:r>
        <w:rPr>
          <w:rFonts w:hint="eastAsia"/>
          <w:color w:val="auto"/>
          <w:szCs w:val="21"/>
          <w:highlight w:val="none"/>
          <w:lang w:val="en-US" w:eastAsia="zh-CN"/>
        </w:rPr>
        <w:t>响应人名称（盖章）：</w:t>
      </w:r>
    </w:p>
    <w:p>
      <w:pPr>
        <w:widowControl/>
        <w:adjustRightInd w:val="0"/>
        <w:snapToGrid w:val="0"/>
        <w:spacing w:line="360" w:lineRule="auto"/>
        <w:ind w:firstLine="420" w:firstLineChars="200"/>
        <w:jc w:val="left"/>
        <w:rPr>
          <w:rFonts w:hint="eastAsia"/>
          <w:color w:val="auto"/>
          <w:szCs w:val="21"/>
          <w:highlight w:val="none"/>
          <w:lang w:val="en-US" w:eastAsia="zh-CN"/>
        </w:rPr>
      </w:pPr>
    </w:p>
    <w:p>
      <w:pPr>
        <w:widowControl/>
        <w:adjustRightInd w:val="0"/>
        <w:snapToGrid w:val="0"/>
        <w:spacing w:line="360" w:lineRule="auto"/>
        <w:ind w:firstLine="420" w:firstLineChars="200"/>
        <w:jc w:val="left"/>
        <w:rPr>
          <w:rFonts w:hint="default"/>
          <w:color w:val="auto"/>
          <w:szCs w:val="21"/>
          <w:highlight w:val="none"/>
          <w:lang w:val="en-US" w:eastAsia="zh-CN"/>
        </w:rPr>
      </w:pPr>
      <w:r>
        <w:rPr>
          <w:rFonts w:hint="eastAsia"/>
          <w:color w:val="auto"/>
          <w:szCs w:val="21"/>
          <w:highlight w:val="none"/>
          <w:lang w:val="en-US" w:eastAsia="zh-CN"/>
        </w:rPr>
        <w:t>日期：</w:t>
      </w:r>
    </w:p>
    <w:p>
      <w:pPr>
        <w:widowControl/>
        <w:jc w:val="left"/>
        <w:rPr>
          <w:rFonts w:hint="eastAsia"/>
          <w:color w:val="auto"/>
          <w:szCs w:val="21"/>
          <w:highlight w:val="none"/>
          <w:lang w:val="en-US" w:eastAsia="zh-CN"/>
        </w:rPr>
      </w:pPr>
      <w:r>
        <w:rPr>
          <w:rFonts w:hint="eastAsia"/>
          <w:color w:val="auto"/>
          <w:szCs w:val="21"/>
          <w:highlight w:val="none"/>
          <w:lang w:val="en-US" w:eastAsia="zh-CN"/>
        </w:rPr>
        <w:br w:type="page"/>
      </w:r>
    </w:p>
    <w:p>
      <w:pPr>
        <w:widowControl/>
        <w:jc w:val="left"/>
        <w:rPr>
          <w:rFonts w:hint="eastAsia"/>
          <w:color w:val="auto"/>
          <w:szCs w:val="21"/>
          <w:highlight w:val="none"/>
          <w:lang w:val="en-US" w:eastAsia="zh-CN"/>
        </w:rPr>
      </w:pPr>
      <w:r>
        <w:rPr>
          <w:rFonts w:hint="eastAsia"/>
          <w:color w:val="auto"/>
          <w:szCs w:val="21"/>
          <w:highlight w:val="none"/>
          <w:lang w:val="en-US" w:eastAsia="zh-CN"/>
        </w:rPr>
        <w:t>5.1 关键参数横向对比表</w:t>
      </w:r>
    </w:p>
    <w:p>
      <w:pPr>
        <w:widowControl/>
        <w:jc w:val="left"/>
        <w:rPr>
          <w:rFonts w:hint="eastAsia"/>
          <w:color w:val="auto"/>
          <w:szCs w:val="21"/>
          <w:highlight w:val="none"/>
          <w:lang w:val="en-US" w:eastAsia="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19"/>
        <w:gridCol w:w="1370"/>
        <w:gridCol w:w="1762"/>
        <w:gridCol w:w="1488"/>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lang w:val="en-US" w:eastAsia="zh-CN"/>
              </w:rPr>
            </w:pPr>
            <w:r>
              <w:rPr>
                <w:rFonts w:hint="eastAsia" w:ascii="宋体" w:hAnsi="宋体" w:eastAsia="宋体" w:cs="宋体"/>
                <w:i w:val="0"/>
                <w:iCs w:val="0"/>
                <w:caps w:val="0"/>
                <w:color w:val="auto"/>
                <w:spacing w:val="1"/>
                <w:sz w:val="21"/>
                <w:szCs w:val="21"/>
                <w:highlight w:val="none"/>
                <w:shd w:val="clear" w:fill="FFFFFF"/>
                <w:vertAlign w:val="baseline"/>
                <w:lang w:val="en-US" w:eastAsia="zh-CN"/>
              </w:rPr>
              <w:t>序号</w:t>
            </w:r>
          </w:p>
        </w:tc>
        <w:tc>
          <w:tcPr>
            <w:tcW w:w="1219" w:type="dxa"/>
            <w:vAlign w:val="center"/>
          </w:tcPr>
          <w:p>
            <w:pPr>
              <w:widowControl/>
              <w:adjustRightInd w:val="0"/>
              <w:snapToGrid w:val="0"/>
              <w:spacing w:line="240" w:lineRule="auto"/>
              <w:jc w:val="center"/>
              <w:rPr>
                <w:rFonts w:hint="default" w:ascii="宋体" w:hAnsi="宋体" w:eastAsia="宋体" w:cs="宋体"/>
                <w:i w:val="0"/>
                <w:iCs w:val="0"/>
                <w:caps w:val="0"/>
                <w:color w:val="auto"/>
                <w:spacing w:val="1"/>
                <w:sz w:val="21"/>
                <w:szCs w:val="21"/>
                <w:highlight w:val="none"/>
                <w:shd w:val="clear" w:fill="FFFFFF"/>
                <w:vertAlign w:val="baseline"/>
              </w:rPr>
            </w:pPr>
            <w:r>
              <w:rPr>
                <w:rFonts w:hint="eastAsia" w:ascii="宋体" w:hAnsi="宋体" w:eastAsia="宋体" w:cs="宋体"/>
                <w:i w:val="0"/>
                <w:iCs w:val="0"/>
                <w:caps w:val="0"/>
                <w:color w:val="auto"/>
                <w:spacing w:val="1"/>
                <w:sz w:val="21"/>
                <w:szCs w:val="21"/>
                <w:highlight w:val="none"/>
                <w:shd w:val="clear" w:fill="FFFFFF"/>
                <w:vertAlign w:val="baseline"/>
                <w:lang w:val="en-US" w:eastAsia="zh-CN"/>
              </w:rPr>
              <w:t>设备名称</w:t>
            </w:r>
          </w:p>
        </w:tc>
        <w:tc>
          <w:tcPr>
            <w:tcW w:w="1370" w:type="dxa"/>
            <w:vAlign w:val="center"/>
          </w:tcPr>
          <w:p>
            <w:pPr>
              <w:widowControl/>
              <w:adjustRightInd w:val="0"/>
              <w:snapToGrid w:val="0"/>
              <w:spacing w:line="240" w:lineRule="auto"/>
              <w:jc w:val="center"/>
              <w:rPr>
                <w:rFonts w:hint="default" w:ascii="宋体" w:hAnsi="宋体" w:eastAsia="宋体" w:cs="宋体"/>
                <w:i w:val="0"/>
                <w:iCs w:val="0"/>
                <w:caps w:val="0"/>
                <w:color w:val="auto"/>
                <w:spacing w:val="1"/>
                <w:sz w:val="21"/>
                <w:szCs w:val="21"/>
                <w:highlight w:val="none"/>
                <w:shd w:val="clear" w:fill="FFFFFF"/>
                <w:vertAlign w:val="baseline"/>
              </w:rPr>
            </w:pPr>
            <w:r>
              <w:rPr>
                <w:rFonts w:hint="eastAsia" w:ascii="宋体" w:hAnsi="宋体" w:eastAsia="宋体" w:cs="宋体"/>
                <w:i w:val="0"/>
                <w:iCs w:val="0"/>
                <w:caps w:val="0"/>
                <w:color w:val="auto"/>
                <w:spacing w:val="1"/>
                <w:sz w:val="21"/>
                <w:szCs w:val="21"/>
                <w:highlight w:val="none"/>
                <w:shd w:val="clear" w:fill="FFFFFF"/>
                <w:vertAlign w:val="baseline"/>
                <w:lang w:val="en-US" w:eastAsia="zh-CN"/>
              </w:rPr>
              <w:t>推荐品牌</w:t>
            </w:r>
          </w:p>
        </w:tc>
        <w:tc>
          <w:tcPr>
            <w:tcW w:w="1762" w:type="dxa"/>
            <w:vAlign w:val="center"/>
          </w:tcPr>
          <w:p>
            <w:pPr>
              <w:widowControl/>
              <w:adjustRightInd w:val="0"/>
              <w:snapToGrid w:val="0"/>
              <w:spacing w:line="240" w:lineRule="auto"/>
              <w:jc w:val="center"/>
              <w:rPr>
                <w:rFonts w:hint="default" w:ascii="宋体" w:hAnsi="宋体" w:eastAsia="宋体" w:cs="宋体"/>
                <w:i w:val="0"/>
                <w:iCs w:val="0"/>
                <w:caps w:val="0"/>
                <w:color w:val="auto"/>
                <w:spacing w:val="1"/>
                <w:sz w:val="21"/>
                <w:szCs w:val="21"/>
                <w:highlight w:val="none"/>
                <w:shd w:val="clear" w:fill="FFFFFF"/>
                <w:vertAlign w:val="baseline"/>
              </w:rPr>
            </w:pPr>
            <w:r>
              <w:rPr>
                <w:rFonts w:hint="eastAsia" w:ascii="宋体" w:hAnsi="宋体" w:eastAsia="宋体" w:cs="宋体"/>
                <w:i w:val="0"/>
                <w:iCs w:val="0"/>
                <w:caps w:val="0"/>
                <w:color w:val="auto"/>
                <w:spacing w:val="1"/>
                <w:sz w:val="21"/>
                <w:szCs w:val="21"/>
                <w:highlight w:val="none"/>
                <w:shd w:val="clear" w:fill="FFFFFF"/>
                <w:vertAlign w:val="baseline"/>
                <w:lang w:val="en-US" w:eastAsia="zh-CN"/>
              </w:rPr>
              <w:t>技术参数</w:t>
            </w:r>
          </w:p>
        </w:tc>
        <w:tc>
          <w:tcPr>
            <w:tcW w:w="1488" w:type="dxa"/>
            <w:vAlign w:val="center"/>
          </w:tcPr>
          <w:p>
            <w:pPr>
              <w:widowControl/>
              <w:adjustRightInd w:val="0"/>
              <w:snapToGrid w:val="0"/>
              <w:spacing w:line="240" w:lineRule="auto"/>
              <w:jc w:val="center"/>
              <w:rPr>
                <w:rFonts w:hint="default" w:ascii="宋体" w:hAnsi="宋体" w:eastAsia="宋体" w:cs="宋体"/>
                <w:i w:val="0"/>
                <w:iCs w:val="0"/>
                <w:caps w:val="0"/>
                <w:color w:val="auto"/>
                <w:spacing w:val="1"/>
                <w:sz w:val="21"/>
                <w:szCs w:val="21"/>
                <w:highlight w:val="none"/>
                <w:shd w:val="clear" w:fill="FFFFFF"/>
                <w:vertAlign w:val="baseline"/>
              </w:rPr>
            </w:pPr>
            <w:r>
              <w:rPr>
                <w:rFonts w:hint="eastAsia" w:ascii="宋体" w:hAnsi="宋体" w:eastAsia="宋体" w:cs="宋体"/>
                <w:i w:val="0"/>
                <w:iCs w:val="0"/>
                <w:caps w:val="0"/>
                <w:color w:val="auto"/>
                <w:spacing w:val="1"/>
                <w:sz w:val="21"/>
                <w:szCs w:val="21"/>
                <w:highlight w:val="none"/>
                <w:shd w:val="clear" w:fill="FFFFFF"/>
                <w:vertAlign w:val="baseline"/>
                <w:lang w:val="en-US" w:eastAsia="zh-CN"/>
              </w:rPr>
              <w:t>所投品牌</w:t>
            </w:r>
          </w:p>
        </w:tc>
        <w:tc>
          <w:tcPr>
            <w:tcW w:w="1795" w:type="dxa"/>
            <w:vAlign w:val="center"/>
          </w:tcPr>
          <w:p>
            <w:pPr>
              <w:widowControl/>
              <w:adjustRightInd w:val="0"/>
              <w:snapToGrid w:val="0"/>
              <w:spacing w:line="240" w:lineRule="auto"/>
              <w:jc w:val="center"/>
              <w:rPr>
                <w:rFonts w:hint="default" w:ascii="宋体" w:hAnsi="宋体" w:eastAsia="宋体" w:cs="宋体"/>
                <w:i w:val="0"/>
                <w:iCs w:val="0"/>
                <w:caps w:val="0"/>
                <w:color w:val="auto"/>
                <w:spacing w:val="1"/>
                <w:sz w:val="21"/>
                <w:szCs w:val="21"/>
                <w:highlight w:val="none"/>
                <w:shd w:val="clear" w:fill="FFFFFF"/>
                <w:vertAlign w:val="baseline"/>
                <w:lang w:val="en-US" w:eastAsia="zh-CN"/>
              </w:rPr>
            </w:pPr>
            <w:r>
              <w:rPr>
                <w:rFonts w:hint="eastAsia" w:ascii="宋体" w:hAnsi="宋体" w:eastAsia="宋体" w:cs="宋体"/>
                <w:i w:val="0"/>
                <w:iCs w:val="0"/>
                <w:caps w:val="0"/>
                <w:color w:val="auto"/>
                <w:spacing w:val="1"/>
                <w:sz w:val="21"/>
                <w:szCs w:val="21"/>
                <w:highlight w:val="none"/>
                <w:shd w:val="clear" w:fill="FFFFFF"/>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219"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370"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762"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488"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795"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219"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370"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762"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488"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795"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219"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370"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762"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488"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c>
          <w:tcPr>
            <w:tcW w:w="1795" w:type="dxa"/>
            <w:vAlign w:val="center"/>
          </w:tcPr>
          <w:p>
            <w:pPr>
              <w:widowControl/>
              <w:adjustRightInd w:val="0"/>
              <w:snapToGrid w:val="0"/>
              <w:spacing w:line="240" w:lineRule="auto"/>
              <w:jc w:val="center"/>
              <w:rPr>
                <w:rFonts w:hint="eastAsia" w:ascii="宋体" w:hAnsi="宋体" w:eastAsia="宋体" w:cs="宋体"/>
                <w:i w:val="0"/>
                <w:iCs w:val="0"/>
                <w:caps w:val="0"/>
                <w:color w:val="auto"/>
                <w:spacing w:val="1"/>
                <w:sz w:val="21"/>
                <w:szCs w:val="21"/>
                <w:highlight w:val="none"/>
                <w:shd w:val="clear" w:fill="FFFFFF"/>
                <w:vertAlign w:val="baseline"/>
              </w:rPr>
            </w:pPr>
          </w:p>
        </w:tc>
      </w:tr>
    </w:tbl>
    <w:p>
      <w:pPr>
        <w:widowControl/>
        <w:adjustRightInd w:val="0"/>
        <w:snapToGrid w:val="0"/>
        <w:spacing w:line="360" w:lineRule="auto"/>
        <w:ind w:firstLine="0" w:firstLineChars="0"/>
        <w:jc w:val="left"/>
        <w:rPr>
          <w:rFonts w:ascii="helvetica" w:hAnsi="helvetica" w:eastAsia="helvetica" w:cs="helvetica"/>
          <w:i w:val="0"/>
          <w:iCs w:val="0"/>
          <w:caps w:val="0"/>
          <w:color w:val="auto"/>
          <w:spacing w:val="1"/>
          <w:sz w:val="24"/>
          <w:szCs w:val="24"/>
          <w:highlight w:val="none"/>
          <w:shd w:val="clear" w:fill="FFFFFF"/>
        </w:rPr>
      </w:pPr>
    </w:p>
    <w:p>
      <w:pPr>
        <w:widowControl/>
        <w:adjustRightInd w:val="0"/>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若响应人所投设备的品牌与用户需求书中列明的推荐品牌不一致，须提供所投品牌设备与推荐品牌设备的技术参数对比表，逐项说明所投产品在设备耐用性、节能降耗、产水量、脱盐率、高速精密过滤器系统的过滤速度及滤料优势等参数优于推荐品牌，确保满足项目实际应用需求。若所投设备品牌与用户需求书中推荐品牌一致，则无需提供参数对比表。</w:t>
      </w:r>
    </w:p>
    <w:p>
      <w:pPr>
        <w:widowControl/>
        <w:adjustRightInd w:val="0"/>
        <w:snapToGrid w:val="0"/>
        <w:spacing w:line="360" w:lineRule="auto"/>
        <w:ind w:firstLine="424" w:firstLineChars="200"/>
        <w:jc w:val="left"/>
        <w:rPr>
          <w:rFonts w:hint="eastAsia" w:ascii="宋体" w:hAnsi="宋体" w:eastAsia="宋体" w:cs="宋体"/>
          <w:color w:val="auto"/>
          <w:sz w:val="21"/>
          <w:szCs w:val="21"/>
          <w:highlight w:val="none"/>
          <w:lang w:val="en-US" w:eastAsia="zh-CN"/>
        </w:rPr>
      </w:pPr>
      <w:r>
        <w:rPr>
          <w:rFonts w:hint="eastAsia" w:ascii="宋体" w:hAnsi="宋体" w:cs="宋体"/>
          <w:i w:val="0"/>
          <w:iCs w:val="0"/>
          <w:caps w:val="0"/>
          <w:color w:val="auto"/>
          <w:spacing w:val="1"/>
          <w:sz w:val="21"/>
          <w:szCs w:val="21"/>
          <w:highlight w:val="none"/>
          <w:shd w:val="clear" w:fill="FFFFFF"/>
          <w:lang w:val="en-US" w:eastAsia="zh-CN"/>
        </w:rPr>
        <w:t>2</w:t>
      </w:r>
      <w:r>
        <w:rPr>
          <w:rFonts w:hint="eastAsia" w:ascii="宋体" w:hAnsi="宋体" w:eastAsia="宋体" w:cs="宋体"/>
          <w:i w:val="0"/>
          <w:iCs w:val="0"/>
          <w:caps w:val="0"/>
          <w:color w:val="auto"/>
          <w:spacing w:val="1"/>
          <w:sz w:val="21"/>
          <w:szCs w:val="21"/>
          <w:highlight w:val="none"/>
          <w:shd w:val="clear" w:fill="FFFFFF"/>
          <w:lang w:val="en-US" w:eastAsia="zh-CN"/>
        </w:rPr>
        <w:t>、</w:t>
      </w:r>
      <w:r>
        <w:rPr>
          <w:rFonts w:hint="eastAsia" w:ascii="宋体" w:hAnsi="宋体" w:eastAsia="宋体" w:cs="宋体"/>
          <w:i w:val="0"/>
          <w:iCs w:val="0"/>
          <w:caps w:val="0"/>
          <w:color w:val="auto"/>
          <w:spacing w:val="1"/>
          <w:sz w:val="21"/>
          <w:szCs w:val="21"/>
          <w:highlight w:val="none"/>
          <w:shd w:val="clear" w:fill="FFFFFF"/>
        </w:rPr>
        <w:t>须提供真实、有效且清晰的相关证明材料作为佐证，</w:t>
      </w:r>
      <w:r>
        <w:rPr>
          <w:rFonts w:hint="eastAsia" w:ascii="宋体" w:hAnsi="宋体" w:eastAsia="宋体" w:cs="宋体"/>
          <w:i w:val="0"/>
          <w:iCs w:val="0"/>
          <w:caps w:val="0"/>
          <w:color w:val="auto"/>
          <w:spacing w:val="1"/>
          <w:sz w:val="21"/>
          <w:szCs w:val="21"/>
          <w:highlight w:val="none"/>
          <w:shd w:val="clear" w:fill="FFFFFF"/>
          <w:lang w:val="en-US" w:eastAsia="zh-CN"/>
        </w:rPr>
        <w:t>如</w:t>
      </w:r>
      <w:r>
        <w:rPr>
          <w:rFonts w:hint="eastAsia" w:ascii="宋体" w:hAnsi="宋体" w:eastAsia="宋体" w:cs="宋体"/>
          <w:color w:val="auto"/>
          <w:sz w:val="21"/>
          <w:szCs w:val="21"/>
          <w:highlight w:val="none"/>
        </w:rPr>
        <w:t>官方网站截图、第三方检测报告、产品技术手册等</w:t>
      </w:r>
      <w:r>
        <w:rPr>
          <w:rFonts w:hint="eastAsia" w:ascii="宋体" w:hAnsi="宋体" w:eastAsia="宋体" w:cs="宋体"/>
          <w:color w:val="auto"/>
          <w:sz w:val="21"/>
          <w:szCs w:val="21"/>
          <w:highlight w:val="none"/>
          <w:lang w:eastAsia="zh-CN"/>
        </w:rPr>
        <w:t>。</w:t>
      </w:r>
    </w:p>
    <w:p>
      <w:pPr>
        <w:widowControl/>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rPr>
      </w:pPr>
    </w:p>
    <w:p>
      <w:pPr>
        <w:widowControl/>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rPr>
      </w:pPr>
    </w:p>
    <w:p>
      <w:pPr>
        <w:widowControl/>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响应人名称（盖章）：</w:t>
      </w:r>
    </w:p>
    <w:p>
      <w:pPr>
        <w:widowControl/>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rPr>
      </w:pPr>
    </w:p>
    <w:p>
      <w:pPr>
        <w:widowControl/>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日期：</w:t>
      </w:r>
    </w:p>
    <w:p>
      <w:pPr>
        <w:widowControl/>
        <w:jc w:val="left"/>
        <w:rPr>
          <w:rFonts w:hint="eastAsia"/>
          <w:color w:val="auto"/>
          <w:szCs w:val="21"/>
          <w:highlight w:val="none"/>
          <w:lang w:val="en-US" w:eastAsia="zh-CN"/>
        </w:rPr>
      </w:pPr>
    </w:p>
    <w:p>
      <w:pPr>
        <w:widowControl/>
        <w:jc w:val="left"/>
        <w:rPr>
          <w:rFonts w:hint="eastAsia"/>
          <w:color w:val="auto"/>
          <w:szCs w:val="21"/>
          <w:highlight w:val="none"/>
          <w:lang w:val="en-US" w:eastAsia="zh-CN"/>
        </w:rPr>
      </w:pPr>
    </w:p>
    <w:p>
      <w:pPr>
        <w:widowControl/>
        <w:jc w:val="left"/>
        <w:rPr>
          <w:rFonts w:hint="eastAsia"/>
          <w:color w:val="auto"/>
          <w:szCs w:val="21"/>
          <w:highlight w:val="none"/>
          <w:lang w:val="en-US" w:eastAsia="zh-CN"/>
        </w:rPr>
      </w:pPr>
      <w:r>
        <w:rPr>
          <w:rFonts w:hint="eastAsia"/>
          <w:color w:val="auto"/>
          <w:szCs w:val="21"/>
          <w:highlight w:val="none"/>
          <w:lang w:val="en-US" w:eastAsia="zh-CN"/>
        </w:rPr>
        <w:br w:type="page"/>
      </w:r>
    </w:p>
    <w:p>
      <w:pPr>
        <w:pStyle w:val="4"/>
        <w:jc w:val="center"/>
        <w:rPr>
          <w:color w:val="auto"/>
          <w:highlight w:val="none"/>
        </w:rPr>
      </w:pPr>
      <w:bookmarkStart w:id="398" w:name="_Toc32385"/>
      <w:r>
        <w:rPr>
          <w:rFonts w:hint="eastAsia"/>
          <w:color w:val="auto"/>
          <w:highlight w:val="none"/>
        </w:rPr>
        <w:t>十一、其他需要补充的资料</w:t>
      </w:r>
      <w:bookmarkEnd w:id="398"/>
    </w:p>
    <w:p>
      <w:pPr>
        <w:widowControl/>
        <w:jc w:val="left"/>
        <w:rPr>
          <w:color w:val="auto"/>
          <w:szCs w:val="21"/>
          <w:highlight w:val="none"/>
        </w:rPr>
      </w:pPr>
      <w:r>
        <w:rPr>
          <w:color w:val="auto"/>
          <w:szCs w:val="21"/>
          <w:highlight w:val="none"/>
        </w:rPr>
        <w:br w:type="page"/>
      </w:r>
    </w:p>
    <w:p>
      <w:pPr>
        <w:pStyle w:val="4"/>
        <w:jc w:val="left"/>
        <w:rPr>
          <w:color w:val="auto"/>
          <w:highlight w:val="none"/>
        </w:rPr>
      </w:pPr>
      <w:bookmarkStart w:id="399" w:name="_Toc486425443"/>
      <w:bookmarkStart w:id="400" w:name="_Toc24409"/>
      <w:r>
        <w:rPr>
          <w:rFonts w:hint="eastAsia"/>
          <w:color w:val="auto"/>
          <w:highlight w:val="none"/>
        </w:rPr>
        <w:t>第二部分</w:t>
      </w:r>
      <w:r>
        <w:rPr>
          <w:color w:val="auto"/>
          <w:highlight w:val="none"/>
        </w:rPr>
        <w:t xml:space="preserve">  </w:t>
      </w:r>
      <w:r>
        <w:rPr>
          <w:rFonts w:hint="eastAsia"/>
          <w:color w:val="auto"/>
          <w:highlight w:val="none"/>
        </w:rPr>
        <w:t>经济部分</w:t>
      </w:r>
      <w:bookmarkEnd w:id="399"/>
      <w:bookmarkEnd w:id="400"/>
    </w:p>
    <w:p>
      <w:pPr>
        <w:pStyle w:val="4"/>
        <w:spacing w:line="240" w:lineRule="auto"/>
        <w:rPr>
          <w:rFonts w:ascii="黑体" w:hAnsi="Times New Roman"/>
          <w:b w:val="0"/>
          <w:bCs w:val="0"/>
          <w:color w:val="auto"/>
          <w:sz w:val="28"/>
          <w:szCs w:val="28"/>
          <w:highlight w:val="none"/>
        </w:rPr>
      </w:pPr>
      <w:bookmarkStart w:id="401" w:name="_Toc24571"/>
      <w:bookmarkStart w:id="402" w:name="_Toc486425444"/>
      <w:bookmarkStart w:id="403" w:name="_Toc338669163"/>
      <w:r>
        <w:rPr>
          <w:rFonts w:hint="eastAsia" w:ascii="黑体" w:hAnsi="Times New Roman"/>
          <w:b w:val="0"/>
          <w:bCs w:val="0"/>
          <w:color w:val="auto"/>
          <w:sz w:val="28"/>
          <w:szCs w:val="28"/>
          <w:highlight w:val="none"/>
        </w:rPr>
        <w:t>一、报价一览表</w:t>
      </w:r>
      <w:bookmarkEnd w:id="401"/>
      <w:bookmarkEnd w:id="402"/>
      <w:bookmarkEnd w:id="403"/>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rFonts w:hint="eastAsia"/>
          <w:color w:val="auto"/>
          <w:szCs w:val="21"/>
          <w:highlight w:val="none"/>
          <w:u w:val="single"/>
        </w:rPr>
        <w:t>（采购人名称）</w:t>
      </w:r>
      <w:r>
        <w:rPr>
          <w:color w:val="auto"/>
          <w:szCs w:val="21"/>
          <w:highlight w:val="none"/>
          <w:u w:val="single"/>
        </w:rPr>
        <w:t xml:space="preserve">        </w:t>
      </w:r>
      <w:r>
        <w:rPr>
          <w:rFonts w:hint="eastAsia"/>
          <w:color w:val="auto"/>
          <w:szCs w:val="21"/>
          <w:highlight w:val="none"/>
        </w:rPr>
        <w:t>：</w:t>
      </w:r>
    </w:p>
    <w:p>
      <w:pPr>
        <w:pStyle w:val="121"/>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5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650" w:type="pct"/>
            <w:tcBorders>
              <w:bottom w:val="single" w:color="auto" w:sz="4" w:space="0"/>
            </w:tcBorders>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w:t>
            </w:r>
          </w:p>
        </w:tc>
        <w:tc>
          <w:tcPr>
            <w:tcW w:w="3349" w:type="pct"/>
            <w:tcBorders>
              <w:bottom w:val="single" w:color="auto" w:sz="4" w:space="0"/>
            </w:tcBorders>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1650" w:type="pct"/>
            <w:tcBorders>
              <w:bottom w:val="single" w:color="auto" w:sz="2" w:space="0"/>
            </w:tcBorders>
            <w:vAlign w:val="center"/>
          </w:tcPr>
          <w:p>
            <w:pPr>
              <w:pStyle w:val="122"/>
              <w:keepNext w:val="0"/>
              <w:keepLines w:val="0"/>
              <w:pageBreakBefore w:val="0"/>
              <w:widowControl w:val="0"/>
              <w:pBdr>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textAlignment w:val="auto"/>
              <w:rPr>
                <w:rFonts w:hint="eastAsia" w:ascii="宋体" w:hAnsi="宋体" w:eastAsia="宋体" w:cs="宋体"/>
                <w:bCs/>
                <w:color w:val="auto"/>
                <w:sz w:val="21"/>
                <w:szCs w:val="21"/>
                <w:highlight w:val="none"/>
                <w:lang w:eastAsia="zh-CN"/>
              </w:rPr>
            </w:pPr>
            <w:r>
              <w:rPr>
                <w:rFonts w:hint="eastAsia" w:ascii="宋体" w:cs="宋体"/>
                <w:bCs/>
                <w:color w:val="auto"/>
                <w:sz w:val="21"/>
                <w:szCs w:val="21"/>
                <w:highlight w:val="none"/>
                <w:lang w:eastAsia="zh-CN"/>
              </w:rPr>
              <w:t>东莞市海心沙资源综合利用中心环保热电厂循环水膜处理系统采购项目（重新采购）</w:t>
            </w:r>
          </w:p>
        </w:tc>
        <w:tc>
          <w:tcPr>
            <w:tcW w:w="3349" w:type="pct"/>
            <w:tcBorders>
              <w:bottom w:val="single" w:color="auto" w:sz="2" w:space="0"/>
            </w:tcBorders>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元</w:t>
            </w:r>
            <w:r>
              <w:rPr>
                <w:rFonts w:hint="eastAsia" w:ascii="宋体" w:hAnsi="宋体" w:eastAsia="宋体" w:cs="宋体"/>
                <w:color w:val="auto"/>
                <w:sz w:val="21"/>
                <w:szCs w:val="21"/>
                <w:highlight w:val="none"/>
              </w:rPr>
              <w:t>）其中，增值税税率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1.供应商须按要求填写所有信息，不得随意更改本表格式。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2.所有价格均应以人民币报价，金额单位为元。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59" w:firstLineChars="171"/>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w:t>
      </w:r>
      <w:r>
        <w:rPr>
          <w:rFonts w:hint="eastAsia" w:ascii="宋体" w:hAnsi="宋体" w:eastAsia="宋体" w:cs="宋体"/>
          <w:color w:val="auto"/>
          <w:sz w:val="21"/>
          <w:szCs w:val="21"/>
          <w:highlight w:val="none"/>
        </w:rPr>
        <w:t>名称（加盖公章）：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供应商法定代表人或受委托人（签名或盖私章）：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59" w:firstLineChars="171"/>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391" w:hanging="390" w:hangingChars="18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总价栏须用大写金额和小写金额两种方式表示的</w:t>
      </w:r>
      <w:r>
        <w:rPr>
          <w:rFonts w:hint="eastAsia" w:ascii="宋体" w:hAnsi="宋体" w:eastAsia="宋体" w:cs="宋体"/>
          <w:color w:val="auto"/>
          <w:sz w:val="21"/>
          <w:szCs w:val="21"/>
          <w:highlight w:val="none"/>
          <w:lang w:val="en-US" w:eastAsia="zh-CN"/>
        </w:rPr>
        <w:t>报</w:t>
      </w:r>
      <w:r>
        <w:rPr>
          <w:rFonts w:hint="eastAsia" w:ascii="宋体" w:hAnsi="宋体" w:eastAsia="宋体" w:cs="宋体"/>
          <w:color w:val="auto"/>
          <w:sz w:val="21"/>
          <w:szCs w:val="21"/>
          <w:highlight w:val="none"/>
        </w:rPr>
        <w:t>价，报价保留小数点后两位。</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大小写不一致，以大写为准。</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必须准确唯一且应包含</w:t>
      </w:r>
      <w:r>
        <w:rPr>
          <w:rFonts w:hint="eastAsia" w:ascii="宋体" w:hAnsi="宋体" w:cs="宋体"/>
          <w:color w:val="auto"/>
          <w:sz w:val="21"/>
          <w:szCs w:val="21"/>
          <w:highlight w:val="none"/>
          <w:lang w:eastAsia="zh-CN"/>
        </w:rPr>
        <w:t>询价文件</w:t>
      </w:r>
      <w:r>
        <w:rPr>
          <w:rFonts w:hint="eastAsia" w:ascii="宋体" w:hAnsi="宋体" w:eastAsia="宋体" w:cs="宋体"/>
          <w:color w:val="auto"/>
          <w:sz w:val="21"/>
          <w:szCs w:val="21"/>
          <w:highlight w:val="none"/>
        </w:rPr>
        <w:t>要求的所有费用。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2、温馨提示：未按</w:t>
      </w:r>
      <w:r>
        <w:rPr>
          <w:rFonts w:hint="eastAsia" w:ascii="宋体" w:hAnsi="宋体" w:cs="宋体"/>
          <w:color w:val="auto"/>
          <w:sz w:val="21"/>
          <w:szCs w:val="21"/>
          <w:highlight w:val="none"/>
          <w:lang w:eastAsia="zh-CN"/>
        </w:rPr>
        <w:t>询价文件</w:t>
      </w:r>
      <w:r>
        <w:rPr>
          <w:rFonts w:hint="eastAsia" w:ascii="宋体" w:hAnsi="宋体" w:eastAsia="宋体" w:cs="宋体"/>
          <w:color w:val="auto"/>
          <w:sz w:val="21"/>
          <w:szCs w:val="21"/>
          <w:highlight w:val="none"/>
        </w:rPr>
        <w:t>要求报价、填写报价一览表是导致供应商废标的常见问题，请供应商仔细填写，认真核对。</w:t>
      </w:r>
    </w:p>
    <w:p>
      <w:pPr>
        <w:rPr>
          <w:color w:val="auto"/>
          <w:highlight w:val="none"/>
        </w:rPr>
      </w:pPr>
    </w:p>
    <w:p>
      <w:pPr>
        <w:rPr>
          <w:rFonts w:hint="eastAsia" w:ascii="黑体" w:hAnsi="Times New Roman"/>
          <w:b w:val="0"/>
          <w:bCs w:val="0"/>
          <w:color w:val="auto"/>
          <w:sz w:val="28"/>
          <w:szCs w:val="28"/>
          <w:highlight w:val="none"/>
        </w:rPr>
      </w:pPr>
      <w:bookmarkStart w:id="404" w:name="_Toc338669164"/>
      <w:bookmarkStart w:id="405" w:name="_Toc486425445"/>
      <w:r>
        <w:rPr>
          <w:rFonts w:hint="eastAsia" w:ascii="黑体" w:hAnsi="Times New Roman"/>
          <w:b w:val="0"/>
          <w:bCs w:val="0"/>
          <w:color w:val="auto"/>
          <w:sz w:val="28"/>
          <w:szCs w:val="28"/>
          <w:highlight w:val="none"/>
        </w:rPr>
        <w:br w:type="page"/>
      </w:r>
    </w:p>
    <w:p>
      <w:pPr>
        <w:pStyle w:val="4"/>
        <w:spacing w:line="240" w:lineRule="auto"/>
        <w:rPr>
          <w:rFonts w:ascii="黑体" w:hAnsi="Times New Roman"/>
          <w:b w:val="0"/>
          <w:bCs w:val="0"/>
          <w:color w:val="auto"/>
          <w:sz w:val="28"/>
          <w:szCs w:val="28"/>
          <w:highlight w:val="none"/>
        </w:rPr>
      </w:pPr>
      <w:bookmarkStart w:id="406" w:name="_Toc24709"/>
      <w:r>
        <w:rPr>
          <w:rFonts w:hint="eastAsia" w:ascii="黑体" w:hAnsi="Times New Roman"/>
          <w:b w:val="0"/>
          <w:bCs w:val="0"/>
          <w:color w:val="auto"/>
          <w:sz w:val="28"/>
          <w:szCs w:val="28"/>
          <w:highlight w:val="none"/>
        </w:rPr>
        <w:t>二、分项报价表</w:t>
      </w:r>
      <w:bookmarkEnd w:id="404"/>
      <w:bookmarkEnd w:id="405"/>
      <w:bookmarkEnd w:id="406"/>
    </w:p>
    <w:p>
      <w:pPr>
        <w:numPr>
          <w:ilvl w:val="0"/>
          <w:numId w:val="0"/>
        </w:numPr>
        <w:autoSpaceDE w:val="0"/>
        <w:autoSpaceDN w:val="0"/>
        <w:adjustRightInd w:val="0"/>
        <w:spacing w:line="360" w:lineRule="auto"/>
        <w:jc w:val="center"/>
        <w:rPr>
          <w:rFonts w:hint="eastAsia" w:ascii="Times New Roman" w:hAnsi="宋体" w:eastAsia="宋体" w:cs="Times New Roman"/>
          <w:color w:val="auto"/>
          <w:szCs w:val="21"/>
          <w:highlight w:val="none"/>
          <w:lang w:eastAsia="zh-CN"/>
        </w:rPr>
      </w:pPr>
      <w:r>
        <w:rPr>
          <w:rFonts w:hint="eastAsia" w:ascii="Times New Roman" w:hAnsi="宋体" w:eastAsia="宋体" w:cs="Times New Roman"/>
          <w:color w:val="auto"/>
          <w:szCs w:val="21"/>
          <w:highlight w:val="none"/>
        </w:rPr>
        <w:t>报价清单</w:t>
      </w:r>
      <w:r>
        <w:rPr>
          <w:rFonts w:hint="eastAsia" w:hAnsi="宋体" w:cs="Times New Roman"/>
          <w:color w:val="auto"/>
          <w:szCs w:val="21"/>
          <w:highlight w:val="none"/>
          <w:lang w:eastAsia="zh-CN"/>
        </w:rPr>
        <w:t>（</w:t>
      </w:r>
      <w:r>
        <w:rPr>
          <w:rFonts w:hint="eastAsia" w:hAnsi="宋体" w:cs="Times New Roman"/>
          <w:color w:val="auto"/>
          <w:szCs w:val="21"/>
          <w:highlight w:val="none"/>
          <w:lang w:val="en-US" w:eastAsia="zh-CN"/>
        </w:rPr>
        <w:t>参考</w:t>
      </w:r>
      <w:r>
        <w:rPr>
          <w:rFonts w:hint="eastAsia" w:hAnsi="宋体" w:cs="Times New Roman"/>
          <w:color w:val="auto"/>
          <w:szCs w:val="21"/>
          <w:highlight w:val="none"/>
          <w:lang w:eastAsia="zh-CN"/>
        </w:rPr>
        <w:t>）</w:t>
      </w:r>
    </w:p>
    <w:tbl>
      <w:tblPr>
        <w:tblStyle w:val="38"/>
        <w:tblW w:w="4997" w:type="pct"/>
        <w:tblInd w:w="0" w:type="dxa"/>
        <w:tblLayout w:type="autofit"/>
        <w:tblCellMar>
          <w:top w:w="0" w:type="dxa"/>
          <w:left w:w="108" w:type="dxa"/>
          <w:bottom w:w="0" w:type="dxa"/>
          <w:right w:w="108" w:type="dxa"/>
        </w:tblCellMar>
      </w:tblPr>
      <w:tblGrid>
        <w:gridCol w:w="682"/>
        <w:gridCol w:w="1169"/>
        <w:gridCol w:w="1169"/>
        <w:gridCol w:w="690"/>
        <w:gridCol w:w="700"/>
        <w:gridCol w:w="857"/>
        <w:gridCol w:w="985"/>
        <w:gridCol w:w="1230"/>
        <w:gridCol w:w="1035"/>
      </w:tblGrid>
      <w:tr>
        <w:tblPrEx>
          <w:tblCellMar>
            <w:top w:w="0" w:type="dxa"/>
            <w:left w:w="108" w:type="dxa"/>
            <w:bottom w:w="0" w:type="dxa"/>
            <w:right w:w="108" w:type="dxa"/>
          </w:tblCellMar>
        </w:tblPrEx>
        <w:trPr>
          <w:trHeight w:val="570" w:hRule="atLeast"/>
        </w:trPr>
        <w:tc>
          <w:tcPr>
            <w:tcW w:w="40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86"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686"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规格型号</w:t>
            </w:r>
          </w:p>
        </w:tc>
        <w:tc>
          <w:tcPr>
            <w:tcW w:w="405"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411"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502"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单价</w:t>
            </w:r>
          </w:p>
        </w:tc>
        <w:tc>
          <w:tcPr>
            <w:tcW w:w="578"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总价（含税）</w:t>
            </w:r>
          </w:p>
        </w:tc>
        <w:tc>
          <w:tcPr>
            <w:tcW w:w="722"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品牌/厂家</w:t>
            </w:r>
          </w:p>
        </w:tc>
        <w:tc>
          <w:tcPr>
            <w:tcW w:w="607"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tblPrEx>
          <w:tblCellMar>
            <w:top w:w="0" w:type="dxa"/>
            <w:left w:w="108" w:type="dxa"/>
            <w:bottom w:w="0" w:type="dxa"/>
            <w:right w:w="108" w:type="dxa"/>
          </w:tblCellMar>
        </w:tblPrEx>
        <w:trPr>
          <w:trHeight w:val="90" w:hRule="atLeast"/>
        </w:trPr>
        <w:tc>
          <w:tcPr>
            <w:tcW w:w="400"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高速精密过滤器系统</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处理量200吨/小时</w:t>
            </w:r>
          </w:p>
        </w:tc>
        <w:tc>
          <w:tcPr>
            <w:tcW w:w="40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411"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50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57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72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607"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1185" w:hRule="atLeast"/>
        </w:trPr>
        <w:tc>
          <w:tcPr>
            <w:tcW w:w="400"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超滤系统</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产水45t/h，产水浊度≤1NTU</w:t>
            </w:r>
          </w:p>
        </w:tc>
        <w:tc>
          <w:tcPr>
            <w:tcW w:w="40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411"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50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57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72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607"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r>
      <w:tr>
        <w:trPr>
          <w:trHeight w:val="964" w:hRule="atLeast"/>
        </w:trPr>
        <w:tc>
          <w:tcPr>
            <w:tcW w:w="400"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反渗透系统</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产水36t/h，产水氯离子≤50mg/l</w:t>
            </w:r>
          </w:p>
        </w:tc>
        <w:tc>
          <w:tcPr>
            <w:tcW w:w="40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411"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50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57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72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607"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750" w:hRule="atLeast"/>
        </w:trPr>
        <w:tc>
          <w:tcPr>
            <w:tcW w:w="400"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现场管路和桥架</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304、UPVC</w:t>
            </w:r>
          </w:p>
        </w:tc>
        <w:tc>
          <w:tcPr>
            <w:tcW w:w="40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w:t>
            </w:r>
          </w:p>
        </w:tc>
        <w:tc>
          <w:tcPr>
            <w:tcW w:w="411"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50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57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72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607"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928" w:hRule="atLeast"/>
        </w:trPr>
        <w:tc>
          <w:tcPr>
            <w:tcW w:w="400"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五</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电线电缆桥架</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4*4、4*2.5、5*25</w:t>
            </w:r>
          </w:p>
        </w:tc>
        <w:tc>
          <w:tcPr>
            <w:tcW w:w="40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w:t>
            </w:r>
          </w:p>
        </w:tc>
        <w:tc>
          <w:tcPr>
            <w:tcW w:w="411"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50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57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72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607"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1125" w:hRule="atLeast"/>
        </w:trPr>
        <w:tc>
          <w:tcPr>
            <w:tcW w:w="400"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六</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控制系统</w:t>
            </w:r>
          </w:p>
        </w:tc>
        <w:tc>
          <w:tcPr>
            <w:tcW w:w="6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就地控制和远程监控</w:t>
            </w:r>
          </w:p>
        </w:tc>
        <w:tc>
          <w:tcPr>
            <w:tcW w:w="40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套</w:t>
            </w:r>
          </w:p>
        </w:tc>
        <w:tc>
          <w:tcPr>
            <w:tcW w:w="411"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50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57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72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c>
          <w:tcPr>
            <w:tcW w:w="607"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570" w:hRule="atLeast"/>
        </w:trPr>
        <w:tc>
          <w:tcPr>
            <w:tcW w:w="400" w:type="pct"/>
            <w:tcBorders>
              <w:top w:val="single" w:color="auto" w:sz="6" w:space="0"/>
              <w:left w:val="single" w:color="auto" w:sz="4"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w:t>
            </w:r>
          </w:p>
        </w:tc>
        <w:tc>
          <w:tcPr>
            <w:tcW w:w="686"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设备基础</w:t>
            </w:r>
          </w:p>
        </w:tc>
        <w:tc>
          <w:tcPr>
            <w:tcW w:w="686"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405"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w:t>
            </w:r>
          </w:p>
        </w:tc>
        <w:tc>
          <w:tcPr>
            <w:tcW w:w="411"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502"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578"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22"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07" w:type="pct"/>
            <w:tcBorders>
              <w:top w:val="single" w:color="auto" w:sz="6" w:space="0"/>
              <w:left w:val="single" w:color="auto" w:sz="6" w:space="0"/>
              <w:bottom w:val="single" w:color="auto" w:sz="6"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570" w:hRule="atLeast"/>
        </w:trPr>
        <w:tc>
          <w:tcPr>
            <w:tcW w:w="400" w:type="pct"/>
            <w:tcBorders>
              <w:top w:val="single" w:color="auto" w:sz="6" w:space="0"/>
              <w:left w:val="single" w:color="auto" w:sz="4"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w:t>
            </w:r>
          </w:p>
        </w:tc>
        <w:tc>
          <w:tcPr>
            <w:tcW w:w="686"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其他费用</w:t>
            </w:r>
          </w:p>
        </w:tc>
        <w:tc>
          <w:tcPr>
            <w:tcW w:w="686"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405"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w:t>
            </w:r>
          </w:p>
        </w:tc>
        <w:tc>
          <w:tcPr>
            <w:tcW w:w="411"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502"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578"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22" w:type="pct"/>
            <w:tcBorders>
              <w:top w:val="single" w:color="auto" w:sz="6" w:space="0"/>
              <w:left w:val="single" w:color="auto" w:sz="6" w:space="0"/>
              <w:bottom w:val="single" w:color="auto" w:sz="6"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07" w:type="pct"/>
            <w:tcBorders>
              <w:top w:val="single" w:color="auto" w:sz="6" w:space="0"/>
              <w:left w:val="single" w:color="auto" w:sz="6" w:space="0"/>
              <w:bottom w:val="single" w:color="auto" w:sz="6"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32" w:hRule="atLeast"/>
        </w:trPr>
        <w:tc>
          <w:tcPr>
            <w:tcW w:w="1772" w:type="pct"/>
            <w:gridSpan w:val="3"/>
            <w:tcBorders>
              <w:top w:val="single" w:color="auto" w:sz="6" w:space="0"/>
              <w:left w:val="single" w:color="auto" w:sz="4" w:space="0"/>
              <w:bottom w:val="single" w:color="auto" w:sz="4"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金额合计（大写）</w:t>
            </w:r>
          </w:p>
        </w:tc>
        <w:tc>
          <w:tcPr>
            <w:tcW w:w="1319" w:type="pct"/>
            <w:gridSpan w:val="3"/>
            <w:tcBorders>
              <w:top w:val="single" w:color="auto" w:sz="6" w:space="0"/>
              <w:left w:val="single" w:color="auto" w:sz="6" w:space="0"/>
              <w:bottom w:val="single" w:color="auto" w:sz="4"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578" w:type="pct"/>
            <w:tcBorders>
              <w:top w:val="single" w:color="auto" w:sz="6" w:space="0"/>
              <w:left w:val="single" w:color="auto" w:sz="6" w:space="0"/>
              <w:bottom w:val="single" w:color="auto" w:sz="4"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22" w:type="pct"/>
            <w:tcBorders>
              <w:top w:val="single" w:color="auto" w:sz="6" w:space="0"/>
              <w:left w:val="single" w:color="auto" w:sz="6" w:space="0"/>
              <w:bottom w:val="single" w:color="auto" w:sz="4" w:space="0"/>
              <w:right w:val="single" w:color="auto" w:sz="6"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07" w:type="pct"/>
            <w:tcBorders>
              <w:top w:val="single" w:color="auto" w:sz="6" w:space="0"/>
              <w:left w:val="single" w:color="auto" w:sz="6"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所有设备及参数必须满足</w:t>
      </w:r>
      <w:r>
        <w:rPr>
          <w:rFonts w:hint="eastAsia" w:ascii="宋体" w:hAnsi="宋体" w:eastAsia="宋体" w:cs="宋体"/>
          <w:color w:val="auto"/>
          <w:sz w:val="21"/>
          <w:szCs w:val="21"/>
          <w:highlight w:val="none"/>
          <w:lang w:val="en-US" w:eastAsia="zh-CN"/>
        </w:rPr>
        <w:t>本项目技术需求书的</w:t>
      </w:r>
      <w:r>
        <w:rPr>
          <w:rFonts w:hint="eastAsia" w:ascii="宋体" w:hAnsi="宋体" w:eastAsia="宋体" w:cs="宋体"/>
          <w:color w:val="auto"/>
          <w:sz w:val="21"/>
          <w:szCs w:val="21"/>
          <w:highlight w:val="none"/>
        </w:rPr>
        <w:t>各处理系统工艺要求，待供方提供初步设计后确认，</w:t>
      </w:r>
      <w:r>
        <w:rPr>
          <w:rFonts w:hint="eastAsia" w:ascii="宋体" w:hAnsi="宋体" w:eastAsia="宋体" w:cs="宋体"/>
          <w:color w:val="auto"/>
          <w:sz w:val="21"/>
          <w:szCs w:val="21"/>
          <w:highlight w:val="none"/>
          <w:lang w:val="en-US" w:eastAsia="zh-CN"/>
        </w:rPr>
        <w:t>以上清单仅列举本系统主要设备</w:t>
      </w:r>
      <w:r>
        <w:rPr>
          <w:rFonts w:hint="eastAsia" w:ascii="宋体" w:hAnsi="宋体" w:eastAsia="宋体" w:cs="宋体"/>
          <w:color w:val="auto"/>
          <w:sz w:val="21"/>
          <w:szCs w:val="21"/>
          <w:highlight w:val="none"/>
        </w:rPr>
        <w:t>但不限于此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供方需承担为实现本系统使用功能而可能产生的全部设备、材料、管道及设备基础等</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以上价格含税，本报价清单价格已包含为实施本项目可能产生的全部总综合费用（无论是否单列）。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响应人名称（加盖公章）：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法定代表人或受委托人（签字或盖章）：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日期：  年  月  日</w:t>
      </w:r>
    </w:p>
    <w:p>
      <w:pPr>
        <w:widowControl/>
        <w:jc w:val="left"/>
        <w:rPr>
          <w:color w:val="auto"/>
          <w:highlight w:val="none"/>
        </w:rPr>
      </w:pPr>
      <w:r>
        <w:rPr>
          <w:color w:val="auto"/>
          <w:highlight w:val="none"/>
        </w:rPr>
        <w:br w:type="page"/>
      </w:r>
    </w:p>
    <w:p>
      <w:pPr>
        <w:pStyle w:val="4"/>
        <w:jc w:val="left"/>
        <w:rPr>
          <w:color w:val="auto"/>
          <w:highlight w:val="none"/>
        </w:rPr>
      </w:pPr>
      <w:bookmarkStart w:id="407" w:name="_Toc21443"/>
      <w:r>
        <w:rPr>
          <w:rFonts w:hint="eastAsia"/>
          <w:color w:val="auto"/>
          <w:highlight w:val="none"/>
        </w:rPr>
        <w:t>第三部分</w:t>
      </w:r>
      <w:r>
        <w:rPr>
          <w:color w:val="auto"/>
          <w:highlight w:val="none"/>
        </w:rPr>
        <w:t xml:space="preserve">  </w:t>
      </w:r>
      <w:r>
        <w:rPr>
          <w:rFonts w:hint="eastAsia"/>
          <w:color w:val="auto"/>
          <w:highlight w:val="none"/>
        </w:rPr>
        <w:t>唱标信封（单独密封）</w:t>
      </w:r>
      <w:bookmarkEnd w:id="407"/>
    </w:p>
    <w:p>
      <w:pPr>
        <w:spacing w:line="360" w:lineRule="auto"/>
        <w:ind w:left="796" w:leftChars="178" w:hanging="422" w:hangingChars="201"/>
        <w:rPr>
          <w:rFonts w:hAnsi="宋体"/>
          <w:color w:val="auto"/>
          <w:szCs w:val="21"/>
          <w:highlight w:val="none"/>
        </w:rPr>
      </w:pPr>
    </w:p>
    <w:p>
      <w:pPr>
        <w:spacing w:line="360" w:lineRule="auto"/>
        <w:ind w:left="796" w:leftChars="178" w:hanging="422" w:hangingChars="201"/>
        <w:rPr>
          <w:rFonts w:hAnsi="宋体"/>
          <w:color w:val="auto"/>
          <w:szCs w:val="21"/>
          <w:highlight w:val="none"/>
        </w:rPr>
      </w:pPr>
      <w:r>
        <w:rPr>
          <w:rFonts w:hint="eastAsia" w:hAnsi="宋体"/>
          <w:color w:val="auto"/>
          <w:szCs w:val="21"/>
          <w:highlight w:val="none"/>
        </w:rPr>
        <w:t>唱标信封内装：</w:t>
      </w:r>
    </w:p>
    <w:p>
      <w:pPr>
        <w:numPr>
          <w:ilvl w:val="0"/>
          <w:numId w:val="36"/>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询价响应函复印件加盖公章；</w:t>
      </w:r>
    </w:p>
    <w:p>
      <w:pPr>
        <w:numPr>
          <w:ilvl w:val="0"/>
          <w:numId w:val="36"/>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法定代表人证明书复印件加盖公章；</w:t>
      </w:r>
    </w:p>
    <w:p>
      <w:pPr>
        <w:numPr>
          <w:ilvl w:val="0"/>
          <w:numId w:val="36"/>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法定代表人授权委托书复印件加盖公章（法定代表人投标的除外）；</w:t>
      </w:r>
    </w:p>
    <w:p>
      <w:pPr>
        <w:numPr>
          <w:ilvl w:val="0"/>
          <w:numId w:val="36"/>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报价一览表复印件加盖公章；</w:t>
      </w:r>
    </w:p>
    <w:p>
      <w:pPr>
        <w:numPr>
          <w:ilvl w:val="0"/>
          <w:numId w:val="36"/>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询价保证金银行汇款凭证复印件加盖公章；</w:t>
      </w:r>
    </w:p>
    <w:p>
      <w:pPr>
        <w:numPr>
          <w:ilvl w:val="0"/>
          <w:numId w:val="36"/>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响应文件电子文件（</w:t>
      </w:r>
      <w:r>
        <w:rPr>
          <w:rFonts w:hAnsi="宋体"/>
          <w:color w:val="auto"/>
          <w:szCs w:val="21"/>
          <w:highlight w:val="none"/>
        </w:rPr>
        <w:t>U</w:t>
      </w:r>
      <w:r>
        <w:rPr>
          <w:rFonts w:hint="eastAsia" w:hAnsi="宋体"/>
          <w:color w:val="auto"/>
          <w:szCs w:val="21"/>
          <w:highlight w:val="none"/>
        </w:rPr>
        <w:t>盘）；</w:t>
      </w:r>
    </w:p>
    <w:p>
      <w:pPr>
        <w:tabs>
          <w:tab w:val="left" w:pos="720"/>
        </w:tabs>
        <w:spacing w:line="440" w:lineRule="exact"/>
        <w:rPr>
          <w:color w:val="auto"/>
          <w:highlight w:val="none"/>
        </w:rPr>
      </w:pPr>
    </w:p>
    <w:p>
      <w:pPr>
        <w:tabs>
          <w:tab w:val="left" w:pos="720"/>
        </w:tabs>
        <w:spacing w:line="440" w:lineRule="exact"/>
        <w:rPr>
          <w:color w:val="auto"/>
          <w:highlight w:val="none"/>
        </w:rPr>
      </w:pPr>
    </w:p>
    <w:p>
      <w:pPr>
        <w:rPr>
          <w:color w:val="auto"/>
          <w:highlight w:val="none"/>
        </w:rPr>
      </w:pPr>
      <w:r>
        <w:rPr>
          <w:color w:val="auto"/>
          <w:highlight w:val="none"/>
        </w:rPr>
        <w:br w:type="page"/>
      </w:r>
    </w:p>
    <w:p>
      <w:pPr>
        <w:pStyle w:val="4"/>
        <w:jc w:val="left"/>
        <w:rPr>
          <w:rFonts w:hint="eastAsia" w:cs="Times New Roman"/>
          <w:color w:val="auto"/>
          <w:highlight w:val="none"/>
          <w:lang w:val="en-US" w:eastAsia="zh-CN"/>
        </w:rPr>
      </w:pPr>
      <w:bookmarkStart w:id="408" w:name="_Toc26340"/>
      <w:r>
        <w:rPr>
          <w:rFonts w:hint="eastAsia" w:cs="Times New Roman"/>
          <w:color w:val="auto"/>
          <w:highlight w:val="none"/>
          <w:lang w:val="en-US" w:eastAsia="zh-CN"/>
        </w:rPr>
        <w:t>第四部分 其他格式文件</w:t>
      </w:r>
      <w:bookmarkEnd w:id="408"/>
    </w:p>
    <w:p>
      <w:pPr>
        <w:numPr>
          <w:ilvl w:val="0"/>
          <w:numId w:val="0"/>
        </w:numPr>
        <w:autoSpaceDE w:val="0"/>
        <w:autoSpaceDN w:val="0"/>
        <w:adjustRightInd w:val="0"/>
        <w:spacing w:line="360" w:lineRule="auto"/>
        <w:jc w:val="center"/>
        <w:rPr>
          <w:rFonts w:hint="eastAsia" w:ascii="黑体" w:hAnsi="黑体" w:eastAsia="黑体" w:cs="黑体"/>
          <w:color w:val="auto"/>
          <w:sz w:val="30"/>
          <w:szCs w:val="30"/>
          <w:highlight w:val="none"/>
        </w:rPr>
      </w:pPr>
      <w:bookmarkStart w:id="409" w:name="_Toc30346"/>
      <w:bookmarkStart w:id="410" w:name="_Toc30323"/>
      <w:bookmarkStart w:id="411" w:name="_Toc5428"/>
      <w:bookmarkStart w:id="412" w:name="_Toc28801"/>
      <w:bookmarkStart w:id="413" w:name="_Toc3118"/>
      <w:bookmarkStart w:id="414" w:name="_Toc12220"/>
      <w:bookmarkStart w:id="415" w:name="_Toc3217"/>
      <w:bookmarkStart w:id="416" w:name="_Toc32088"/>
      <w:bookmarkStart w:id="417" w:name="_Toc10037"/>
      <w:bookmarkStart w:id="418" w:name="_Toc1367"/>
      <w:r>
        <w:rPr>
          <w:rFonts w:hint="eastAsia" w:ascii="黑体" w:hAnsi="黑体" w:eastAsia="黑体" w:cs="黑体"/>
          <w:color w:val="auto"/>
          <w:sz w:val="30"/>
          <w:szCs w:val="30"/>
          <w:highlight w:val="none"/>
        </w:rPr>
        <w:t>报价保证金汇入情况说明</w:t>
      </w:r>
      <w:bookmarkEnd w:id="409"/>
      <w:bookmarkEnd w:id="410"/>
      <w:bookmarkEnd w:id="411"/>
      <w:bookmarkEnd w:id="412"/>
      <w:bookmarkEnd w:id="413"/>
      <w:bookmarkEnd w:id="414"/>
      <w:bookmarkEnd w:id="415"/>
      <w:bookmarkEnd w:id="416"/>
      <w:bookmarkEnd w:id="417"/>
      <w:bookmarkEnd w:id="41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致：东莞市新东元环保投资有限公司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我单位已按</w:t>
      </w:r>
      <w:r>
        <w:rPr>
          <w:rFonts w:hint="eastAsia" w:ascii="宋体" w:hAnsi="宋体" w:cs="宋体"/>
          <w:color w:val="auto"/>
          <w:highlight w:val="none"/>
          <w:lang w:eastAsia="zh-CN"/>
        </w:rPr>
        <w:t>东莞市海心沙资源综合利用中心环保热电厂循环水膜处理系统采购项目（重新采购）</w:t>
      </w:r>
      <w:r>
        <w:rPr>
          <w:rFonts w:hint="eastAsia" w:ascii="宋体" w:hAnsi="宋体" w:eastAsia="宋体" w:cs="宋体"/>
          <w:color w:val="auto"/>
          <w:highlight w:val="none"/>
        </w:rPr>
        <w:t>的</w:t>
      </w:r>
      <w:r>
        <w:rPr>
          <w:rFonts w:hint="eastAsia" w:ascii="宋体" w:hAnsi="宋体" w:cs="宋体"/>
          <w:color w:val="auto"/>
          <w:highlight w:val="none"/>
          <w:lang w:eastAsia="zh-CN"/>
        </w:rPr>
        <w:t>询价文件</w:t>
      </w:r>
      <w:r>
        <w:rPr>
          <w:rFonts w:hint="eastAsia" w:ascii="宋体" w:hAnsi="宋体" w:eastAsia="宋体" w:cs="宋体"/>
          <w:color w:val="auto"/>
          <w:highlight w:val="none"/>
        </w:rPr>
        <w:t>要求，于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日前以</w:t>
      </w:r>
      <w:r>
        <w:rPr>
          <w:rFonts w:hint="eastAsia" w:ascii="宋体" w:hAnsi="宋体" w:eastAsia="宋体" w:cs="宋体"/>
          <w:color w:val="auto"/>
          <w:highlight w:val="none"/>
          <w:u w:val="single"/>
        </w:rPr>
        <w:t xml:space="preserve">    （付款形式）  </w:t>
      </w:r>
      <w:r>
        <w:rPr>
          <w:rFonts w:hint="eastAsia" w:ascii="宋体" w:hAnsi="宋体" w:eastAsia="宋体" w:cs="宋体"/>
          <w:color w:val="auto"/>
          <w:highlight w:val="none"/>
        </w:rPr>
        <w:t>方式汇入指定</w:t>
      </w:r>
      <w:r>
        <w:rPr>
          <w:rFonts w:hint="eastAsia" w:ascii="宋体" w:hAnsi="宋体" w:eastAsia="宋体" w:cs="宋体"/>
          <w:color w:val="auto"/>
          <w:highlight w:val="none"/>
          <w:lang w:val="en-US" w:eastAsia="zh-CN"/>
        </w:rPr>
        <w:t>账</w:t>
      </w:r>
      <w:r>
        <w:rPr>
          <w:rFonts w:hint="eastAsia" w:ascii="宋体" w:hAnsi="宋体" w:eastAsia="宋体" w:cs="宋体"/>
          <w:color w:val="auto"/>
          <w:highlight w:val="none"/>
        </w:rPr>
        <w:t>户（</w:t>
      </w:r>
      <w:r>
        <w:rPr>
          <w:rFonts w:hint="eastAsia" w:ascii="宋体" w:hAnsi="宋体" w:eastAsia="宋体" w:cs="宋体"/>
          <w:color w:val="auto"/>
          <w:highlight w:val="none"/>
          <w:lang w:val="en-US" w:eastAsia="zh-CN"/>
        </w:rPr>
        <w:t>账</w:t>
      </w:r>
      <w:r>
        <w:rPr>
          <w:rFonts w:hint="eastAsia" w:ascii="宋体" w:hAnsi="宋体" w:eastAsia="宋体" w:cs="宋体"/>
          <w:color w:val="auto"/>
          <w:highlight w:val="none"/>
        </w:rPr>
        <w:t>户名称：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账</w:t>
      </w:r>
      <w:r>
        <w:rPr>
          <w:rFonts w:hint="eastAsia" w:ascii="宋体" w:hAnsi="宋体" w:eastAsia="宋体" w:cs="宋体"/>
          <w:color w:val="auto"/>
          <w:highlight w:val="none"/>
        </w:rPr>
        <w:t xml:space="preserve">号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本单位报价保证金的汇款情况：（详见附件－报价保证金进帐单）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汇出时间：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汇款金额：（大写）人民币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汇款帐户名称：</w:t>
      </w:r>
      <w:r>
        <w:rPr>
          <w:rFonts w:hint="eastAsia" w:ascii="宋体" w:hAnsi="宋体" w:eastAsia="宋体" w:cs="宋体"/>
          <w:color w:val="auto"/>
          <w:highlight w:val="none"/>
          <w:u w:val="single"/>
        </w:rPr>
        <w:t xml:space="preserve">  （必须是报价时使用的</w:t>
      </w:r>
      <w:r>
        <w:rPr>
          <w:rFonts w:hint="eastAsia" w:ascii="宋体" w:hAnsi="宋体" w:eastAsia="宋体" w:cs="宋体"/>
          <w:color w:val="auto"/>
          <w:highlight w:val="none"/>
          <w:u w:val="single"/>
          <w:lang w:val="en-US" w:eastAsia="zh-CN"/>
        </w:rPr>
        <w:t>账</w:t>
      </w:r>
      <w:r>
        <w:rPr>
          <w:rFonts w:hint="eastAsia" w:ascii="宋体" w:hAnsi="宋体" w:eastAsia="宋体" w:cs="宋体"/>
          <w:color w:val="auto"/>
          <w:highlight w:val="none"/>
          <w:u w:val="single"/>
        </w:rPr>
        <w:t xml:space="preserve">户名）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帐    号：</w:t>
      </w:r>
      <w:r>
        <w:rPr>
          <w:rFonts w:hint="eastAsia" w:ascii="宋体" w:hAnsi="宋体" w:eastAsia="宋体" w:cs="宋体"/>
          <w:color w:val="auto"/>
          <w:highlight w:val="none"/>
          <w:u w:val="single"/>
        </w:rPr>
        <w:t xml:space="preserve">      （必须是报价时使用的</w:t>
      </w:r>
      <w:r>
        <w:rPr>
          <w:rFonts w:hint="eastAsia" w:ascii="宋体" w:hAnsi="宋体" w:eastAsia="宋体" w:cs="宋体"/>
          <w:color w:val="auto"/>
          <w:highlight w:val="none"/>
          <w:u w:val="single"/>
          <w:lang w:val="en-US" w:eastAsia="zh-CN"/>
        </w:rPr>
        <w:t>账</w:t>
      </w:r>
      <w:r>
        <w:rPr>
          <w:rFonts w:hint="eastAsia" w:ascii="宋体" w:hAnsi="宋体" w:eastAsia="宋体" w:cs="宋体"/>
          <w:color w:val="auto"/>
          <w:highlight w:val="none"/>
          <w:u w:val="single"/>
        </w:rPr>
        <w:t xml:space="preserve">号）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省    市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本单位谨承诺上述资料是正确、真实的，如因上述证明与事实不符导致的一切损失，本单位保证承担赔偿等一切法律责任。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报价保证金退回时，请按上述资料退回。</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（单位公章）</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响应人名称：</w:t>
      </w:r>
      <w:r>
        <w:rPr>
          <w:rFonts w:hint="eastAsia" w:ascii="宋体" w:hAnsi="宋体" w:eastAsia="宋体" w:cs="宋体"/>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联系人手机：</w:t>
      </w:r>
      <w:r>
        <w:rPr>
          <w:rFonts w:hint="eastAsia" w:ascii="宋体" w:hAnsi="宋体" w:eastAsia="宋体" w:cs="宋体"/>
          <w:color w:val="auto"/>
          <w:highlight w:val="none"/>
          <w:u w:val="single"/>
        </w:rPr>
        <w:t xml:space="preserve">                </w:t>
      </w:r>
    </w:p>
    <w:p>
      <w:pPr>
        <w:pStyle w:val="2"/>
        <w:ind w:left="0" w:leftChars="0" w:firstLine="0" w:firstLineChars="0"/>
        <w:rPr>
          <w:rFonts w:hint="default"/>
          <w:color w:val="auto"/>
          <w:highlight w:val="none"/>
          <w:lang w:val="en-US" w:eastAsia="zh-CN"/>
        </w:rPr>
      </w:pPr>
    </w:p>
    <w:p>
      <w:pPr>
        <w:spacing w:before="120"/>
        <w:ind w:firstLine="420" w:firstLineChars="200"/>
        <w:rPr>
          <w:rFonts w:ascii="宋体" w:hAnsi="宋体"/>
          <w:color w:val="auto"/>
          <w:highlight w:val="none"/>
        </w:rPr>
      </w:pPr>
      <w:r>
        <w:rPr>
          <w:rFonts w:hint="eastAsia" w:ascii="宋体" w:hAnsi="宋体"/>
          <w:color w:val="auto"/>
          <w:highlight w:val="none"/>
        </w:rPr>
        <w:t>附：我方报价保证金汇款凭证</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9" w:hRule="atLeast"/>
        </w:trPr>
        <w:tc>
          <w:tcPr>
            <w:tcW w:w="5000" w:type="pct"/>
            <w:tcBorders>
              <w:top w:val="single" w:color="auto" w:sz="4" w:space="0"/>
              <w:left w:val="single" w:color="auto" w:sz="4" w:space="0"/>
              <w:bottom w:val="single" w:color="auto" w:sz="4" w:space="0"/>
              <w:right w:val="single" w:color="auto" w:sz="4" w:space="0"/>
            </w:tcBorders>
            <w:vAlign w:val="center"/>
          </w:tcPr>
          <w:p>
            <w:pPr>
              <w:tabs>
                <w:tab w:val="left" w:pos="3885"/>
              </w:tabs>
              <w:spacing w:before="120"/>
              <w:jc w:val="center"/>
              <w:rPr>
                <w:rFonts w:ascii="宋体" w:hAnsi="宋体"/>
                <w:color w:val="auto"/>
                <w:highlight w:val="none"/>
              </w:rPr>
            </w:pPr>
            <w:r>
              <w:rPr>
                <w:rFonts w:hint="eastAsia" w:ascii="宋体" w:hAnsi="宋体"/>
                <w:color w:val="auto"/>
                <w:highlight w:val="none"/>
              </w:rPr>
              <w:t>（粘贴汇款单或转账凭证复印件，并在骑缝上加盖公章，或是直接把转账凭证复印到此张纸上）</w:t>
            </w:r>
          </w:p>
        </w:tc>
      </w:tr>
    </w:tbl>
    <w:p>
      <w:pPr>
        <w:pStyle w:val="2"/>
        <w:ind w:left="0" w:leftChars="0" w:firstLine="0" w:firstLineChars="0"/>
        <w:rPr>
          <w:rFonts w:hint="default"/>
          <w:color w:val="auto"/>
          <w:highlight w:val="none"/>
          <w:lang w:val="en-US" w:eastAsia="zh-CN"/>
        </w:rPr>
      </w:pPr>
    </w:p>
    <w:p>
      <w:pPr>
        <w:pStyle w:val="2"/>
        <w:ind w:left="0" w:leftChars="0" w:firstLine="0" w:firstLineChars="0"/>
        <w:rPr>
          <w:rFonts w:hint="default"/>
          <w:color w:val="auto"/>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隶书">
    <w:altName w:val="微软雅黑"/>
    <w:panose1 w:val="02010800040101010101"/>
    <w:charset w:val="86"/>
    <w:family w:val="auto"/>
    <w:pitch w:val="default"/>
    <w:sig w:usb0="00000000" w:usb1="0000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SVYOAKAgAAAQQAAA4AAABkcnMvZTJvRG9jLnhtbK1TS27bMBDdF+gd&#10;CO5r2WlcB4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FnnFlhqOGHnz8O978P&#10;v76zWbSndT6nrFtHeaF7Cx0NTZLq3Q3Ir55ZuK6F3agrRGhrJUqiN4kvs0dPexwfQdbtByipjtgG&#10;SEBdhSZ6R24wQqfW7E+tUV1gkg6ns9nFlDNJN5PXk/Pza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D0lWDgCgIAAAEEAAAOAAAAAAAAAAEAIAAAAB8BAABk&#10;cnMvZTJvRG9jLnhtbFBLBQYAAAAABgAGAFkBAACb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7680"/>
    <w:multiLevelType w:val="singleLevel"/>
    <w:tmpl w:val="8AAE7680"/>
    <w:lvl w:ilvl="0" w:tentative="0">
      <w:start w:val="1"/>
      <w:numFmt w:val="decimal"/>
      <w:lvlText w:val="%1)"/>
      <w:lvlJc w:val="left"/>
      <w:pPr>
        <w:ind w:left="425" w:hanging="425"/>
      </w:pPr>
      <w:rPr>
        <w:rFonts w:hint="default"/>
      </w:rPr>
    </w:lvl>
  </w:abstractNum>
  <w:abstractNum w:abstractNumId="1">
    <w:nsid w:val="AD2819AC"/>
    <w:multiLevelType w:val="singleLevel"/>
    <w:tmpl w:val="AD2819AC"/>
    <w:lvl w:ilvl="0" w:tentative="0">
      <w:start w:val="1"/>
      <w:numFmt w:val="decimal"/>
      <w:lvlText w:val="%1."/>
      <w:lvlJc w:val="left"/>
      <w:pPr>
        <w:ind w:left="425" w:hanging="425"/>
      </w:pPr>
      <w:rPr>
        <w:rFonts w:hint="default"/>
      </w:rPr>
    </w:lvl>
  </w:abstractNum>
  <w:abstractNum w:abstractNumId="2">
    <w:nsid w:val="C27DD8A2"/>
    <w:multiLevelType w:val="singleLevel"/>
    <w:tmpl w:val="C27DD8A2"/>
    <w:lvl w:ilvl="0" w:tentative="0">
      <w:start w:val="1"/>
      <w:numFmt w:val="none"/>
      <w:lvlText w:val="9."/>
      <w:lvlJc w:val="left"/>
      <w:pPr>
        <w:tabs>
          <w:tab w:val="left" w:pos="420"/>
        </w:tabs>
        <w:ind w:left="425" w:hanging="425"/>
      </w:pPr>
      <w:rPr>
        <w:rFonts w:hint="default"/>
      </w:rPr>
    </w:lvl>
  </w:abstractNum>
  <w:abstractNum w:abstractNumId="3">
    <w:nsid w:val="D2923793"/>
    <w:multiLevelType w:val="singleLevel"/>
    <w:tmpl w:val="D2923793"/>
    <w:lvl w:ilvl="0" w:tentative="0">
      <w:start w:val="1"/>
      <w:numFmt w:val="none"/>
      <w:lvlText w:val="11."/>
      <w:lvlJc w:val="left"/>
      <w:pPr>
        <w:tabs>
          <w:tab w:val="left" w:pos="420"/>
        </w:tabs>
        <w:ind w:left="425" w:hanging="425"/>
      </w:pPr>
      <w:rPr>
        <w:rFonts w:hint="default"/>
      </w:rPr>
    </w:lvl>
  </w:abstractNum>
  <w:abstractNum w:abstractNumId="4">
    <w:nsid w:val="FED02E7B"/>
    <w:multiLevelType w:val="singleLevel"/>
    <w:tmpl w:val="FED02E7B"/>
    <w:lvl w:ilvl="0" w:tentative="0">
      <w:start w:val="1"/>
      <w:numFmt w:val="decimal"/>
      <w:suff w:val="nothing"/>
      <w:lvlText w:val="（%1）"/>
      <w:lvlJc w:val="left"/>
    </w:lvl>
  </w:abstractNum>
  <w:abstractNum w:abstractNumId="5">
    <w:nsid w:val="00975C48"/>
    <w:multiLevelType w:val="multilevel"/>
    <w:tmpl w:val="00975C48"/>
    <w:lvl w:ilvl="0" w:tentative="0">
      <w:start w:val="1"/>
      <w:numFmt w:val="decimal"/>
      <w:lvlText w:val="（%1）"/>
      <w:lvlJc w:val="left"/>
      <w:pPr>
        <w:ind w:left="156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63373CA"/>
    <w:multiLevelType w:val="multilevel"/>
    <w:tmpl w:val="063373CA"/>
    <w:lvl w:ilvl="0" w:tentative="0">
      <w:start w:val="1"/>
      <w:numFmt w:val="decimal"/>
      <w:lvlText w:val="%1)"/>
      <w:lvlJc w:val="left"/>
      <w:pPr>
        <w:tabs>
          <w:tab w:val="left" w:pos="1848"/>
        </w:tabs>
        <w:ind w:left="184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D67977"/>
    <w:multiLevelType w:val="multilevel"/>
    <w:tmpl w:val="27D67977"/>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b w:val="0"/>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11">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48E292"/>
    <w:multiLevelType w:val="singleLevel"/>
    <w:tmpl w:val="3048E292"/>
    <w:lvl w:ilvl="0" w:tentative="0">
      <w:start w:val="1"/>
      <w:numFmt w:val="none"/>
      <w:lvlText w:val="10."/>
      <w:lvlJc w:val="left"/>
      <w:pPr>
        <w:tabs>
          <w:tab w:val="left" w:pos="420"/>
        </w:tabs>
        <w:ind w:left="425" w:hanging="425"/>
      </w:pPr>
      <w:rPr>
        <w:rFonts w:hint="default"/>
      </w:rPr>
    </w:lvl>
  </w:abstractNum>
  <w:abstractNum w:abstractNumId="14">
    <w:nsid w:val="31B23450"/>
    <w:multiLevelType w:val="multilevel"/>
    <w:tmpl w:val="31B23450"/>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34E02070"/>
    <w:multiLevelType w:val="multilevel"/>
    <w:tmpl w:val="34E02070"/>
    <w:lvl w:ilvl="0" w:tentative="0">
      <w:start w:val="1"/>
      <w:numFmt w:val="decimal"/>
      <w:lvlText w:val="%1"/>
      <w:lvlJc w:val="left"/>
      <w:pPr>
        <w:ind w:left="425" w:hanging="425"/>
      </w:pPr>
      <w:rPr>
        <w:rFonts w:hint="eastAsia" w:cs="Times New Roman"/>
      </w:rPr>
    </w:lvl>
    <w:lvl w:ilvl="1" w:tentative="0">
      <w:start w:val="1"/>
      <w:numFmt w:val="decimal"/>
      <w:lvlText w:val="2.%2"/>
      <w:lvlJc w:val="left"/>
      <w:pPr>
        <w:ind w:left="992" w:hanging="567"/>
      </w:pPr>
      <w:rPr>
        <w:rFonts w:hint="eastAsia" w:cs="Times New Roman"/>
        <w:b w:val="0"/>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16">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00F3F41"/>
    <w:multiLevelType w:val="multilevel"/>
    <w:tmpl w:val="400F3F41"/>
    <w:lvl w:ilvl="0" w:tentative="0">
      <w:start w:val="1"/>
      <w:numFmt w:val="decimal"/>
      <w:lvlText w:val="%1."/>
      <w:lvlJc w:val="left"/>
      <w:pPr>
        <w:ind w:left="360" w:hanging="360"/>
      </w:pPr>
      <w:rPr>
        <w:rFonts w:hint="default" w:cs="Times New Roman"/>
      </w:rPr>
    </w:lvl>
    <w:lvl w:ilvl="1" w:tentative="0">
      <w:start w:val="6"/>
      <w:numFmt w:val="decimal"/>
      <w:isLgl/>
      <w:lvlText w:val="%1.%2"/>
      <w:lvlJc w:val="left"/>
      <w:pPr>
        <w:ind w:left="540" w:hanging="540"/>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720" w:hanging="72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080" w:hanging="108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440" w:hanging="1440"/>
      </w:pPr>
      <w:rPr>
        <w:rFonts w:hint="default" w:cs="Times New Roman"/>
      </w:rPr>
    </w:lvl>
  </w:abstractNum>
  <w:abstractNum w:abstractNumId="18">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29F0012"/>
    <w:multiLevelType w:val="multilevel"/>
    <w:tmpl w:val="429F0012"/>
    <w:lvl w:ilvl="0" w:tentative="0">
      <w:start w:val="1"/>
      <w:numFmt w:val="decimal"/>
      <w:lvlText w:val="%1."/>
      <w:lvlJc w:val="left"/>
      <w:pPr>
        <w:ind w:left="360" w:hanging="360"/>
      </w:pPr>
      <w:rPr>
        <w:rFonts w:hint="default" w:cs="Times New Roman"/>
      </w:rPr>
    </w:lvl>
    <w:lvl w:ilvl="1" w:tentative="0">
      <w:start w:val="1"/>
      <w:numFmt w:val="decimal"/>
      <w:lvlText w:val="%2．"/>
      <w:lvlJc w:val="left"/>
      <w:pPr>
        <w:ind w:left="840" w:hanging="420"/>
      </w:pPr>
      <w:rPr>
        <w:rFonts w:hint="default" w:cs="Times New Roman"/>
      </w:rPr>
    </w:lvl>
    <w:lvl w:ilvl="2" w:tentative="0">
      <w:start w:val="1"/>
      <w:numFmt w:val="decimal"/>
      <w:lvlText w:val="（%3）"/>
      <w:lvlJc w:val="left"/>
      <w:pPr>
        <w:ind w:left="1560" w:hanging="720"/>
      </w:pPr>
      <w:rPr>
        <w:rFonts w:hint="default"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4AC775F4"/>
    <w:multiLevelType w:val="multilevel"/>
    <w:tmpl w:val="4AC775F4"/>
    <w:lvl w:ilvl="0" w:tentative="0">
      <w:start w:val="1"/>
      <w:numFmt w:val="decimal"/>
      <w:lvlText w:val="%1."/>
      <w:lvlJc w:val="left"/>
      <w:pPr>
        <w:ind w:left="425" w:hanging="425"/>
      </w:pPr>
      <w:rPr>
        <w:rFonts w:hint="eastAsia" w:ascii="宋体" w:hAnsi="宋体" w:eastAsia="宋体" w:cs="Times New Roman"/>
        <w:b/>
        <w:sz w:val="28"/>
      </w:rPr>
    </w:lvl>
    <w:lvl w:ilvl="1" w:tentative="0">
      <w:start w:val="1"/>
      <w:numFmt w:val="decimal"/>
      <w:pStyle w:val="35"/>
      <w:lvlText w:val="%1.%2"/>
      <w:lvlJc w:val="left"/>
      <w:pPr>
        <w:ind w:left="850" w:hanging="425"/>
      </w:pPr>
      <w:rPr>
        <w:rFonts w:hint="eastAsia" w:eastAsia="宋体" w:cs="Times New Roman"/>
        <w:b/>
        <w:i w:val="0"/>
        <w:sz w:val="24"/>
      </w:rPr>
    </w:lvl>
    <w:lvl w:ilvl="2" w:tentative="0">
      <w:start w:val="1"/>
      <w:numFmt w:val="decimal"/>
      <w:pStyle w:val="80"/>
      <w:lvlText w:val="%1.%2.%3"/>
      <w:lvlJc w:val="left"/>
      <w:pPr>
        <w:ind w:left="1275" w:hanging="425"/>
      </w:pPr>
      <w:rPr>
        <w:rFonts w:hint="eastAsia" w:eastAsia="宋体" w:cs="Times New Roman"/>
        <w:b w:val="0"/>
        <w:i w:val="0"/>
        <w:sz w:val="21"/>
      </w:rPr>
    </w:lvl>
    <w:lvl w:ilvl="3" w:tentative="0">
      <w:start w:val="1"/>
      <w:numFmt w:val="decimal"/>
      <w:lvlText w:val="%1.%2.%3.%4"/>
      <w:lvlJc w:val="left"/>
      <w:pPr>
        <w:ind w:left="1700" w:hanging="425"/>
      </w:pPr>
      <w:rPr>
        <w:rFonts w:hint="eastAsia" w:cs="Times New Roman"/>
      </w:rPr>
    </w:lvl>
    <w:lvl w:ilvl="4" w:tentative="0">
      <w:start w:val="1"/>
      <w:numFmt w:val="decimal"/>
      <w:lvlText w:val="%1.%2.%3.%4.%5"/>
      <w:lvlJc w:val="left"/>
      <w:pPr>
        <w:ind w:left="2125" w:hanging="425"/>
      </w:pPr>
      <w:rPr>
        <w:rFonts w:hint="eastAsia" w:cs="Times New Roman"/>
      </w:rPr>
    </w:lvl>
    <w:lvl w:ilvl="5" w:tentative="0">
      <w:start w:val="1"/>
      <w:numFmt w:val="decimal"/>
      <w:lvlText w:val="%1.%2.%3.%4.%5.%6"/>
      <w:lvlJc w:val="left"/>
      <w:pPr>
        <w:ind w:left="2550" w:hanging="425"/>
      </w:pPr>
      <w:rPr>
        <w:rFonts w:hint="eastAsia" w:cs="Times New Roman"/>
      </w:rPr>
    </w:lvl>
    <w:lvl w:ilvl="6" w:tentative="0">
      <w:start w:val="1"/>
      <w:numFmt w:val="decimal"/>
      <w:lvlText w:val="%1.%2.%3.%4.%5.%6.%7"/>
      <w:lvlJc w:val="left"/>
      <w:pPr>
        <w:ind w:left="2975" w:hanging="425"/>
      </w:pPr>
      <w:rPr>
        <w:rFonts w:hint="eastAsia" w:cs="Times New Roman"/>
      </w:rPr>
    </w:lvl>
    <w:lvl w:ilvl="7" w:tentative="0">
      <w:start w:val="1"/>
      <w:numFmt w:val="decimal"/>
      <w:lvlText w:val="%1.%2.%3.%4.%5.%6.%7.%8"/>
      <w:lvlJc w:val="left"/>
      <w:pPr>
        <w:ind w:left="3400" w:hanging="425"/>
      </w:pPr>
      <w:rPr>
        <w:rFonts w:hint="eastAsia" w:cs="Times New Roman"/>
      </w:rPr>
    </w:lvl>
    <w:lvl w:ilvl="8" w:tentative="0">
      <w:start w:val="1"/>
      <w:numFmt w:val="decimal"/>
      <w:lvlText w:val="%1.%2.%3.%4.%5.%6.%7.%8.%9"/>
      <w:lvlJc w:val="left"/>
      <w:pPr>
        <w:ind w:left="3825" w:hanging="425"/>
      </w:pPr>
      <w:rPr>
        <w:rFonts w:hint="eastAsia" w:cs="Times New Roman"/>
      </w:rPr>
    </w:lvl>
  </w:abstractNum>
  <w:abstractNum w:abstractNumId="21">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9C5D728"/>
    <w:multiLevelType w:val="singleLevel"/>
    <w:tmpl w:val="59C5D728"/>
    <w:lvl w:ilvl="0" w:tentative="0">
      <w:start w:val="1"/>
      <w:numFmt w:val="chineseCounting"/>
      <w:suff w:val="nothing"/>
      <w:lvlText w:val="%1、"/>
      <w:lvlJc w:val="left"/>
      <w:pPr>
        <w:ind w:firstLine="420"/>
      </w:pPr>
      <w:rPr>
        <w:rFonts w:hint="eastAsia" w:cs="Times New Roman"/>
      </w:rPr>
    </w:lvl>
  </w:abstractNum>
  <w:abstractNum w:abstractNumId="26">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35E683D"/>
    <w:multiLevelType w:val="multilevel"/>
    <w:tmpl w:val="635E683D"/>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E6E409E"/>
    <w:multiLevelType w:val="multilevel"/>
    <w:tmpl w:val="6E6E409E"/>
    <w:lvl w:ilvl="0" w:tentative="0">
      <w:start w:val="1"/>
      <w:numFmt w:val="decimal"/>
      <w:pStyle w:val="116"/>
      <w:lvlText w:val="%1"/>
      <w:lvlJc w:val="left"/>
      <w:pPr>
        <w:ind w:left="482" w:hanging="482"/>
      </w:pPr>
      <w:rPr>
        <w:rFonts w:hint="eastAsia"/>
      </w:rPr>
    </w:lvl>
    <w:lvl w:ilvl="1" w:tentative="0">
      <w:start w:val="1"/>
      <w:numFmt w:val="decimal"/>
      <w:pStyle w:val="117"/>
      <w:lvlText w:val="%1.%2"/>
      <w:lvlJc w:val="left"/>
      <w:pPr>
        <w:ind w:left="1202" w:hanging="720"/>
      </w:pPr>
      <w:rPr>
        <w:rFonts w:hint="eastAsia"/>
        <w:b/>
        <w:bCs/>
      </w:rPr>
    </w:lvl>
    <w:lvl w:ilvl="2" w:tentative="0">
      <w:start w:val="1"/>
      <w:numFmt w:val="decimal"/>
      <w:pStyle w:val="119"/>
      <w:lvlText w:val="%1.%2.%3"/>
      <w:lvlJc w:val="left"/>
      <w:pPr>
        <w:ind w:left="1202" w:hanging="720"/>
      </w:pPr>
      <w:rPr>
        <w:rFonts w:hint="eastAsia"/>
      </w:rPr>
    </w:lvl>
    <w:lvl w:ilvl="3" w:tentative="0">
      <w:start w:val="1"/>
      <w:numFmt w:val="decimal"/>
      <w:pStyle w:val="118"/>
      <w:lvlText w:val="%4)"/>
      <w:lvlJc w:val="left"/>
      <w:pPr>
        <w:ind w:left="1202" w:hanging="482"/>
      </w:pPr>
      <w:rPr>
        <w:rFonts w:hint="eastAsia"/>
      </w:rPr>
    </w:lvl>
    <w:lvl w:ilvl="4" w:tentative="0">
      <w:start w:val="1"/>
      <w:numFmt w:val="lowerLetter"/>
      <w:lvlText w:val="%5."/>
      <w:lvlJc w:val="left"/>
      <w:pPr>
        <w:ind w:left="1202" w:hanging="363"/>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F50071B"/>
    <w:multiLevelType w:val="multilevel"/>
    <w:tmpl w:val="7F50071B"/>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decimal"/>
      <w:lvlText w:val="（%4）"/>
      <w:lvlJc w:val="left"/>
      <w:pPr>
        <w:tabs>
          <w:tab w:val="left" w:pos="2268"/>
        </w:tabs>
        <w:ind w:left="2268" w:hanging="420"/>
      </w:pPr>
      <w:rPr>
        <w:rFonts w:hint="default"/>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20"/>
  </w:num>
  <w:num w:numId="2">
    <w:abstractNumId w:val="30"/>
  </w:num>
  <w:num w:numId="3">
    <w:abstractNumId w:val="10"/>
  </w:num>
  <w:num w:numId="4">
    <w:abstractNumId w:val="15"/>
  </w:num>
  <w:num w:numId="5">
    <w:abstractNumId w:val="17"/>
  </w:num>
  <w:num w:numId="6">
    <w:abstractNumId w:val="19"/>
  </w:num>
  <w:num w:numId="7">
    <w:abstractNumId w:val="27"/>
  </w:num>
  <w:num w:numId="8">
    <w:abstractNumId w:val="14"/>
  </w:num>
  <w:num w:numId="9">
    <w:abstractNumId w:val="4"/>
  </w:num>
  <w:num w:numId="10">
    <w:abstractNumId w:val="5"/>
  </w:num>
  <w:num w:numId="11">
    <w:abstractNumId w:val="33"/>
  </w:num>
  <w:num w:numId="12">
    <w:abstractNumId w:val="8"/>
  </w:num>
  <w:num w:numId="13">
    <w:abstractNumId w:val="29"/>
  </w:num>
  <w:num w:numId="14">
    <w:abstractNumId w:val="9"/>
  </w:num>
  <w:num w:numId="15">
    <w:abstractNumId w:val="7"/>
  </w:num>
  <w:num w:numId="16">
    <w:abstractNumId w:val="26"/>
  </w:num>
  <w:num w:numId="17">
    <w:abstractNumId w:val="18"/>
  </w:num>
  <w:num w:numId="18">
    <w:abstractNumId w:val="22"/>
  </w:num>
  <w:num w:numId="19">
    <w:abstractNumId w:val="16"/>
  </w:num>
  <w:num w:numId="20">
    <w:abstractNumId w:val="32"/>
  </w:num>
  <w:num w:numId="21">
    <w:abstractNumId w:val="24"/>
  </w:num>
  <w:num w:numId="22">
    <w:abstractNumId w:val="28"/>
  </w:num>
  <w:num w:numId="23">
    <w:abstractNumId w:val="31"/>
  </w:num>
  <w:num w:numId="24">
    <w:abstractNumId w:val="21"/>
  </w:num>
  <w:num w:numId="25">
    <w:abstractNumId w:val="12"/>
  </w:num>
  <w:num w:numId="26">
    <w:abstractNumId w:val="23"/>
  </w:num>
  <w:num w:numId="27">
    <w:abstractNumId w:val="11"/>
  </w:num>
  <w:num w:numId="28">
    <w:abstractNumId w:val="34"/>
  </w:num>
  <w:num w:numId="29">
    <w:abstractNumId w:val="1"/>
  </w:num>
  <w:num w:numId="30">
    <w:abstractNumId w:val="35"/>
  </w:num>
  <w:num w:numId="31">
    <w:abstractNumId w:val="2"/>
  </w:num>
  <w:num w:numId="32">
    <w:abstractNumId w:val="6"/>
  </w:num>
  <w:num w:numId="33">
    <w:abstractNumId w:val="13"/>
  </w:num>
  <w:num w:numId="34">
    <w:abstractNumId w:val="0"/>
  </w:num>
  <w:num w:numId="35">
    <w:abstractNumId w:val="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s>
  <w:rsids>
    <w:rsidRoot w:val="007F7043"/>
    <w:rsid w:val="0000377B"/>
    <w:rsid w:val="00004AA3"/>
    <w:rsid w:val="00005161"/>
    <w:rsid w:val="000068EA"/>
    <w:rsid w:val="00007223"/>
    <w:rsid w:val="0001068F"/>
    <w:rsid w:val="000125F4"/>
    <w:rsid w:val="000267AA"/>
    <w:rsid w:val="0003046F"/>
    <w:rsid w:val="00031930"/>
    <w:rsid w:val="000353AC"/>
    <w:rsid w:val="00037326"/>
    <w:rsid w:val="0003753C"/>
    <w:rsid w:val="00055DA3"/>
    <w:rsid w:val="000634B4"/>
    <w:rsid w:val="000660FB"/>
    <w:rsid w:val="0007006A"/>
    <w:rsid w:val="00070D24"/>
    <w:rsid w:val="00076DFA"/>
    <w:rsid w:val="0008232E"/>
    <w:rsid w:val="000873D4"/>
    <w:rsid w:val="00092304"/>
    <w:rsid w:val="000A0E22"/>
    <w:rsid w:val="000A208E"/>
    <w:rsid w:val="000A7CDF"/>
    <w:rsid w:val="000B0915"/>
    <w:rsid w:val="000B6DE6"/>
    <w:rsid w:val="000C00E9"/>
    <w:rsid w:val="000C2D7F"/>
    <w:rsid w:val="000D6A60"/>
    <w:rsid w:val="000E5805"/>
    <w:rsid w:val="000F26EE"/>
    <w:rsid w:val="000F60B8"/>
    <w:rsid w:val="001033E2"/>
    <w:rsid w:val="001050A0"/>
    <w:rsid w:val="001114E2"/>
    <w:rsid w:val="001126A8"/>
    <w:rsid w:val="00113948"/>
    <w:rsid w:val="00124BCF"/>
    <w:rsid w:val="00125842"/>
    <w:rsid w:val="00125AE4"/>
    <w:rsid w:val="001305E1"/>
    <w:rsid w:val="0013254C"/>
    <w:rsid w:val="00132BFB"/>
    <w:rsid w:val="0013421C"/>
    <w:rsid w:val="0013663E"/>
    <w:rsid w:val="001449B9"/>
    <w:rsid w:val="00144D71"/>
    <w:rsid w:val="001504E4"/>
    <w:rsid w:val="00153B11"/>
    <w:rsid w:val="001545C3"/>
    <w:rsid w:val="00161284"/>
    <w:rsid w:val="0016555D"/>
    <w:rsid w:val="00166828"/>
    <w:rsid w:val="001762A3"/>
    <w:rsid w:val="001776DB"/>
    <w:rsid w:val="001822B1"/>
    <w:rsid w:val="001844C4"/>
    <w:rsid w:val="001926AA"/>
    <w:rsid w:val="0019600D"/>
    <w:rsid w:val="00196D36"/>
    <w:rsid w:val="00197A35"/>
    <w:rsid w:val="001A13E0"/>
    <w:rsid w:val="001A2426"/>
    <w:rsid w:val="001A39AD"/>
    <w:rsid w:val="001A557C"/>
    <w:rsid w:val="001B5293"/>
    <w:rsid w:val="001C7FA0"/>
    <w:rsid w:val="001D1A8A"/>
    <w:rsid w:val="001D2177"/>
    <w:rsid w:val="001E0E84"/>
    <w:rsid w:val="001E1964"/>
    <w:rsid w:val="001F03F7"/>
    <w:rsid w:val="001F5FBB"/>
    <w:rsid w:val="002018FD"/>
    <w:rsid w:val="00202BDA"/>
    <w:rsid w:val="00212556"/>
    <w:rsid w:val="00213735"/>
    <w:rsid w:val="00215D42"/>
    <w:rsid w:val="00215DB5"/>
    <w:rsid w:val="00225ABF"/>
    <w:rsid w:val="002265C7"/>
    <w:rsid w:val="00231ECF"/>
    <w:rsid w:val="00240E9B"/>
    <w:rsid w:val="00240FAF"/>
    <w:rsid w:val="00241F21"/>
    <w:rsid w:val="00245AF1"/>
    <w:rsid w:val="00255A54"/>
    <w:rsid w:val="00255D59"/>
    <w:rsid w:val="00257F69"/>
    <w:rsid w:val="00260416"/>
    <w:rsid w:val="00262395"/>
    <w:rsid w:val="00265BD3"/>
    <w:rsid w:val="00273DCD"/>
    <w:rsid w:val="00280080"/>
    <w:rsid w:val="002804AE"/>
    <w:rsid w:val="0028172A"/>
    <w:rsid w:val="002826F6"/>
    <w:rsid w:val="002919F0"/>
    <w:rsid w:val="00292FF2"/>
    <w:rsid w:val="0029376F"/>
    <w:rsid w:val="00293F68"/>
    <w:rsid w:val="00296167"/>
    <w:rsid w:val="002A5B78"/>
    <w:rsid w:val="002B0670"/>
    <w:rsid w:val="002B657D"/>
    <w:rsid w:val="002B7587"/>
    <w:rsid w:val="002B7661"/>
    <w:rsid w:val="002D16FE"/>
    <w:rsid w:val="002D20B1"/>
    <w:rsid w:val="002D5A77"/>
    <w:rsid w:val="002E2895"/>
    <w:rsid w:val="002E3D00"/>
    <w:rsid w:val="002E6DCC"/>
    <w:rsid w:val="002F500A"/>
    <w:rsid w:val="002F747B"/>
    <w:rsid w:val="00305DAF"/>
    <w:rsid w:val="00306C8C"/>
    <w:rsid w:val="0031158A"/>
    <w:rsid w:val="00314113"/>
    <w:rsid w:val="003214FF"/>
    <w:rsid w:val="00321DD1"/>
    <w:rsid w:val="00332921"/>
    <w:rsid w:val="00333529"/>
    <w:rsid w:val="003335D4"/>
    <w:rsid w:val="003348A0"/>
    <w:rsid w:val="00340328"/>
    <w:rsid w:val="003430A1"/>
    <w:rsid w:val="00344019"/>
    <w:rsid w:val="003443FA"/>
    <w:rsid w:val="0034551C"/>
    <w:rsid w:val="0035305C"/>
    <w:rsid w:val="00356C08"/>
    <w:rsid w:val="00357096"/>
    <w:rsid w:val="003651DF"/>
    <w:rsid w:val="003676C6"/>
    <w:rsid w:val="00370314"/>
    <w:rsid w:val="003744F6"/>
    <w:rsid w:val="00375BFD"/>
    <w:rsid w:val="003765FB"/>
    <w:rsid w:val="00383607"/>
    <w:rsid w:val="00387551"/>
    <w:rsid w:val="00397A3F"/>
    <w:rsid w:val="003B1CCA"/>
    <w:rsid w:val="003B5578"/>
    <w:rsid w:val="003B5D2E"/>
    <w:rsid w:val="003B7024"/>
    <w:rsid w:val="003C0972"/>
    <w:rsid w:val="003C4252"/>
    <w:rsid w:val="003D0D02"/>
    <w:rsid w:val="003D0DF5"/>
    <w:rsid w:val="003D3025"/>
    <w:rsid w:val="003D454A"/>
    <w:rsid w:val="003D4D5D"/>
    <w:rsid w:val="003D66FF"/>
    <w:rsid w:val="003F01C0"/>
    <w:rsid w:val="003F12D5"/>
    <w:rsid w:val="003F2F66"/>
    <w:rsid w:val="003F403A"/>
    <w:rsid w:val="003F4A7E"/>
    <w:rsid w:val="003F67B8"/>
    <w:rsid w:val="00405A7D"/>
    <w:rsid w:val="00406DFA"/>
    <w:rsid w:val="004140FD"/>
    <w:rsid w:val="004179A3"/>
    <w:rsid w:val="004201E1"/>
    <w:rsid w:val="00420B2C"/>
    <w:rsid w:val="00427F1A"/>
    <w:rsid w:val="00431CEF"/>
    <w:rsid w:val="00434DDB"/>
    <w:rsid w:val="00436761"/>
    <w:rsid w:val="00440B59"/>
    <w:rsid w:val="00442F1B"/>
    <w:rsid w:val="00443E35"/>
    <w:rsid w:val="00444F94"/>
    <w:rsid w:val="00451B69"/>
    <w:rsid w:val="00457795"/>
    <w:rsid w:val="00460378"/>
    <w:rsid w:val="0046192A"/>
    <w:rsid w:val="00461982"/>
    <w:rsid w:val="004625FB"/>
    <w:rsid w:val="00482072"/>
    <w:rsid w:val="00482F38"/>
    <w:rsid w:val="00486F55"/>
    <w:rsid w:val="0049123C"/>
    <w:rsid w:val="00491356"/>
    <w:rsid w:val="00495A94"/>
    <w:rsid w:val="004A7525"/>
    <w:rsid w:val="004B0D39"/>
    <w:rsid w:val="004B5A8D"/>
    <w:rsid w:val="004C1BF6"/>
    <w:rsid w:val="004E2177"/>
    <w:rsid w:val="004E2784"/>
    <w:rsid w:val="004E34C4"/>
    <w:rsid w:val="00506215"/>
    <w:rsid w:val="00507658"/>
    <w:rsid w:val="00510FC7"/>
    <w:rsid w:val="005167A3"/>
    <w:rsid w:val="005259C1"/>
    <w:rsid w:val="00530361"/>
    <w:rsid w:val="005337F5"/>
    <w:rsid w:val="00534C42"/>
    <w:rsid w:val="00540577"/>
    <w:rsid w:val="0054075E"/>
    <w:rsid w:val="00544269"/>
    <w:rsid w:val="00551EFB"/>
    <w:rsid w:val="00555575"/>
    <w:rsid w:val="00555695"/>
    <w:rsid w:val="005560D4"/>
    <w:rsid w:val="00561710"/>
    <w:rsid w:val="00573EC2"/>
    <w:rsid w:val="0057741D"/>
    <w:rsid w:val="005776B5"/>
    <w:rsid w:val="0058248C"/>
    <w:rsid w:val="00582770"/>
    <w:rsid w:val="00584F60"/>
    <w:rsid w:val="0058539D"/>
    <w:rsid w:val="005A1F08"/>
    <w:rsid w:val="005A4D41"/>
    <w:rsid w:val="005B566B"/>
    <w:rsid w:val="005D0764"/>
    <w:rsid w:val="005D4A4C"/>
    <w:rsid w:val="005E1CBE"/>
    <w:rsid w:val="005E26F7"/>
    <w:rsid w:val="005E5A71"/>
    <w:rsid w:val="005E6827"/>
    <w:rsid w:val="005F1F3E"/>
    <w:rsid w:val="005F2C3A"/>
    <w:rsid w:val="005F6F53"/>
    <w:rsid w:val="006003E1"/>
    <w:rsid w:val="0060263B"/>
    <w:rsid w:val="0060346D"/>
    <w:rsid w:val="00610F61"/>
    <w:rsid w:val="00616045"/>
    <w:rsid w:val="006231A2"/>
    <w:rsid w:val="00623406"/>
    <w:rsid w:val="00625F81"/>
    <w:rsid w:val="00626AD4"/>
    <w:rsid w:val="00630513"/>
    <w:rsid w:val="00630C26"/>
    <w:rsid w:val="00634795"/>
    <w:rsid w:val="0064035A"/>
    <w:rsid w:val="00643DDF"/>
    <w:rsid w:val="00647396"/>
    <w:rsid w:val="006570BF"/>
    <w:rsid w:val="00664CF3"/>
    <w:rsid w:val="0066718C"/>
    <w:rsid w:val="00670A95"/>
    <w:rsid w:val="006727C5"/>
    <w:rsid w:val="006764D4"/>
    <w:rsid w:val="00684322"/>
    <w:rsid w:val="00685C7D"/>
    <w:rsid w:val="00686A71"/>
    <w:rsid w:val="00691D00"/>
    <w:rsid w:val="00695889"/>
    <w:rsid w:val="006A112C"/>
    <w:rsid w:val="006A4411"/>
    <w:rsid w:val="006A7450"/>
    <w:rsid w:val="006C468D"/>
    <w:rsid w:val="006D32D2"/>
    <w:rsid w:val="006D4B5D"/>
    <w:rsid w:val="006E2E7B"/>
    <w:rsid w:val="006F1984"/>
    <w:rsid w:val="006F549E"/>
    <w:rsid w:val="00700C75"/>
    <w:rsid w:val="0070116A"/>
    <w:rsid w:val="007136D4"/>
    <w:rsid w:val="007175E8"/>
    <w:rsid w:val="00717EAC"/>
    <w:rsid w:val="00720894"/>
    <w:rsid w:val="007271BE"/>
    <w:rsid w:val="007305E3"/>
    <w:rsid w:val="00733C02"/>
    <w:rsid w:val="00736461"/>
    <w:rsid w:val="00736732"/>
    <w:rsid w:val="00737B8B"/>
    <w:rsid w:val="007414A3"/>
    <w:rsid w:val="00746AB5"/>
    <w:rsid w:val="00747D17"/>
    <w:rsid w:val="0075231A"/>
    <w:rsid w:val="00764B37"/>
    <w:rsid w:val="0076780F"/>
    <w:rsid w:val="00770E9C"/>
    <w:rsid w:val="00773F55"/>
    <w:rsid w:val="00784C56"/>
    <w:rsid w:val="00787468"/>
    <w:rsid w:val="0079202B"/>
    <w:rsid w:val="00795E7D"/>
    <w:rsid w:val="00796644"/>
    <w:rsid w:val="007B0430"/>
    <w:rsid w:val="007B789E"/>
    <w:rsid w:val="007C462B"/>
    <w:rsid w:val="007C4F90"/>
    <w:rsid w:val="007C7BBE"/>
    <w:rsid w:val="007D0DA1"/>
    <w:rsid w:val="007E4CC0"/>
    <w:rsid w:val="007E7D13"/>
    <w:rsid w:val="007E7D42"/>
    <w:rsid w:val="007F7043"/>
    <w:rsid w:val="00801940"/>
    <w:rsid w:val="00803110"/>
    <w:rsid w:val="00805C25"/>
    <w:rsid w:val="008072D2"/>
    <w:rsid w:val="0080764F"/>
    <w:rsid w:val="008154BF"/>
    <w:rsid w:val="00815713"/>
    <w:rsid w:val="0082425B"/>
    <w:rsid w:val="008254A1"/>
    <w:rsid w:val="008264E5"/>
    <w:rsid w:val="008448EA"/>
    <w:rsid w:val="008460C6"/>
    <w:rsid w:val="00846A37"/>
    <w:rsid w:val="0085084C"/>
    <w:rsid w:val="008508E2"/>
    <w:rsid w:val="008509E3"/>
    <w:rsid w:val="008516E4"/>
    <w:rsid w:val="00857310"/>
    <w:rsid w:val="008650DD"/>
    <w:rsid w:val="0088643F"/>
    <w:rsid w:val="008913B3"/>
    <w:rsid w:val="00891870"/>
    <w:rsid w:val="00891B82"/>
    <w:rsid w:val="00892777"/>
    <w:rsid w:val="0089351B"/>
    <w:rsid w:val="008A1DC8"/>
    <w:rsid w:val="008A515A"/>
    <w:rsid w:val="008A7DAC"/>
    <w:rsid w:val="008B0DA7"/>
    <w:rsid w:val="008C0066"/>
    <w:rsid w:val="008C09B2"/>
    <w:rsid w:val="008C5F03"/>
    <w:rsid w:val="008D2E1B"/>
    <w:rsid w:val="008D3E81"/>
    <w:rsid w:val="008E1744"/>
    <w:rsid w:val="008E513F"/>
    <w:rsid w:val="008E7C12"/>
    <w:rsid w:val="008F0CCC"/>
    <w:rsid w:val="008F46A2"/>
    <w:rsid w:val="008F4EAA"/>
    <w:rsid w:val="00900B7E"/>
    <w:rsid w:val="009010CD"/>
    <w:rsid w:val="009013B8"/>
    <w:rsid w:val="00902F2B"/>
    <w:rsid w:val="00903EF0"/>
    <w:rsid w:val="00905F80"/>
    <w:rsid w:val="00910EB6"/>
    <w:rsid w:val="00911EA5"/>
    <w:rsid w:val="00912253"/>
    <w:rsid w:val="009140DC"/>
    <w:rsid w:val="00915242"/>
    <w:rsid w:val="00917987"/>
    <w:rsid w:val="0092159B"/>
    <w:rsid w:val="0092257A"/>
    <w:rsid w:val="00922A56"/>
    <w:rsid w:val="009236E4"/>
    <w:rsid w:val="00933716"/>
    <w:rsid w:val="00933FE3"/>
    <w:rsid w:val="00937705"/>
    <w:rsid w:val="0094174C"/>
    <w:rsid w:val="0094283C"/>
    <w:rsid w:val="00950340"/>
    <w:rsid w:val="00951A6D"/>
    <w:rsid w:val="00953892"/>
    <w:rsid w:val="009541FE"/>
    <w:rsid w:val="00956A2E"/>
    <w:rsid w:val="0096450D"/>
    <w:rsid w:val="00966926"/>
    <w:rsid w:val="0097186D"/>
    <w:rsid w:val="009816E9"/>
    <w:rsid w:val="00991598"/>
    <w:rsid w:val="00994838"/>
    <w:rsid w:val="00996189"/>
    <w:rsid w:val="00996C4C"/>
    <w:rsid w:val="00997D9D"/>
    <w:rsid w:val="009A0C28"/>
    <w:rsid w:val="009A1AD3"/>
    <w:rsid w:val="009A20DC"/>
    <w:rsid w:val="009B4340"/>
    <w:rsid w:val="009B7DB8"/>
    <w:rsid w:val="009C05FF"/>
    <w:rsid w:val="009C0E19"/>
    <w:rsid w:val="009C3EB6"/>
    <w:rsid w:val="009E3766"/>
    <w:rsid w:val="009E709C"/>
    <w:rsid w:val="009F1648"/>
    <w:rsid w:val="009F212D"/>
    <w:rsid w:val="009F4CC4"/>
    <w:rsid w:val="009F4DC3"/>
    <w:rsid w:val="009F593C"/>
    <w:rsid w:val="009F6FF9"/>
    <w:rsid w:val="00A11BF7"/>
    <w:rsid w:val="00A156A6"/>
    <w:rsid w:val="00A15B63"/>
    <w:rsid w:val="00A15B9D"/>
    <w:rsid w:val="00A22F4D"/>
    <w:rsid w:val="00A265D1"/>
    <w:rsid w:val="00A27E10"/>
    <w:rsid w:val="00A31772"/>
    <w:rsid w:val="00A350DA"/>
    <w:rsid w:val="00A37D33"/>
    <w:rsid w:val="00A4316F"/>
    <w:rsid w:val="00A43985"/>
    <w:rsid w:val="00A52C6C"/>
    <w:rsid w:val="00A53322"/>
    <w:rsid w:val="00A5556A"/>
    <w:rsid w:val="00A55FEF"/>
    <w:rsid w:val="00A6025E"/>
    <w:rsid w:val="00A60E60"/>
    <w:rsid w:val="00A641A1"/>
    <w:rsid w:val="00A654DA"/>
    <w:rsid w:val="00A72629"/>
    <w:rsid w:val="00A727A6"/>
    <w:rsid w:val="00A741F6"/>
    <w:rsid w:val="00A74520"/>
    <w:rsid w:val="00A82893"/>
    <w:rsid w:val="00A84477"/>
    <w:rsid w:val="00A85D73"/>
    <w:rsid w:val="00A86540"/>
    <w:rsid w:val="00A92E8F"/>
    <w:rsid w:val="00A936C7"/>
    <w:rsid w:val="00AA4712"/>
    <w:rsid w:val="00AA520E"/>
    <w:rsid w:val="00AA5EED"/>
    <w:rsid w:val="00AB5E0B"/>
    <w:rsid w:val="00AC0287"/>
    <w:rsid w:val="00AC7749"/>
    <w:rsid w:val="00AD7143"/>
    <w:rsid w:val="00AD7C0A"/>
    <w:rsid w:val="00AD7D67"/>
    <w:rsid w:val="00AE29D5"/>
    <w:rsid w:val="00AE3232"/>
    <w:rsid w:val="00AE50E0"/>
    <w:rsid w:val="00AE54E5"/>
    <w:rsid w:val="00AF2A00"/>
    <w:rsid w:val="00AF37D8"/>
    <w:rsid w:val="00AF3C7A"/>
    <w:rsid w:val="00AF3D9D"/>
    <w:rsid w:val="00AF4446"/>
    <w:rsid w:val="00AF69C8"/>
    <w:rsid w:val="00B0021D"/>
    <w:rsid w:val="00B009D0"/>
    <w:rsid w:val="00B05DA1"/>
    <w:rsid w:val="00B06020"/>
    <w:rsid w:val="00B060CE"/>
    <w:rsid w:val="00B133D8"/>
    <w:rsid w:val="00B16858"/>
    <w:rsid w:val="00B17434"/>
    <w:rsid w:val="00B257D5"/>
    <w:rsid w:val="00B3037E"/>
    <w:rsid w:val="00B31BD7"/>
    <w:rsid w:val="00B32E83"/>
    <w:rsid w:val="00B4499D"/>
    <w:rsid w:val="00B46283"/>
    <w:rsid w:val="00B47580"/>
    <w:rsid w:val="00B479C7"/>
    <w:rsid w:val="00B514EF"/>
    <w:rsid w:val="00B51DD2"/>
    <w:rsid w:val="00B53F77"/>
    <w:rsid w:val="00B55B38"/>
    <w:rsid w:val="00B65A3C"/>
    <w:rsid w:val="00B66CE5"/>
    <w:rsid w:val="00B67902"/>
    <w:rsid w:val="00B7132D"/>
    <w:rsid w:val="00B74D7C"/>
    <w:rsid w:val="00B81556"/>
    <w:rsid w:val="00B835F7"/>
    <w:rsid w:val="00B903AF"/>
    <w:rsid w:val="00B91568"/>
    <w:rsid w:val="00B92B13"/>
    <w:rsid w:val="00B94629"/>
    <w:rsid w:val="00B9506A"/>
    <w:rsid w:val="00B96E2E"/>
    <w:rsid w:val="00B97786"/>
    <w:rsid w:val="00BA3BF9"/>
    <w:rsid w:val="00BA7552"/>
    <w:rsid w:val="00BB0CE1"/>
    <w:rsid w:val="00BB5EE2"/>
    <w:rsid w:val="00BC00D2"/>
    <w:rsid w:val="00BC1C43"/>
    <w:rsid w:val="00BC6BA5"/>
    <w:rsid w:val="00BD0DF7"/>
    <w:rsid w:val="00BD2957"/>
    <w:rsid w:val="00BE4981"/>
    <w:rsid w:val="00BF2327"/>
    <w:rsid w:val="00BF6561"/>
    <w:rsid w:val="00C11BBF"/>
    <w:rsid w:val="00C14061"/>
    <w:rsid w:val="00C14D76"/>
    <w:rsid w:val="00C15BDE"/>
    <w:rsid w:val="00C20849"/>
    <w:rsid w:val="00C2296D"/>
    <w:rsid w:val="00C2412D"/>
    <w:rsid w:val="00C25A89"/>
    <w:rsid w:val="00C31F97"/>
    <w:rsid w:val="00C37A0B"/>
    <w:rsid w:val="00C4079B"/>
    <w:rsid w:val="00C45CDA"/>
    <w:rsid w:val="00C60320"/>
    <w:rsid w:val="00C72870"/>
    <w:rsid w:val="00C737AB"/>
    <w:rsid w:val="00C7646C"/>
    <w:rsid w:val="00C82D23"/>
    <w:rsid w:val="00C83940"/>
    <w:rsid w:val="00C86106"/>
    <w:rsid w:val="00C90F8B"/>
    <w:rsid w:val="00C93A61"/>
    <w:rsid w:val="00C968DB"/>
    <w:rsid w:val="00CA369C"/>
    <w:rsid w:val="00CA37E9"/>
    <w:rsid w:val="00CA4C4C"/>
    <w:rsid w:val="00CA5EA8"/>
    <w:rsid w:val="00CB053F"/>
    <w:rsid w:val="00CB2BA3"/>
    <w:rsid w:val="00CB50D2"/>
    <w:rsid w:val="00CC0EFC"/>
    <w:rsid w:val="00CD0E53"/>
    <w:rsid w:val="00CD4941"/>
    <w:rsid w:val="00CE49DF"/>
    <w:rsid w:val="00CE5956"/>
    <w:rsid w:val="00CE6A6B"/>
    <w:rsid w:val="00CE7495"/>
    <w:rsid w:val="00CE7B2C"/>
    <w:rsid w:val="00CF2149"/>
    <w:rsid w:val="00CF3208"/>
    <w:rsid w:val="00CF5CC2"/>
    <w:rsid w:val="00D039B8"/>
    <w:rsid w:val="00D11DBF"/>
    <w:rsid w:val="00D130C6"/>
    <w:rsid w:val="00D147E9"/>
    <w:rsid w:val="00D2068F"/>
    <w:rsid w:val="00D216D8"/>
    <w:rsid w:val="00D247C1"/>
    <w:rsid w:val="00D3113E"/>
    <w:rsid w:val="00D31B92"/>
    <w:rsid w:val="00D31DED"/>
    <w:rsid w:val="00D3367A"/>
    <w:rsid w:val="00D3729D"/>
    <w:rsid w:val="00D40845"/>
    <w:rsid w:val="00D40908"/>
    <w:rsid w:val="00D44F77"/>
    <w:rsid w:val="00D5126E"/>
    <w:rsid w:val="00D51484"/>
    <w:rsid w:val="00D72D9B"/>
    <w:rsid w:val="00D826C0"/>
    <w:rsid w:val="00D82DC6"/>
    <w:rsid w:val="00D8569F"/>
    <w:rsid w:val="00DA07B0"/>
    <w:rsid w:val="00DA5B1C"/>
    <w:rsid w:val="00DA7D30"/>
    <w:rsid w:val="00DB516C"/>
    <w:rsid w:val="00DB7FA8"/>
    <w:rsid w:val="00DC363D"/>
    <w:rsid w:val="00DC59CE"/>
    <w:rsid w:val="00DC691E"/>
    <w:rsid w:val="00DC78E3"/>
    <w:rsid w:val="00DD3EA0"/>
    <w:rsid w:val="00DE3880"/>
    <w:rsid w:val="00DF06CE"/>
    <w:rsid w:val="00E0046A"/>
    <w:rsid w:val="00E0057F"/>
    <w:rsid w:val="00E055A0"/>
    <w:rsid w:val="00E103C0"/>
    <w:rsid w:val="00E1156E"/>
    <w:rsid w:val="00E134BB"/>
    <w:rsid w:val="00E136F0"/>
    <w:rsid w:val="00E153B9"/>
    <w:rsid w:val="00E156F4"/>
    <w:rsid w:val="00E23C83"/>
    <w:rsid w:val="00E2539D"/>
    <w:rsid w:val="00E30515"/>
    <w:rsid w:val="00E337FB"/>
    <w:rsid w:val="00E46313"/>
    <w:rsid w:val="00E52717"/>
    <w:rsid w:val="00E552D9"/>
    <w:rsid w:val="00E56BF4"/>
    <w:rsid w:val="00E6698C"/>
    <w:rsid w:val="00E66EBF"/>
    <w:rsid w:val="00E6743F"/>
    <w:rsid w:val="00E70DC3"/>
    <w:rsid w:val="00E7211A"/>
    <w:rsid w:val="00E858AB"/>
    <w:rsid w:val="00E87A78"/>
    <w:rsid w:val="00E905E7"/>
    <w:rsid w:val="00E913B5"/>
    <w:rsid w:val="00E95722"/>
    <w:rsid w:val="00E96052"/>
    <w:rsid w:val="00E96860"/>
    <w:rsid w:val="00EA09B8"/>
    <w:rsid w:val="00EA0AB1"/>
    <w:rsid w:val="00EA19AE"/>
    <w:rsid w:val="00EA1F4B"/>
    <w:rsid w:val="00EA6544"/>
    <w:rsid w:val="00EA6BB4"/>
    <w:rsid w:val="00EC0ED5"/>
    <w:rsid w:val="00ED38F5"/>
    <w:rsid w:val="00EE3290"/>
    <w:rsid w:val="00EF0C83"/>
    <w:rsid w:val="00EF5422"/>
    <w:rsid w:val="00F0179A"/>
    <w:rsid w:val="00F02CB6"/>
    <w:rsid w:val="00F06F6C"/>
    <w:rsid w:val="00F15834"/>
    <w:rsid w:val="00F20981"/>
    <w:rsid w:val="00F26D8F"/>
    <w:rsid w:val="00F30530"/>
    <w:rsid w:val="00F365F4"/>
    <w:rsid w:val="00F47EB3"/>
    <w:rsid w:val="00F53ECA"/>
    <w:rsid w:val="00F61358"/>
    <w:rsid w:val="00F622C0"/>
    <w:rsid w:val="00F677D0"/>
    <w:rsid w:val="00F7060F"/>
    <w:rsid w:val="00F72D42"/>
    <w:rsid w:val="00F74617"/>
    <w:rsid w:val="00F74F76"/>
    <w:rsid w:val="00F85815"/>
    <w:rsid w:val="00F871D9"/>
    <w:rsid w:val="00F93E03"/>
    <w:rsid w:val="00FA06F2"/>
    <w:rsid w:val="00FA7F8A"/>
    <w:rsid w:val="00FB42DC"/>
    <w:rsid w:val="00FC1DBC"/>
    <w:rsid w:val="00FC749C"/>
    <w:rsid w:val="00FD3D2D"/>
    <w:rsid w:val="00FD6889"/>
    <w:rsid w:val="00FE2835"/>
    <w:rsid w:val="00FE476F"/>
    <w:rsid w:val="00FE609D"/>
    <w:rsid w:val="00FE6793"/>
    <w:rsid w:val="00FE727A"/>
    <w:rsid w:val="00FF0ACD"/>
    <w:rsid w:val="00FF0B7A"/>
    <w:rsid w:val="00FF2A32"/>
    <w:rsid w:val="00FF48A6"/>
    <w:rsid w:val="00FF73E5"/>
    <w:rsid w:val="02466754"/>
    <w:rsid w:val="024956AE"/>
    <w:rsid w:val="02535D17"/>
    <w:rsid w:val="039A79A9"/>
    <w:rsid w:val="03C95BB9"/>
    <w:rsid w:val="06122FEC"/>
    <w:rsid w:val="07B56B76"/>
    <w:rsid w:val="07F10522"/>
    <w:rsid w:val="0A496451"/>
    <w:rsid w:val="0CCF7677"/>
    <w:rsid w:val="0D2D5BF3"/>
    <w:rsid w:val="0DB0576E"/>
    <w:rsid w:val="0DC67D96"/>
    <w:rsid w:val="0DDA4357"/>
    <w:rsid w:val="0FFC30CF"/>
    <w:rsid w:val="10881228"/>
    <w:rsid w:val="14711A3D"/>
    <w:rsid w:val="19717E54"/>
    <w:rsid w:val="1A677DD5"/>
    <w:rsid w:val="1B332611"/>
    <w:rsid w:val="1C67756A"/>
    <w:rsid w:val="1DCA2399"/>
    <w:rsid w:val="1FA45952"/>
    <w:rsid w:val="20FB0CD4"/>
    <w:rsid w:val="22F938AC"/>
    <w:rsid w:val="26341C05"/>
    <w:rsid w:val="273F4229"/>
    <w:rsid w:val="28BA7927"/>
    <w:rsid w:val="2A84106D"/>
    <w:rsid w:val="2DAF34A1"/>
    <w:rsid w:val="2DEC7421"/>
    <w:rsid w:val="2E2C34A7"/>
    <w:rsid w:val="2EBE493E"/>
    <w:rsid w:val="30D10635"/>
    <w:rsid w:val="31304E83"/>
    <w:rsid w:val="33873522"/>
    <w:rsid w:val="375F2655"/>
    <w:rsid w:val="38197CD4"/>
    <w:rsid w:val="433A15DD"/>
    <w:rsid w:val="43640F12"/>
    <w:rsid w:val="460B7B78"/>
    <w:rsid w:val="4656734F"/>
    <w:rsid w:val="46C747D0"/>
    <w:rsid w:val="46EA4FB1"/>
    <w:rsid w:val="48962A6E"/>
    <w:rsid w:val="4A905C83"/>
    <w:rsid w:val="4BC2476F"/>
    <w:rsid w:val="4CD811BE"/>
    <w:rsid w:val="4D9262B0"/>
    <w:rsid w:val="4E05638D"/>
    <w:rsid w:val="4F5E6591"/>
    <w:rsid w:val="4FDC7F99"/>
    <w:rsid w:val="514F438E"/>
    <w:rsid w:val="51AD2F74"/>
    <w:rsid w:val="526E4052"/>
    <w:rsid w:val="54385EC9"/>
    <w:rsid w:val="555B3024"/>
    <w:rsid w:val="55E87D5E"/>
    <w:rsid w:val="586B08EE"/>
    <w:rsid w:val="59E61004"/>
    <w:rsid w:val="5A9920A6"/>
    <w:rsid w:val="5CD71C9F"/>
    <w:rsid w:val="5DE15320"/>
    <w:rsid w:val="5E6914E5"/>
    <w:rsid w:val="5EEE180B"/>
    <w:rsid w:val="5FF339E1"/>
    <w:rsid w:val="606C4F26"/>
    <w:rsid w:val="631747F5"/>
    <w:rsid w:val="63C27722"/>
    <w:rsid w:val="65A948B1"/>
    <w:rsid w:val="67D3031D"/>
    <w:rsid w:val="69BB0E9B"/>
    <w:rsid w:val="69E63EB9"/>
    <w:rsid w:val="6ABA33D2"/>
    <w:rsid w:val="6B361AE6"/>
    <w:rsid w:val="6DDF0F16"/>
    <w:rsid w:val="75EF09CF"/>
    <w:rsid w:val="76342BE3"/>
    <w:rsid w:val="79DA28F6"/>
    <w:rsid w:val="7A3D51F0"/>
    <w:rsid w:val="7AAC069C"/>
    <w:rsid w:val="7BC06BFE"/>
    <w:rsid w:val="7C5627CD"/>
    <w:rsid w:val="7D9344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48"/>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9"/>
    <w:qFormat/>
    <w:uiPriority w:val="99"/>
    <w:pPr>
      <w:keepNext/>
      <w:keepLines/>
      <w:spacing w:before="260" w:after="260" w:line="416" w:lineRule="auto"/>
      <w:outlineLvl w:val="2"/>
    </w:pPr>
    <w:rPr>
      <w:b/>
      <w:bCs/>
      <w:sz w:val="32"/>
      <w:szCs w:val="32"/>
    </w:rPr>
  </w:style>
  <w:style w:type="paragraph" w:styleId="6">
    <w:name w:val="heading 4"/>
    <w:basedOn w:val="1"/>
    <w:next w:val="1"/>
    <w:link w:val="50"/>
    <w:qFormat/>
    <w:uiPriority w:val="99"/>
    <w:pPr>
      <w:keepNext/>
      <w:keepLines/>
      <w:spacing w:before="280" w:after="290" w:line="376" w:lineRule="auto"/>
      <w:outlineLvl w:val="3"/>
    </w:pPr>
    <w:rPr>
      <w:rFonts w:ascii="Cambria" w:hAnsi="Cambria" w:cs="黑体"/>
      <w:b/>
      <w:bCs/>
      <w:sz w:val="28"/>
      <w:szCs w:val="28"/>
    </w:rPr>
  </w:style>
  <w:style w:type="paragraph" w:styleId="7">
    <w:name w:val="heading 6"/>
    <w:basedOn w:val="1"/>
    <w:next w:val="1"/>
    <w:link w:val="51"/>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2"/>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53"/>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54"/>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11">
    <w:name w:val="toc 7"/>
    <w:basedOn w:val="1"/>
    <w:next w:val="1"/>
    <w:qFormat/>
    <w:uiPriority w:val="99"/>
    <w:pPr>
      <w:ind w:left="2520" w:leftChars="1200"/>
    </w:pPr>
    <w:rPr>
      <w:rFonts w:ascii="Calibri" w:hAnsi="Calibri"/>
      <w:szCs w:val="22"/>
    </w:rPr>
  </w:style>
  <w:style w:type="paragraph" w:styleId="12">
    <w:name w:val="caption"/>
    <w:basedOn w:val="1"/>
    <w:next w:val="1"/>
    <w:qFormat/>
    <w:uiPriority w:val="99"/>
    <w:rPr>
      <w:rFonts w:ascii="Cambria" w:hAnsi="Cambria" w:eastAsia="黑体"/>
      <w:sz w:val="20"/>
      <w:szCs w:val="20"/>
    </w:rPr>
  </w:style>
  <w:style w:type="paragraph" w:styleId="13">
    <w:name w:val="Document Map"/>
    <w:basedOn w:val="1"/>
    <w:link w:val="90"/>
    <w:qFormat/>
    <w:uiPriority w:val="99"/>
    <w:rPr>
      <w:rFonts w:ascii="宋体" w:hAnsi="Calibri"/>
      <w:kern w:val="0"/>
      <w:sz w:val="18"/>
      <w:szCs w:val="20"/>
    </w:rPr>
  </w:style>
  <w:style w:type="paragraph" w:styleId="14">
    <w:name w:val="annotation text"/>
    <w:basedOn w:val="1"/>
    <w:link w:val="67"/>
    <w:qFormat/>
    <w:uiPriority w:val="0"/>
    <w:pPr>
      <w:jc w:val="left"/>
    </w:pPr>
  </w:style>
  <w:style w:type="paragraph" w:styleId="15">
    <w:name w:val="Body Text 3"/>
    <w:basedOn w:val="1"/>
    <w:link w:val="73"/>
    <w:qFormat/>
    <w:uiPriority w:val="99"/>
    <w:rPr>
      <w:rFonts w:ascii="宋体" w:hAnsi="Calibri"/>
      <w:kern w:val="0"/>
      <w:sz w:val="24"/>
      <w:szCs w:val="20"/>
    </w:rPr>
  </w:style>
  <w:style w:type="paragraph" w:styleId="16">
    <w:name w:val="Body Text"/>
    <w:basedOn w:val="1"/>
    <w:link w:val="77"/>
    <w:qFormat/>
    <w:uiPriority w:val="99"/>
    <w:rPr>
      <w:sz w:val="28"/>
      <w:szCs w:val="20"/>
    </w:rPr>
  </w:style>
  <w:style w:type="paragraph" w:styleId="17">
    <w:name w:val="Body Text Indent"/>
    <w:basedOn w:val="1"/>
    <w:link w:val="72"/>
    <w:qFormat/>
    <w:uiPriority w:val="99"/>
    <w:pPr>
      <w:ind w:firstLine="489" w:firstLineChars="178"/>
    </w:pPr>
    <w:rPr>
      <w:sz w:val="28"/>
      <w:szCs w:val="28"/>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70"/>
    <w:qFormat/>
    <w:uiPriority w:val="99"/>
    <w:rPr>
      <w:rFonts w:ascii="Courier New" w:hAnsi="Courier New"/>
      <w:kern w:val="0"/>
      <w:sz w:val="20"/>
      <w:szCs w:val="20"/>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88"/>
    <w:qFormat/>
    <w:uiPriority w:val="99"/>
    <w:pPr>
      <w:ind w:left="100" w:leftChars="2500"/>
    </w:pPr>
    <w:rPr>
      <w:rFonts w:ascii="Calibri" w:hAnsi="Calibri"/>
      <w:kern w:val="0"/>
      <w:sz w:val="24"/>
      <w:szCs w:val="20"/>
    </w:rPr>
  </w:style>
  <w:style w:type="paragraph" w:styleId="23">
    <w:name w:val="Balloon Text"/>
    <w:basedOn w:val="1"/>
    <w:link w:val="75"/>
    <w:qFormat/>
    <w:uiPriority w:val="99"/>
    <w:rPr>
      <w:rFonts w:ascii="Calibri" w:hAnsi="Calibri"/>
      <w:kern w:val="0"/>
      <w:sz w:val="18"/>
      <w:szCs w:val="20"/>
    </w:rPr>
  </w:style>
  <w:style w:type="paragraph" w:styleId="24">
    <w:name w:val="footer"/>
    <w:basedOn w:val="1"/>
    <w:link w:val="56"/>
    <w:qFormat/>
    <w:uiPriority w:val="99"/>
    <w:pPr>
      <w:tabs>
        <w:tab w:val="center" w:pos="4153"/>
        <w:tab w:val="right" w:pos="8306"/>
      </w:tabs>
      <w:snapToGrid w:val="0"/>
      <w:jc w:val="left"/>
    </w:pPr>
    <w:rPr>
      <w:rFonts w:ascii="Calibri" w:hAnsi="Calibri"/>
      <w:sz w:val="18"/>
      <w:szCs w:val="18"/>
    </w:rPr>
  </w:style>
  <w:style w:type="paragraph" w:styleId="25">
    <w:name w:val="header"/>
    <w:basedOn w:val="1"/>
    <w:link w:val="5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6">
    <w:name w:val="toc 1"/>
    <w:basedOn w:val="1"/>
    <w:next w:val="1"/>
    <w:qFormat/>
    <w:uiPriority w:val="39"/>
    <w:pPr>
      <w:spacing w:before="120" w:after="120"/>
      <w:jc w:val="left"/>
    </w:pPr>
    <w:rPr>
      <w:b/>
      <w:bCs/>
      <w:caps/>
      <w:sz w:val="20"/>
      <w:szCs w:val="20"/>
    </w:rPr>
  </w:style>
  <w:style w:type="paragraph" w:styleId="27">
    <w:name w:val="toc 4"/>
    <w:basedOn w:val="1"/>
    <w:next w:val="1"/>
    <w:qFormat/>
    <w:uiPriority w:val="99"/>
    <w:pPr>
      <w:ind w:left="1260" w:leftChars="600"/>
    </w:pPr>
    <w:rPr>
      <w:rFonts w:ascii="Calibri" w:hAnsi="Calibri"/>
      <w:szCs w:val="22"/>
    </w:rPr>
  </w:style>
  <w:style w:type="paragraph" w:styleId="28">
    <w:name w:val="footnote text"/>
    <w:basedOn w:val="1"/>
    <w:link w:val="110"/>
    <w:qFormat/>
    <w:uiPriority w:val="99"/>
    <w:rPr>
      <w:kern w:val="0"/>
      <w:sz w:val="20"/>
      <w:szCs w:val="20"/>
    </w:r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102"/>
    <w:qFormat/>
    <w:uiPriority w:val="99"/>
    <w:pPr>
      <w:spacing w:after="120"/>
      <w:ind w:left="420" w:leftChars="200"/>
    </w:pPr>
    <w:rPr>
      <w:kern w:val="0"/>
      <w:sz w:val="16"/>
      <w:szCs w:val="16"/>
    </w:rPr>
  </w:style>
  <w:style w:type="paragraph" w:styleId="31">
    <w:name w:val="table of figures"/>
    <w:basedOn w:val="1"/>
    <w:next w:val="1"/>
    <w:qFormat/>
    <w:uiPriority w:val="99"/>
    <w:pPr>
      <w:ind w:left="200" w:leftChars="200" w:hanging="200" w:hangingChars="200"/>
    </w:pPr>
  </w:style>
  <w:style w:type="paragraph" w:styleId="32">
    <w:name w:val="toc 2"/>
    <w:basedOn w:val="1"/>
    <w:next w:val="1"/>
    <w:qFormat/>
    <w:uiPriority w:val="39"/>
    <w:pPr>
      <w:ind w:left="210"/>
      <w:jc w:val="left"/>
    </w:pPr>
    <w:rPr>
      <w:smallCaps/>
      <w:sz w:val="20"/>
      <w:szCs w:val="20"/>
    </w:rPr>
  </w:style>
  <w:style w:type="paragraph" w:styleId="33">
    <w:name w:val="toc 9"/>
    <w:basedOn w:val="1"/>
    <w:next w:val="1"/>
    <w:qFormat/>
    <w:uiPriority w:val="99"/>
    <w:pPr>
      <w:ind w:left="3360" w:leftChars="1600"/>
    </w:pPr>
    <w:rPr>
      <w:rFonts w:ascii="Calibri" w:hAnsi="Calibri"/>
      <w:szCs w:val="22"/>
    </w:rPr>
  </w:style>
  <w:style w:type="paragraph" w:styleId="34">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paragraph" w:styleId="35">
    <w:name w:val="Title"/>
    <w:basedOn w:val="1"/>
    <w:next w:val="1"/>
    <w:link w:val="92"/>
    <w:qFormat/>
    <w:uiPriority w:val="99"/>
    <w:pPr>
      <w:numPr>
        <w:ilvl w:val="1"/>
        <w:numId w:val="1"/>
      </w:numPr>
      <w:spacing w:before="240" w:after="60"/>
      <w:jc w:val="center"/>
      <w:outlineLvl w:val="0"/>
    </w:pPr>
    <w:rPr>
      <w:rFonts w:ascii="Cambria" w:hAnsi="Cambria"/>
      <w:b/>
      <w:bCs/>
      <w:sz w:val="32"/>
      <w:szCs w:val="32"/>
    </w:rPr>
  </w:style>
  <w:style w:type="paragraph" w:styleId="36">
    <w:name w:val="annotation subject"/>
    <w:basedOn w:val="14"/>
    <w:next w:val="14"/>
    <w:link w:val="68"/>
    <w:qFormat/>
    <w:uiPriority w:val="99"/>
    <w:rPr>
      <w:rFonts w:ascii="Calibri" w:hAnsi="Calibri"/>
      <w:b/>
      <w:kern w:val="0"/>
      <w:sz w:val="24"/>
      <w:szCs w:val="20"/>
    </w:rPr>
  </w:style>
  <w:style w:type="paragraph" w:styleId="37">
    <w:name w:val="Body Text First Indent 2"/>
    <w:basedOn w:val="17"/>
    <w:qFormat/>
    <w:locked/>
    <w:uiPriority w:val="0"/>
    <w:pPr>
      <w:ind w:firstLine="420" w:firstLineChars="200"/>
    </w:pPr>
    <w:rPr>
      <w:rFonts w:ascii="Calibri" w:hAnsi="Calibri"/>
    </w:rPr>
  </w:style>
  <w:style w:type="table" w:styleId="39">
    <w:name w:val="Table Grid"/>
    <w:basedOn w:val="38"/>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99"/>
    <w:rPr>
      <w:rFonts w:cs="Times New Roman"/>
      <w:b/>
      <w:bCs/>
    </w:rPr>
  </w:style>
  <w:style w:type="character" w:styleId="42">
    <w:name w:val="page number"/>
    <w:qFormat/>
    <w:uiPriority w:val="99"/>
    <w:rPr>
      <w:rFonts w:cs="Times New Roman"/>
    </w:rPr>
  </w:style>
  <w:style w:type="character" w:styleId="43">
    <w:name w:val="FollowedHyperlink"/>
    <w:qFormat/>
    <w:uiPriority w:val="99"/>
    <w:rPr>
      <w:rFonts w:cs="Times New Roman"/>
      <w:color w:val="800080"/>
      <w:u w:val="single"/>
    </w:rPr>
  </w:style>
  <w:style w:type="character" w:styleId="44">
    <w:name w:val="Hyperlink"/>
    <w:qFormat/>
    <w:uiPriority w:val="99"/>
    <w:rPr>
      <w:rFonts w:cs="Times New Roman"/>
      <w:color w:val="0000FF"/>
      <w:u w:val="single"/>
    </w:rPr>
  </w:style>
  <w:style w:type="character" w:styleId="45">
    <w:name w:val="annotation reference"/>
    <w:qFormat/>
    <w:uiPriority w:val="99"/>
    <w:rPr>
      <w:rFonts w:cs="Times New Roman"/>
      <w:sz w:val="21"/>
    </w:rPr>
  </w:style>
  <w:style w:type="character" w:styleId="46">
    <w:name w:val="footnote reference"/>
    <w:qFormat/>
    <w:uiPriority w:val="99"/>
    <w:rPr>
      <w:rFonts w:cs="Times New Roman"/>
      <w:vertAlign w:val="superscript"/>
    </w:rPr>
  </w:style>
  <w:style w:type="character" w:customStyle="1" w:styleId="47">
    <w:name w:val="标题 1 Char"/>
    <w:link w:val="3"/>
    <w:qFormat/>
    <w:locked/>
    <w:uiPriority w:val="99"/>
    <w:rPr>
      <w:rFonts w:ascii="Times New Roman" w:hAnsi="Times New Roman" w:eastAsia="宋体" w:cs="Times New Roman"/>
      <w:b/>
      <w:bCs/>
      <w:kern w:val="44"/>
      <w:sz w:val="44"/>
      <w:szCs w:val="44"/>
    </w:rPr>
  </w:style>
  <w:style w:type="character" w:customStyle="1" w:styleId="48">
    <w:name w:val="标题 2 Char"/>
    <w:link w:val="4"/>
    <w:qFormat/>
    <w:locked/>
    <w:uiPriority w:val="99"/>
    <w:rPr>
      <w:rFonts w:ascii="Arial" w:hAnsi="Arial" w:eastAsia="黑体" w:cs="Times New Roman"/>
      <w:b/>
      <w:bCs/>
      <w:sz w:val="32"/>
      <w:szCs w:val="32"/>
    </w:rPr>
  </w:style>
  <w:style w:type="character" w:customStyle="1" w:styleId="49">
    <w:name w:val="标题 3 Char"/>
    <w:link w:val="5"/>
    <w:qFormat/>
    <w:locked/>
    <w:uiPriority w:val="99"/>
    <w:rPr>
      <w:rFonts w:ascii="Times New Roman" w:hAnsi="Times New Roman" w:eastAsia="宋体" w:cs="Times New Roman"/>
      <w:b/>
      <w:bCs/>
      <w:sz w:val="32"/>
      <w:szCs w:val="32"/>
    </w:rPr>
  </w:style>
  <w:style w:type="character" w:customStyle="1" w:styleId="50">
    <w:name w:val="标题 4 Char"/>
    <w:link w:val="6"/>
    <w:qFormat/>
    <w:locked/>
    <w:uiPriority w:val="99"/>
    <w:rPr>
      <w:rFonts w:ascii="Cambria" w:hAnsi="Cambria" w:eastAsia="宋体" w:cs="黑体"/>
      <w:b/>
      <w:bCs/>
      <w:sz w:val="28"/>
      <w:szCs w:val="28"/>
    </w:rPr>
  </w:style>
  <w:style w:type="character" w:customStyle="1" w:styleId="51">
    <w:name w:val="标题 6 Char1"/>
    <w:link w:val="7"/>
    <w:qFormat/>
    <w:locked/>
    <w:uiPriority w:val="99"/>
    <w:rPr>
      <w:rFonts w:ascii="Arial" w:hAnsi="Arial" w:eastAsia="黑体" w:cs="Times New Roman"/>
      <w:b/>
      <w:kern w:val="0"/>
      <w:sz w:val="24"/>
    </w:rPr>
  </w:style>
  <w:style w:type="character" w:customStyle="1" w:styleId="52">
    <w:name w:val="标题 7 Char1"/>
    <w:link w:val="8"/>
    <w:qFormat/>
    <w:locked/>
    <w:uiPriority w:val="99"/>
    <w:rPr>
      <w:rFonts w:ascii="Times New Roman" w:hAnsi="Times New Roman" w:eastAsia="宋体" w:cs="Times New Roman"/>
      <w:b/>
      <w:kern w:val="0"/>
      <w:sz w:val="24"/>
    </w:rPr>
  </w:style>
  <w:style w:type="character" w:customStyle="1" w:styleId="53">
    <w:name w:val="标题 8 Char1"/>
    <w:link w:val="9"/>
    <w:qFormat/>
    <w:locked/>
    <w:uiPriority w:val="99"/>
    <w:rPr>
      <w:rFonts w:ascii="Arial" w:hAnsi="Arial" w:eastAsia="黑体" w:cs="Times New Roman"/>
      <w:kern w:val="0"/>
      <w:sz w:val="24"/>
    </w:rPr>
  </w:style>
  <w:style w:type="character" w:customStyle="1" w:styleId="54">
    <w:name w:val="标题 9 Char1"/>
    <w:link w:val="10"/>
    <w:qFormat/>
    <w:locked/>
    <w:uiPriority w:val="99"/>
    <w:rPr>
      <w:rFonts w:ascii="Arial" w:hAnsi="Arial" w:eastAsia="黑体" w:cs="Times New Roman"/>
      <w:kern w:val="0"/>
      <w:sz w:val="21"/>
    </w:rPr>
  </w:style>
  <w:style w:type="character" w:customStyle="1" w:styleId="55">
    <w:name w:val="页眉 Char"/>
    <w:link w:val="25"/>
    <w:qFormat/>
    <w:locked/>
    <w:uiPriority w:val="99"/>
    <w:rPr>
      <w:rFonts w:cs="Times New Roman"/>
      <w:sz w:val="18"/>
      <w:szCs w:val="18"/>
    </w:rPr>
  </w:style>
  <w:style w:type="character" w:customStyle="1" w:styleId="56">
    <w:name w:val="页脚 Char"/>
    <w:link w:val="24"/>
    <w:qFormat/>
    <w:locked/>
    <w:uiPriority w:val="99"/>
    <w:rPr>
      <w:rFonts w:cs="Times New Roman"/>
      <w:sz w:val="18"/>
      <w:szCs w:val="18"/>
    </w:rPr>
  </w:style>
  <w:style w:type="character" w:customStyle="1" w:styleId="57">
    <w:name w:val="标题 6 Char"/>
    <w:semiHidden/>
    <w:qFormat/>
    <w:uiPriority w:val="99"/>
    <w:rPr>
      <w:rFonts w:ascii="Cambria" w:hAnsi="Cambria" w:eastAsia="宋体" w:cs="Times New Roman"/>
      <w:b/>
      <w:bCs/>
      <w:sz w:val="24"/>
      <w:szCs w:val="24"/>
    </w:rPr>
  </w:style>
  <w:style w:type="character" w:customStyle="1" w:styleId="58">
    <w:name w:val="标题 7 Char"/>
    <w:semiHidden/>
    <w:qFormat/>
    <w:uiPriority w:val="99"/>
    <w:rPr>
      <w:rFonts w:ascii="Times New Roman" w:hAnsi="Times New Roman" w:eastAsia="宋体" w:cs="Times New Roman"/>
      <w:b/>
      <w:bCs/>
      <w:sz w:val="24"/>
      <w:szCs w:val="24"/>
    </w:rPr>
  </w:style>
  <w:style w:type="character" w:customStyle="1" w:styleId="59">
    <w:name w:val="标题 8 Char"/>
    <w:semiHidden/>
    <w:qFormat/>
    <w:uiPriority w:val="99"/>
    <w:rPr>
      <w:rFonts w:ascii="Cambria" w:hAnsi="Cambria" w:eastAsia="宋体" w:cs="Times New Roman"/>
      <w:sz w:val="24"/>
      <w:szCs w:val="24"/>
    </w:rPr>
  </w:style>
  <w:style w:type="character" w:customStyle="1" w:styleId="60">
    <w:name w:val="标题 9 Char"/>
    <w:semiHidden/>
    <w:qFormat/>
    <w:uiPriority w:val="99"/>
    <w:rPr>
      <w:rFonts w:ascii="Cambria" w:hAnsi="Cambria" w:eastAsia="宋体" w:cs="Times New Roman"/>
      <w:sz w:val="21"/>
      <w:szCs w:val="21"/>
    </w:rPr>
  </w:style>
  <w:style w:type="character" w:customStyle="1" w:styleId="61">
    <w:name w:val="批注文字 Char1"/>
    <w:qFormat/>
    <w:uiPriority w:val="99"/>
    <w:rPr>
      <w:kern w:val="2"/>
      <w:sz w:val="21"/>
    </w:rPr>
  </w:style>
  <w:style w:type="character" w:customStyle="1" w:styleId="62">
    <w:name w:val="批注文字 Char"/>
    <w:qFormat/>
    <w:uiPriority w:val="99"/>
    <w:rPr>
      <w:rFonts w:ascii="Times New Roman" w:hAnsi="Times New Roman"/>
      <w:kern w:val="2"/>
      <w:sz w:val="21"/>
    </w:rPr>
  </w:style>
  <w:style w:type="character" w:customStyle="1" w:styleId="63">
    <w:name w:val="Body Text 3 Char"/>
    <w:qFormat/>
    <w:locked/>
    <w:uiPriority w:val="99"/>
    <w:rPr>
      <w:rFonts w:ascii="宋体"/>
      <w:sz w:val="24"/>
    </w:rPr>
  </w:style>
  <w:style w:type="character" w:customStyle="1" w:styleId="64">
    <w:name w:val="Comment Subject Char"/>
    <w:qFormat/>
    <w:locked/>
    <w:uiPriority w:val="99"/>
    <w:rPr>
      <w:b/>
      <w:sz w:val="24"/>
    </w:rPr>
  </w:style>
  <w:style w:type="character" w:customStyle="1" w:styleId="65">
    <w:name w:val="Plain Text Char"/>
    <w:qFormat/>
    <w:locked/>
    <w:uiPriority w:val="99"/>
    <w:rPr>
      <w:rFonts w:ascii="Courier New" w:hAnsi="Courier New"/>
    </w:rPr>
  </w:style>
  <w:style w:type="character" w:customStyle="1" w:styleId="66">
    <w:name w:val="Balloon Text Char"/>
    <w:qFormat/>
    <w:locked/>
    <w:uiPriority w:val="99"/>
    <w:rPr>
      <w:sz w:val="18"/>
    </w:rPr>
  </w:style>
  <w:style w:type="character" w:customStyle="1" w:styleId="67">
    <w:name w:val="批注文字 Char2"/>
    <w:link w:val="14"/>
    <w:semiHidden/>
    <w:qFormat/>
    <w:locked/>
    <w:uiPriority w:val="99"/>
    <w:rPr>
      <w:rFonts w:ascii="Times New Roman" w:hAnsi="Times New Roman" w:eastAsia="宋体" w:cs="Times New Roman"/>
      <w:sz w:val="24"/>
      <w:szCs w:val="24"/>
    </w:rPr>
  </w:style>
  <w:style w:type="character" w:customStyle="1" w:styleId="68">
    <w:name w:val="批注主题 Char"/>
    <w:link w:val="36"/>
    <w:semiHidden/>
    <w:qFormat/>
    <w:locked/>
    <w:uiPriority w:val="99"/>
    <w:rPr>
      <w:rFonts w:ascii="Times New Roman" w:hAnsi="Times New Roman" w:eastAsia="宋体" w:cs="Times New Roman"/>
      <w:b/>
      <w:bCs/>
      <w:sz w:val="24"/>
      <w:szCs w:val="24"/>
    </w:rPr>
  </w:style>
  <w:style w:type="character" w:customStyle="1" w:styleId="69">
    <w:name w:val="批注主题 Char1"/>
    <w:semiHidden/>
    <w:qFormat/>
    <w:uiPriority w:val="99"/>
    <w:rPr>
      <w:rFonts w:ascii="Times New Roman" w:hAnsi="Times New Roman" w:eastAsia="宋体" w:cs="Times New Roman"/>
      <w:b/>
      <w:bCs/>
      <w:sz w:val="24"/>
      <w:szCs w:val="24"/>
    </w:rPr>
  </w:style>
  <w:style w:type="character" w:customStyle="1" w:styleId="70">
    <w:name w:val="纯文本 Char"/>
    <w:link w:val="20"/>
    <w:semiHidden/>
    <w:qFormat/>
    <w:locked/>
    <w:uiPriority w:val="99"/>
    <w:rPr>
      <w:rFonts w:ascii="宋体" w:hAnsi="Courier New" w:cs="Courier New"/>
      <w:sz w:val="21"/>
      <w:szCs w:val="21"/>
    </w:rPr>
  </w:style>
  <w:style w:type="character" w:customStyle="1" w:styleId="71">
    <w:name w:val="纯文本 Char1"/>
    <w:semiHidden/>
    <w:qFormat/>
    <w:uiPriority w:val="99"/>
    <w:rPr>
      <w:rFonts w:ascii="宋体" w:hAnsi="Courier New" w:eastAsia="宋体" w:cs="Courier New"/>
      <w:sz w:val="21"/>
      <w:szCs w:val="21"/>
    </w:rPr>
  </w:style>
  <w:style w:type="character" w:customStyle="1" w:styleId="72">
    <w:name w:val="正文文本缩进 Char"/>
    <w:link w:val="17"/>
    <w:qFormat/>
    <w:locked/>
    <w:uiPriority w:val="99"/>
    <w:rPr>
      <w:rFonts w:ascii="Times New Roman" w:hAnsi="Times New Roman" w:eastAsia="宋体" w:cs="Times New Roman"/>
      <w:sz w:val="28"/>
      <w:szCs w:val="28"/>
    </w:rPr>
  </w:style>
  <w:style w:type="character" w:customStyle="1" w:styleId="73">
    <w:name w:val="正文文本 3 Char"/>
    <w:link w:val="15"/>
    <w:semiHidden/>
    <w:qFormat/>
    <w:locked/>
    <w:uiPriority w:val="99"/>
    <w:rPr>
      <w:rFonts w:ascii="Times New Roman" w:hAnsi="Times New Roman" w:cs="Times New Roman"/>
      <w:sz w:val="16"/>
      <w:szCs w:val="16"/>
    </w:rPr>
  </w:style>
  <w:style w:type="character" w:customStyle="1" w:styleId="74">
    <w:name w:val="正文文本 3 Char1"/>
    <w:semiHidden/>
    <w:qFormat/>
    <w:uiPriority w:val="99"/>
    <w:rPr>
      <w:rFonts w:ascii="Times New Roman" w:hAnsi="Times New Roman" w:eastAsia="宋体" w:cs="Times New Roman"/>
      <w:sz w:val="16"/>
      <w:szCs w:val="16"/>
    </w:rPr>
  </w:style>
  <w:style w:type="character" w:customStyle="1" w:styleId="75">
    <w:name w:val="批注框文本 Char"/>
    <w:link w:val="23"/>
    <w:semiHidden/>
    <w:qFormat/>
    <w:locked/>
    <w:uiPriority w:val="99"/>
    <w:rPr>
      <w:rFonts w:ascii="Times New Roman" w:hAnsi="Times New Roman" w:cs="Times New Roman"/>
      <w:sz w:val="2"/>
    </w:rPr>
  </w:style>
  <w:style w:type="character" w:customStyle="1" w:styleId="76">
    <w:name w:val="批注框文本 Char1"/>
    <w:semiHidden/>
    <w:qFormat/>
    <w:uiPriority w:val="99"/>
    <w:rPr>
      <w:rFonts w:ascii="Times New Roman" w:hAnsi="Times New Roman" w:eastAsia="宋体" w:cs="Times New Roman"/>
      <w:sz w:val="18"/>
      <w:szCs w:val="18"/>
    </w:rPr>
  </w:style>
  <w:style w:type="character" w:customStyle="1" w:styleId="77">
    <w:name w:val="正文文本 Char"/>
    <w:link w:val="16"/>
    <w:qFormat/>
    <w:locked/>
    <w:uiPriority w:val="99"/>
    <w:rPr>
      <w:rFonts w:ascii="Times New Roman" w:hAnsi="Times New Roman" w:eastAsia="宋体" w:cs="Times New Roman"/>
      <w:sz w:val="20"/>
      <w:szCs w:val="20"/>
    </w:rPr>
  </w:style>
  <w:style w:type="paragraph" w:customStyle="1" w:styleId="78">
    <w:name w:val="列出段落1"/>
    <w:basedOn w:val="1"/>
    <w:qFormat/>
    <w:uiPriority w:val="99"/>
    <w:pPr>
      <w:ind w:firstLine="420" w:firstLineChars="200"/>
    </w:pPr>
  </w:style>
  <w:style w:type="paragraph" w:customStyle="1" w:styleId="79">
    <w:name w:val="bt1bt1"/>
    <w:basedOn w:val="3"/>
    <w:qFormat/>
    <w:uiPriority w:val="99"/>
    <w:pPr>
      <w:spacing w:line="240" w:lineRule="auto"/>
      <w:jc w:val="center"/>
    </w:pPr>
    <w:rPr>
      <w:rFonts w:ascii="黑体" w:eastAsia="黑体"/>
      <w:b w:val="0"/>
      <w:sz w:val="36"/>
      <w:szCs w:val="36"/>
    </w:rPr>
  </w:style>
  <w:style w:type="paragraph" w:customStyle="1" w:styleId="80">
    <w:name w:val="节"/>
    <w:basedOn w:val="4"/>
    <w:qFormat/>
    <w:uiPriority w:val="99"/>
    <w:pPr>
      <w:numPr>
        <w:ilvl w:val="2"/>
        <w:numId w:val="1"/>
      </w:numPr>
      <w:tabs>
        <w:tab w:val="left" w:pos="360"/>
        <w:tab w:val="left" w:pos="576"/>
      </w:tabs>
      <w:spacing w:line="240" w:lineRule="auto"/>
      <w:ind w:left="840" w:hanging="420"/>
    </w:pPr>
    <w:rPr>
      <w:rFonts w:ascii="黑体"/>
      <w:b w:val="0"/>
      <w:sz w:val="28"/>
      <w:szCs w:val="28"/>
    </w:rPr>
  </w:style>
  <w:style w:type="paragraph" w:customStyle="1" w:styleId="81">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82">
    <w:name w:val="Blockquote"/>
    <w:basedOn w:val="1"/>
    <w:uiPriority w:val="99"/>
    <w:pPr>
      <w:autoSpaceDE w:val="0"/>
      <w:autoSpaceDN w:val="0"/>
      <w:adjustRightInd w:val="0"/>
      <w:spacing w:before="100" w:after="100"/>
      <w:ind w:left="360" w:right="360"/>
      <w:jc w:val="left"/>
    </w:pPr>
    <w:rPr>
      <w:kern w:val="0"/>
      <w:sz w:val="24"/>
    </w:rPr>
  </w:style>
  <w:style w:type="paragraph" w:customStyle="1" w:styleId="83">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84">
    <w:name w:val="样式1"/>
    <w:basedOn w:val="1"/>
    <w:qFormat/>
    <w:uiPriority w:val="99"/>
    <w:rPr>
      <w:szCs w:val="21"/>
      <w:lang w:val="zh-CN"/>
    </w:rPr>
  </w:style>
  <w:style w:type="paragraph" w:customStyle="1" w:styleId="85">
    <w:name w:val="Revision"/>
    <w:qFormat/>
    <w:uiPriority w:val="99"/>
    <w:rPr>
      <w:rFonts w:ascii="Times New Roman" w:hAnsi="Times New Roman" w:eastAsia="宋体" w:cs="Times New Roman"/>
      <w:kern w:val="2"/>
      <w:sz w:val="21"/>
      <w:szCs w:val="24"/>
      <w:lang w:val="en-US" w:eastAsia="zh-CN" w:bidi="ar-SA"/>
    </w:rPr>
  </w:style>
  <w:style w:type="character" w:customStyle="1" w:styleId="86">
    <w:name w:val="Date Char"/>
    <w:locked/>
    <w:uiPriority w:val="99"/>
    <w:rPr>
      <w:sz w:val="24"/>
    </w:rPr>
  </w:style>
  <w:style w:type="character" w:customStyle="1" w:styleId="87">
    <w:name w:val="Document Map Char"/>
    <w:qFormat/>
    <w:locked/>
    <w:uiPriority w:val="99"/>
    <w:rPr>
      <w:rFonts w:ascii="宋体"/>
      <w:sz w:val="18"/>
    </w:rPr>
  </w:style>
  <w:style w:type="character" w:customStyle="1" w:styleId="88">
    <w:name w:val="日期 Char"/>
    <w:link w:val="22"/>
    <w:semiHidden/>
    <w:qFormat/>
    <w:locked/>
    <w:uiPriority w:val="99"/>
    <w:rPr>
      <w:rFonts w:ascii="Times New Roman" w:hAnsi="Times New Roman" w:cs="Times New Roman"/>
      <w:sz w:val="24"/>
      <w:szCs w:val="24"/>
    </w:rPr>
  </w:style>
  <w:style w:type="character" w:customStyle="1" w:styleId="89">
    <w:name w:val="日期 Char1"/>
    <w:semiHidden/>
    <w:qFormat/>
    <w:uiPriority w:val="99"/>
    <w:rPr>
      <w:rFonts w:ascii="Times New Roman" w:hAnsi="Times New Roman" w:eastAsia="宋体" w:cs="Times New Roman"/>
      <w:sz w:val="24"/>
      <w:szCs w:val="24"/>
    </w:rPr>
  </w:style>
  <w:style w:type="character" w:customStyle="1" w:styleId="90">
    <w:name w:val="文档结构图 Char"/>
    <w:link w:val="13"/>
    <w:semiHidden/>
    <w:qFormat/>
    <w:locked/>
    <w:uiPriority w:val="99"/>
    <w:rPr>
      <w:rFonts w:ascii="Times New Roman" w:hAnsi="Times New Roman" w:cs="Times New Roman"/>
      <w:sz w:val="2"/>
    </w:rPr>
  </w:style>
  <w:style w:type="character" w:customStyle="1" w:styleId="91">
    <w:name w:val="文档结构图 Char1"/>
    <w:semiHidden/>
    <w:qFormat/>
    <w:uiPriority w:val="99"/>
    <w:rPr>
      <w:rFonts w:ascii="宋体" w:hAnsi="Times New Roman" w:eastAsia="宋体" w:cs="Times New Roman"/>
      <w:sz w:val="18"/>
      <w:szCs w:val="18"/>
    </w:rPr>
  </w:style>
  <w:style w:type="character" w:customStyle="1" w:styleId="92">
    <w:name w:val="标题 Char"/>
    <w:link w:val="35"/>
    <w:qFormat/>
    <w:locked/>
    <w:uiPriority w:val="99"/>
    <w:rPr>
      <w:rFonts w:ascii="Cambria" w:hAnsi="Cambria" w:eastAsia="宋体" w:cs="Times New Roman"/>
      <w:b/>
      <w:bCs/>
      <w:sz w:val="32"/>
      <w:szCs w:val="32"/>
    </w:rPr>
  </w:style>
  <w:style w:type="character" w:customStyle="1" w:styleId="93">
    <w:name w:val="editmail"/>
    <w:uiPriority w:val="99"/>
  </w:style>
  <w:style w:type="character" w:customStyle="1" w:styleId="94">
    <w:name w:val="页脚 字符"/>
    <w:qFormat/>
    <w:uiPriority w:val="99"/>
  </w:style>
  <w:style w:type="character" w:customStyle="1" w:styleId="95">
    <w:name w:val="Char Char8"/>
    <w:qFormat/>
    <w:uiPriority w:val="99"/>
    <w:rPr>
      <w:rFonts w:ascii="Arial" w:hAnsi="Arial" w:eastAsia="黑体"/>
      <w:b/>
      <w:kern w:val="2"/>
      <w:sz w:val="32"/>
      <w:lang w:val="en-US" w:eastAsia="zh-CN"/>
    </w:rPr>
  </w:style>
  <w:style w:type="character" w:customStyle="1" w:styleId="96">
    <w:name w:val="Char Char"/>
    <w:qFormat/>
    <w:uiPriority w:val="99"/>
    <w:rPr>
      <w:rFonts w:ascii="Arial" w:hAnsi="Arial" w:eastAsia="黑体"/>
      <w:b/>
      <w:kern w:val="2"/>
      <w:sz w:val="32"/>
      <w:lang w:val="en-US" w:eastAsia="zh-CN"/>
    </w:rPr>
  </w:style>
  <w:style w:type="character" w:customStyle="1" w:styleId="97">
    <w:name w:val="font161"/>
    <w:qFormat/>
    <w:uiPriority w:val="99"/>
    <w:rPr>
      <w:b/>
      <w:sz w:val="32"/>
    </w:rPr>
  </w:style>
  <w:style w:type="character" w:customStyle="1" w:styleId="98">
    <w:name w:val="Char Char2"/>
    <w:uiPriority w:val="99"/>
    <w:rPr>
      <w:rFonts w:eastAsia="宋体"/>
      <w:kern w:val="2"/>
      <w:sz w:val="24"/>
      <w:lang w:val="en-US" w:eastAsia="zh-CN"/>
    </w:rPr>
  </w:style>
  <w:style w:type="character" w:customStyle="1" w:styleId="99">
    <w:name w:val="Char Char7"/>
    <w:qFormat/>
    <w:uiPriority w:val="99"/>
    <w:rPr>
      <w:rFonts w:ascii="Arial" w:hAnsi="Arial" w:eastAsia="黑体"/>
      <w:b/>
      <w:kern w:val="2"/>
      <w:sz w:val="32"/>
      <w:lang w:val="en-US" w:eastAsia="zh-CN"/>
    </w:rPr>
  </w:style>
  <w:style w:type="paragraph" w:customStyle="1" w:styleId="100">
    <w:name w:val="样式4"/>
    <w:basedOn w:val="5"/>
    <w:qFormat/>
    <w:uiPriority w:val="99"/>
    <w:pPr>
      <w:spacing w:line="415" w:lineRule="auto"/>
    </w:pPr>
  </w:style>
  <w:style w:type="paragraph" w:customStyle="1" w:styleId="10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character" w:customStyle="1" w:styleId="102">
    <w:name w:val="正文文本缩进 3 Char1"/>
    <w:link w:val="30"/>
    <w:locked/>
    <w:uiPriority w:val="99"/>
    <w:rPr>
      <w:rFonts w:ascii="Times New Roman" w:hAnsi="Times New Roman" w:eastAsia="宋体" w:cs="Times New Roman"/>
      <w:sz w:val="16"/>
    </w:rPr>
  </w:style>
  <w:style w:type="character" w:customStyle="1" w:styleId="103">
    <w:name w:val="正文文本缩进 3 Char"/>
    <w:semiHidden/>
    <w:qFormat/>
    <w:uiPriority w:val="99"/>
    <w:rPr>
      <w:rFonts w:ascii="Times New Roman" w:hAnsi="Times New Roman" w:eastAsia="宋体" w:cs="Times New Roman"/>
      <w:sz w:val="16"/>
      <w:szCs w:val="16"/>
    </w:rPr>
  </w:style>
  <w:style w:type="paragraph" w:customStyle="1" w:styleId="104">
    <w:name w:val="1"/>
    <w:basedOn w:val="1"/>
    <w:next w:val="1"/>
    <w:qFormat/>
    <w:uiPriority w:val="99"/>
  </w:style>
  <w:style w:type="paragraph" w:customStyle="1" w:styleId="105">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6">
    <w:name w:val="样式2"/>
    <w:basedOn w:val="5"/>
    <w:qFormat/>
    <w:uiPriority w:val="99"/>
    <w:pPr>
      <w:spacing w:line="415" w:lineRule="auto"/>
    </w:pPr>
  </w:style>
  <w:style w:type="paragraph" w:customStyle="1" w:styleId="107">
    <w:name w:val="表格"/>
    <w:basedOn w:val="1"/>
    <w:qFormat/>
    <w:uiPriority w:val="99"/>
    <w:pPr>
      <w:jc w:val="center"/>
      <w:textAlignment w:val="center"/>
    </w:pPr>
    <w:rPr>
      <w:rFonts w:ascii="华文细黑" w:hAnsi="华文细黑"/>
      <w:kern w:val="0"/>
      <w:szCs w:val="20"/>
    </w:rPr>
  </w:style>
  <w:style w:type="paragraph" w:customStyle="1" w:styleId="108">
    <w:name w:val="样式3"/>
    <w:basedOn w:val="5"/>
    <w:qFormat/>
    <w:uiPriority w:val="99"/>
    <w:pPr>
      <w:spacing w:line="415" w:lineRule="auto"/>
    </w:pPr>
  </w:style>
  <w:style w:type="paragraph" w:customStyle="1" w:styleId="109">
    <w:name w:val="Char"/>
    <w:basedOn w:val="1"/>
    <w:qFormat/>
    <w:uiPriority w:val="99"/>
    <w:pPr>
      <w:tabs>
        <w:tab w:val="left" w:pos="360"/>
      </w:tabs>
    </w:pPr>
    <w:rPr>
      <w:sz w:val="24"/>
    </w:rPr>
  </w:style>
  <w:style w:type="character" w:customStyle="1" w:styleId="110">
    <w:name w:val="脚注文本 Char1"/>
    <w:link w:val="28"/>
    <w:qFormat/>
    <w:locked/>
    <w:uiPriority w:val="99"/>
    <w:rPr>
      <w:rFonts w:ascii="Times New Roman" w:hAnsi="Times New Roman" w:eastAsia="宋体" w:cs="Times New Roman"/>
      <w:sz w:val="20"/>
    </w:rPr>
  </w:style>
  <w:style w:type="character" w:customStyle="1" w:styleId="111">
    <w:name w:val="脚注文本 Char"/>
    <w:semiHidden/>
    <w:qFormat/>
    <w:uiPriority w:val="99"/>
    <w:rPr>
      <w:rFonts w:ascii="Times New Roman" w:hAnsi="Times New Roman" w:eastAsia="宋体" w:cs="Times New Roman"/>
      <w:sz w:val="18"/>
      <w:szCs w:val="18"/>
    </w:rPr>
  </w:style>
  <w:style w:type="paragraph" w:customStyle="1" w:styleId="112">
    <w:name w:val="表格文字"/>
    <w:basedOn w:val="1"/>
    <w:qFormat/>
    <w:uiPriority w:val="99"/>
    <w:pPr>
      <w:adjustRightInd w:val="0"/>
      <w:spacing w:line="420" w:lineRule="atLeast"/>
      <w:jc w:val="left"/>
      <w:textAlignment w:val="baseline"/>
    </w:pPr>
    <w:rPr>
      <w:kern w:val="0"/>
      <w:szCs w:val="20"/>
    </w:rPr>
  </w:style>
  <w:style w:type="paragraph" w:styleId="113">
    <w:name w:val="List Paragraph"/>
    <w:basedOn w:val="1"/>
    <w:qFormat/>
    <w:uiPriority w:val="99"/>
    <w:pPr>
      <w:ind w:firstLine="420" w:firstLineChars="200"/>
    </w:pPr>
  </w:style>
  <w:style w:type="paragraph" w:customStyle="1" w:styleId="114">
    <w:name w:val="2 Char Char Char Char Char Char Char Char Char Char Char Char Char"/>
    <w:basedOn w:val="13"/>
    <w:qFormat/>
    <w:uiPriority w:val="99"/>
    <w:pPr>
      <w:shd w:val="clear" w:color="auto" w:fill="000080"/>
    </w:pPr>
    <w:rPr>
      <w:rFonts w:ascii="Tahoma" w:hAnsi="Tahoma"/>
      <w:sz w:val="24"/>
      <w:szCs w:val="24"/>
    </w:rPr>
  </w:style>
  <w:style w:type="paragraph" w:customStyle="1" w:styleId="115">
    <w:name w:val="cucd-0"/>
    <w:qFormat/>
    <w:uiPriority w:val="0"/>
    <w:pPr>
      <w:spacing w:line="360" w:lineRule="auto"/>
      <w:ind w:firstLine="480" w:firstLineChars="200"/>
    </w:pPr>
    <w:rPr>
      <w:rFonts w:ascii="Calibri" w:hAnsi="Calibri" w:eastAsia="宋体" w:cs="Times New Roman"/>
      <w:kern w:val="2"/>
      <w:sz w:val="24"/>
      <w:szCs w:val="24"/>
      <w:lang w:val="en-US" w:eastAsia="zh-CN" w:bidi="ar-SA"/>
    </w:rPr>
  </w:style>
  <w:style w:type="paragraph" w:customStyle="1" w:styleId="116">
    <w:name w:val="合同样式1"/>
    <w:basedOn w:val="1"/>
    <w:qFormat/>
    <w:uiPriority w:val="0"/>
    <w:pPr>
      <w:numPr>
        <w:ilvl w:val="0"/>
        <w:numId w:val="2"/>
      </w:numPr>
      <w:spacing w:beforeLines="50"/>
      <w:ind w:hanging="200" w:hangingChars="200"/>
      <w:outlineLvl w:val="1"/>
    </w:pPr>
    <w:rPr>
      <w:rFonts w:ascii="宋体" w:hAnsi="宋体"/>
      <w:b/>
      <w:szCs w:val="24"/>
    </w:rPr>
  </w:style>
  <w:style w:type="paragraph" w:customStyle="1" w:styleId="117">
    <w:name w:val="合同样式2"/>
    <w:basedOn w:val="1"/>
    <w:qFormat/>
    <w:uiPriority w:val="0"/>
    <w:pPr>
      <w:numPr>
        <w:ilvl w:val="1"/>
        <w:numId w:val="2"/>
      </w:numPr>
      <w:topLinePunct/>
    </w:pPr>
    <w:rPr>
      <w:rFonts w:ascii="宋体" w:hAnsi="宋体"/>
      <w:szCs w:val="24"/>
    </w:rPr>
  </w:style>
  <w:style w:type="paragraph" w:customStyle="1" w:styleId="118">
    <w:name w:val="合同样式4"/>
    <w:basedOn w:val="119"/>
    <w:qFormat/>
    <w:uiPriority w:val="0"/>
    <w:pPr>
      <w:numPr>
        <w:ilvl w:val="3"/>
      </w:numPr>
      <w:ind w:left="1200" w:leftChars="350" w:hanging="360" w:hangingChars="150"/>
    </w:pPr>
  </w:style>
  <w:style w:type="paragraph" w:customStyle="1" w:styleId="119">
    <w:name w:val="合同样式3"/>
    <w:basedOn w:val="1"/>
    <w:qFormat/>
    <w:uiPriority w:val="0"/>
    <w:pPr>
      <w:numPr>
        <w:ilvl w:val="2"/>
        <w:numId w:val="2"/>
      </w:numPr>
      <w:ind w:left="1200" w:leftChars="200" w:hanging="300" w:hangingChars="300"/>
    </w:pPr>
    <w:rPr>
      <w:rFonts w:ascii="宋体" w:hAnsi="宋体"/>
      <w:szCs w:val="24"/>
    </w:rPr>
  </w:style>
  <w:style w:type="paragraph" w:customStyle="1" w:styleId="120">
    <w:name w:val="签署页"/>
    <w:basedOn w:val="1"/>
    <w:qFormat/>
    <w:uiPriority w:val="0"/>
    <w:pPr>
      <w:pageBreakBefore/>
      <w:spacing w:afterLines="100"/>
      <w:jc w:val="center"/>
    </w:pPr>
    <w:rPr>
      <w:b/>
      <w:sz w:val="48"/>
      <w:szCs w:val="48"/>
    </w:rPr>
  </w:style>
  <w:style w:type="paragraph" w:customStyle="1" w:styleId="121">
    <w:name w:val="正文2"/>
    <w:basedOn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12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36D87-993C-4DFF-99FF-FC9147819E01}">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109</Pages>
  <Words>59103</Words>
  <Characters>64471</Characters>
  <Lines>55</Lines>
  <Paragraphs>45</Paragraphs>
  <TotalTime>5</TotalTime>
  <ScaleCrop>false</ScaleCrop>
  <LinksUpToDate>false</LinksUpToDate>
  <CharactersWithSpaces>67271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2021-06-28T09:38:00Z</dcterms:created>
  <dc:creator>Administrator</dc:creator>
  <cp:lastModifiedBy>三方诚信-陈工</cp:lastModifiedBy>
  <dcterms:modified xsi:type="dcterms:W3CDTF">2025-10-23T02:12:50Z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22743268F75A491B80ACD61C04DEEE48_13</vt:lpwstr>
  </property>
  <property fmtid="{D5CDD505-2E9C-101B-9397-08002B2CF9AE}" pid="4" name="KSOTemplateDocerSaveRecord">
    <vt:lpwstr>eyJoZGlkIjoiNDUwMTFkMDI3ZjBmZjczM2Q3M2EwOGI5M2VjYzUzMDkiLCJ1c2VySWQiOiIxNTk4MjA3NTk5In0=</vt:lpwstr>
  </property>
</Properties>
</file>