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B9FC8">
      <w:pPr>
        <w:rPr>
          <w:highlight w:val="none"/>
        </w:rPr>
      </w:pPr>
    </w:p>
    <w:p w14:paraId="015D7A73">
      <w:pPr>
        <w:jc w:val="right"/>
        <w:rPr>
          <w:highlight w:val="none"/>
        </w:rPr>
      </w:pPr>
      <w:r>
        <w:rPr>
          <w:rFonts w:hint="eastAsia"/>
          <w:highlight w:val="none"/>
        </w:rPr>
        <w:t>【</w:t>
      </w:r>
      <w:r>
        <w:rPr>
          <w:highlight w:val="none"/>
        </w:rPr>
        <w:t>合同编号：</w:t>
      </w:r>
      <w:r>
        <w:rPr>
          <w:rFonts w:hint="eastAsia"/>
          <w:highlight w:val="none"/>
        </w:rPr>
        <w:t xml:space="preserve">  】</w:t>
      </w:r>
    </w:p>
    <w:p w14:paraId="7A2F497E">
      <w:pPr>
        <w:rPr>
          <w:highlight w:val="none"/>
        </w:rPr>
      </w:pPr>
    </w:p>
    <w:p w14:paraId="03235E11">
      <w:pPr>
        <w:rPr>
          <w:highlight w:val="none"/>
        </w:rPr>
      </w:pPr>
    </w:p>
    <w:p w14:paraId="7EDC516B">
      <w:pPr>
        <w:rPr>
          <w:highlight w:val="none"/>
        </w:rPr>
      </w:pPr>
    </w:p>
    <w:p w14:paraId="652C6C42">
      <w:pPr>
        <w:rPr>
          <w:highlight w:val="none"/>
        </w:rPr>
      </w:pPr>
    </w:p>
    <w:p w14:paraId="25837149">
      <w:pPr>
        <w:jc w:val="center"/>
        <w:rPr>
          <w:b/>
          <w:sz w:val="48"/>
          <w:szCs w:val="48"/>
          <w:highlight w:val="none"/>
        </w:rPr>
      </w:pPr>
      <w:r>
        <w:rPr>
          <w:rFonts w:hint="eastAsia"/>
          <w:b/>
          <w:sz w:val="44"/>
          <w:szCs w:val="44"/>
          <w:highlight w:val="none"/>
        </w:rPr>
        <w:t>东莞市海心沙资源综合利用中心环保热电厂循环水膜处理系统采购项目合同</w:t>
      </w:r>
    </w:p>
    <w:p w14:paraId="3E9DBDE2">
      <w:pPr>
        <w:rPr>
          <w:highlight w:val="none"/>
        </w:rPr>
      </w:pPr>
    </w:p>
    <w:p w14:paraId="448A6211">
      <w:pPr>
        <w:rPr>
          <w:highlight w:val="none"/>
        </w:rPr>
      </w:pPr>
    </w:p>
    <w:p w14:paraId="0BE0ED49">
      <w:pPr>
        <w:rPr>
          <w:highlight w:val="none"/>
        </w:rPr>
      </w:pPr>
    </w:p>
    <w:p w14:paraId="4EFBCB75">
      <w:pPr>
        <w:jc w:val="center"/>
        <w:rPr>
          <w:sz w:val="36"/>
          <w:szCs w:val="36"/>
          <w:highlight w:val="none"/>
        </w:rPr>
      </w:pPr>
      <w:r>
        <w:rPr>
          <w:rFonts w:hint="eastAsia"/>
          <w:sz w:val="36"/>
          <w:szCs w:val="36"/>
          <w:highlight w:val="none"/>
        </w:rPr>
        <w:t>甲方：东莞市新东元环保投资有限公司</w:t>
      </w:r>
    </w:p>
    <w:p w14:paraId="2CB91B5A">
      <w:pPr>
        <w:ind w:firstLine="1918" w:firstLineChars="533"/>
        <w:rPr>
          <w:sz w:val="36"/>
          <w:szCs w:val="36"/>
          <w:highlight w:val="none"/>
        </w:rPr>
      </w:pPr>
      <w:r>
        <w:rPr>
          <w:rFonts w:hint="eastAsia"/>
          <w:sz w:val="36"/>
          <w:szCs w:val="36"/>
          <w:highlight w:val="none"/>
        </w:rPr>
        <w:t xml:space="preserve">乙方： </w:t>
      </w:r>
    </w:p>
    <w:p w14:paraId="545B08FC">
      <w:pPr>
        <w:rPr>
          <w:highlight w:val="none"/>
        </w:rPr>
      </w:pPr>
    </w:p>
    <w:p w14:paraId="43749BB7">
      <w:pPr>
        <w:rPr>
          <w:highlight w:val="none"/>
        </w:rPr>
      </w:pPr>
    </w:p>
    <w:p w14:paraId="6B869218">
      <w:pPr>
        <w:rPr>
          <w:highlight w:val="none"/>
        </w:rPr>
      </w:pPr>
    </w:p>
    <w:p w14:paraId="249FA206">
      <w:pPr>
        <w:rPr>
          <w:highlight w:val="none"/>
        </w:rPr>
      </w:pPr>
    </w:p>
    <w:p w14:paraId="1B178B09">
      <w:pPr>
        <w:tabs>
          <w:tab w:val="center" w:pos="4873"/>
          <w:tab w:val="right" w:pos="9746"/>
        </w:tabs>
        <w:jc w:val="left"/>
        <w:rPr>
          <w:rFonts w:hint="eastAsia" w:ascii="宋体" w:hAnsi="宋体"/>
          <w:sz w:val="36"/>
          <w:szCs w:val="36"/>
          <w:highlight w:val="none"/>
        </w:rPr>
      </w:pPr>
      <w:r>
        <w:rPr>
          <w:sz w:val="36"/>
          <w:szCs w:val="36"/>
          <w:highlight w:val="none"/>
        </w:rPr>
        <w:tab/>
      </w:r>
      <w:r>
        <w:rPr>
          <w:sz w:val="36"/>
          <w:szCs w:val="36"/>
          <w:highlight w:val="none"/>
        </w:rPr>
        <w:fldChar w:fldCharType="begin"/>
      </w:r>
      <w:r>
        <w:rPr>
          <w:sz w:val="36"/>
          <w:szCs w:val="36"/>
          <w:highlight w:val="none"/>
        </w:rPr>
        <w:instrText xml:space="preserve"> </w:instrText>
      </w:r>
      <w:r>
        <w:rPr>
          <w:rFonts w:hint="eastAsia"/>
          <w:sz w:val="36"/>
          <w:szCs w:val="36"/>
          <w:highlight w:val="none"/>
        </w:rPr>
        <w:instrText xml:space="preserve">TIME \@ "EEEE年O月"</w:instrText>
      </w:r>
      <w:r>
        <w:rPr>
          <w:sz w:val="36"/>
          <w:szCs w:val="36"/>
          <w:highlight w:val="none"/>
        </w:rPr>
        <w:instrText xml:space="preserve"> </w:instrText>
      </w:r>
      <w:r>
        <w:rPr>
          <w:sz w:val="36"/>
          <w:szCs w:val="36"/>
          <w:highlight w:val="none"/>
        </w:rPr>
        <w:fldChar w:fldCharType="separate"/>
      </w:r>
      <w:r>
        <w:rPr>
          <w:rFonts w:hint="eastAsia"/>
          <w:sz w:val="36"/>
          <w:szCs w:val="36"/>
          <w:highlight w:val="none"/>
        </w:rPr>
        <w:t>二〇二五年八月</w:t>
      </w:r>
      <w:r>
        <w:rPr>
          <w:sz w:val="36"/>
          <w:szCs w:val="36"/>
          <w:highlight w:val="none"/>
        </w:rPr>
        <w:fldChar w:fldCharType="end"/>
      </w:r>
      <w:r>
        <w:rPr>
          <w:sz w:val="36"/>
          <w:szCs w:val="36"/>
          <w:highlight w:val="none"/>
        </w:rPr>
        <w:tab/>
      </w:r>
    </w:p>
    <w:p w14:paraId="713D9D5A">
      <w:pPr>
        <w:rPr>
          <w:highlight w:val="none"/>
        </w:rPr>
      </w:pPr>
    </w:p>
    <w:p w14:paraId="63CA71AA">
      <w:pPr>
        <w:rPr>
          <w:highlight w:val="none"/>
        </w:rPr>
      </w:pPr>
    </w:p>
    <w:p w14:paraId="68777D38">
      <w:pPr>
        <w:pageBreakBefore/>
        <w:spacing w:after="326" w:afterLines="100"/>
        <w:jc w:val="center"/>
        <w:rPr>
          <w:b/>
          <w:sz w:val="36"/>
          <w:szCs w:val="36"/>
          <w:highlight w:val="none"/>
        </w:rPr>
      </w:pPr>
      <w:r>
        <w:rPr>
          <w:rFonts w:hint="eastAsia"/>
          <w:b/>
          <w:sz w:val="36"/>
          <w:szCs w:val="36"/>
          <w:highlight w:val="none"/>
        </w:rPr>
        <w:t>目录</w:t>
      </w:r>
    </w:p>
    <w:p w14:paraId="4B0BADDA">
      <w:pPr>
        <w:rPr>
          <w:highlight w:val="none"/>
        </w:rPr>
      </w:pPr>
    </w:p>
    <w:p w14:paraId="1A195C3D">
      <w:pPr>
        <w:pStyle w:val="23"/>
        <w:tabs>
          <w:tab w:val="left" w:pos="840"/>
          <w:tab w:val="right" w:leader="dot" w:pos="9736"/>
        </w:tabs>
        <w:ind w:left="480"/>
        <w:rPr>
          <w:rFonts w:hint="eastAsia" w:asciiTheme="minorHAnsi" w:hAnsiTheme="minorHAnsi" w:eastAsiaTheme="minorEastAsia"/>
          <w:sz w:val="21"/>
          <w:highlight w:val="none"/>
        </w:rPr>
      </w:pPr>
      <w:r>
        <w:rPr>
          <w:highlight w:val="none"/>
        </w:rPr>
        <w:fldChar w:fldCharType="begin"/>
      </w:r>
      <w:r>
        <w:rPr>
          <w:highlight w:val="none"/>
        </w:rPr>
        <w:instrText xml:space="preserve"> TOC \o "1-3" \u </w:instrText>
      </w:r>
      <w:r>
        <w:rPr>
          <w:highlight w:val="none"/>
        </w:rPr>
        <w:fldChar w:fldCharType="separate"/>
      </w:r>
      <w:r>
        <w:rPr>
          <w:highlight w:val="none"/>
        </w:rPr>
        <w:t>1</w:t>
      </w:r>
      <w:r>
        <w:rPr>
          <w:rFonts w:asciiTheme="minorHAnsi" w:hAnsiTheme="minorHAnsi" w:eastAsiaTheme="minorEastAsia"/>
          <w:sz w:val="21"/>
          <w:highlight w:val="none"/>
        </w:rPr>
        <w:tab/>
      </w:r>
      <w:r>
        <w:rPr>
          <w:rFonts w:hint="eastAsia"/>
          <w:highlight w:val="none"/>
        </w:rPr>
        <w:t>定义</w:t>
      </w:r>
      <w:r>
        <w:rPr>
          <w:highlight w:val="none"/>
        </w:rPr>
        <w:tab/>
      </w:r>
      <w:r>
        <w:rPr>
          <w:highlight w:val="none"/>
        </w:rPr>
        <w:fldChar w:fldCharType="begin"/>
      </w:r>
      <w:r>
        <w:rPr>
          <w:highlight w:val="none"/>
        </w:rPr>
        <w:instrText xml:space="preserve"> PAGEREF _Toc149585869 \h </w:instrText>
      </w:r>
      <w:r>
        <w:rPr>
          <w:highlight w:val="none"/>
        </w:rPr>
        <w:fldChar w:fldCharType="separate"/>
      </w:r>
      <w:r>
        <w:rPr>
          <w:highlight w:val="none"/>
        </w:rPr>
        <w:t>3</w:t>
      </w:r>
      <w:r>
        <w:rPr>
          <w:highlight w:val="none"/>
        </w:rPr>
        <w:fldChar w:fldCharType="end"/>
      </w:r>
    </w:p>
    <w:p w14:paraId="59F4540B">
      <w:pPr>
        <w:pStyle w:val="23"/>
        <w:tabs>
          <w:tab w:val="left" w:pos="840"/>
          <w:tab w:val="right" w:leader="dot" w:pos="9736"/>
        </w:tabs>
        <w:ind w:left="480"/>
        <w:rPr>
          <w:rFonts w:hint="eastAsia" w:asciiTheme="minorHAnsi" w:hAnsiTheme="minorHAnsi" w:eastAsiaTheme="minorEastAsia"/>
          <w:sz w:val="21"/>
          <w:highlight w:val="none"/>
        </w:rPr>
      </w:pPr>
      <w:r>
        <w:rPr>
          <w:highlight w:val="none"/>
        </w:rPr>
        <w:t>2</w:t>
      </w:r>
      <w:r>
        <w:rPr>
          <w:rFonts w:asciiTheme="minorHAnsi" w:hAnsiTheme="minorHAnsi" w:eastAsiaTheme="minorEastAsia"/>
          <w:sz w:val="21"/>
          <w:highlight w:val="none"/>
        </w:rPr>
        <w:tab/>
      </w:r>
      <w:r>
        <w:rPr>
          <w:rFonts w:hint="eastAsia"/>
          <w:highlight w:val="none"/>
        </w:rPr>
        <w:t>合同标的</w:t>
      </w:r>
      <w:r>
        <w:rPr>
          <w:highlight w:val="none"/>
        </w:rPr>
        <w:tab/>
      </w:r>
      <w:r>
        <w:rPr>
          <w:highlight w:val="none"/>
        </w:rPr>
        <w:fldChar w:fldCharType="begin"/>
      </w:r>
      <w:r>
        <w:rPr>
          <w:highlight w:val="none"/>
        </w:rPr>
        <w:instrText xml:space="preserve"> PAGEREF _Toc149585870 \h </w:instrText>
      </w:r>
      <w:r>
        <w:rPr>
          <w:highlight w:val="none"/>
        </w:rPr>
        <w:fldChar w:fldCharType="separate"/>
      </w:r>
      <w:r>
        <w:rPr>
          <w:highlight w:val="none"/>
        </w:rPr>
        <w:t>5</w:t>
      </w:r>
      <w:r>
        <w:rPr>
          <w:highlight w:val="none"/>
        </w:rPr>
        <w:fldChar w:fldCharType="end"/>
      </w:r>
    </w:p>
    <w:p w14:paraId="0D491991">
      <w:pPr>
        <w:pStyle w:val="23"/>
        <w:tabs>
          <w:tab w:val="left" w:pos="840"/>
          <w:tab w:val="right" w:leader="dot" w:pos="9736"/>
        </w:tabs>
        <w:ind w:left="480"/>
        <w:rPr>
          <w:rFonts w:hint="eastAsia" w:asciiTheme="minorHAnsi" w:hAnsiTheme="minorHAnsi" w:eastAsiaTheme="minorEastAsia"/>
          <w:sz w:val="21"/>
          <w:highlight w:val="none"/>
        </w:rPr>
      </w:pPr>
      <w:r>
        <w:rPr>
          <w:highlight w:val="none"/>
        </w:rPr>
        <w:t>3</w:t>
      </w:r>
      <w:r>
        <w:rPr>
          <w:rFonts w:asciiTheme="minorHAnsi" w:hAnsiTheme="minorHAnsi" w:eastAsiaTheme="minorEastAsia"/>
          <w:sz w:val="21"/>
          <w:highlight w:val="none"/>
        </w:rPr>
        <w:tab/>
      </w:r>
      <w:r>
        <w:rPr>
          <w:rFonts w:hint="eastAsia"/>
          <w:highlight w:val="none"/>
        </w:rPr>
        <w:t>供货范围</w:t>
      </w:r>
      <w:r>
        <w:rPr>
          <w:highlight w:val="none"/>
        </w:rPr>
        <w:tab/>
      </w:r>
      <w:r>
        <w:rPr>
          <w:highlight w:val="none"/>
        </w:rPr>
        <w:fldChar w:fldCharType="begin"/>
      </w:r>
      <w:r>
        <w:rPr>
          <w:highlight w:val="none"/>
        </w:rPr>
        <w:instrText xml:space="preserve"> PAGEREF _Toc149585871 \h </w:instrText>
      </w:r>
      <w:r>
        <w:rPr>
          <w:highlight w:val="none"/>
        </w:rPr>
        <w:fldChar w:fldCharType="separate"/>
      </w:r>
      <w:r>
        <w:rPr>
          <w:highlight w:val="none"/>
        </w:rPr>
        <w:t>5</w:t>
      </w:r>
      <w:r>
        <w:rPr>
          <w:highlight w:val="none"/>
        </w:rPr>
        <w:fldChar w:fldCharType="end"/>
      </w:r>
    </w:p>
    <w:p w14:paraId="486694E9">
      <w:pPr>
        <w:pStyle w:val="23"/>
        <w:tabs>
          <w:tab w:val="left" w:pos="840"/>
          <w:tab w:val="right" w:leader="dot" w:pos="9736"/>
        </w:tabs>
        <w:ind w:left="480"/>
        <w:rPr>
          <w:rFonts w:hint="eastAsia" w:asciiTheme="minorHAnsi" w:hAnsiTheme="minorHAnsi" w:eastAsiaTheme="minorEastAsia"/>
          <w:sz w:val="21"/>
          <w:highlight w:val="none"/>
        </w:rPr>
      </w:pPr>
      <w:r>
        <w:rPr>
          <w:highlight w:val="none"/>
        </w:rPr>
        <w:t>4</w:t>
      </w:r>
      <w:r>
        <w:rPr>
          <w:rFonts w:asciiTheme="minorHAnsi" w:hAnsiTheme="minorHAnsi" w:eastAsiaTheme="minorEastAsia"/>
          <w:sz w:val="21"/>
          <w:highlight w:val="none"/>
        </w:rPr>
        <w:tab/>
      </w:r>
      <w:r>
        <w:rPr>
          <w:rFonts w:hint="eastAsia"/>
          <w:highlight w:val="none"/>
        </w:rPr>
        <w:t>合同价格</w:t>
      </w:r>
      <w:r>
        <w:rPr>
          <w:highlight w:val="none"/>
        </w:rPr>
        <w:tab/>
      </w:r>
      <w:r>
        <w:rPr>
          <w:highlight w:val="none"/>
        </w:rPr>
        <w:fldChar w:fldCharType="begin"/>
      </w:r>
      <w:r>
        <w:rPr>
          <w:highlight w:val="none"/>
        </w:rPr>
        <w:instrText xml:space="preserve"> PAGEREF _Toc149585872 \h </w:instrText>
      </w:r>
      <w:r>
        <w:rPr>
          <w:highlight w:val="none"/>
        </w:rPr>
        <w:fldChar w:fldCharType="separate"/>
      </w:r>
      <w:r>
        <w:rPr>
          <w:highlight w:val="none"/>
        </w:rPr>
        <w:t>5</w:t>
      </w:r>
      <w:r>
        <w:rPr>
          <w:highlight w:val="none"/>
        </w:rPr>
        <w:fldChar w:fldCharType="end"/>
      </w:r>
    </w:p>
    <w:p w14:paraId="226B8231">
      <w:pPr>
        <w:pStyle w:val="23"/>
        <w:tabs>
          <w:tab w:val="left" w:pos="840"/>
          <w:tab w:val="right" w:leader="dot" w:pos="9736"/>
        </w:tabs>
        <w:ind w:left="480"/>
        <w:rPr>
          <w:rFonts w:hint="eastAsia" w:asciiTheme="minorHAnsi" w:hAnsiTheme="minorHAnsi" w:eastAsiaTheme="minorEastAsia"/>
          <w:sz w:val="21"/>
          <w:highlight w:val="none"/>
        </w:rPr>
      </w:pPr>
      <w:r>
        <w:rPr>
          <w:highlight w:val="none"/>
        </w:rPr>
        <w:t>5</w:t>
      </w:r>
      <w:r>
        <w:rPr>
          <w:rFonts w:asciiTheme="minorHAnsi" w:hAnsiTheme="minorHAnsi" w:eastAsiaTheme="minorEastAsia"/>
          <w:sz w:val="21"/>
          <w:highlight w:val="none"/>
        </w:rPr>
        <w:tab/>
      </w:r>
      <w:r>
        <w:rPr>
          <w:rFonts w:hint="eastAsia"/>
          <w:highlight w:val="none"/>
        </w:rPr>
        <w:t>付款</w:t>
      </w:r>
      <w:r>
        <w:rPr>
          <w:highlight w:val="none"/>
        </w:rPr>
        <w:tab/>
      </w:r>
      <w:r>
        <w:rPr>
          <w:highlight w:val="none"/>
        </w:rPr>
        <w:fldChar w:fldCharType="begin"/>
      </w:r>
      <w:r>
        <w:rPr>
          <w:highlight w:val="none"/>
        </w:rPr>
        <w:instrText xml:space="preserve"> PAGEREF _Toc149585873 \h </w:instrText>
      </w:r>
      <w:r>
        <w:rPr>
          <w:highlight w:val="none"/>
        </w:rPr>
        <w:fldChar w:fldCharType="separate"/>
      </w:r>
      <w:r>
        <w:rPr>
          <w:highlight w:val="none"/>
        </w:rPr>
        <w:t>6</w:t>
      </w:r>
      <w:r>
        <w:rPr>
          <w:highlight w:val="none"/>
        </w:rPr>
        <w:fldChar w:fldCharType="end"/>
      </w:r>
    </w:p>
    <w:p w14:paraId="116E5996">
      <w:pPr>
        <w:pStyle w:val="23"/>
        <w:tabs>
          <w:tab w:val="left" w:pos="840"/>
          <w:tab w:val="right" w:leader="dot" w:pos="9736"/>
        </w:tabs>
        <w:ind w:left="480"/>
        <w:rPr>
          <w:rFonts w:hint="eastAsia" w:asciiTheme="minorHAnsi" w:hAnsiTheme="minorHAnsi" w:eastAsiaTheme="minorEastAsia"/>
          <w:sz w:val="21"/>
          <w:highlight w:val="none"/>
        </w:rPr>
      </w:pPr>
      <w:r>
        <w:rPr>
          <w:highlight w:val="none"/>
        </w:rPr>
        <w:t>6</w:t>
      </w:r>
      <w:r>
        <w:rPr>
          <w:rFonts w:asciiTheme="minorHAnsi" w:hAnsiTheme="minorHAnsi" w:eastAsiaTheme="minorEastAsia"/>
          <w:sz w:val="21"/>
          <w:highlight w:val="none"/>
        </w:rPr>
        <w:tab/>
      </w:r>
      <w:r>
        <w:rPr>
          <w:rFonts w:hint="eastAsia"/>
          <w:highlight w:val="none"/>
        </w:rPr>
        <w:t>交货和运输</w:t>
      </w:r>
      <w:r>
        <w:rPr>
          <w:highlight w:val="none"/>
        </w:rPr>
        <w:tab/>
      </w:r>
      <w:r>
        <w:rPr>
          <w:highlight w:val="none"/>
        </w:rPr>
        <w:fldChar w:fldCharType="begin"/>
      </w:r>
      <w:r>
        <w:rPr>
          <w:highlight w:val="none"/>
        </w:rPr>
        <w:instrText xml:space="preserve"> PAGEREF _Toc149585874 \h </w:instrText>
      </w:r>
      <w:r>
        <w:rPr>
          <w:highlight w:val="none"/>
        </w:rPr>
        <w:fldChar w:fldCharType="separate"/>
      </w:r>
      <w:r>
        <w:rPr>
          <w:highlight w:val="none"/>
        </w:rPr>
        <w:t>7</w:t>
      </w:r>
      <w:r>
        <w:rPr>
          <w:highlight w:val="none"/>
        </w:rPr>
        <w:fldChar w:fldCharType="end"/>
      </w:r>
    </w:p>
    <w:p w14:paraId="516F836B">
      <w:pPr>
        <w:pStyle w:val="23"/>
        <w:tabs>
          <w:tab w:val="left" w:pos="840"/>
          <w:tab w:val="right" w:leader="dot" w:pos="9736"/>
        </w:tabs>
        <w:ind w:left="480"/>
        <w:rPr>
          <w:rFonts w:hint="eastAsia" w:asciiTheme="minorHAnsi" w:hAnsiTheme="minorHAnsi" w:eastAsiaTheme="minorEastAsia"/>
          <w:sz w:val="21"/>
          <w:highlight w:val="none"/>
        </w:rPr>
      </w:pPr>
      <w:r>
        <w:rPr>
          <w:highlight w:val="none"/>
        </w:rPr>
        <w:t>7</w:t>
      </w:r>
      <w:r>
        <w:rPr>
          <w:rFonts w:asciiTheme="minorHAnsi" w:hAnsiTheme="minorHAnsi" w:eastAsiaTheme="minorEastAsia"/>
          <w:sz w:val="21"/>
          <w:highlight w:val="none"/>
        </w:rPr>
        <w:tab/>
      </w:r>
      <w:r>
        <w:rPr>
          <w:rFonts w:hint="eastAsia"/>
          <w:highlight w:val="none"/>
        </w:rPr>
        <w:t>包装与标记</w:t>
      </w:r>
      <w:r>
        <w:rPr>
          <w:highlight w:val="none"/>
        </w:rPr>
        <w:tab/>
      </w:r>
      <w:r>
        <w:rPr>
          <w:highlight w:val="none"/>
        </w:rPr>
        <w:fldChar w:fldCharType="begin"/>
      </w:r>
      <w:r>
        <w:rPr>
          <w:highlight w:val="none"/>
        </w:rPr>
        <w:instrText xml:space="preserve"> PAGEREF _Toc149585875 \h </w:instrText>
      </w:r>
      <w:r>
        <w:rPr>
          <w:highlight w:val="none"/>
        </w:rPr>
        <w:fldChar w:fldCharType="separate"/>
      </w:r>
      <w:r>
        <w:rPr>
          <w:highlight w:val="none"/>
        </w:rPr>
        <w:t>9</w:t>
      </w:r>
      <w:r>
        <w:rPr>
          <w:highlight w:val="none"/>
        </w:rPr>
        <w:fldChar w:fldCharType="end"/>
      </w:r>
    </w:p>
    <w:p w14:paraId="3E1174FD">
      <w:pPr>
        <w:pStyle w:val="23"/>
        <w:tabs>
          <w:tab w:val="left" w:pos="840"/>
          <w:tab w:val="right" w:leader="dot" w:pos="9736"/>
        </w:tabs>
        <w:ind w:left="480"/>
        <w:rPr>
          <w:rFonts w:hint="eastAsia" w:asciiTheme="minorHAnsi" w:hAnsiTheme="minorHAnsi" w:eastAsiaTheme="minorEastAsia"/>
          <w:sz w:val="21"/>
          <w:highlight w:val="none"/>
        </w:rPr>
      </w:pPr>
      <w:r>
        <w:rPr>
          <w:highlight w:val="none"/>
        </w:rPr>
        <w:t>8</w:t>
      </w:r>
      <w:r>
        <w:rPr>
          <w:rFonts w:asciiTheme="minorHAnsi" w:hAnsiTheme="minorHAnsi" w:eastAsiaTheme="minorEastAsia"/>
          <w:sz w:val="21"/>
          <w:highlight w:val="none"/>
        </w:rPr>
        <w:tab/>
      </w:r>
      <w:r>
        <w:rPr>
          <w:rFonts w:hint="eastAsia"/>
          <w:highlight w:val="none"/>
        </w:rPr>
        <w:t>技术服务和联络</w:t>
      </w:r>
      <w:r>
        <w:rPr>
          <w:highlight w:val="none"/>
        </w:rPr>
        <w:tab/>
      </w:r>
      <w:r>
        <w:rPr>
          <w:highlight w:val="none"/>
        </w:rPr>
        <w:fldChar w:fldCharType="begin"/>
      </w:r>
      <w:r>
        <w:rPr>
          <w:highlight w:val="none"/>
        </w:rPr>
        <w:instrText xml:space="preserve"> PAGEREF _Toc149585876 \h </w:instrText>
      </w:r>
      <w:r>
        <w:rPr>
          <w:highlight w:val="none"/>
        </w:rPr>
        <w:fldChar w:fldCharType="separate"/>
      </w:r>
      <w:r>
        <w:rPr>
          <w:highlight w:val="none"/>
        </w:rPr>
        <w:t>11</w:t>
      </w:r>
      <w:r>
        <w:rPr>
          <w:highlight w:val="none"/>
        </w:rPr>
        <w:fldChar w:fldCharType="end"/>
      </w:r>
    </w:p>
    <w:p w14:paraId="3EC1F4F0">
      <w:pPr>
        <w:pStyle w:val="23"/>
        <w:tabs>
          <w:tab w:val="left" w:pos="840"/>
          <w:tab w:val="right" w:leader="dot" w:pos="9736"/>
        </w:tabs>
        <w:ind w:left="480"/>
        <w:rPr>
          <w:rFonts w:hint="eastAsia" w:asciiTheme="minorHAnsi" w:hAnsiTheme="minorHAnsi" w:eastAsiaTheme="minorEastAsia"/>
          <w:sz w:val="21"/>
          <w:highlight w:val="none"/>
        </w:rPr>
      </w:pPr>
      <w:r>
        <w:rPr>
          <w:highlight w:val="none"/>
        </w:rPr>
        <w:t>9</w:t>
      </w:r>
      <w:r>
        <w:rPr>
          <w:rFonts w:asciiTheme="minorHAnsi" w:hAnsiTheme="minorHAnsi" w:eastAsiaTheme="minorEastAsia"/>
          <w:sz w:val="21"/>
          <w:highlight w:val="none"/>
        </w:rPr>
        <w:tab/>
      </w:r>
      <w:r>
        <w:rPr>
          <w:rFonts w:hint="eastAsia"/>
          <w:highlight w:val="none"/>
        </w:rPr>
        <w:t>设备监造与检验</w:t>
      </w:r>
      <w:r>
        <w:rPr>
          <w:highlight w:val="none"/>
        </w:rPr>
        <w:tab/>
      </w:r>
      <w:r>
        <w:rPr>
          <w:highlight w:val="none"/>
        </w:rPr>
        <w:fldChar w:fldCharType="begin"/>
      </w:r>
      <w:r>
        <w:rPr>
          <w:highlight w:val="none"/>
        </w:rPr>
        <w:instrText xml:space="preserve"> PAGEREF _Toc149585877 \h </w:instrText>
      </w:r>
      <w:r>
        <w:rPr>
          <w:highlight w:val="none"/>
        </w:rPr>
        <w:fldChar w:fldCharType="separate"/>
      </w:r>
      <w:r>
        <w:rPr>
          <w:highlight w:val="none"/>
        </w:rPr>
        <w:t>12</w:t>
      </w:r>
      <w:r>
        <w:rPr>
          <w:highlight w:val="none"/>
        </w:rPr>
        <w:fldChar w:fldCharType="end"/>
      </w:r>
    </w:p>
    <w:p w14:paraId="31DE6BA9">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10</w:t>
      </w:r>
      <w:r>
        <w:rPr>
          <w:rFonts w:asciiTheme="minorHAnsi" w:hAnsiTheme="minorHAnsi" w:eastAsiaTheme="minorEastAsia"/>
          <w:sz w:val="21"/>
          <w:highlight w:val="none"/>
        </w:rPr>
        <w:tab/>
      </w:r>
      <w:r>
        <w:rPr>
          <w:rFonts w:hint="eastAsia"/>
          <w:highlight w:val="none"/>
        </w:rPr>
        <w:t>安装</w:t>
      </w:r>
      <w:r>
        <w:rPr>
          <w:rFonts w:hint="eastAsia" w:ascii="微软雅黑" w:hAnsi="微软雅黑" w:eastAsia="微软雅黑" w:cs="微软雅黑"/>
          <w:highlight w:val="none"/>
        </w:rPr>
        <w:t>､</w:t>
      </w:r>
      <w:r>
        <w:rPr>
          <w:rFonts w:hint="eastAsia"/>
          <w:highlight w:val="none"/>
        </w:rPr>
        <w:t>调试</w:t>
      </w:r>
      <w:r>
        <w:rPr>
          <w:rFonts w:hint="eastAsia" w:ascii="微软雅黑" w:hAnsi="微软雅黑" w:eastAsia="微软雅黑" w:cs="微软雅黑"/>
          <w:highlight w:val="none"/>
        </w:rPr>
        <w:t>､</w:t>
      </w:r>
      <w:r>
        <w:rPr>
          <w:rFonts w:hint="eastAsia"/>
          <w:highlight w:val="none"/>
        </w:rPr>
        <w:t>试运和验收</w:t>
      </w:r>
      <w:r>
        <w:rPr>
          <w:highlight w:val="none"/>
        </w:rPr>
        <w:tab/>
      </w:r>
      <w:r>
        <w:rPr>
          <w:highlight w:val="none"/>
        </w:rPr>
        <w:fldChar w:fldCharType="begin"/>
      </w:r>
      <w:r>
        <w:rPr>
          <w:highlight w:val="none"/>
        </w:rPr>
        <w:instrText xml:space="preserve"> PAGEREF _Toc149585878 \h </w:instrText>
      </w:r>
      <w:r>
        <w:rPr>
          <w:highlight w:val="none"/>
        </w:rPr>
        <w:fldChar w:fldCharType="separate"/>
      </w:r>
      <w:r>
        <w:rPr>
          <w:highlight w:val="none"/>
        </w:rPr>
        <w:t>14</w:t>
      </w:r>
      <w:r>
        <w:rPr>
          <w:highlight w:val="none"/>
        </w:rPr>
        <w:fldChar w:fldCharType="end"/>
      </w:r>
    </w:p>
    <w:p w14:paraId="3CD50F62">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11</w:t>
      </w:r>
      <w:r>
        <w:rPr>
          <w:rFonts w:asciiTheme="minorHAnsi" w:hAnsiTheme="minorHAnsi" w:eastAsiaTheme="minorEastAsia"/>
          <w:sz w:val="21"/>
          <w:highlight w:val="none"/>
        </w:rPr>
        <w:tab/>
      </w:r>
      <w:r>
        <w:rPr>
          <w:rFonts w:hint="eastAsia"/>
          <w:highlight w:val="none"/>
        </w:rPr>
        <w:t>保证与索赔</w:t>
      </w:r>
      <w:r>
        <w:rPr>
          <w:highlight w:val="none"/>
        </w:rPr>
        <w:tab/>
      </w:r>
      <w:r>
        <w:rPr>
          <w:highlight w:val="none"/>
        </w:rPr>
        <w:fldChar w:fldCharType="begin"/>
      </w:r>
      <w:r>
        <w:rPr>
          <w:highlight w:val="none"/>
        </w:rPr>
        <w:instrText xml:space="preserve"> PAGEREF _Toc149585879 \h </w:instrText>
      </w:r>
      <w:r>
        <w:rPr>
          <w:highlight w:val="none"/>
        </w:rPr>
        <w:fldChar w:fldCharType="separate"/>
      </w:r>
      <w:r>
        <w:rPr>
          <w:highlight w:val="none"/>
        </w:rPr>
        <w:t>18</w:t>
      </w:r>
      <w:r>
        <w:rPr>
          <w:highlight w:val="none"/>
        </w:rPr>
        <w:fldChar w:fldCharType="end"/>
      </w:r>
    </w:p>
    <w:p w14:paraId="54BBE609">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12</w:t>
      </w:r>
      <w:r>
        <w:rPr>
          <w:rFonts w:asciiTheme="minorHAnsi" w:hAnsiTheme="minorHAnsi" w:eastAsiaTheme="minorEastAsia"/>
          <w:sz w:val="21"/>
          <w:highlight w:val="none"/>
        </w:rPr>
        <w:tab/>
      </w:r>
      <w:r>
        <w:rPr>
          <w:rFonts w:hint="eastAsia"/>
          <w:highlight w:val="none"/>
        </w:rPr>
        <w:t>保险</w:t>
      </w:r>
      <w:r>
        <w:rPr>
          <w:highlight w:val="none"/>
        </w:rPr>
        <w:tab/>
      </w:r>
      <w:r>
        <w:rPr>
          <w:highlight w:val="none"/>
        </w:rPr>
        <w:fldChar w:fldCharType="begin"/>
      </w:r>
      <w:r>
        <w:rPr>
          <w:highlight w:val="none"/>
        </w:rPr>
        <w:instrText xml:space="preserve"> PAGEREF _Toc149585880 \h </w:instrText>
      </w:r>
      <w:r>
        <w:rPr>
          <w:highlight w:val="none"/>
        </w:rPr>
        <w:fldChar w:fldCharType="separate"/>
      </w:r>
      <w:r>
        <w:rPr>
          <w:highlight w:val="none"/>
        </w:rPr>
        <w:t>21</w:t>
      </w:r>
      <w:r>
        <w:rPr>
          <w:highlight w:val="none"/>
        </w:rPr>
        <w:fldChar w:fldCharType="end"/>
      </w:r>
    </w:p>
    <w:p w14:paraId="4774D364">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13</w:t>
      </w:r>
      <w:r>
        <w:rPr>
          <w:rFonts w:asciiTheme="minorHAnsi" w:hAnsiTheme="minorHAnsi" w:eastAsiaTheme="minorEastAsia"/>
          <w:sz w:val="21"/>
          <w:highlight w:val="none"/>
        </w:rPr>
        <w:tab/>
      </w:r>
      <w:r>
        <w:rPr>
          <w:rFonts w:hint="eastAsia"/>
          <w:highlight w:val="none"/>
        </w:rPr>
        <w:t>税费</w:t>
      </w:r>
      <w:r>
        <w:rPr>
          <w:highlight w:val="none"/>
        </w:rPr>
        <w:tab/>
      </w:r>
      <w:r>
        <w:rPr>
          <w:highlight w:val="none"/>
        </w:rPr>
        <w:fldChar w:fldCharType="begin"/>
      </w:r>
      <w:r>
        <w:rPr>
          <w:highlight w:val="none"/>
        </w:rPr>
        <w:instrText xml:space="preserve"> PAGEREF _Toc149585881 \h </w:instrText>
      </w:r>
      <w:r>
        <w:rPr>
          <w:highlight w:val="none"/>
        </w:rPr>
        <w:fldChar w:fldCharType="separate"/>
      </w:r>
      <w:r>
        <w:rPr>
          <w:highlight w:val="none"/>
        </w:rPr>
        <w:t>21</w:t>
      </w:r>
      <w:r>
        <w:rPr>
          <w:highlight w:val="none"/>
        </w:rPr>
        <w:fldChar w:fldCharType="end"/>
      </w:r>
    </w:p>
    <w:p w14:paraId="67DE8149">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14</w:t>
      </w:r>
      <w:r>
        <w:rPr>
          <w:rFonts w:asciiTheme="minorHAnsi" w:hAnsiTheme="minorHAnsi" w:eastAsiaTheme="minorEastAsia"/>
          <w:sz w:val="21"/>
          <w:highlight w:val="none"/>
        </w:rPr>
        <w:tab/>
      </w:r>
      <w:r>
        <w:rPr>
          <w:rFonts w:hint="eastAsia"/>
          <w:highlight w:val="none"/>
        </w:rPr>
        <w:t>分包与外购</w:t>
      </w:r>
      <w:r>
        <w:rPr>
          <w:highlight w:val="none"/>
        </w:rPr>
        <w:tab/>
      </w:r>
      <w:r>
        <w:rPr>
          <w:highlight w:val="none"/>
        </w:rPr>
        <w:fldChar w:fldCharType="begin"/>
      </w:r>
      <w:r>
        <w:rPr>
          <w:highlight w:val="none"/>
        </w:rPr>
        <w:instrText xml:space="preserve"> PAGEREF _Toc149585882 \h </w:instrText>
      </w:r>
      <w:r>
        <w:rPr>
          <w:highlight w:val="none"/>
        </w:rPr>
        <w:fldChar w:fldCharType="separate"/>
      </w:r>
      <w:r>
        <w:rPr>
          <w:highlight w:val="none"/>
        </w:rPr>
        <w:t>22</w:t>
      </w:r>
      <w:r>
        <w:rPr>
          <w:highlight w:val="none"/>
        </w:rPr>
        <w:fldChar w:fldCharType="end"/>
      </w:r>
    </w:p>
    <w:p w14:paraId="5E12C52E">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15</w:t>
      </w:r>
      <w:r>
        <w:rPr>
          <w:rFonts w:asciiTheme="minorHAnsi" w:hAnsiTheme="minorHAnsi" w:eastAsiaTheme="minorEastAsia"/>
          <w:sz w:val="21"/>
          <w:highlight w:val="none"/>
        </w:rPr>
        <w:tab/>
      </w:r>
      <w:r>
        <w:rPr>
          <w:rFonts w:hint="eastAsia"/>
          <w:highlight w:val="none"/>
        </w:rPr>
        <w:t>合同的变更</w:t>
      </w:r>
      <w:r>
        <w:rPr>
          <w:rFonts w:hint="eastAsia" w:ascii="微软雅黑" w:hAnsi="微软雅黑" w:eastAsia="微软雅黑" w:cs="微软雅黑"/>
          <w:highlight w:val="none"/>
        </w:rPr>
        <w:t>､</w:t>
      </w:r>
      <w:r>
        <w:rPr>
          <w:rFonts w:hint="eastAsia" w:cs="宋体"/>
          <w:highlight w:val="none"/>
        </w:rPr>
        <w:t>修改和终止</w:t>
      </w:r>
      <w:r>
        <w:rPr>
          <w:highlight w:val="none"/>
        </w:rPr>
        <w:tab/>
      </w:r>
      <w:r>
        <w:rPr>
          <w:highlight w:val="none"/>
        </w:rPr>
        <w:fldChar w:fldCharType="begin"/>
      </w:r>
      <w:r>
        <w:rPr>
          <w:highlight w:val="none"/>
        </w:rPr>
        <w:instrText xml:space="preserve"> PAGEREF _Toc149585883 \h </w:instrText>
      </w:r>
      <w:r>
        <w:rPr>
          <w:highlight w:val="none"/>
        </w:rPr>
        <w:fldChar w:fldCharType="separate"/>
      </w:r>
      <w:r>
        <w:rPr>
          <w:highlight w:val="none"/>
        </w:rPr>
        <w:t>22</w:t>
      </w:r>
      <w:r>
        <w:rPr>
          <w:highlight w:val="none"/>
        </w:rPr>
        <w:fldChar w:fldCharType="end"/>
      </w:r>
    </w:p>
    <w:p w14:paraId="112352A0">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16</w:t>
      </w:r>
      <w:r>
        <w:rPr>
          <w:rFonts w:asciiTheme="minorHAnsi" w:hAnsiTheme="minorHAnsi" w:eastAsiaTheme="minorEastAsia"/>
          <w:sz w:val="21"/>
          <w:highlight w:val="none"/>
        </w:rPr>
        <w:tab/>
      </w:r>
      <w:r>
        <w:rPr>
          <w:rFonts w:hint="eastAsia"/>
          <w:highlight w:val="none"/>
        </w:rPr>
        <w:t>不可抗力</w:t>
      </w:r>
      <w:r>
        <w:rPr>
          <w:highlight w:val="none"/>
        </w:rPr>
        <w:tab/>
      </w:r>
      <w:r>
        <w:rPr>
          <w:highlight w:val="none"/>
        </w:rPr>
        <w:fldChar w:fldCharType="begin"/>
      </w:r>
      <w:r>
        <w:rPr>
          <w:highlight w:val="none"/>
        </w:rPr>
        <w:instrText xml:space="preserve"> PAGEREF _Toc149585884 \h </w:instrText>
      </w:r>
      <w:r>
        <w:rPr>
          <w:highlight w:val="none"/>
        </w:rPr>
        <w:fldChar w:fldCharType="separate"/>
      </w:r>
      <w:r>
        <w:rPr>
          <w:highlight w:val="none"/>
        </w:rPr>
        <w:t>23</w:t>
      </w:r>
      <w:r>
        <w:rPr>
          <w:highlight w:val="none"/>
        </w:rPr>
        <w:fldChar w:fldCharType="end"/>
      </w:r>
    </w:p>
    <w:p w14:paraId="13258098">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17</w:t>
      </w:r>
      <w:r>
        <w:rPr>
          <w:rFonts w:asciiTheme="minorHAnsi" w:hAnsiTheme="minorHAnsi" w:eastAsiaTheme="minorEastAsia"/>
          <w:sz w:val="21"/>
          <w:highlight w:val="none"/>
        </w:rPr>
        <w:tab/>
      </w:r>
      <w:r>
        <w:rPr>
          <w:rFonts w:hint="eastAsia"/>
          <w:highlight w:val="none"/>
        </w:rPr>
        <w:t>合同争议的解决</w:t>
      </w:r>
      <w:r>
        <w:rPr>
          <w:highlight w:val="none"/>
        </w:rPr>
        <w:tab/>
      </w:r>
      <w:r>
        <w:rPr>
          <w:highlight w:val="none"/>
        </w:rPr>
        <w:fldChar w:fldCharType="begin"/>
      </w:r>
      <w:r>
        <w:rPr>
          <w:highlight w:val="none"/>
        </w:rPr>
        <w:instrText xml:space="preserve"> PAGEREF _Toc149585885 \h </w:instrText>
      </w:r>
      <w:r>
        <w:rPr>
          <w:highlight w:val="none"/>
        </w:rPr>
        <w:fldChar w:fldCharType="separate"/>
      </w:r>
      <w:r>
        <w:rPr>
          <w:highlight w:val="none"/>
        </w:rPr>
        <w:t>23</w:t>
      </w:r>
      <w:r>
        <w:rPr>
          <w:highlight w:val="none"/>
        </w:rPr>
        <w:fldChar w:fldCharType="end"/>
      </w:r>
    </w:p>
    <w:p w14:paraId="20C3111A">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18</w:t>
      </w:r>
      <w:r>
        <w:rPr>
          <w:rFonts w:asciiTheme="minorHAnsi" w:hAnsiTheme="minorHAnsi" w:eastAsiaTheme="minorEastAsia"/>
          <w:sz w:val="21"/>
          <w:highlight w:val="none"/>
        </w:rPr>
        <w:tab/>
      </w:r>
      <w:r>
        <w:rPr>
          <w:rFonts w:hint="eastAsia"/>
          <w:highlight w:val="none"/>
        </w:rPr>
        <w:t>合同生效</w:t>
      </w:r>
      <w:r>
        <w:rPr>
          <w:highlight w:val="none"/>
        </w:rPr>
        <w:tab/>
      </w:r>
      <w:r>
        <w:rPr>
          <w:highlight w:val="none"/>
        </w:rPr>
        <w:fldChar w:fldCharType="begin"/>
      </w:r>
      <w:r>
        <w:rPr>
          <w:highlight w:val="none"/>
        </w:rPr>
        <w:instrText xml:space="preserve"> PAGEREF _Toc149585886 \h </w:instrText>
      </w:r>
      <w:r>
        <w:rPr>
          <w:highlight w:val="none"/>
        </w:rPr>
        <w:fldChar w:fldCharType="separate"/>
      </w:r>
      <w:r>
        <w:rPr>
          <w:highlight w:val="none"/>
        </w:rPr>
        <w:t>24</w:t>
      </w:r>
      <w:r>
        <w:rPr>
          <w:highlight w:val="none"/>
        </w:rPr>
        <w:fldChar w:fldCharType="end"/>
      </w:r>
    </w:p>
    <w:p w14:paraId="7673C9AA">
      <w:pPr>
        <w:pStyle w:val="23"/>
        <w:tabs>
          <w:tab w:val="left" w:pos="1050"/>
          <w:tab w:val="right" w:leader="dot" w:pos="9736"/>
        </w:tabs>
        <w:ind w:left="480"/>
        <w:rPr>
          <w:rFonts w:hint="eastAsia" w:asciiTheme="minorHAnsi" w:hAnsiTheme="minorHAnsi" w:eastAsiaTheme="minorEastAsia"/>
          <w:sz w:val="21"/>
          <w:highlight w:val="none"/>
        </w:rPr>
      </w:pPr>
      <w:r>
        <w:rPr>
          <w:highlight w:val="none"/>
        </w:rPr>
        <w:t>19</w:t>
      </w:r>
      <w:r>
        <w:rPr>
          <w:rFonts w:asciiTheme="minorHAnsi" w:hAnsiTheme="minorHAnsi" w:eastAsiaTheme="minorEastAsia"/>
          <w:sz w:val="21"/>
          <w:highlight w:val="none"/>
        </w:rPr>
        <w:tab/>
      </w:r>
      <w:r>
        <w:rPr>
          <w:rFonts w:hint="eastAsia"/>
          <w:highlight w:val="none"/>
        </w:rPr>
        <w:t>其它</w:t>
      </w:r>
      <w:r>
        <w:rPr>
          <w:highlight w:val="none"/>
        </w:rPr>
        <w:tab/>
      </w:r>
      <w:r>
        <w:rPr>
          <w:highlight w:val="none"/>
        </w:rPr>
        <w:fldChar w:fldCharType="begin"/>
      </w:r>
      <w:r>
        <w:rPr>
          <w:highlight w:val="none"/>
        </w:rPr>
        <w:instrText xml:space="preserve"> PAGEREF _Toc149585887 \h </w:instrText>
      </w:r>
      <w:r>
        <w:rPr>
          <w:highlight w:val="none"/>
        </w:rPr>
        <w:fldChar w:fldCharType="separate"/>
      </w:r>
      <w:r>
        <w:rPr>
          <w:highlight w:val="none"/>
        </w:rPr>
        <w:t>24</w:t>
      </w:r>
      <w:r>
        <w:rPr>
          <w:highlight w:val="none"/>
        </w:rPr>
        <w:fldChar w:fldCharType="end"/>
      </w:r>
    </w:p>
    <w:p w14:paraId="530C79F0">
      <w:pPr>
        <w:rPr>
          <w:highlight w:val="none"/>
        </w:rPr>
      </w:pPr>
      <w:r>
        <w:rPr>
          <w:highlight w:val="none"/>
        </w:rPr>
        <w:fldChar w:fldCharType="end"/>
      </w:r>
    </w:p>
    <w:p w14:paraId="20AEDDB5">
      <w:pPr>
        <w:pageBreakBefore/>
        <w:spacing w:after="326" w:afterLines="100"/>
        <w:jc w:val="center"/>
        <w:rPr>
          <w:b/>
          <w:sz w:val="36"/>
          <w:szCs w:val="36"/>
          <w:highlight w:val="none"/>
        </w:rPr>
      </w:pPr>
      <w:r>
        <w:rPr>
          <w:rFonts w:hint="eastAsia"/>
          <w:b/>
          <w:sz w:val="36"/>
          <w:szCs w:val="36"/>
          <w:highlight w:val="none"/>
        </w:rPr>
        <w:t xml:space="preserve"> 东莞市海心沙资源综合利用中心环保热电厂循环水膜处理系统采购项目合同</w:t>
      </w:r>
    </w:p>
    <w:p w14:paraId="6F7C2358">
      <w:pPr>
        <w:ind w:firstLine="480" w:firstLineChars="200"/>
        <w:rPr>
          <w:highlight w:val="none"/>
        </w:rPr>
      </w:pPr>
      <w:r>
        <w:rPr>
          <w:rFonts w:hint="eastAsia"/>
          <w:highlight w:val="none"/>
        </w:rPr>
        <w:t>东莞市新东元环保投资有限公司</w:t>
      </w:r>
      <w:r>
        <w:rPr>
          <w:highlight w:val="none"/>
        </w:rPr>
        <w:t>(以下简称“甲方”或“</w:t>
      </w:r>
      <w:r>
        <w:rPr>
          <w:rFonts w:hint="eastAsia"/>
          <w:highlight w:val="none"/>
        </w:rPr>
        <w:t>需</w:t>
      </w:r>
      <w:r>
        <w:rPr>
          <w:highlight w:val="none"/>
        </w:rPr>
        <w:t>方”)与</w:t>
      </w:r>
      <w:r>
        <w:rPr>
          <w:rFonts w:hint="eastAsia"/>
          <w:highlight w:val="none"/>
          <w:u w:val="single"/>
        </w:rPr>
        <w:t xml:space="preserve">   </w:t>
      </w:r>
      <w:r>
        <w:rPr>
          <w:highlight w:val="none"/>
        </w:rPr>
        <w:t>(以下简称“乙方”或“</w:t>
      </w:r>
      <w:r>
        <w:rPr>
          <w:rFonts w:hint="eastAsia"/>
          <w:highlight w:val="none"/>
        </w:rPr>
        <w:t>供</w:t>
      </w:r>
      <w:r>
        <w:rPr>
          <w:highlight w:val="none"/>
        </w:rPr>
        <w:t>方”)就</w:t>
      </w:r>
      <w:r>
        <w:rPr>
          <w:rFonts w:hint="eastAsia"/>
          <w:highlight w:val="none"/>
        </w:rPr>
        <w:t>东莞市海心沙资源综合利用中心环保热电厂循环水膜处理系统采购项目</w:t>
      </w:r>
      <w:r>
        <w:rPr>
          <w:highlight w:val="none"/>
        </w:rPr>
        <w:t>相关</w:t>
      </w:r>
      <w:r>
        <w:rPr>
          <w:rFonts w:hint="eastAsia"/>
          <w:highlight w:val="none"/>
          <w:lang w:val="en-US" w:eastAsia="zh-CN"/>
        </w:rPr>
        <w:t>设备供货、安装、</w:t>
      </w:r>
      <w:r>
        <w:rPr>
          <w:highlight w:val="none"/>
        </w:rPr>
        <w:t>服务</w:t>
      </w:r>
      <w:r>
        <w:rPr>
          <w:rFonts w:hint="eastAsia"/>
          <w:highlight w:val="none"/>
          <w:lang w:val="en-US" w:eastAsia="zh-CN"/>
        </w:rPr>
        <w:t>及</w:t>
      </w:r>
      <w:r>
        <w:rPr>
          <w:highlight w:val="none"/>
        </w:rPr>
        <w:t>事宜，经友好协商一致，订立本</w:t>
      </w:r>
      <w:r>
        <w:rPr>
          <w:rFonts w:hint="eastAsia"/>
          <w:highlight w:val="none"/>
        </w:rPr>
        <w:t>合同</w:t>
      </w:r>
      <w:r>
        <w:rPr>
          <w:highlight w:val="none"/>
        </w:rPr>
        <w:t>：</w:t>
      </w:r>
    </w:p>
    <w:p w14:paraId="0864E8D3">
      <w:pPr>
        <w:pStyle w:val="42"/>
        <w:spacing w:before="163"/>
        <w:ind w:hanging="482"/>
        <w:rPr>
          <w:rFonts w:hint="eastAsia"/>
          <w:highlight w:val="none"/>
        </w:rPr>
      </w:pPr>
      <w:bookmarkStart w:id="0" w:name="_Toc149585869"/>
      <w:bookmarkStart w:id="1" w:name="_Toc475095458"/>
      <w:bookmarkStart w:id="2" w:name="_Toc475094747"/>
      <w:r>
        <w:rPr>
          <w:highlight w:val="none"/>
        </w:rPr>
        <w:t>定义</w:t>
      </w:r>
      <w:bookmarkEnd w:id="0"/>
      <w:bookmarkEnd w:id="1"/>
      <w:bookmarkEnd w:id="2"/>
    </w:p>
    <w:p w14:paraId="224491E3">
      <w:pPr>
        <w:rPr>
          <w:highlight w:val="none"/>
        </w:rPr>
      </w:pPr>
      <w:r>
        <w:rPr>
          <w:highlight w:val="none"/>
        </w:rPr>
        <w:t>本文件和附件中所用下列名词的含义在此予以确定</w:t>
      </w:r>
      <w:r>
        <w:rPr>
          <w:rFonts w:hint="eastAsia" w:ascii="微软雅黑" w:hAnsi="微软雅黑" w:eastAsia="微软雅黑" w:cs="微软雅黑"/>
          <w:highlight w:val="none"/>
        </w:rPr>
        <w:t>｡</w:t>
      </w:r>
    </w:p>
    <w:p w14:paraId="3B9D83E3">
      <w:pPr>
        <w:pStyle w:val="44"/>
        <w:rPr>
          <w:rFonts w:hint="eastAsia"/>
          <w:highlight w:val="none"/>
        </w:rPr>
      </w:pPr>
      <w:r>
        <w:rPr>
          <w:highlight w:val="none"/>
        </w:rPr>
        <w:t>“甲方”</w:t>
      </w:r>
      <w:r>
        <w:rPr>
          <w:rFonts w:hint="eastAsia" w:ascii="微软雅黑" w:hAnsi="微软雅黑" w:eastAsia="微软雅黑" w:cs="微软雅黑"/>
          <w:highlight w:val="none"/>
        </w:rPr>
        <w:t>､</w:t>
      </w:r>
      <w:r>
        <w:rPr>
          <w:rFonts w:hint="eastAsia"/>
          <w:highlight w:val="none"/>
        </w:rPr>
        <w:t>“需方”</w:t>
      </w:r>
      <w:r>
        <w:rPr>
          <w:highlight w:val="none"/>
        </w:rPr>
        <w:t>是指</w:t>
      </w:r>
      <w:r>
        <w:rPr>
          <w:rFonts w:hint="eastAsia"/>
          <w:highlight w:val="none"/>
        </w:rPr>
        <w:t>东莞市新东元环保投资有限公司</w:t>
      </w:r>
      <w:r>
        <w:rPr>
          <w:highlight w:val="none"/>
        </w:rPr>
        <w:t>，包括该法人的法定代表人</w:t>
      </w:r>
      <w:r>
        <w:rPr>
          <w:rFonts w:hint="eastAsia" w:ascii="微软雅黑" w:hAnsi="微软雅黑" w:eastAsia="微软雅黑" w:cs="微软雅黑"/>
          <w:highlight w:val="none"/>
        </w:rPr>
        <w:t>､</w:t>
      </w:r>
      <w:r>
        <w:rPr>
          <w:rFonts w:hint="eastAsia"/>
          <w:highlight w:val="none"/>
        </w:rPr>
        <w:t>法人的继任方和法人的受让方</w:t>
      </w:r>
      <w:r>
        <w:rPr>
          <w:rFonts w:hint="eastAsia" w:ascii="微软雅黑" w:hAnsi="微软雅黑" w:eastAsia="微软雅黑" w:cs="微软雅黑"/>
          <w:highlight w:val="none"/>
        </w:rPr>
        <w:t>｡</w:t>
      </w:r>
    </w:p>
    <w:p w14:paraId="24D96DD0">
      <w:pPr>
        <w:pStyle w:val="44"/>
        <w:rPr>
          <w:rFonts w:hint="eastAsia"/>
          <w:highlight w:val="none"/>
        </w:rPr>
      </w:pPr>
      <w:r>
        <w:rPr>
          <w:highlight w:val="none"/>
        </w:rPr>
        <w:t>“乙方”</w:t>
      </w:r>
      <w:r>
        <w:rPr>
          <w:rFonts w:hint="eastAsia" w:ascii="微软雅黑" w:hAnsi="微软雅黑" w:eastAsia="微软雅黑" w:cs="微软雅黑"/>
          <w:highlight w:val="none"/>
        </w:rPr>
        <w:t>､</w:t>
      </w:r>
      <w:r>
        <w:rPr>
          <w:rFonts w:hint="eastAsia"/>
          <w:highlight w:val="none"/>
        </w:rPr>
        <w:t>“供方”</w:t>
      </w:r>
      <w:r>
        <w:rPr>
          <w:highlight w:val="none"/>
        </w:rPr>
        <w:t>是指</w:t>
      </w:r>
      <w:r>
        <w:rPr>
          <w:rFonts w:hint="eastAsia"/>
          <w:highlight w:val="none"/>
          <w:u w:val="single"/>
        </w:rPr>
        <w:t xml:space="preserve">         </w:t>
      </w:r>
      <w:r>
        <w:rPr>
          <w:highlight w:val="none"/>
        </w:rPr>
        <w:t>，包括该法人的法定代表人</w:t>
      </w:r>
      <w:r>
        <w:rPr>
          <w:rFonts w:hint="eastAsia" w:ascii="微软雅黑" w:hAnsi="微软雅黑" w:eastAsia="微软雅黑" w:cs="微软雅黑"/>
          <w:highlight w:val="none"/>
        </w:rPr>
        <w:t>､</w:t>
      </w:r>
      <w:r>
        <w:rPr>
          <w:rFonts w:hint="eastAsia"/>
          <w:highlight w:val="none"/>
        </w:rPr>
        <w:t>法人的继任</w:t>
      </w:r>
      <w:r>
        <w:rPr>
          <w:highlight w:val="none"/>
        </w:rPr>
        <w:t>方和法人的受让方</w:t>
      </w:r>
      <w:r>
        <w:rPr>
          <w:rFonts w:hint="eastAsia" w:ascii="微软雅黑" w:hAnsi="微软雅黑" w:eastAsia="微软雅黑" w:cs="微软雅黑"/>
          <w:highlight w:val="none"/>
        </w:rPr>
        <w:t>｡</w:t>
      </w:r>
    </w:p>
    <w:p w14:paraId="44568FF1">
      <w:pPr>
        <w:pStyle w:val="44"/>
        <w:rPr>
          <w:rFonts w:hint="eastAsia"/>
          <w:highlight w:val="none"/>
        </w:rPr>
      </w:pPr>
      <w:r>
        <w:rPr>
          <w:highlight w:val="none"/>
        </w:rPr>
        <w:t>“合同”是指本文件及其附件中的所有部分</w:t>
      </w:r>
      <w:r>
        <w:rPr>
          <w:rFonts w:hint="eastAsia" w:ascii="微软雅黑" w:hAnsi="微软雅黑" w:eastAsia="微软雅黑" w:cs="微软雅黑"/>
          <w:highlight w:val="none"/>
        </w:rPr>
        <w:t>｡</w:t>
      </w:r>
    </w:p>
    <w:p w14:paraId="47DCE00D">
      <w:pPr>
        <w:pStyle w:val="44"/>
        <w:rPr>
          <w:rFonts w:hint="eastAsia"/>
          <w:highlight w:val="none"/>
        </w:rPr>
      </w:pPr>
      <w:r>
        <w:rPr>
          <w:highlight w:val="none"/>
        </w:rPr>
        <w:t>“合同价格”是指在本合同4款中规定的部分</w:t>
      </w:r>
      <w:r>
        <w:rPr>
          <w:rFonts w:hint="eastAsia" w:ascii="微软雅黑" w:hAnsi="微软雅黑" w:eastAsia="微软雅黑" w:cs="微软雅黑"/>
          <w:highlight w:val="none"/>
        </w:rPr>
        <w:t>｡</w:t>
      </w:r>
    </w:p>
    <w:p w14:paraId="7F8C21D8">
      <w:pPr>
        <w:pStyle w:val="44"/>
        <w:rPr>
          <w:rFonts w:hint="eastAsia"/>
          <w:highlight w:val="none"/>
        </w:rPr>
      </w:pPr>
      <w:r>
        <w:rPr>
          <w:highlight w:val="none"/>
        </w:rPr>
        <w:t>“生效日期”是指本合同18款中所规定的合同的生效日期</w:t>
      </w:r>
      <w:r>
        <w:rPr>
          <w:rFonts w:hint="eastAsia" w:ascii="微软雅黑" w:hAnsi="微软雅黑" w:eastAsia="微软雅黑" w:cs="微软雅黑"/>
          <w:highlight w:val="none"/>
        </w:rPr>
        <w:t>｡</w:t>
      </w:r>
    </w:p>
    <w:p w14:paraId="3DFB547A">
      <w:pPr>
        <w:pStyle w:val="44"/>
        <w:rPr>
          <w:rFonts w:hint="eastAsia"/>
          <w:highlight w:val="none"/>
        </w:rPr>
      </w:pPr>
      <w:r>
        <w:rPr>
          <w:highlight w:val="none"/>
        </w:rPr>
        <w:t>“技术资料”是指合同设备及其与合同设备相关的设计</w:t>
      </w:r>
      <w:r>
        <w:rPr>
          <w:rFonts w:hint="eastAsia" w:ascii="微软雅黑" w:hAnsi="微软雅黑" w:eastAsia="微软雅黑" w:cs="微软雅黑"/>
          <w:highlight w:val="none"/>
        </w:rPr>
        <w:t>､</w:t>
      </w:r>
      <w:r>
        <w:rPr>
          <w:rFonts w:hint="eastAsia"/>
          <w:highlight w:val="none"/>
        </w:rPr>
        <w:t>制造</w:t>
      </w:r>
      <w:r>
        <w:rPr>
          <w:rFonts w:hint="eastAsia" w:ascii="微软雅黑" w:hAnsi="微软雅黑" w:eastAsia="微软雅黑" w:cs="微软雅黑"/>
          <w:highlight w:val="none"/>
        </w:rPr>
        <w:t>､</w:t>
      </w:r>
      <w:r>
        <w:rPr>
          <w:rFonts w:hint="eastAsia"/>
          <w:highlight w:val="none"/>
        </w:rPr>
        <w:t>监造检验</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w:t>
      </w:r>
      <w:r>
        <w:rPr>
          <w:rFonts w:hint="eastAsia" w:ascii="微软雅黑" w:hAnsi="微软雅黑" w:eastAsia="微软雅黑" w:cs="微软雅黑"/>
          <w:highlight w:val="none"/>
        </w:rPr>
        <w:t>､</w:t>
      </w:r>
      <w:r>
        <w:rPr>
          <w:rFonts w:hint="eastAsia"/>
          <w:highlight w:val="none"/>
        </w:rPr>
        <w:t>验收</w:t>
      </w:r>
      <w:r>
        <w:rPr>
          <w:rFonts w:hint="eastAsia" w:ascii="微软雅黑" w:hAnsi="微软雅黑" w:eastAsia="微软雅黑" w:cs="微软雅黑"/>
          <w:highlight w:val="none"/>
        </w:rPr>
        <w:t>､</w:t>
      </w:r>
      <w:r>
        <w:rPr>
          <w:rFonts w:hint="eastAsia"/>
          <w:highlight w:val="none"/>
        </w:rPr>
        <w:t>性能验收试验</w:t>
      </w:r>
      <w:r>
        <w:rPr>
          <w:rFonts w:hint="eastAsia" w:ascii="微软雅黑" w:hAnsi="微软雅黑" w:eastAsia="微软雅黑" w:cs="微软雅黑"/>
          <w:highlight w:val="none"/>
        </w:rPr>
        <w:t>､</w:t>
      </w:r>
      <w:r>
        <w:rPr>
          <w:rFonts w:hint="eastAsia"/>
          <w:highlight w:val="none"/>
        </w:rPr>
        <w:t>控制和技术指导等文件</w:t>
      </w:r>
      <w:r>
        <w:rPr>
          <w:highlight w:val="none"/>
        </w:rPr>
        <w:t>(包括图纸各种文字说明</w:t>
      </w:r>
      <w:r>
        <w:rPr>
          <w:rFonts w:hint="eastAsia" w:ascii="微软雅黑" w:hAnsi="微软雅黑" w:eastAsia="微软雅黑" w:cs="微软雅黑"/>
          <w:highlight w:val="none"/>
        </w:rPr>
        <w:t>､</w:t>
      </w:r>
      <w:r>
        <w:rPr>
          <w:rFonts w:hint="eastAsia"/>
          <w:highlight w:val="none"/>
        </w:rPr>
        <w:t>标准</w:t>
      </w:r>
      <w:r>
        <w:rPr>
          <w:rFonts w:hint="eastAsia" w:ascii="微软雅黑" w:hAnsi="微软雅黑" w:eastAsia="微软雅黑" w:cs="微软雅黑"/>
          <w:highlight w:val="none"/>
        </w:rPr>
        <w:t>､</w:t>
      </w:r>
      <w:r>
        <w:rPr>
          <w:rFonts w:hint="eastAsia"/>
          <w:highlight w:val="none"/>
        </w:rPr>
        <w:t>各种软件</w:t>
      </w:r>
      <w:r>
        <w:rPr>
          <w:highlight w:val="none"/>
        </w:rPr>
        <w:t>)，和《</w:t>
      </w:r>
      <w:r>
        <w:rPr>
          <w:rFonts w:hint="eastAsia"/>
          <w:highlight w:val="none"/>
          <w:lang w:eastAsia="zh-CN"/>
        </w:rPr>
        <w:t>东莞市海心沙资源综合利用中心环保热电厂循环水膜处理系统采购项目技术需求书</w:t>
      </w:r>
      <w:r>
        <w:rPr>
          <w:highlight w:val="none"/>
        </w:rPr>
        <w:t>》规定的用于本合同设备或合同工程正确运行和维护的文件</w:t>
      </w:r>
      <w:r>
        <w:rPr>
          <w:rFonts w:hint="eastAsia" w:ascii="微软雅黑" w:hAnsi="微软雅黑" w:eastAsia="微软雅黑" w:cs="微软雅黑"/>
          <w:highlight w:val="none"/>
        </w:rPr>
        <w:t>｡</w:t>
      </w:r>
    </w:p>
    <w:p w14:paraId="6DE4B3A5">
      <w:pPr>
        <w:pStyle w:val="44"/>
        <w:rPr>
          <w:rFonts w:hint="eastAsia"/>
          <w:highlight w:val="none"/>
        </w:rPr>
      </w:pPr>
      <w:r>
        <w:rPr>
          <w:highlight w:val="none"/>
        </w:rPr>
        <w:t>“合同设备”是指乙方根据合同所要供应的机器</w:t>
      </w:r>
      <w:r>
        <w:rPr>
          <w:rFonts w:hint="eastAsia" w:ascii="微软雅黑" w:hAnsi="微软雅黑" w:eastAsia="微软雅黑" w:cs="微软雅黑"/>
          <w:highlight w:val="none"/>
        </w:rPr>
        <w:t>､</w:t>
      </w:r>
      <w:r>
        <w:rPr>
          <w:rFonts w:hint="eastAsia"/>
          <w:highlight w:val="none"/>
        </w:rPr>
        <w:t>装置</w:t>
      </w:r>
      <w:r>
        <w:rPr>
          <w:rFonts w:hint="eastAsia" w:ascii="微软雅黑" w:hAnsi="微软雅黑" w:eastAsia="微软雅黑" w:cs="微软雅黑"/>
          <w:highlight w:val="none"/>
        </w:rPr>
        <w:t>､</w:t>
      </w:r>
      <w:r>
        <w:rPr>
          <w:rFonts w:hint="eastAsia"/>
          <w:highlight w:val="none"/>
        </w:rPr>
        <w:t>材料</w:t>
      </w:r>
      <w:r>
        <w:rPr>
          <w:rFonts w:hint="eastAsia" w:ascii="微软雅黑" w:hAnsi="微软雅黑" w:eastAsia="微软雅黑" w:cs="微软雅黑"/>
          <w:highlight w:val="none"/>
        </w:rPr>
        <w:t>､</w:t>
      </w:r>
      <w:r>
        <w:rPr>
          <w:rFonts w:hint="eastAsia"/>
          <w:highlight w:val="none"/>
        </w:rPr>
        <w:t>物品</w:t>
      </w:r>
      <w:r>
        <w:rPr>
          <w:rFonts w:hint="eastAsia" w:ascii="微软雅黑" w:hAnsi="微软雅黑" w:eastAsia="微软雅黑" w:cs="微软雅黑"/>
          <w:highlight w:val="none"/>
        </w:rPr>
        <w:t>､</w:t>
      </w:r>
      <w:r>
        <w:rPr>
          <w:rFonts w:hint="eastAsia"/>
          <w:highlight w:val="none"/>
        </w:rPr>
        <w:t>专用工具</w:t>
      </w:r>
      <w:r>
        <w:rPr>
          <w:rFonts w:hint="eastAsia" w:ascii="微软雅黑" w:hAnsi="微软雅黑" w:eastAsia="微软雅黑" w:cs="微软雅黑"/>
          <w:highlight w:val="none"/>
        </w:rPr>
        <w:t>､</w:t>
      </w:r>
      <w:r>
        <w:rPr>
          <w:rFonts w:hint="eastAsia"/>
          <w:highlight w:val="none"/>
        </w:rPr>
        <w:t>仪器仪表</w:t>
      </w:r>
      <w:r>
        <w:rPr>
          <w:rFonts w:hint="eastAsia" w:ascii="微软雅黑" w:hAnsi="微软雅黑" w:eastAsia="微软雅黑" w:cs="微软雅黑"/>
          <w:highlight w:val="none"/>
        </w:rPr>
        <w:t>､</w:t>
      </w:r>
      <w:r>
        <w:rPr>
          <w:rFonts w:hint="eastAsia"/>
          <w:highlight w:val="none"/>
        </w:rPr>
        <w:t>备品备件和所有各种物品</w:t>
      </w:r>
      <w:r>
        <w:rPr>
          <w:highlight w:val="none"/>
        </w:rPr>
        <w:t>，如《</w:t>
      </w:r>
      <w:r>
        <w:rPr>
          <w:rFonts w:hint="eastAsia"/>
          <w:highlight w:val="none"/>
          <w:lang w:eastAsia="zh-CN"/>
        </w:rPr>
        <w:t>东莞市海心沙资源综合利用中心环保热电厂循环水膜处理系统采购项目技术需求书</w:t>
      </w:r>
      <w:r>
        <w:rPr>
          <w:highlight w:val="none"/>
        </w:rPr>
        <w:t>》所列示和规定</w:t>
      </w:r>
      <w:r>
        <w:rPr>
          <w:rFonts w:hint="eastAsia" w:ascii="微软雅黑" w:hAnsi="微软雅黑" w:eastAsia="微软雅黑" w:cs="微软雅黑"/>
          <w:highlight w:val="none"/>
        </w:rPr>
        <w:t>｡</w:t>
      </w:r>
    </w:p>
    <w:p w14:paraId="79CCAD49">
      <w:pPr>
        <w:pStyle w:val="44"/>
        <w:rPr>
          <w:rFonts w:hint="eastAsia"/>
          <w:highlight w:val="none"/>
        </w:rPr>
      </w:pPr>
      <w:r>
        <w:rPr>
          <w:highlight w:val="none"/>
        </w:rPr>
        <w:t>“合同工程”是指乙方根据合同所要供应的合同设备安装与调试工程，包括技术服务，如《</w:t>
      </w:r>
      <w:r>
        <w:rPr>
          <w:rFonts w:hint="eastAsia"/>
          <w:highlight w:val="none"/>
          <w:lang w:eastAsia="zh-CN"/>
        </w:rPr>
        <w:t>东莞市海心沙资源综合利用中心环保热电厂循环水膜处理系统采购项目技术需求书</w:t>
      </w:r>
      <w:r>
        <w:rPr>
          <w:highlight w:val="none"/>
        </w:rPr>
        <w:t>》所列示和规定</w:t>
      </w:r>
      <w:r>
        <w:rPr>
          <w:rFonts w:hint="eastAsia" w:ascii="微软雅黑" w:hAnsi="微软雅黑" w:eastAsia="微软雅黑" w:cs="微软雅黑"/>
          <w:highlight w:val="none"/>
        </w:rPr>
        <w:t>｡</w:t>
      </w:r>
    </w:p>
    <w:p w14:paraId="3C20BC89">
      <w:pPr>
        <w:pStyle w:val="44"/>
        <w:rPr>
          <w:rFonts w:hint="eastAsia"/>
          <w:highlight w:val="none"/>
        </w:rPr>
      </w:pPr>
      <w:r>
        <w:rPr>
          <w:highlight w:val="none"/>
        </w:rPr>
        <w:t>“监造”是指在合同设备的制造过程中，由甲方派出代表对乙方提供的合同设备的关键部位进行质量监督，实行文件见证和现场见证</w:t>
      </w:r>
      <w:r>
        <w:rPr>
          <w:rFonts w:hint="eastAsia" w:ascii="微软雅黑" w:hAnsi="微软雅黑" w:eastAsia="微软雅黑" w:cs="微软雅黑"/>
          <w:highlight w:val="none"/>
        </w:rPr>
        <w:t>｡</w:t>
      </w:r>
      <w:r>
        <w:rPr>
          <w:rFonts w:hint="eastAsia"/>
          <w:highlight w:val="none"/>
        </w:rPr>
        <w:t>此种质量监造不解除和减免</w:t>
      </w:r>
      <w:r>
        <w:rPr>
          <w:highlight w:val="none"/>
        </w:rPr>
        <w:t>乙方对合同设备质量所负的责任</w:t>
      </w:r>
      <w:r>
        <w:rPr>
          <w:rFonts w:hint="eastAsia" w:ascii="微软雅黑" w:hAnsi="微软雅黑" w:eastAsia="微软雅黑" w:cs="微软雅黑"/>
          <w:highlight w:val="none"/>
        </w:rPr>
        <w:t>｡</w:t>
      </w:r>
    </w:p>
    <w:p w14:paraId="4EEDA6B7">
      <w:pPr>
        <w:pStyle w:val="44"/>
        <w:rPr>
          <w:rFonts w:hint="eastAsia"/>
          <w:highlight w:val="none"/>
        </w:rPr>
      </w:pPr>
      <w:r>
        <w:rPr>
          <w:highlight w:val="none"/>
        </w:rPr>
        <w:t>“日</w:t>
      </w:r>
      <w:r>
        <w:rPr>
          <w:rFonts w:hint="eastAsia" w:ascii="微软雅黑" w:hAnsi="微软雅黑" w:eastAsia="微软雅黑" w:cs="微软雅黑"/>
          <w:highlight w:val="none"/>
        </w:rPr>
        <w:t>､</w:t>
      </w:r>
      <w:r>
        <w:rPr>
          <w:rFonts w:hint="eastAsia"/>
          <w:highlight w:val="none"/>
        </w:rPr>
        <w:t>月</w:t>
      </w:r>
      <w:r>
        <w:rPr>
          <w:rFonts w:hint="eastAsia" w:ascii="微软雅黑" w:hAnsi="微软雅黑" w:eastAsia="微软雅黑" w:cs="微软雅黑"/>
          <w:highlight w:val="none"/>
        </w:rPr>
        <w:t>､</w:t>
      </w:r>
      <w:r>
        <w:rPr>
          <w:rFonts w:hint="eastAsia"/>
          <w:highlight w:val="none"/>
        </w:rPr>
        <w:t>年”是指公历的日</w:t>
      </w:r>
      <w:r>
        <w:rPr>
          <w:rFonts w:hint="eastAsia" w:ascii="微软雅黑" w:hAnsi="微软雅黑" w:eastAsia="微软雅黑" w:cs="微软雅黑"/>
          <w:highlight w:val="none"/>
        </w:rPr>
        <w:t>､</w:t>
      </w:r>
      <w:r>
        <w:rPr>
          <w:rFonts w:hint="eastAsia"/>
          <w:highlight w:val="none"/>
        </w:rPr>
        <w:t>月</w:t>
      </w:r>
      <w:r>
        <w:rPr>
          <w:rFonts w:hint="eastAsia" w:ascii="微软雅黑" w:hAnsi="微软雅黑" w:eastAsia="微软雅黑" w:cs="微软雅黑"/>
          <w:highlight w:val="none"/>
        </w:rPr>
        <w:t>､</w:t>
      </w:r>
      <w:r>
        <w:rPr>
          <w:rFonts w:hint="eastAsia"/>
          <w:highlight w:val="none"/>
        </w:rPr>
        <w:t>年</w:t>
      </w:r>
      <w:r>
        <w:rPr>
          <w:highlight w:val="none"/>
        </w:rPr>
        <w:t>；“天”是指24小时；“周”是指7天</w:t>
      </w:r>
      <w:r>
        <w:rPr>
          <w:rFonts w:hint="eastAsia" w:ascii="微软雅黑" w:hAnsi="微软雅黑" w:eastAsia="微软雅黑" w:cs="微软雅黑"/>
          <w:highlight w:val="none"/>
        </w:rPr>
        <w:t>｡</w:t>
      </w:r>
    </w:p>
    <w:p w14:paraId="0E21973F">
      <w:pPr>
        <w:pStyle w:val="44"/>
        <w:rPr>
          <w:rFonts w:hint="eastAsia"/>
          <w:highlight w:val="none"/>
        </w:rPr>
      </w:pPr>
      <w:r>
        <w:rPr>
          <w:highlight w:val="none"/>
        </w:rPr>
        <w:t>“技术服务”是指由乙方提供的与本合同设备有关的工程设计</w:t>
      </w:r>
      <w:r>
        <w:rPr>
          <w:rFonts w:hint="eastAsia" w:ascii="微软雅黑" w:hAnsi="微软雅黑" w:eastAsia="微软雅黑" w:cs="微软雅黑"/>
          <w:highlight w:val="none"/>
        </w:rPr>
        <w:t>､</w:t>
      </w:r>
      <w:r>
        <w:rPr>
          <w:rFonts w:hint="eastAsia"/>
          <w:highlight w:val="none"/>
        </w:rPr>
        <w:t>设备监造</w:t>
      </w:r>
      <w:r>
        <w:rPr>
          <w:rFonts w:hint="eastAsia" w:ascii="微软雅黑" w:hAnsi="微软雅黑" w:eastAsia="微软雅黑" w:cs="微软雅黑"/>
          <w:highlight w:val="none"/>
        </w:rPr>
        <w:t>､</w:t>
      </w:r>
      <w:r>
        <w:rPr>
          <w:rFonts w:hint="eastAsia"/>
          <w:highlight w:val="none"/>
        </w:rPr>
        <w:t>检验</w:t>
      </w:r>
      <w:r>
        <w:rPr>
          <w:rFonts w:hint="eastAsia" w:ascii="微软雅黑" w:hAnsi="微软雅黑" w:eastAsia="微软雅黑" w:cs="微软雅黑"/>
          <w:highlight w:val="none"/>
        </w:rPr>
        <w:t>､</w:t>
      </w:r>
      <w:r>
        <w:rPr>
          <w:rFonts w:hint="eastAsia"/>
          <w:highlight w:val="none"/>
        </w:rPr>
        <w:t>土建</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w:t>
      </w:r>
      <w:r>
        <w:rPr>
          <w:rFonts w:hint="eastAsia" w:ascii="微软雅黑" w:hAnsi="微软雅黑" w:eastAsia="微软雅黑" w:cs="微软雅黑"/>
          <w:highlight w:val="none"/>
        </w:rPr>
        <w:t>､</w:t>
      </w:r>
      <w:r>
        <w:rPr>
          <w:rFonts w:hint="eastAsia"/>
          <w:highlight w:val="none"/>
        </w:rPr>
        <w:t>验收</w:t>
      </w:r>
      <w:r>
        <w:rPr>
          <w:rFonts w:hint="eastAsia" w:ascii="微软雅黑" w:hAnsi="微软雅黑" w:eastAsia="微软雅黑" w:cs="微软雅黑"/>
          <w:highlight w:val="none"/>
        </w:rPr>
        <w:t>､</w:t>
      </w:r>
      <w:r>
        <w:rPr>
          <w:rFonts w:hint="eastAsia"/>
          <w:highlight w:val="none"/>
        </w:rPr>
        <w:t>性能验收试验</w:t>
      </w:r>
      <w:r>
        <w:rPr>
          <w:rFonts w:hint="eastAsia" w:ascii="微软雅黑" w:hAnsi="微软雅黑" w:eastAsia="微软雅黑" w:cs="微软雅黑"/>
          <w:highlight w:val="none"/>
        </w:rPr>
        <w:t>､</w:t>
      </w:r>
      <w:r>
        <w:rPr>
          <w:rFonts w:hint="eastAsia"/>
          <w:highlight w:val="none"/>
        </w:rPr>
        <w:t>运行</w:t>
      </w:r>
      <w:r>
        <w:rPr>
          <w:rFonts w:hint="eastAsia" w:ascii="微软雅黑" w:hAnsi="微软雅黑" w:eastAsia="微软雅黑" w:cs="微软雅黑"/>
          <w:highlight w:val="none"/>
        </w:rPr>
        <w:t>､</w:t>
      </w:r>
      <w:r>
        <w:rPr>
          <w:rFonts w:hint="eastAsia"/>
          <w:highlight w:val="none"/>
        </w:rPr>
        <w:t>检修时相应的技术指导</w:t>
      </w:r>
      <w:r>
        <w:rPr>
          <w:rFonts w:hint="eastAsia" w:ascii="微软雅黑" w:hAnsi="微软雅黑" w:eastAsia="微软雅黑" w:cs="微软雅黑"/>
          <w:highlight w:val="none"/>
        </w:rPr>
        <w:t>､</w:t>
      </w:r>
      <w:r>
        <w:rPr>
          <w:rFonts w:hint="eastAsia"/>
          <w:highlight w:val="none"/>
        </w:rPr>
        <w:t>技术配</w:t>
      </w:r>
      <w:r>
        <w:rPr>
          <w:highlight w:val="none"/>
        </w:rPr>
        <w:t>合</w:t>
      </w:r>
      <w:r>
        <w:rPr>
          <w:rFonts w:hint="eastAsia" w:ascii="微软雅黑" w:hAnsi="微软雅黑" w:eastAsia="微软雅黑" w:cs="微软雅黑"/>
          <w:highlight w:val="none"/>
        </w:rPr>
        <w:t>､</w:t>
      </w:r>
      <w:r>
        <w:rPr>
          <w:rFonts w:hint="eastAsia"/>
          <w:highlight w:val="none"/>
        </w:rPr>
        <w:t>技术培训等全过程的服务</w:t>
      </w:r>
      <w:r>
        <w:rPr>
          <w:rFonts w:hint="eastAsia" w:ascii="微软雅黑" w:hAnsi="微软雅黑" w:eastAsia="微软雅黑" w:cs="微软雅黑"/>
          <w:highlight w:val="none"/>
        </w:rPr>
        <w:t>｡</w:t>
      </w:r>
    </w:p>
    <w:p w14:paraId="39B3FA6B">
      <w:pPr>
        <w:pStyle w:val="44"/>
        <w:rPr>
          <w:rFonts w:hint="eastAsia"/>
          <w:highlight w:val="none"/>
        </w:rPr>
      </w:pPr>
      <w:r>
        <w:rPr>
          <w:highlight w:val="none"/>
        </w:rPr>
        <w:t>“现场”是指</w:t>
      </w:r>
      <w:r>
        <w:rPr>
          <w:rFonts w:hint="eastAsia"/>
          <w:highlight w:val="none"/>
        </w:rPr>
        <w:t>东莞市麻涌镇大步村海心沙岛</w:t>
      </w:r>
      <w:r>
        <w:rPr>
          <w:highlight w:val="none"/>
        </w:rPr>
        <w:t>，为甲方安装合同设备所在地</w:t>
      </w:r>
      <w:r>
        <w:rPr>
          <w:rFonts w:hint="eastAsia" w:ascii="微软雅黑" w:hAnsi="微软雅黑" w:eastAsia="微软雅黑" w:cs="微软雅黑"/>
          <w:highlight w:val="none"/>
        </w:rPr>
        <w:t>｡</w:t>
      </w:r>
    </w:p>
    <w:p w14:paraId="489AACFE">
      <w:pPr>
        <w:pStyle w:val="44"/>
        <w:rPr>
          <w:rFonts w:hint="eastAsia"/>
          <w:highlight w:val="none"/>
        </w:rPr>
      </w:pPr>
      <w:r>
        <w:rPr>
          <w:highlight w:val="none"/>
        </w:rPr>
        <w:t>“备品备件”是指根据本合同提供的合同设备备用部件，包括随机备品备件</w:t>
      </w:r>
      <w:r>
        <w:rPr>
          <w:rFonts w:hint="eastAsia" w:ascii="微软雅黑" w:hAnsi="微软雅黑" w:eastAsia="微软雅黑" w:cs="微软雅黑"/>
          <w:highlight w:val="none"/>
        </w:rPr>
        <w:t>｡</w:t>
      </w:r>
    </w:p>
    <w:p w14:paraId="70EB691B">
      <w:pPr>
        <w:pStyle w:val="44"/>
        <w:rPr>
          <w:rFonts w:hint="eastAsia"/>
          <w:highlight w:val="none"/>
        </w:rPr>
      </w:pPr>
      <w:r>
        <w:rPr>
          <w:highlight w:val="none"/>
        </w:rPr>
        <w:t>“试运行”是指本合同设备和工程在安装调试后至初步验收完成前的运行</w:t>
      </w:r>
      <w:r>
        <w:rPr>
          <w:rFonts w:hint="eastAsia" w:ascii="微软雅黑" w:hAnsi="微软雅黑" w:eastAsia="微软雅黑" w:cs="微软雅黑"/>
          <w:highlight w:val="none"/>
        </w:rPr>
        <w:t>｡</w:t>
      </w:r>
    </w:p>
    <w:p w14:paraId="122C3309">
      <w:pPr>
        <w:pStyle w:val="44"/>
        <w:rPr>
          <w:rFonts w:hint="eastAsia"/>
          <w:highlight w:val="none"/>
        </w:rPr>
      </w:pPr>
      <w:r>
        <w:rPr>
          <w:highlight w:val="none"/>
        </w:rPr>
        <w:t>“机组”是指含本合同设备及工程在内的一套完整的</w:t>
      </w:r>
      <w:r>
        <w:rPr>
          <w:rFonts w:hint="eastAsia"/>
          <w:highlight w:val="none"/>
        </w:rPr>
        <w:t>循环水膜处理技改设备</w:t>
      </w:r>
      <w:r>
        <w:rPr>
          <w:rFonts w:hint="eastAsia" w:ascii="微软雅黑" w:hAnsi="微软雅黑" w:eastAsia="微软雅黑" w:cs="微软雅黑"/>
          <w:highlight w:val="none"/>
        </w:rPr>
        <w:t>｡</w:t>
      </w:r>
    </w:p>
    <w:p w14:paraId="44AEAE6B">
      <w:pPr>
        <w:pStyle w:val="44"/>
        <w:rPr>
          <w:rFonts w:hint="eastAsia"/>
          <w:highlight w:val="none"/>
        </w:rPr>
      </w:pPr>
      <w:r>
        <w:rPr>
          <w:highlight w:val="none"/>
        </w:rPr>
        <w:t>“书面文件”是指任何手稿</w:t>
      </w:r>
      <w:r>
        <w:rPr>
          <w:rFonts w:hint="eastAsia" w:ascii="微软雅黑" w:hAnsi="微软雅黑" w:eastAsia="微软雅黑" w:cs="微软雅黑"/>
          <w:highlight w:val="none"/>
        </w:rPr>
        <w:t>､</w:t>
      </w:r>
      <w:r>
        <w:rPr>
          <w:rFonts w:hint="eastAsia"/>
          <w:highlight w:val="none"/>
        </w:rPr>
        <w:t>打字或印刷的有印章和</w:t>
      </w:r>
      <w:r>
        <w:rPr>
          <w:highlight w:val="none"/>
        </w:rPr>
        <w:t>/或签名的文件</w:t>
      </w:r>
      <w:r>
        <w:rPr>
          <w:rFonts w:hint="eastAsia" w:ascii="微软雅黑" w:hAnsi="微软雅黑" w:eastAsia="微软雅黑" w:cs="微软雅黑"/>
          <w:highlight w:val="none"/>
        </w:rPr>
        <w:t>｡</w:t>
      </w:r>
    </w:p>
    <w:p w14:paraId="7C662A04">
      <w:pPr>
        <w:pStyle w:val="44"/>
        <w:rPr>
          <w:rFonts w:hint="eastAsia"/>
          <w:highlight w:val="none"/>
        </w:rPr>
      </w:pPr>
      <w:r>
        <w:rPr>
          <w:highlight w:val="none"/>
        </w:rPr>
        <w:t>“分包商”或“分供货商”是指由乙方将合同供货范围内任何部分的供货分包给其他的法人及该法人的继任方和该法人允许的受让方</w:t>
      </w:r>
      <w:r>
        <w:rPr>
          <w:rFonts w:hint="eastAsia" w:ascii="微软雅黑" w:hAnsi="微软雅黑" w:eastAsia="微软雅黑" w:cs="微软雅黑"/>
          <w:highlight w:val="none"/>
        </w:rPr>
        <w:t>｡</w:t>
      </w:r>
    </w:p>
    <w:p w14:paraId="7666D1E9">
      <w:pPr>
        <w:pStyle w:val="44"/>
        <w:rPr>
          <w:rFonts w:hint="eastAsia"/>
          <w:highlight w:val="none"/>
        </w:rPr>
      </w:pPr>
      <w:r>
        <w:rPr>
          <w:highlight w:val="none"/>
        </w:rPr>
        <w:t>“最后一批交货”是指该批货物交付后，使得已交付的货物总价值达到合同总价格98%以上，并且余下未交的部分不影响本合同设备或工程的正常运行，货物包括合同设备及合同工程</w:t>
      </w:r>
      <w:r>
        <w:rPr>
          <w:rFonts w:hint="eastAsia" w:ascii="微软雅黑" w:hAnsi="微软雅黑" w:eastAsia="微软雅黑" w:cs="微软雅黑"/>
          <w:highlight w:val="none"/>
        </w:rPr>
        <w:t>｡</w:t>
      </w:r>
    </w:p>
    <w:p w14:paraId="618FDE97">
      <w:pPr>
        <w:pStyle w:val="44"/>
        <w:rPr>
          <w:rFonts w:hint="eastAsia"/>
          <w:highlight w:val="none"/>
        </w:rPr>
      </w:pPr>
      <w:r>
        <w:rPr>
          <w:highlight w:val="none"/>
        </w:rPr>
        <w:t>“设备缺陷和工程缺陷”是指乙方因设计</w:t>
      </w:r>
      <w:r>
        <w:rPr>
          <w:rFonts w:hint="eastAsia" w:ascii="微软雅黑" w:hAnsi="微软雅黑" w:eastAsia="微软雅黑" w:cs="微软雅黑"/>
          <w:highlight w:val="none"/>
        </w:rPr>
        <w:t>､</w:t>
      </w:r>
      <w:r>
        <w:rPr>
          <w:rFonts w:hint="eastAsia"/>
          <w:highlight w:val="none"/>
        </w:rPr>
        <w:t>制造</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调试错误或疏忽所引起的本合同设备</w:t>
      </w:r>
      <w:r>
        <w:rPr>
          <w:highlight w:val="none"/>
        </w:rPr>
        <w:t>(包括部件</w:t>
      </w:r>
      <w:r>
        <w:rPr>
          <w:rFonts w:hint="eastAsia" w:ascii="微软雅黑" w:hAnsi="微软雅黑" w:eastAsia="微软雅黑" w:cs="微软雅黑"/>
          <w:highlight w:val="none"/>
        </w:rPr>
        <w:t>､</w:t>
      </w:r>
      <w:r>
        <w:rPr>
          <w:rFonts w:hint="eastAsia"/>
          <w:highlight w:val="none"/>
        </w:rPr>
        <w:t>原材料</w:t>
      </w:r>
      <w:r>
        <w:rPr>
          <w:rFonts w:hint="eastAsia" w:ascii="微软雅黑" w:hAnsi="微软雅黑" w:eastAsia="微软雅黑" w:cs="微软雅黑"/>
          <w:highlight w:val="none"/>
        </w:rPr>
        <w:t>､</w:t>
      </w:r>
      <w:r>
        <w:rPr>
          <w:rFonts w:hint="eastAsia"/>
          <w:highlight w:val="none"/>
        </w:rPr>
        <w:t>铸锻件</w:t>
      </w:r>
      <w:r>
        <w:rPr>
          <w:rFonts w:hint="eastAsia" w:ascii="微软雅黑" w:hAnsi="微软雅黑" w:eastAsia="微软雅黑" w:cs="微软雅黑"/>
          <w:highlight w:val="none"/>
        </w:rPr>
        <w:t>､</w:t>
      </w:r>
      <w:r>
        <w:rPr>
          <w:rFonts w:hint="eastAsia"/>
          <w:highlight w:val="none"/>
        </w:rPr>
        <w:t>原器件等</w:t>
      </w:r>
      <w:r>
        <w:rPr>
          <w:highlight w:val="none"/>
        </w:rPr>
        <w:t>)和工程达不到本合同规定的性能</w:t>
      </w:r>
      <w:r>
        <w:rPr>
          <w:rFonts w:hint="eastAsia" w:ascii="微软雅黑" w:hAnsi="微软雅黑" w:eastAsia="微软雅黑" w:cs="微软雅黑"/>
          <w:highlight w:val="none"/>
        </w:rPr>
        <w:t>､</w:t>
      </w:r>
      <w:r>
        <w:rPr>
          <w:rFonts w:hint="eastAsia"/>
          <w:highlight w:val="none"/>
        </w:rPr>
        <w:t>质量标准要求的情形</w:t>
      </w:r>
      <w:r>
        <w:rPr>
          <w:rFonts w:hint="eastAsia" w:ascii="微软雅黑" w:hAnsi="微软雅黑" w:eastAsia="微软雅黑" w:cs="微软雅黑"/>
          <w:highlight w:val="none"/>
        </w:rPr>
        <w:t>｡</w:t>
      </w:r>
    </w:p>
    <w:p w14:paraId="675B25F0">
      <w:pPr>
        <w:pStyle w:val="44"/>
        <w:rPr>
          <w:rFonts w:hint="eastAsia"/>
          <w:highlight w:val="none"/>
        </w:rPr>
      </w:pPr>
      <w:r>
        <w:rPr>
          <w:highlight w:val="none"/>
        </w:rPr>
        <w:t>“性能验收”是指为检验《</w:t>
      </w:r>
      <w:r>
        <w:rPr>
          <w:rFonts w:hint="eastAsia"/>
          <w:highlight w:val="none"/>
          <w:lang w:eastAsia="zh-CN"/>
        </w:rPr>
        <w:t>东莞市海心沙资源综合利用中心环保热电厂循环水膜处理系统采购项目技术需求书</w:t>
      </w:r>
      <w:r>
        <w:rPr>
          <w:highlight w:val="none"/>
        </w:rPr>
        <w:t>》规定的性能保证值按《</w:t>
      </w:r>
      <w:r>
        <w:rPr>
          <w:rFonts w:hint="eastAsia"/>
          <w:highlight w:val="none"/>
          <w:lang w:eastAsia="zh-CN"/>
        </w:rPr>
        <w:t>东莞市海心沙资源综合利用中心环保热电厂循环水膜处理系统采购项目技术需求书</w:t>
      </w:r>
      <w:r>
        <w:rPr>
          <w:highlight w:val="none"/>
        </w:rPr>
        <w:t>》规定所进行的试验</w:t>
      </w:r>
      <w:r>
        <w:rPr>
          <w:rFonts w:hint="eastAsia" w:ascii="微软雅黑" w:hAnsi="微软雅黑" w:eastAsia="微软雅黑" w:cs="微软雅黑"/>
          <w:highlight w:val="none"/>
        </w:rPr>
        <w:t>｡</w:t>
      </w:r>
    </w:p>
    <w:p w14:paraId="2ECB5549">
      <w:pPr>
        <w:pStyle w:val="44"/>
        <w:rPr>
          <w:rFonts w:hint="eastAsia"/>
          <w:highlight w:val="none"/>
        </w:rPr>
      </w:pPr>
      <w:r>
        <w:rPr>
          <w:highlight w:val="none"/>
        </w:rPr>
        <w:t>“初步验收”是指当性能验收试验的结果表明已达到了《</w:t>
      </w:r>
      <w:r>
        <w:rPr>
          <w:rFonts w:hint="eastAsia"/>
          <w:highlight w:val="none"/>
          <w:lang w:eastAsia="zh-CN"/>
        </w:rPr>
        <w:t>东莞市海心沙资源综合利用中心环保热电厂循环水膜处理系统采购项目技术需求书</w:t>
      </w:r>
      <w:r>
        <w:rPr>
          <w:highlight w:val="none"/>
        </w:rPr>
        <w:t>》规定的保证值后，甲方对本合同设备的验收</w:t>
      </w:r>
      <w:r>
        <w:rPr>
          <w:rFonts w:hint="eastAsia" w:ascii="微软雅黑" w:hAnsi="微软雅黑" w:eastAsia="微软雅黑" w:cs="微软雅黑"/>
          <w:highlight w:val="none"/>
        </w:rPr>
        <w:t>｡</w:t>
      </w:r>
    </w:p>
    <w:p w14:paraId="499396FA">
      <w:pPr>
        <w:pStyle w:val="44"/>
        <w:rPr>
          <w:rFonts w:hint="eastAsia"/>
          <w:highlight w:val="none"/>
        </w:rPr>
      </w:pPr>
      <w:r>
        <w:rPr>
          <w:highlight w:val="none"/>
        </w:rPr>
        <w:t>“最终验收”是指甲方对本合同设备保证期满后的验收</w:t>
      </w:r>
      <w:r>
        <w:rPr>
          <w:rFonts w:hint="eastAsia" w:ascii="微软雅黑" w:hAnsi="微软雅黑" w:eastAsia="微软雅黑" w:cs="微软雅黑"/>
          <w:highlight w:val="none"/>
        </w:rPr>
        <w:t>｡</w:t>
      </w:r>
    </w:p>
    <w:p w14:paraId="3E13DD45">
      <w:pPr>
        <w:pStyle w:val="42"/>
        <w:spacing w:before="163"/>
        <w:ind w:hanging="482"/>
        <w:rPr>
          <w:rFonts w:hint="eastAsia"/>
          <w:highlight w:val="none"/>
        </w:rPr>
      </w:pPr>
      <w:bookmarkStart w:id="3" w:name="_Toc149585870"/>
      <w:bookmarkStart w:id="4" w:name="_Toc475094748"/>
      <w:bookmarkStart w:id="5" w:name="_Toc475095459"/>
      <w:r>
        <w:rPr>
          <w:highlight w:val="none"/>
        </w:rPr>
        <w:t>合同标的</w:t>
      </w:r>
      <w:bookmarkEnd w:id="3"/>
      <w:bookmarkEnd w:id="4"/>
      <w:bookmarkEnd w:id="5"/>
    </w:p>
    <w:p w14:paraId="1B1C81DA">
      <w:pPr>
        <w:pStyle w:val="44"/>
        <w:rPr>
          <w:rFonts w:hint="eastAsia"/>
          <w:highlight w:val="none"/>
        </w:rPr>
      </w:pPr>
      <w:r>
        <w:rPr>
          <w:highlight w:val="none"/>
        </w:rPr>
        <w:t>本合同所订设备和工程将用于</w:t>
      </w:r>
      <w:r>
        <w:rPr>
          <w:rFonts w:hint="eastAsia"/>
          <w:highlight w:val="none"/>
        </w:rPr>
        <w:t>东莞市新东元环保投资有限公司</w:t>
      </w:r>
      <w:r>
        <w:rPr>
          <w:rFonts w:hint="eastAsia" w:ascii="微软雅黑" w:hAnsi="微软雅黑" w:eastAsia="微软雅黑" w:cs="微软雅黑"/>
          <w:highlight w:val="none"/>
        </w:rPr>
        <w:t>｡</w:t>
      </w:r>
    </w:p>
    <w:p w14:paraId="2FAE3D3F">
      <w:pPr>
        <w:pStyle w:val="44"/>
        <w:rPr>
          <w:rFonts w:hint="eastAsia"/>
          <w:highlight w:val="none"/>
        </w:rPr>
      </w:pPr>
      <w:r>
        <w:rPr>
          <w:highlight w:val="none"/>
        </w:rPr>
        <w:t>乙方负责提供合同设备及配套设备和相应的专用工具</w:t>
      </w:r>
      <w:r>
        <w:rPr>
          <w:rFonts w:hint="eastAsia" w:ascii="微软雅黑" w:hAnsi="微软雅黑" w:eastAsia="微软雅黑" w:cs="微软雅黑"/>
          <w:highlight w:val="none"/>
        </w:rPr>
        <w:t>､</w:t>
      </w:r>
      <w:r>
        <w:rPr>
          <w:rFonts w:hint="eastAsia" w:cs="宋体"/>
          <w:highlight w:val="none"/>
        </w:rPr>
        <w:t>技术资料以及有关的技术服务等</w:t>
      </w:r>
      <w:r>
        <w:rPr>
          <w:rFonts w:hint="eastAsia" w:ascii="微软雅黑" w:hAnsi="微软雅黑" w:eastAsia="微软雅黑" w:cs="微软雅黑"/>
          <w:highlight w:val="none"/>
        </w:rPr>
        <w:t>｡</w:t>
      </w:r>
    </w:p>
    <w:p w14:paraId="4A706471">
      <w:pPr>
        <w:pStyle w:val="44"/>
        <w:rPr>
          <w:rFonts w:hint="eastAsia"/>
          <w:highlight w:val="none"/>
        </w:rPr>
      </w:pPr>
      <w:r>
        <w:rPr>
          <w:highlight w:val="none"/>
        </w:rPr>
        <w:t>设备名称</w:t>
      </w:r>
      <w:r>
        <w:rPr>
          <w:rFonts w:hint="eastAsia" w:ascii="微软雅黑" w:hAnsi="微软雅黑" w:eastAsia="微软雅黑" w:cs="微软雅黑"/>
          <w:highlight w:val="none"/>
        </w:rPr>
        <w:t>､</w:t>
      </w:r>
      <w:r>
        <w:rPr>
          <w:rFonts w:hint="eastAsia" w:cs="宋体"/>
          <w:highlight w:val="none"/>
        </w:rPr>
        <w:t>规格</w:t>
      </w:r>
      <w:r>
        <w:rPr>
          <w:highlight w:val="none"/>
        </w:rPr>
        <w:t>(型号)</w:t>
      </w:r>
      <w:r>
        <w:rPr>
          <w:rFonts w:hint="eastAsia" w:ascii="微软雅黑" w:hAnsi="微软雅黑" w:eastAsia="微软雅黑" w:cs="微软雅黑"/>
          <w:highlight w:val="none"/>
        </w:rPr>
        <w:t>､</w:t>
      </w:r>
      <w:r>
        <w:rPr>
          <w:rFonts w:hint="eastAsia" w:cs="宋体"/>
          <w:highlight w:val="none"/>
        </w:rPr>
        <w:t>数量</w:t>
      </w:r>
      <w:r>
        <w:rPr>
          <w:highlight w:val="none"/>
        </w:rPr>
        <w:t>：具体规格参照《</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54CA12A0">
      <w:pPr>
        <w:pStyle w:val="44"/>
        <w:rPr>
          <w:rFonts w:hint="eastAsia"/>
          <w:highlight w:val="none"/>
        </w:rPr>
      </w:pPr>
      <w:r>
        <w:rPr>
          <w:highlight w:val="none"/>
        </w:rPr>
        <w:t>设备的技术规范</w:t>
      </w:r>
      <w:r>
        <w:rPr>
          <w:rFonts w:hint="eastAsia" w:ascii="微软雅黑" w:hAnsi="微软雅黑" w:eastAsia="微软雅黑" w:cs="微软雅黑"/>
          <w:highlight w:val="none"/>
        </w:rPr>
        <w:t>､</w:t>
      </w:r>
      <w:r>
        <w:rPr>
          <w:rFonts w:hint="eastAsia" w:cs="宋体"/>
          <w:highlight w:val="none"/>
        </w:rPr>
        <w:t>技术经济指标和性能按</w:t>
      </w:r>
      <w:r>
        <w:rPr>
          <w:highlight w:val="none"/>
        </w:rPr>
        <w:t>《</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67395A37">
      <w:pPr>
        <w:pStyle w:val="44"/>
        <w:rPr>
          <w:rFonts w:hint="eastAsia"/>
          <w:highlight w:val="none"/>
        </w:rPr>
      </w:pPr>
      <w:r>
        <w:rPr>
          <w:highlight w:val="none"/>
        </w:rPr>
        <w:t>乙方提供合同设备的供货范围按《</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1E46E4DF">
      <w:pPr>
        <w:pStyle w:val="44"/>
        <w:rPr>
          <w:rFonts w:hint="eastAsia"/>
          <w:highlight w:val="none"/>
        </w:rPr>
      </w:pPr>
      <w:r>
        <w:rPr>
          <w:highlight w:val="none"/>
        </w:rPr>
        <w:t>乙方提供的技术服务按《</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20C70047">
      <w:pPr>
        <w:pStyle w:val="42"/>
        <w:spacing w:before="163"/>
        <w:ind w:hanging="482"/>
        <w:rPr>
          <w:rFonts w:hint="eastAsia"/>
          <w:highlight w:val="none"/>
        </w:rPr>
      </w:pPr>
      <w:bookmarkStart w:id="6" w:name="_Toc475095460"/>
      <w:bookmarkStart w:id="7" w:name="_Toc149585871"/>
      <w:bookmarkStart w:id="8" w:name="_Toc475094749"/>
      <w:r>
        <w:rPr>
          <w:highlight w:val="none"/>
        </w:rPr>
        <w:t>供货范围</w:t>
      </w:r>
      <w:bookmarkEnd w:id="6"/>
      <w:bookmarkEnd w:id="7"/>
      <w:bookmarkEnd w:id="8"/>
    </w:p>
    <w:p w14:paraId="0D625F4A">
      <w:pPr>
        <w:pStyle w:val="44"/>
        <w:rPr>
          <w:rFonts w:hint="eastAsia"/>
          <w:highlight w:val="none"/>
        </w:rPr>
      </w:pPr>
      <w:r>
        <w:rPr>
          <w:highlight w:val="none"/>
        </w:rPr>
        <w:t>合同供货范围详见《</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11EE55E7">
      <w:pPr>
        <w:pStyle w:val="44"/>
        <w:rPr>
          <w:rFonts w:hint="eastAsia"/>
          <w:highlight w:val="none"/>
        </w:rPr>
      </w:pPr>
      <w:r>
        <w:rPr>
          <w:highlight w:val="none"/>
        </w:rPr>
        <w:t>合同供货范围包括了所有设备</w:t>
      </w:r>
      <w:r>
        <w:rPr>
          <w:rFonts w:hint="eastAsia"/>
          <w:highlight w:val="none"/>
        </w:rPr>
        <w:t>、设备基础施工（设备基础需经有资质设计院进行复核）</w:t>
      </w:r>
      <w:r>
        <w:rPr>
          <w:rFonts w:hint="eastAsia" w:ascii="微软雅黑" w:hAnsi="微软雅黑" w:eastAsia="微软雅黑" w:cs="微软雅黑"/>
          <w:highlight w:val="none"/>
        </w:rPr>
        <w:t>､</w:t>
      </w:r>
      <w:r>
        <w:rPr>
          <w:rFonts w:hint="eastAsia" w:cs="宋体"/>
          <w:highlight w:val="none"/>
        </w:rPr>
        <w:t>材料</w:t>
      </w:r>
      <w:r>
        <w:rPr>
          <w:rFonts w:hint="eastAsia" w:ascii="微软雅黑" w:hAnsi="微软雅黑" w:eastAsia="微软雅黑" w:cs="微软雅黑"/>
          <w:highlight w:val="none"/>
        </w:rPr>
        <w:t>､</w:t>
      </w:r>
      <w:r>
        <w:rPr>
          <w:rFonts w:hint="eastAsia" w:cs="宋体"/>
          <w:highlight w:val="none"/>
        </w:rPr>
        <w:t>安装､</w:t>
      </w:r>
      <w:r>
        <w:rPr>
          <w:rFonts w:hint="eastAsia" w:cs="宋体"/>
          <w:highlight w:val="none"/>
        </w:rPr>
        <w:t>调试</w:t>
      </w:r>
      <w:r>
        <w:rPr>
          <w:rFonts w:hint="default" w:ascii="宋体" w:hAnsi="宋体" w:eastAsia="宋体" w:cstheme="minorBidi"/>
          <w:highlight w:val="none"/>
        </w:rPr>
        <w:t>､</w:t>
      </w:r>
      <w:r>
        <w:rPr>
          <w:rFonts w:hint="default" w:ascii="宋体" w:hAnsi="宋体" w:eastAsia="宋体" w:cstheme="minorBidi"/>
          <w:highlight w:val="none"/>
          <w:lang w:val="en-US" w:eastAsia="zh-CN"/>
        </w:rPr>
        <w:t>培训、</w:t>
      </w:r>
      <w:r>
        <w:rPr>
          <w:rFonts w:hint="eastAsia" w:cs="宋体"/>
          <w:highlight w:val="none"/>
        </w:rPr>
        <w:t>专用工具</w:t>
      </w:r>
      <w:r>
        <w:rPr>
          <w:rFonts w:hint="eastAsia" w:ascii="微软雅黑" w:hAnsi="微软雅黑" w:eastAsia="微软雅黑" w:cs="微软雅黑"/>
          <w:highlight w:val="none"/>
        </w:rPr>
        <w:t>､</w:t>
      </w:r>
      <w:r>
        <w:rPr>
          <w:rFonts w:hint="eastAsia" w:cs="宋体"/>
          <w:highlight w:val="none"/>
        </w:rPr>
        <w:t>备品备件技术服务等</w:t>
      </w:r>
      <w:r>
        <w:rPr>
          <w:highlight w:val="none"/>
        </w:rPr>
        <w:t>，但在执行合同过程中如发现有任何漏项和短缺，在设备清单和工程清单中并未列入而且确实是乙方供货范围中应该有的，并且是满足《</w:t>
      </w:r>
      <w:r>
        <w:rPr>
          <w:rFonts w:hint="eastAsia"/>
          <w:highlight w:val="none"/>
          <w:lang w:eastAsia="zh-CN"/>
        </w:rPr>
        <w:t>东莞市海心沙资源综合利用中心环保热电厂循环水膜处理系统采购项目技术需求书</w:t>
      </w:r>
      <w:r>
        <w:rPr>
          <w:highlight w:val="none"/>
        </w:rPr>
        <w:t>》对合同设备的性能保证值要求所必须的，均应由乙方负责免费补齐，合同价格不受影响</w:t>
      </w:r>
      <w:r>
        <w:rPr>
          <w:rFonts w:hint="eastAsia" w:ascii="微软雅黑" w:hAnsi="微软雅黑" w:eastAsia="微软雅黑" w:cs="微软雅黑"/>
          <w:highlight w:val="none"/>
        </w:rPr>
        <w:t>｡</w:t>
      </w:r>
    </w:p>
    <w:p w14:paraId="7F624559">
      <w:pPr>
        <w:pStyle w:val="42"/>
        <w:spacing w:before="163"/>
        <w:ind w:hanging="482"/>
        <w:rPr>
          <w:rFonts w:hint="eastAsia"/>
          <w:highlight w:val="none"/>
        </w:rPr>
      </w:pPr>
      <w:bookmarkStart w:id="9" w:name="_Toc475095461"/>
      <w:bookmarkStart w:id="10" w:name="_Toc149585872"/>
      <w:bookmarkStart w:id="11" w:name="_Toc475094750"/>
      <w:r>
        <w:rPr>
          <w:highlight w:val="none"/>
        </w:rPr>
        <w:t>合同价格</w:t>
      </w:r>
      <w:bookmarkEnd w:id="9"/>
      <w:bookmarkEnd w:id="10"/>
      <w:bookmarkEnd w:id="11"/>
    </w:p>
    <w:p w14:paraId="780B5DA4">
      <w:pPr>
        <w:pStyle w:val="44"/>
        <w:rPr>
          <w:rFonts w:hint="eastAsia"/>
          <w:highlight w:val="none"/>
        </w:rPr>
      </w:pPr>
      <w:r>
        <w:rPr>
          <w:highlight w:val="none"/>
        </w:rPr>
        <w:t xml:space="preserve">本合同总价为RMB </w:t>
      </w:r>
      <w:r>
        <w:rPr>
          <w:rFonts w:hint="eastAsia"/>
          <w:highlight w:val="none"/>
        </w:rPr>
        <w:t xml:space="preserve">       </w:t>
      </w:r>
      <w:r>
        <w:rPr>
          <w:highlight w:val="none"/>
        </w:rPr>
        <w:t>元(大写：人民币</w:t>
      </w:r>
      <w:r>
        <w:rPr>
          <w:rFonts w:hint="eastAsia"/>
          <w:highlight w:val="none"/>
        </w:rPr>
        <w:t xml:space="preserve">      元整</w:t>
      </w:r>
      <w:r>
        <w:rPr>
          <w:highlight w:val="none"/>
        </w:rPr>
        <w:t>)</w:t>
      </w:r>
      <w:r>
        <w:rPr>
          <w:rFonts w:hint="eastAsia"/>
          <w:highlight w:val="none"/>
        </w:rPr>
        <w:t>,开具税率为</w:t>
      </w:r>
      <w:r>
        <w:rPr>
          <w:highlight w:val="none"/>
        </w:rPr>
        <w:t>13</w:t>
      </w:r>
      <w:r>
        <w:rPr>
          <w:rFonts w:hint="eastAsia"/>
          <w:highlight w:val="none"/>
        </w:rPr>
        <w:t>%增值税专用发票,其中不含税金额为       元,税额为       元</w:t>
      </w:r>
      <w:r>
        <w:rPr>
          <w:rFonts w:hint="eastAsia" w:ascii="微软雅黑" w:hAnsi="微软雅黑" w:eastAsia="微软雅黑" w:cs="微软雅黑"/>
          <w:highlight w:val="none"/>
        </w:rPr>
        <w:t>｡</w:t>
      </w:r>
      <w:r>
        <w:rPr>
          <w:rFonts w:hint="eastAsia" w:cs="宋体"/>
          <w:szCs w:val="21"/>
          <w:highlight w:val="none"/>
        </w:rPr>
        <w:t>合同不含税价固定，不作调整；税率按国家相关规定据实调整结算</w:t>
      </w:r>
      <w:r>
        <w:rPr>
          <w:rFonts w:hint="eastAsia" w:ascii="微软雅黑" w:hAnsi="微软雅黑" w:eastAsia="微软雅黑" w:cs="微软雅黑"/>
          <w:highlight w:val="none"/>
        </w:rPr>
        <w:t>。</w:t>
      </w:r>
    </w:p>
    <w:p w14:paraId="67145596">
      <w:pPr>
        <w:pStyle w:val="44"/>
        <w:rPr>
          <w:rFonts w:hint="eastAsia"/>
          <w:highlight w:val="none"/>
        </w:rPr>
      </w:pPr>
      <w:r>
        <w:rPr>
          <w:highlight w:val="none"/>
        </w:rPr>
        <w:t>本合同价格包括合同设备的设计费</w:t>
      </w:r>
      <w:r>
        <w:rPr>
          <w:rFonts w:hint="eastAsia" w:ascii="微软雅黑" w:hAnsi="微软雅黑" w:eastAsia="微软雅黑" w:cs="微软雅黑"/>
          <w:highlight w:val="none"/>
        </w:rPr>
        <w:t>､</w:t>
      </w:r>
      <w:r>
        <w:rPr>
          <w:rFonts w:hint="eastAsia"/>
          <w:highlight w:val="none"/>
        </w:rPr>
        <w:t>设备费</w:t>
      </w:r>
      <w:r>
        <w:rPr>
          <w:rFonts w:hint="eastAsia" w:ascii="微软雅黑" w:hAnsi="微软雅黑" w:eastAsia="微软雅黑" w:cs="微软雅黑"/>
          <w:highlight w:val="none"/>
        </w:rPr>
        <w:t>､</w:t>
      </w:r>
      <w:r>
        <w:rPr>
          <w:rFonts w:hint="eastAsia" w:ascii="宋体" w:hAnsi="宋体" w:eastAsia="宋体" w:cstheme="minorBidi"/>
          <w:highlight w:val="none"/>
          <w:lang w:val="en-US" w:eastAsia="zh-CN"/>
        </w:rPr>
        <w:t>人工费、</w:t>
      </w:r>
      <w:r>
        <w:rPr>
          <w:rFonts w:hint="eastAsia"/>
          <w:highlight w:val="none"/>
        </w:rPr>
        <w:t>材料费</w:t>
      </w:r>
      <w:r>
        <w:rPr>
          <w:rFonts w:hint="eastAsia" w:cs="宋体"/>
          <w:highlight w:val="none"/>
        </w:rPr>
        <w:t>､安装费､调试</w:t>
      </w:r>
      <w:r>
        <w:rPr>
          <w:rFonts w:hint="eastAsia"/>
          <w:highlight w:val="none"/>
        </w:rPr>
        <w:t>费</w:t>
      </w:r>
      <w:r>
        <w:rPr>
          <w:rFonts w:hint="eastAsia" w:ascii="微软雅黑" w:hAnsi="微软雅黑" w:eastAsia="微软雅黑" w:cs="微软雅黑"/>
          <w:highlight w:val="none"/>
        </w:rPr>
        <w:t>､</w:t>
      </w:r>
      <w:r>
        <w:rPr>
          <w:rFonts w:hint="eastAsia"/>
          <w:highlight w:val="none"/>
        </w:rPr>
        <w:t>工程安全和技术措施费</w:t>
      </w:r>
      <w:r>
        <w:rPr>
          <w:rFonts w:hint="eastAsia" w:ascii="微软雅黑" w:hAnsi="微软雅黑" w:eastAsia="微软雅黑" w:cs="微软雅黑"/>
          <w:highlight w:val="none"/>
        </w:rPr>
        <w:t>､</w:t>
      </w:r>
      <w:r>
        <w:rPr>
          <w:rFonts w:hint="eastAsia"/>
          <w:highlight w:val="none"/>
        </w:rPr>
        <w:t>专利费</w:t>
      </w:r>
      <w:r>
        <w:rPr>
          <w:rFonts w:hint="eastAsia" w:ascii="微软雅黑" w:hAnsi="微软雅黑" w:eastAsia="微软雅黑" w:cs="微软雅黑"/>
          <w:highlight w:val="none"/>
        </w:rPr>
        <w:t>､</w:t>
      </w:r>
      <w:r>
        <w:rPr>
          <w:rFonts w:hint="eastAsia"/>
          <w:highlight w:val="none"/>
        </w:rPr>
        <w:t>知识产权费</w:t>
      </w:r>
      <w:r>
        <w:rPr>
          <w:rFonts w:hint="eastAsia" w:ascii="微软雅黑" w:hAnsi="微软雅黑" w:eastAsia="微软雅黑" w:cs="微软雅黑"/>
          <w:highlight w:val="none"/>
        </w:rPr>
        <w:t>､</w:t>
      </w:r>
      <w:r>
        <w:rPr>
          <w:rFonts w:hint="eastAsia"/>
          <w:highlight w:val="none"/>
        </w:rPr>
        <w:t>包装费</w:t>
      </w:r>
      <w:r>
        <w:rPr>
          <w:rFonts w:hint="eastAsia" w:ascii="微软雅黑" w:hAnsi="微软雅黑" w:eastAsia="微软雅黑" w:cs="微软雅黑"/>
          <w:highlight w:val="none"/>
        </w:rPr>
        <w:t>､</w:t>
      </w:r>
      <w:r>
        <w:rPr>
          <w:rFonts w:hint="eastAsia"/>
          <w:highlight w:val="none"/>
        </w:rPr>
        <w:t>运输费</w:t>
      </w:r>
      <w:r>
        <w:rPr>
          <w:rFonts w:hint="eastAsia" w:ascii="微软雅黑" w:hAnsi="微软雅黑" w:eastAsia="微软雅黑" w:cs="微软雅黑"/>
          <w:highlight w:val="none"/>
        </w:rPr>
        <w:t>､</w:t>
      </w:r>
      <w:r>
        <w:rPr>
          <w:rFonts w:hint="eastAsia"/>
          <w:highlight w:val="none"/>
        </w:rPr>
        <w:t>运杂费</w:t>
      </w:r>
      <w:r>
        <w:rPr>
          <w:rFonts w:hint="eastAsia" w:ascii="微软雅黑" w:hAnsi="微软雅黑" w:eastAsia="微软雅黑" w:cs="微软雅黑"/>
          <w:highlight w:val="none"/>
        </w:rPr>
        <w:t>､</w:t>
      </w:r>
      <w:r>
        <w:rPr>
          <w:rFonts w:hint="eastAsia"/>
          <w:highlight w:val="none"/>
        </w:rPr>
        <w:t>保险费</w:t>
      </w:r>
      <w:r>
        <w:rPr>
          <w:rFonts w:hint="eastAsia" w:ascii="微软雅黑" w:hAnsi="微软雅黑" w:eastAsia="微软雅黑" w:cs="微软雅黑"/>
          <w:highlight w:val="none"/>
        </w:rPr>
        <w:t>､</w:t>
      </w:r>
      <w:r>
        <w:rPr>
          <w:rFonts w:hint="eastAsia"/>
          <w:highlight w:val="none"/>
        </w:rPr>
        <w:t>备</w:t>
      </w:r>
      <w:r>
        <w:rPr>
          <w:highlight w:val="none"/>
        </w:rPr>
        <w:t>品备件费</w:t>
      </w:r>
      <w:r>
        <w:rPr>
          <w:rFonts w:hint="eastAsia" w:ascii="微软雅黑" w:hAnsi="微软雅黑" w:eastAsia="微软雅黑" w:cs="微软雅黑"/>
          <w:highlight w:val="none"/>
        </w:rPr>
        <w:t>､</w:t>
      </w:r>
      <w:r>
        <w:rPr>
          <w:rFonts w:hint="eastAsia"/>
          <w:highlight w:val="none"/>
        </w:rPr>
        <w:t>专用工具费</w:t>
      </w:r>
      <w:r>
        <w:rPr>
          <w:rFonts w:hint="eastAsia" w:ascii="微软雅黑" w:hAnsi="微软雅黑" w:eastAsia="微软雅黑" w:cs="微软雅黑"/>
          <w:highlight w:val="none"/>
        </w:rPr>
        <w:t>､</w:t>
      </w:r>
      <w:r>
        <w:rPr>
          <w:rFonts w:hint="eastAsia"/>
          <w:highlight w:val="none"/>
        </w:rPr>
        <w:t>技术资料费</w:t>
      </w:r>
      <w:r>
        <w:rPr>
          <w:rFonts w:hint="eastAsia" w:ascii="微软雅黑" w:hAnsi="微软雅黑" w:eastAsia="微软雅黑" w:cs="微软雅黑"/>
          <w:highlight w:val="none"/>
        </w:rPr>
        <w:t>､</w:t>
      </w:r>
      <w:r>
        <w:rPr>
          <w:rFonts w:hint="eastAsia"/>
          <w:highlight w:val="none"/>
        </w:rPr>
        <w:t>技术服务费</w:t>
      </w:r>
      <w:r>
        <w:rPr>
          <w:highlight w:val="none"/>
        </w:rPr>
        <w:t>，以及乙方完成本合同责任义务所应承担的所有费用和应缴纳的各种税费</w:t>
      </w:r>
      <w:r>
        <w:rPr>
          <w:rFonts w:hint="eastAsia" w:ascii="微软雅黑" w:hAnsi="微软雅黑" w:eastAsia="微软雅黑" w:cs="微软雅黑"/>
          <w:highlight w:val="none"/>
        </w:rPr>
        <w:t>｡</w:t>
      </w:r>
    </w:p>
    <w:p w14:paraId="122442D2">
      <w:pPr>
        <w:pStyle w:val="44"/>
        <w:rPr>
          <w:rFonts w:hint="eastAsia"/>
          <w:highlight w:val="none"/>
        </w:rPr>
      </w:pPr>
      <w:r>
        <w:rPr>
          <w:highlight w:val="none"/>
        </w:rPr>
        <w:t>本合同价格为合同设备完成安装</w:t>
      </w:r>
      <w:r>
        <w:rPr>
          <w:rFonts w:hint="eastAsia" w:ascii="微软雅黑" w:hAnsi="微软雅黑" w:eastAsia="微软雅黑" w:cs="微软雅黑"/>
          <w:highlight w:val="none"/>
        </w:rPr>
        <w:t>､</w:t>
      </w:r>
      <w:r>
        <w:rPr>
          <w:rFonts w:hint="eastAsia" w:cs="宋体"/>
          <w:highlight w:val="none"/>
        </w:rPr>
        <w:t>调试</w:t>
      </w:r>
      <w:r>
        <w:rPr>
          <w:highlight w:val="none"/>
        </w:rPr>
        <w:t>，并达到最终验收要求的整体系统交货价</w:t>
      </w:r>
      <w:r>
        <w:rPr>
          <w:rFonts w:hint="eastAsia" w:ascii="微软雅黑" w:hAnsi="微软雅黑" w:eastAsia="微软雅黑" w:cs="微软雅黑"/>
          <w:highlight w:val="none"/>
        </w:rPr>
        <w:t>｡</w:t>
      </w:r>
    </w:p>
    <w:p w14:paraId="14243846">
      <w:pPr>
        <w:pStyle w:val="44"/>
        <w:rPr>
          <w:rFonts w:hint="eastAsia"/>
          <w:highlight w:val="none"/>
        </w:rPr>
      </w:pPr>
      <w:r>
        <w:rPr>
          <w:highlight w:val="none"/>
        </w:rPr>
        <w:t>本合同</w:t>
      </w:r>
      <w:r>
        <w:rPr>
          <w:rFonts w:hint="eastAsia"/>
          <w:highlight w:val="none"/>
        </w:rPr>
        <w:t>不含税金额</w:t>
      </w:r>
      <w:r>
        <w:rPr>
          <w:highlight w:val="none"/>
        </w:rPr>
        <w:t>在合同执行期内为不变价</w:t>
      </w:r>
      <w:r>
        <w:rPr>
          <w:rFonts w:hint="eastAsia" w:ascii="微软雅黑" w:hAnsi="微软雅黑" w:eastAsia="微软雅黑" w:cs="微软雅黑"/>
          <w:highlight w:val="none"/>
        </w:rPr>
        <w:t>｡</w:t>
      </w:r>
    </w:p>
    <w:p w14:paraId="4C8FA1EE">
      <w:pPr>
        <w:pStyle w:val="44"/>
        <w:rPr>
          <w:rFonts w:hint="eastAsia"/>
          <w:highlight w:val="none"/>
        </w:rPr>
      </w:pPr>
      <w:r>
        <w:rPr>
          <w:highlight w:val="none"/>
        </w:rPr>
        <w:t>合同生效后三年内</w:t>
      </w:r>
      <w:r>
        <w:rPr>
          <w:rFonts w:hint="eastAsia"/>
          <w:highlight w:val="none"/>
          <w:lang w:eastAsia="zh-CN"/>
        </w:rPr>
        <w:t>，</w:t>
      </w:r>
      <w:r>
        <w:rPr>
          <w:highlight w:val="none"/>
        </w:rPr>
        <w:t>乙方向甲方供货</w:t>
      </w:r>
      <w:r>
        <w:rPr>
          <w:rFonts w:hint="eastAsia"/>
          <w:highlight w:val="none"/>
          <w:lang w:val="en-US" w:eastAsia="zh-CN"/>
        </w:rPr>
        <w:t>的价格</w:t>
      </w:r>
      <w:r>
        <w:rPr>
          <w:highlight w:val="none"/>
        </w:rPr>
        <w:t>不能高于合同附件的单价</w:t>
      </w:r>
      <w:r>
        <w:rPr>
          <w:rFonts w:hint="eastAsia" w:ascii="微软雅黑" w:hAnsi="微软雅黑" w:eastAsia="微软雅黑" w:cs="微软雅黑"/>
          <w:highlight w:val="none"/>
        </w:rPr>
        <w:t>｡</w:t>
      </w:r>
    </w:p>
    <w:p w14:paraId="3D4412C2">
      <w:pPr>
        <w:pStyle w:val="42"/>
        <w:spacing w:before="163"/>
        <w:ind w:hanging="482"/>
        <w:rPr>
          <w:rFonts w:hint="eastAsia"/>
          <w:highlight w:val="none"/>
        </w:rPr>
      </w:pPr>
      <w:bookmarkStart w:id="12" w:name="_Toc475095462"/>
      <w:bookmarkStart w:id="13" w:name="_Toc149585873"/>
      <w:bookmarkStart w:id="14" w:name="_Toc475094751"/>
      <w:r>
        <w:rPr>
          <w:highlight w:val="none"/>
        </w:rPr>
        <w:t>付款</w:t>
      </w:r>
      <w:bookmarkEnd w:id="12"/>
      <w:bookmarkEnd w:id="13"/>
      <w:bookmarkEnd w:id="14"/>
    </w:p>
    <w:p w14:paraId="77907A82">
      <w:pPr>
        <w:pStyle w:val="44"/>
        <w:rPr>
          <w:rFonts w:hint="eastAsia"/>
          <w:highlight w:val="none"/>
        </w:rPr>
      </w:pPr>
      <w:r>
        <w:rPr>
          <w:highlight w:val="none"/>
        </w:rPr>
        <w:t>本合同使用货币种类为人民币，付款方式：</w:t>
      </w:r>
      <w:r>
        <w:rPr>
          <w:rFonts w:hint="eastAsia"/>
          <w:highlight w:val="none"/>
          <w:lang w:val="en-US" w:eastAsia="zh-CN"/>
        </w:rPr>
        <w:t>对公转账</w:t>
      </w:r>
      <w:r>
        <w:rPr>
          <w:rFonts w:hint="eastAsia" w:ascii="微软雅黑" w:hAnsi="微软雅黑" w:eastAsia="微软雅黑" w:cs="微软雅黑"/>
          <w:highlight w:val="none"/>
        </w:rPr>
        <w:t>｡</w:t>
      </w:r>
    </w:p>
    <w:p w14:paraId="7CB8CBDA">
      <w:pPr>
        <w:pStyle w:val="44"/>
        <w:rPr>
          <w:rFonts w:hint="eastAsia"/>
          <w:highlight w:val="none"/>
        </w:rPr>
      </w:pPr>
      <w:r>
        <w:rPr>
          <w:highlight w:val="none"/>
        </w:rPr>
        <w:t>本合同项下确定的合同总价由甲方向乙方按如下方式及比例支付：</w:t>
      </w:r>
    </w:p>
    <w:p w14:paraId="5871697F">
      <w:pPr>
        <w:pStyle w:val="44"/>
        <w:numPr>
          <w:ilvl w:val="0"/>
          <w:numId w:val="0"/>
        </w:numPr>
        <w:ind w:left="1200" w:hanging="300"/>
        <w:rPr>
          <w:rFonts w:hint="eastAsia"/>
          <w:highlight w:val="none"/>
        </w:rPr>
      </w:pPr>
      <w:r>
        <w:rPr>
          <w:rFonts w:hint="eastAsia"/>
          <w:highlight w:val="none"/>
        </w:rPr>
        <w:t>5.2．1合同签订后，</w:t>
      </w:r>
      <w:r>
        <w:rPr>
          <w:rFonts w:hint="eastAsia"/>
          <w:highlight w:val="none"/>
          <w:lang w:val="en-US" w:eastAsia="zh-CN"/>
        </w:rPr>
        <w:t>乙方</w:t>
      </w:r>
      <w:r>
        <w:rPr>
          <w:rFonts w:hint="eastAsia"/>
          <w:highlight w:val="none"/>
        </w:rPr>
        <w:t>提交请款资料及合同金额20%的增值税专用发票，</w:t>
      </w:r>
      <w:r>
        <w:rPr>
          <w:rFonts w:hint="eastAsia"/>
          <w:highlight w:val="none"/>
          <w:lang w:val="en-US" w:eastAsia="zh-CN"/>
        </w:rPr>
        <w:t>甲方</w:t>
      </w:r>
      <w:r>
        <w:rPr>
          <w:rFonts w:hint="eastAsia"/>
          <w:highlight w:val="none"/>
        </w:rPr>
        <w:t>在收到上述有效资料之日起20个工作日内支付至合同金额的20%。</w:t>
      </w:r>
    </w:p>
    <w:p w14:paraId="11E91E5B">
      <w:pPr>
        <w:pStyle w:val="44"/>
        <w:numPr>
          <w:ilvl w:val="0"/>
          <w:numId w:val="0"/>
        </w:numPr>
        <w:ind w:left="1200" w:hanging="300"/>
        <w:rPr>
          <w:rFonts w:hint="eastAsia"/>
          <w:highlight w:val="none"/>
        </w:rPr>
      </w:pPr>
      <w:r>
        <w:rPr>
          <w:rFonts w:hint="eastAsia"/>
          <w:highlight w:val="none"/>
        </w:rPr>
        <w:t>5.2.2</w:t>
      </w:r>
      <w:r>
        <w:rPr>
          <w:rFonts w:hint="eastAsia"/>
          <w:highlight w:val="none"/>
          <w:lang w:eastAsia="zh-CN"/>
        </w:rPr>
        <w:t>乙</w:t>
      </w:r>
      <w:r>
        <w:rPr>
          <w:rFonts w:hint="eastAsia"/>
          <w:highlight w:val="none"/>
        </w:rPr>
        <w:t>方按交货顺序及进度在规定的时间内将全部合同设备和随机资料运到交货地点，并将等额增值</w:t>
      </w:r>
      <w:r>
        <w:rPr>
          <w:rFonts w:hint="eastAsia"/>
          <w:highlight w:val="none"/>
          <w:lang w:val="en-US" w:eastAsia="zh-CN"/>
        </w:rPr>
        <w:t>税</w:t>
      </w:r>
      <w:r>
        <w:rPr>
          <w:rFonts w:hint="eastAsia"/>
          <w:highlight w:val="none"/>
        </w:rPr>
        <w:t>专用发票、清单、质量检验合格证明、</w:t>
      </w:r>
      <w:r>
        <w:rPr>
          <w:rFonts w:hint="eastAsia"/>
          <w:highlight w:val="none"/>
          <w:lang w:val="en-US" w:eastAsia="zh-CN"/>
        </w:rPr>
        <w:t>甲方</w:t>
      </w:r>
      <w:r>
        <w:rPr>
          <w:rFonts w:hint="eastAsia"/>
          <w:highlight w:val="none"/>
        </w:rPr>
        <w:t>现场验收合格单复印件等请款资料</w:t>
      </w:r>
      <w:r>
        <w:rPr>
          <w:rFonts w:hint="eastAsia"/>
          <w:highlight w:val="none"/>
          <w:lang w:val="en-US" w:eastAsia="zh-CN"/>
        </w:rPr>
        <w:t>提交至甲方</w:t>
      </w:r>
      <w:r>
        <w:rPr>
          <w:rFonts w:hint="eastAsia"/>
          <w:highlight w:val="none"/>
        </w:rPr>
        <w:t>，</w:t>
      </w:r>
      <w:r>
        <w:rPr>
          <w:rFonts w:hint="eastAsia"/>
          <w:highlight w:val="none"/>
          <w:lang w:val="en-US" w:eastAsia="zh-CN"/>
        </w:rPr>
        <w:t>甲方</w:t>
      </w:r>
      <w:r>
        <w:rPr>
          <w:rFonts w:hint="eastAsia"/>
          <w:highlight w:val="none"/>
        </w:rPr>
        <w:t>在收到上述有效资料之日起20个工作日内支付至合同金额的60%。</w:t>
      </w:r>
    </w:p>
    <w:p w14:paraId="16000055">
      <w:pPr>
        <w:pStyle w:val="44"/>
        <w:numPr>
          <w:ilvl w:val="0"/>
          <w:numId w:val="0"/>
        </w:numPr>
        <w:ind w:left="1200" w:hanging="300"/>
        <w:rPr>
          <w:rFonts w:hint="eastAsia"/>
          <w:highlight w:val="none"/>
        </w:rPr>
      </w:pPr>
      <w:r>
        <w:rPr>
          <w:rFonts w:hint="eastAsia"/>
          <w:highlight w:val="none"/>
        </w:rPr>
        <w:t xml:space="preserve">5.2.3 </w:t>
      </w:r>
      <w:r>
        <w:rPr>
          <w:rFonts w:hint="eastAsia"/>
          <w:highlight w:val="none"/>
          <w:lang w:val="en-US" w:eastAsia="zh-CN"/>
        </w:rPr>
        <w:t>乙方</w:t>
      </w:r>
      <w:r>
        <w:rPr>
          <w:rFonts w:hint="eastAsia"/>
          <w:highlight w:val="none"/>
        </w:rPr>
        <w:t>完成项目</w:t>
      </w:r>
      <w:r>
        <w:rPr>
          <w:rFonts w:hint="eastAsia"/>
          <w:highlight w:val="none"/>
          <w:lang w:val="en-US" w:eastAsia="zh-CN"/>
        </w:rPr>
        <w:t>全部</w:t>
      </w:r>
      <w:r>
        <w:rPr>
          <w:rFonts w:hint="eastAsia"/>
          <w:highlight w:val="none"/>
        </w:rPr>
        <w:t>安装调试及施工</w:t>
      </w:r>
      <w:r>
        <w:rPr>
          <w:rFonts w:hint="eastAsia"/>
          <w:highlight w:val="none"/>
          <w:lang w:eastAsia="zh-CN"/>
        </w:rPr>
        <w:t>，</w:t>
      </w:r>
      <w:r>
        <w:rPr>
          <w:rFonts w:hint="eastAsia"/>
          <w:highlight w:val="none"/>
        </w:rPr>
        <w:t>系统经72小时试运行完成，</w:t>
      </w:r>
      <w:r>
        <w:rPr>
          <w:rFonts w:hint="eastAsia"/>
          <w:highlight w:val="none"/>
          <w:lang w:val="en-US" w:eastAsia="zh-CN"/>
        </w:rPr>
        <w:t>经</w:t>
      </w:r>
      <w:r>
        <w:rPr>
          <w:rFonts w:hint="eastAsia"/>
          <w:highlight w:val="none"/>
        </w:rPr>
        <w:t>甲方组织性能验收</w:t>
      </w:r>
      <w:r>
        <w:rPr>
          <w:rFonts w:hint="eastAsia"/>
          <w:highlight w:val="none"/>
          <w:lang w:val="en-US" w:eastAsia="zh-CN"/>
        </w:rPr>
        <w:t>合格且乙方完成结算办理后</w:t>
      </w:r>
      <w:r>
        <w:rPr>
          <w:rFonts w:hint="eastAsia"/>
          <w:highlight w:val="none"/>
        </w:rPr>
        <w:t>，</w:t>
      </w:r>
      <w:r>
        <w:rPr>
          <w:rFonts w:hint="eastAsia"/>
          <w:highlight w:val="none"/>
          <w:lang w:val="en-US" w:eastAsia="zh-CN"/>
        </w:rPr>
        <w:t>乙方</w:t>
      </w:r>
      <w:r>
        <w:rPr>
          <w:rFonts w:hint="eastAsia"/>
          <w:highlight w:val="none"/>
        </w:rPr>
        <w:t>提交至项目结算金额100%的增值税专用发票及请款资料，</w:t>
      </w:r>
      <w:r>
        <w:rPr>
          <w:rFonts w:hint="eastAsia"/>
          <w:highlight w:val="none"/>
          <w:lang w:val="en-US" w:eastAsia="zh-CN"/>
        </w:rPr>
        <w:t>甲方</w:t>
      </w:r>
      <w:r>
        <w:rPr>
          <w:rFonts w:hint="eastAsia"/>
          <w:highlight w:val="none"/>
        </w:rPr>
        <w:t>在收到上述有效资料之日起20个工作日内支付至</w:t>
      </w:r>
      <w:r>
        <w:rPr>
          <w:rFonts w:hint="eastAsia"/>
          <w:highlight w:val="none"/>
          <w:lang w:eastAsia="zh-CN"/>
        </w:rPr>
        <w:t>、</w:t>
      </w:r>
      <w:r>
        <w:rPr>
          <w:rFonts w:hint="eastAsia"/>
          <w:highlight w:val="none"/>
        </w:rPr>
        <w:t>项目结算金额的9</w:t>
      </w:r>
      <w:r>
        <w:rPr>
          <w:rFonts w:hint="eastAsia"/>
          <w:highlight w:val="none"/>
          <w:lang w:val="en-US" w:eastAsia="zh-CN"/>
        </w:rPr>
        <w:t>0</w:t>
      </w:r>
      <w:r>
        <w:rPr>
          <w:rFonts w:hint="eastAsia"/>
          <w:highlight w:val="none"/>
        </w:rPr>
        <w:t>%；</w:t>
      </w:r>
    </w:p>
    <w:p w14:paraId="373E4E25">
      <w:pPr>
        <w:pStyle w:val="44"/>
        <w:numPr>
          <w:ilvl w:val="0"/>
          <w:numId w:val="0"/>
        </w:numPr>
        <w:ind w:left="1200" w:hanging="300"/>
        <w:rPr>
          <w:rFonts w:hint="eastAsia"/>
          <w:highlight w:val="none"/>
        </w:rPr>
      </w:pPr>
      <w:r>
        <w:rPr>
          <w:rFonts w:hint="eastAsia"/>
          <w:highlight w:val="none"/>
          <w:lang w:val="en-US" w:eastAsia="zh-CN"/>
        </w:rPr>
        <w:t>5.2.4 剩余项目结算金额的10%为质保金</w:t>
      </w:r>
      <w:r>
        <w:rPr>
          <w:rFonts w:hint="eastAsia"/>
          <w:highlight w:val="none"/>
        </w:rPr>
        <w:t>（</w:t>
      </w:r>
      <w:r>
        <w:rPr>
          <w:rFonts w:hint="eastAsia"/>
          <w:b/>
          <w:bCs/>
          <w:highlight w:val="none"/>
        </w:rPr>
        <w:t>合同设备保证期贰年</w:t>
      </w:r>
      <w:r>
        <w:rPr>
          <w:rFonts w:hint="eastAsia"/>
          <w:b/>
          <w:bCs/>
          <w:highlight w:val="none"/>
          <w:lang w:eastAsia="zh-CN"/>
        </w:rPr>
        <w:t>，</w:t>
      </w:r>
      <w:r>
        <w:rPr>
          <w:rFonts w:hint="eastAsia"/>
          <w:b/>
          <w:bCs/>
          <w:highlight w:val="none"/>
          <w:lang w:val="en-US" w:eastAsia="zh-CN"/>
        </w:rPr>
        <w:t>自甲方最终验收合格之日起算</w:t>
      </w:r>
      <w:r>
        <w:rPr>
          <w:rFonts w:hint="eastAsia"/>
          <w:highlight w:val="none"/>
        </w:rPr>
        <w:t>），待合同设备保证期满</w:t>
      </w:r>
      <w:r>
        <w:rPr>
          <w:rFonts w:hint="eastAsia"/>
          <w:highlight w:val="none"/>
          <w:lang w:eastAsia="zh-CN"/>
        </w:rPr>
        <w:t>、</w:t>
      </w:r>
      <w:r>
        <w:rPr>
          <w:rFonts w:hint="eastAsia"/>
          <w:highlight w:val="none"/>
        </w:rPr>
        <w:t>合同执行无争议且</w:t>
      </w:r>
      <w:r>
        <w:rPr>
          <w:rFonts w:hint="eastAsia"/>
          <w:highlight w:val="none"/>
          <w:lang w:val="en-US" w:eastAsia="zh-CN"/>
        </w:rPr>
        <w:t>供方</w:t>
      </w:r>
      <w:r>
        <w:rPr>
          <w:rFonts w:hint="eastAsia"/>
          <w:highlight w:val="none"/>
        </w:rPr>
        <w:t>完成全部质保服务，</w:t>
      </w:r>
      <w:r>
        <w:rPr>
          <w:rFonts w:hint="eastAsia"/>
          <w:highlight w:val="none"/>
          <w:lang w:val="en-US" w:eastAsia="zh-CN"/>
        </w:rPr>
        <w:t>乙方</w:t>
      </w:r>
      <w:r>
        <w:rPr>
          <w:rFonts w:hint="eastAsia"/>
          <w:highlight w:val="none"/>
        </w:rPr>
        <w:t>提</w:t>
      </w:r>
      <w:r>
        <w:rPr>
          <w:rFonts w:hint="eastAsia"/>
          <w:highlight w:val="none"/>
          <w:lang w:val="en-US" w:eastAsia="zh-CN"/>
        </w:rPr>
        <w:t>供</w:t>
      </w:r>
      <w:r>
        <w:rPr>
          <w:rFonts w:hint="eastAsia"/>
          <w:highlight w:val="none"/>
        </w:rPr>
        <w:t>合同设备最终验收证书</w:t>
      </w:r>
      <w:r>
        <w:rPr>
          <w:rFonts w:hint="eastAsia"/>
          <w:highlight w:val="none"/>
          <w:lang w:val="en-US" w:eastAsia="zh-CN"/>
        </w:rPr>
        <w:t>及</w:t>
      </w:r>
      <w:r>
        <w:rPr>
          <w:rFonts w:hint="eastAsia"/>
          <w:highlight w:val="none"/>
        </w:rPr>
        <w:t>请款资料经</w:t>
      </w:r>
      <w:r>
        <w:rPr>
          <w:rFonts w:hint="eastAsia"/>
          <w:highlight w:val="none"/>
          <w:lang w:val="en-US" w:eastAsia="zh-CN"/>
        </w:rPr>
        <w:t>甲方</w:t>
      </w:r>
      <w:r>
        <w:rPr>
          <w:rFonts w:hint="eastAsia"/>
          <w:highlight w:val="none"/>
        </w:rPr>
        <w:t>审核无误后，</w:t>
      </w:r>
      <w:r>
        <w:rPr>
          <w:rFonts w:hint="eastAsia"/>
          <w:highlight w:val="none"/>
          <w:lang w:val="en-US" w:eastAsia="zh-CN"/>
        </w:rPr>
        <w:t>由甲方</w:t>
      </w:r>
      <w:r>
        <w:rPr>
          <w:rFonts w:hint="eastAsia"/>
          <w:highlight w:val="none"/>
        </w:rPr>
        <w:t>在收到上述有效资料之日起20个工作日内完成支付（</w:t>
      </w:r>
      <w:r>
        <w:rPr>
          <w:rFonts w:hint="eastAsia"/>
          <w:highlight w:val="none"/>
          <w:lang w:val="en-US" w:eastAsia="zh-CN"/>
        </w:rPr>
        <w:t>甲方</w:t>
      </w:r>
      <w:r>
        <w:rPr>
          <w:rFonts w:hint="eastAsia"/>
          <w:highlight w:val="none"/>
        </w:rPr>
        <w:t>有权扣除</w:t>
      </w:r>
      <w:r>
        <w:rPr>
          <w:rFonts w:hint="eastAsia"/>
          <w:highlight w:val="none"/>
          <w:lang w:val="en-US" w:eastAsia="zh-CN"/>
        </w:rPr>
        <w:t>供方</w:t>
      </w:r>
      <w:r>
        <w:rPr>
          <w:rFonts w:hint="eastAsia"/>
          <w:highlight w:val="none"/>
        </w:rPr>
        <w:t>违约金、赔偿款等应承担的款项后再支付）</w:t>
      </w:r>
      <w:r>
        <w:rPr>
          <w:rFonts w:hint="eastAsia"/>
          <w:highlight w:val="none"/>
          <w:lang w:eastAsia="zh-CN"/>
        </w:rPr>
        <w:t>。</w:t>
      </w:r>
      <w:r>
        <w:rPr>
          <w:rFonts w:hint="eastAsia"/>
          <w:highlight w:val="none"/>
        </w:rPr>
        <w:t>本合同设备最终验收证书一式四份。</w:t>
      </w:r>
    </w:p>
    <w:p w14:paraId="25FE6649">
      <w:pPr>
        <w:pStyle w:val="44"/>
        <w:rPr>
          <w:rFonts w:hint="eastAsia"/>
          <w:highlight w:val="none"/>
        </w:rPr>
      </w:pPr>
      <w:r>
        <w:rPr>
          <w:rFonts w:hint="eastAsia"/>
          <w:highlight w:val="none"/>
          <w:lang w:eastAsia="zh-CN"/>
        </w:rPr>
        <w:t>乙方</w:t>
      </w:r>
      <w:r>
        <w:rPr>
          <w:rFonts w:hint="eastAsia"/>
          <w:highlight w:val="none"/>
        </w:rPr>
        <w:t>在合同签订之日起7天内，向</w:t>
      </w:r>
      <w:r>
        <w:rPr>
          <w:rFonts w:hint="eastAsia"/>
          <w:highlight w:val="none"/>
          <w:lang w:eastAsia="zh-CN"/>
        </w:rPr>
        <w:t>甲方</w:t>
      </w:r>
      <w:r>
        <w:rPr>
          <w:rFonts w:hint="eastAsia"/>
          <w:highlight w:val="none"/>
        </w:rPr>
        <w:t>提交金额为本合同总价10%的不可撤销银行保函或履约保证金作为履行合同的担保，履约担保期限从合同签订之日起至项目完工且经</w:t>
      </w:r>
      <w:r>
        <w:rPr>
          <w:rFonts w:hint="eastAsia"/>
          <w:highlight w:val="none"/>
          <w:lang w:eastAsia="zh-CN"/>
        </w:rPr>
        <w:t>甲方</w:t>
      </w:r>
      <w:r>
        <w:rPr>
          <w:rFonts w:hint="eastAsia"/>
          <w:highlight w:val="none"/>
        </w:rPr>
        <w:t>总体验收合格后，双方签字确认之日起7天内保持有效；若本合同因</w:t>
      </w:r>
      <w:r>
        <w:rPr>
          <w:rFonts w:hint="eastAsia"/>
          <w:highlight w:val="none"/>
          <w:lang w:eastAsia="zh-CN"/>
        </w:rPr>
        <w:t>乙方</w:t>
      </w:r>
      <w:r>
        <w:rPr>
          <w:rFonts w:hint="eastAsia"/>
          <w:highlight w:val="none"/>
        </w:rPr>
        <w:t>违约导致提前终止或解除，</w:t>
      </w:r>
      <w:r>
        <w:rPr>
          <w:rFonts w:hint="eastAsia"/>
          <w:highlight w:val="none"/>
          <w:lang w:eastAsia="zh-CN"/>
        </w:rPr>
        <w:t>甲方</w:t>
      </w:r>
      <w:r>
        <w:rPr>
          <w:rFonts w:hint="eastAsia"/>
          <w:highlight w:val="none"/>
        </w:rPr>
        <w:t>有权没收履约保证金（或向银行申请索赔，</w:t>
      </w:r>
      <w:r>
        <w:rPr>
          <w:rFonts w:hint="eastAsia"/>
          <w:highlight w:val="none"/>
          <w:lang w:eastAsia="zh-CN"/>
        </w:rPr>
        <w:t>乙方</w:t>
      </w:r>
      <w:r>
        <w:rPr>
          <w:rFonts w:hint="eastAsia"/>
          <w:highlight w:val="none"/>
        </w:rPr>
        <w:t>不得以任何理由要求</w:t>
      </w:r>
      <w:r>
        <w:rPr>
          <w:rFonts w:hint="eastAsia"/>
          <w:highlight w:val="none"/>
          <w:lang w:eastAsia="zh-CN"/>
        </w:rPr>
        <w:t>甲方</w:t>
      </w:r>
      <w:r>
        <w:rPr>
          <w:rFonts w:hint="eastAsia"/>
          <w:highlight w:val="none"/>
        </w:rPr>
        <w:t>退回相关款项）</w:t>
      </w:r>
      <w:r>
        <w:rPr>
          <w:rFonts w:hint="eastAsia"/>
          <w:highlight w:val="none"/>
          <w:lang w:eastAsia="zh-CN"/>
        </w:rPr>
        <w:t>。</w:t>
      </w:r>
    </w:p>
    <w:p w14:paraId="6C48A70C">
      <w:pPr>
        <w:pStyle w:val="44"/>
        <w:rPr>
          <w:rFonts w:hint="eastAsia"/>
          <w:highlight w:val="none"/>
        </w:rPr>
      </w:pPr>
      <w:r>
        <w:rPr>
          <w:highlight w:val="none"/>
        </w:rPr>
        <w:t>甲乙双方各自承担因执行合同所发生的银行费用及各项税费</w:t>
      </w:r>
      <w:r>
        <w:rPr>
          <w:rFonts w:hint="eastAsia" w:ascii="微软雅黑" w:hAnsi="微软雅黑" w:eastAsia="微软雅黑" w:cs="微软雅黑"/>
          <w:highlight w:val="none"/>
        </w:rPr>
        <w:t>｡</w:t>
      </w:r>
    </w:p>
    <w:p w14:paraId="3A3D6DBF">
      <w:pPr>
        <w:pStyle w:val="44"/>
        <w:rPr>
          <w:rFonts w:hint="eastAsia"/>
          <w:highlight w:val="none"/>
        </w:rPr>
      </w:pPr>
      <w:r>
        <w:rPr>
          <w:highlight w:val="none"/>
        </w:rPr>
        <w:t>乙方在甲方支付合同款项时，应按各期付款数额向甲方开具按付款方式和付款条件要求的票据和证明材料</w:t>
      </w:r>
      <w:r>
        <w:rPr>
          <w:rFonts w:hint="eastAsia" w:ascii="微软雅黑" w:hAnsi="微软雅黑" w:eastAsia="微软雅黑" w:cs="微软雅黑"/>
          <w:highlight w:val="none"/>
        </w:rPr>
        <w:t>｡</w:t>
      </w:r>
      <w:r>
        <w:rPr>
          <w:rFonts w:hint="eastAsia" w:cs="宋体"/>
          <w:highlight w:val="none"/>
        </w:rPr>
        <w:t>不开具或开具不合格的</w:t>
      </w:r>
      <w:r>
        <w:rPr>
          <w:highlight w:val="none"/>
        </w:rPr>
        <w:t>，甲方有权迟延支付应付款项且不承担任何违约责任，且乙方的各项合同义务仍应按合同约定履行</w:t>
      </w:r>
      <w:r>
        <w:rPr>
          <w:rFonts w:hint="eastAsia" w:ascii="微软雅黑" w:hAnsi="微软雅黑" w:eastAsia="微软雅黑" w:cs="微软雅黑"/>
          <w:highlight w:val="none"/>
        </w:rPr>
        <w:t>｡</w:t>
      </w:r>
    </w:p>
    <w:p w14:paraId="61A811ED">
      <w:pPr>
        <w:pStyle w:val="44"/>
        <w:rPr>
          <w:rFonts w:hint="eastAsia"/>
          <w:highlight w:val="none"/>
        </w:rPr>
      </w:pPr>
      <w:r>
        <w:rPr>
          <w:highlight w:val="none"/>
        </w:rPr>
        <w:t>如果乙方有赔偿和/或支付违约金的责任，则甲方有权从最近一笔付款中扣除相应金额</w:t>
      </w:r>
      <w:r>
        <w:rPr>
          <w:rFonts w:hint="eastAsia" w:ascii="微软雅黑" w:hAnsi="微软雅黑" w:eastAsia="微软雅黑" w:cs="微软雅黑"/>
          <w:highlight w:val="none"/>
        </w:rPr>
        <w:t>｡</w:t>
      </w:r>
      <w:r>
        <w:rPr>
          <w:rFonts w:hint="eastAsia" w:cs="宋体"/>
          <w:highlight w:val="none"/>
        </w:rPr>
        <w:t>如果最近一笔付款不足以抵扣违约金的</w:t>
      </w:r>
      <w:r>
        <w:rPr>
          <w:highlight w:val="none"/>
        </w:rPr>
        <w:t>，则可从下一笔付款中继续扣除并视为甲方已足额支付相应款项</w:t>
      </w:r>
      <w:r>
        <w:rPr>
          <w:rFonts w:hint="eastAsia" w:ascii="微软雅黑" w:hAnsi="微软雅黑" w:eastAsia="微软雅黑" w:cs="微软雅黑"/>
          <w:highlight w:val="none"/>
        </w:rPr>
        <w:t>｡</w:t>
      </w:r>
    </w:p>
    <w:p w14:paraId="07C48D43">
      <w:pPr>
        <w:pStyle w:val="44"/>
        <w:rPr>
          <w:rFonts w:hint="eastAsia"/>
          <w:highlight w:val="none"/>
        </w:rPr>
      </w:pPr>
      <w:r>
        <w:rPr>
          <w:highlight w:val="none"/>
        </w:rPr>
        <w:t>由于乙方未足额缴纳应缴税款和开具发票不真实</w:t>
      </w:r>
      <w:r>
        <w:rPr>
          <w:rFonts w:hint="eastAsia" w:ascii="微软雅黑" w:hAnsi="微软雅黑" w:eastAsia="微软雅黑" w:cs="微软雅黑"/>
          <w:highlight w:val="none"/>
        </w:rPr>
        <w:t>､</w:t>
      </w:r>
      <w:r>
        <w:rPr>
          <w:rFonts w:hint="eastAsia" w:cs="宋体"/>
          <w:highlight w:val="none"/>
        </w:rPr>
        <w:t>不合格而引起的一切责任</w:t>
      </w:r>
      <w:r>
        <w:rPr>
          <w:highlight w:val="none"/>
        </w:rPr>
        <w:t>(包括但不限于商业责任和法律责任)和损失，由乙方承担</w:t>
      </w:r>
      <w:r>
        <w:rPr>
          <w:rFonts w:hint="eastAsia" w:ascii="微软雅黑" w:hAnsi="微软雅黑" w:eastAsia="微软雅黑" w:cs="微软雅黑"/>
          <w:highlight w:val="none"/>
        </w:rPr>
        <w:t>｡</w:t>
      </w:r>
    </w:p>
    <w:p w14:paraId="1A6C06DA">
      <w:pPr>
        <w:pStyle w:val="44"/>
        <w:rPr>
          <w:rFonts w:hint="eastAsia"/>
          <w:highlight w:val="none"/>
        </w:rPr>
      </w:pPr>
      <w:r>
        <w:rPr>
          <w:highlight w:val="none"/>
        </w:rPr>
        <w:t>双方结算银行账号如下：</w:t>
      </w:r>
    </w:p>
    <w:p w14:paraId="3D4FA5EC">
      <w:pPr>
        <w:pStyle w:val="48"/>
        <w:rPr>
          <w:rFonts w:hint="eastAsia"/>
          <w:highlight w:val="none"/>
        </w:rPr>
      </w:pPr>
      <w:r>
        <w:rPr>
          <w:highlight w:val="none"/>
        </w:rPr>
        <w:t>甲方名称：</w:t>
      </w:r>
      <w:r>
        <w:rPr>
          <w:rFonts w:hint="eastAsia"/>
          <w:highlight w:val="none"/>
        </w:rPr>
        <w:t>东莞市新东元环保投资有限公司</w:t>
      </w:r>
    </w:p>
    <w:p w14:paraId="339D2893">
      <w:pPr>
        <w:spacing w:line="480" w:lineRule="auto"/>
        <w:ind w:firstLine="1200" w:firstLineChars="500"/>
        <w:jc w:val="left"/>
        <w:rPr>
          <w:rFonts w:hint="eastAsia" w:ascii="宋体" w:hAnsi="宋体" w:cs="宋体"/>
          <w:szCs w:val="24"/>
          <w:highlight w:val="none"/>
        </w:rPr>
      </w:pPr>
      <w:r>
        <w:rPr>
          <w:highlight w:val="none"/>
        </w:rPr>
        <w:t>开户银行：</w:t>
      </w:r>
      <w:r>
        <w:rPr>
          <w:rFonts w:hint="eastAsia" w:ascii="宋体" w:hAnsi="宋体"/>
          <w:szCs w:val="24"/>
          <w:highlight w:val="none"/>
        </w:rPr>
        <w:t xml:space="preserve">   行</w:t>
      </w:r>
    </w:p>
    <w:p w14:paraId="2F2A6113">
      <w:pPr>
        <w:spacing w:line="480" w:lineRule="auto"/>
        <w:ind w:firstLine="1200" w:firstLineChars="500"/>
        <w:jc w:val="left"/>
        <w:rPr>
          <w:highlight w:val="none"/>
        </w:rPr>
      </w:pPr>
      <w:r>
        <w:rPr>
          <w:highlight w:val="none"/>
        </w:rPr>
        <w:t>银行账号：</w:t>
      </w:r>
      <w:r>
        <w:rPr>
          <w:rFonts w:hint="eastAsia" w:ascii="宋体" w:hAnsi="宋体" w:cs="宋体"/>
          <w:szCs w:val="24"/>
          <w:highlight w:val="none"/>
        </w:rPr>
        <w:t xml:space="preserve">   </w:t>
      </w:r>
    </w:p>
    <w:p w14:paraId="07DAEF4C">
      <w:pPr>
        <w:spacing w:line="480" w:lineRule="auto"/>
        <w:ind w:firstLine="1200" w:firstLineChars="500"/>
        <w:jc w:val="left"/>
        <w:rPr>
          <w:rFonts w:hint="eastAsia" w:ascii="宋体" w:hAnsi="宋体" w:cs="宋体"/>
          <w:szCs w:val="24"/>
          <w:highlight w:val="none"/>
        </w:rPr>
      </w:pPr>
      <w:r>
        <w:rPr>
          <w:highlight w:val="none"/>
        </w:rPr>
        <w:t>纳税人登记号：</w:t>
      </w:r>
      <w:r>
        <w:rPr>
          <w:rFonts w:hint="eastAsia" w:ascii="宋体" w:hAnsi="宋体" w:cs="宋体"/>
          <w:szCs w:val="24"/>
          <w:highlight w:val="none"/>
        </w:rPr>
        <w:t xml:space="preserve">     </w:t>
      </w:r>
    </w:p>
    <w:p w14:paraId="751ADE78">
      <w:pPr>
        <w:spacing w:line="480" w:lineRule="auto"/>
        <w:ind w:firstLine="1200" w:firstLineChars="500"/>
        <w:jc w:val="left"/>
        <w:rPr>
          <w:highlight w:val="none"/>
        </w:rPr>
      </w:pPr>
      <w:r>
        <w:rPr>
          <w:highlight w:val="none"/>
        </w:rPr>
        <w:t>乙方名称：</w:t>
      </w:r>
      <w:r>
        <w:rPr>
          <w:rFonts w:hint="eastAsia"/>
          <w:highlight w:val="none"/>
        </w:rPr>
        <w:t xml:space="preserve">  </w:t>
      </w:r>
    </w:p>
    <w:p w14:paraId="22D593B6">
      <w:pPr>
        <w:spacing w:line="480" w:lineRule="auto"/>
        <w:ind w:firstLine="1200" w:firstLineChars="500"/>
        <w:jc w:val="left"/>
        <w:rPr>
          <w:highlight w:val="none"/>
        </w:rPr>
      </w:pPr>
      <w:r>
        <w:rPr>
          <w:rFonts w:hint="eastAsia"/>
          <w:highlight w:val="none"/>
        </w:rPr>
        <w:t>开 户 行：      )</w:t>
      </w:r>
    </w:p>
    <w:p w14:paraId="7690792B">
      <w:pPr>
        <w:spacing w:line="480" w:lineRule="auto"/>
        <w:ind w:firstLine="1200" w:firstLineChars="500"/>
        <w:jc w:val="left"/>
        <w:rPr>
          <w:highlight w:val="none"/>
        </w:rPr>
      </w:pPr>
      <w:r>
        <w:rPr>
          <w:rFonts w:hint="eastAsia"/>
          <w:highlight w:val="none"/>
        </w:rPr>
        <w:t xml:space="preserve">账    号：     </w:t>
      </w:r>
    </w:p>
    <w:p w14:paraId="1F854E79">
      <w:pPr>
        <w:spacing w:line="480" w:lineRule="auto"/>
        <w:ind w:firstLine="1200" w:firstLineChars="500"/>
        <w:jc w:val="left"/>
        <w:rPr>
          <w:highlight w:val="none"/>
        </w:rPr>
      </w:pPr>
      <w:r>
        <w:rPr>
          <w:highlight w:val="none"/>
        </w:rPr>
        <w:t>纳税人登记号</w:t>
      </w:r>
      <w:r>
        <w:rPr>
          <w:rFonts w:hint="eastAsia"/>
          <w:highlight w:val="none"/>
        </w:rPr>
        <w:t xml:space="preserve">：       </w:t>
      </w:r>
    </w:p>
    <w:p w14:paraId="58204881">
      <w:pPr>
        <w:spacing w:line="480" w:lineRule="auto"/>
        <w:ind w:firstLine="1200" w:firstLineChars="500"/>
        <w:jc w:val="left"/>
        <w:rPr>
          <w:highlight w:val="none"/>
        </w:rPr>
      </w:pPr>
      <w:r>
        <w:rPr>
          <w:rFonts w:hint="eastAsia"/>
          <w:highlight w:val="none"/>
        </w:rPr>
        <w:t xml:space="preserve">地    址：       </w:t>
      </w:r>
    </w:p>
    <w:p w14:paraId="698A60D1">
      <w:pPr>
        <w:spacing w:line="480" w:lineRule="auto"/>
        <w:ind w:firstLine="1200" w:firstLineChars="500"/>
        <w:jc w:val="left"/>
        <w:rPr>
          <w:highlight w:val="none"/>
        </w:rPr>
      </w:pPr>
      <w:r>
        <w:rPr>
          <w:highlight w:val="none"/>
        </w:rPr>
        <w:t>任何一方如需改变上述账户，应提前十(10)日以书面通知另一方</w:t>
      </w:r>
      <w:r>
        <w:rPr>
          <w:rFonts w:hint="eastAsia" w:ascii="微软雅黑" w:hAnsi="微软雅黑" w:eastAsia="微软雅黑" w:cs="微软雅黑"/>
          <w:highlight w:val="none"/>
        </w:rPr>
        <w:t>｡</w:t>
      </w:r>
      <w:r>
        <w:rPr>
          <w:rFonts w:hint="eastAsia" w:cs="宋体"/>
          <w:highlight w:val="none"/>
        </w:rPr>
        <w:t>如一方未按本合同规定通知而使另一方遭受损失的</w:t>
      </w:r>
      <w:r>
        <w:rPr>
          <w:highlight w:val="none"/>
        </w:rPr>
        <w:t>，应予以赔偿</w:t>
      </w:r>
      <w:r>
        <w:rPr>
          <w:rFonts w:hint="eastAsia" w:ascii="微软雅黑" w:hAnsi="微软雅黑" w:eastAsia="微软雅黑" w:cs="微软雅黑"/>
          <w:highlight w:val="none"/>
        </w:rPr>
        <w:t>｡</w:t>
      </w:r>
    </w:p>
    <w:p w14:paraId="7CB1179A">
      <w:pPr>
        <w:pStyle w:val="42"/>
        <w:spacing w:before="163"/>
        <w:ind w:hanging="482"/>
        <w:rPr>
          <w:rFonts w:hint="eastAsia"/>
          <w:highlight w:val="none"/>
        </w:rPr>
      </w:pPr>
      <w:bookmarkStart w:id="15" w:name="_Toc475094752"/>
      <w:bookmarkStart w:id="16" w:name="_Toc149585874"/>
      <w:bookmarkStart w:id="17" w:name="_Toc475095463"/>
      <w:r>
        <w:rPr>
          <w:rFonts w:hint="eastAsia"/>
          <w:highlight w:val="none"/>
        </w:rPr>
        <w:t>工期</w:t>
      </w:r>
      <w:r>
        <w:rPr>
          <w:highlight w:val="none"/>
        </w:rPr>
        <w:t>和运输</w:t>
      </w:r>
      <w:bookmarkEnd w:id="15"/>
      <w:bookmarkEnd w:id="16"/>
      <w:bookmarkEnd w:id="17"/>
    </w:p>
    <w:p w14:paraId="3B3EA750">
      <w:pPr>
        <w:pStyle w:val="44"/>
        <w:rPr>
          <w:rFonts w:hint="eastAsia"/>
          <w:highlight w:val="none"/>
        </w:rPr>
      </w:pPr>
      <w:r>
        <w:rPr>
          <w:rFonts w:hint="eastAsia"/>
          <w:highlight w:val="none"/>
        </w:rPr>
        <w:t>工</w:t>
      </w:r>
      <w:r>
        <w:rPr>
          <w:highlight w:val="none"/>
        </w:rPr>
        <w:t>期：</w:t>
      </w:r>
      <w:r>
        <w:rPr>
          <w:rFonts w:hint="eastAsia"/>
          <w:b/>
          <w:bCs/>
          <w:highlight w:val="none"/>
        </w:rPr>
        <w:t>本合同工期为</w:t>
      </w:r>
      <w:r>
        <w:rPr>
          <w:rFonts w:hint="eastAsia"/>
          <w:b/>
          <w:bCs/>
          <w:highlight w:val="none"/>
          <w:lang w:val="en-US" w:eastAsia="zh-CN"/>
        </w:rPr>
        <w:t>自合同签订之日起</w:t>
      </w:r>
      <w:r>
        <w:rPr>
          <w:rFonts w:hint="eastAsia"/>
          <w:b/>
          <w:bCs/>
          <w:highlight w:val="none"/>
        </w:rPr>
        <w:t>90</w:t>
      </w:r>
      <w:r>
        <w:rPr>
          <w:rFonts w:hint="eastAsia"/>
          <w:b/>
          <w:bCs/>
          <w:highlight w:val="none"/>
          <w:lang w:val="en-US" w:eastAsia="zh-CN"/>
        </w:rPr>
        <w:t>个日历</w:t>
      </w:r>
      <w:r>
        <w:rPr>
          <w:rFonts w:hint="eastAsia"/>
          <w:b/>
          <w:bCs/>
          <w:highlight w:val="none"/>
        </w:rPr>
        <w:t>天，</w:t>
      </w:r>
      <w:r>
        <w:rPr>
          <w:rFonts w:hint="eastAsia"/>
          <w:b/>
          <w:bCs/>
          <w:highlight w:val="none"/>
          <w:lang w:val="en-US" w:eastAsia="zh-CN"/>
        </w:rPr>
        <w:t>具体为：乙方应于</w:t>
      </w:r>
      <w:r>
        <w:rPr>
          <w:rFonts w:hint="eastAsia"/>
          <w:b/>
          <w:bCs/>
          <w:highlight w:val="none"/>
        </w:rPr>
        <w:t>合同签</w:t>
      </w:r>
      <w:r>
        <w:rPr>
          <w:rFonts w:hint="eastAsia"/>
          <w:b/>
          <w:bCs/>
          <w:highlight w:val="none"/>
          <w:lang w:val="en-US" w:eastAsia="zh-CN"/>
        </w:rPr>
        <w:t>订</w:t>
      </w:r>
      <w:r>
        <w:rPr>
          <w:rFonts w:hint="eastAsia"/>
          <w:b/>
          <w:bCs/>
          <w:highlight w:val="none"/>
        </w:rPr>
        <w:t>后30</w:t>
      </w:r>
      <w:r>
        <w:rPr>
          <w:rFonts w:hint="eastAsia"/>
          <w:b/>
          <w:bCs/>
          <w:highlight w:val="none"/>
          <w:lang w:val="en-US" w:eastAsia="zh-CN"/>
        </w:rPr>
        <w:t>个日历</w:t>
      </w:r>
      <w:r>
        <w:rPr>
          <w:rFonts w:hint="eastAsia"/>
          <w:b/>
          <w:bCs/>
          <w:highlight w:val="none"/>
        </w:rPr>
        <w:t>天内完成设备基础施工、60</w:t>
      </w:r>
      <w:r>
        <w:rPr>
          <w:rFonts w:hint="eastAsia"/>
          <w:b/>
          <w:bCs/>
          <w:highlight w:val="none"/>
          <w:lang w:val="en-US" w:eastAsia="zh-CN"/>
        </w:rPr>
        <w:t>个日历</w:t>
      </w:r>
      <w:r>
        <w:rPr>
          <w:rFonts w:hint="eastAsia"/>
          <w:b/>
          <w:bCs/>
          <w:highlight w:val="none"/>
        </w:rPr>
        <w:t>天内</w:t>
      </w:r>
      <w:r>
        <w:rPr>
          <w:rFonts w:hint="eastAsia"/>
          <w:b/>
          <w:bCs/>
          <w:highlight w:val="none"/>
          <w:lang w:val="en-US" w:eastAsia="zh-CN"/>
        </w:rPr>
        <w:t>将</w:t>
      </w:r>
      <w:r>
        <w:rPr>
          <w:rFonts w:hint="eastAsia"/>
          <w:b/>
          <w:bCs/>
          <w:highlight w:val="none"/>
        </w:rPr>
        <w:t>所有设备及材料</w:t>
      </w:r>
      <w:r>
        <w:rPr>
          <w:rFonts w:hint="eastAsia"/>
          <w:b/>
          <w:bCs/>
          <w:highlight w:val="none"/>
          <w:lang w:val="en-US" w:eastAsia="zh-CN"/>
        </w:rPr>
        <w:t>运送</w:t>
      </w:r>
      <w:r>
        <w:rPr>
          <w:rFonts w:hint="eastAsia"/>
          <w:b/>
          <w:bCs/>
          <w:highlight w:val="none"/>
        </w:rPr>
        <w:t>到交货地点，90</w:t>
      </w:r>
      <w:r>
        <w:rPr>
          <w:rFonts w:hint="eastAsia"/>
          <w:b/>
          <w:bCs/>
          <w:highlight w:val="none"/>
          <w:lang w:val="en-US" w:eastAsia="zh-CN"/>
        </w:rPr>
        <w:t>个日历</w:t>
      </w:r>
      <w:r>
        <w:rPr>
          <w:rFonts w:hint="eastAsia"/>
          <w:b/>
          <w:bCs/>
          <w:highlight w:val="none"/>
        </w:rPr>
        <w:t>天内完成设备调试并投入试运行。</w:t>
      </w:r>
    </w:p>
    <w:p w14:paraId="6DA57B15">
      <w:pPr>
        <w:pStyle w:val="44"/>
        <w:rPr>
          <w:rFonts w:hint="eastAsia"/>
          <w:highlight w:val="none"/>
        </w:rPr>
      </w:pPr>
      <w:r>
        <w:rPr>
          <w:highlight w:val="none"/>
        </w:rPr>
        <w:t>交货地点与方式：合同设备的交货地点为</w:t>
      </w:r>
      <w:r>
        <w:rPr>
          <w:rFonts w:hint="eastAsia"/>
          <w:highlight w:val="none"/>
        </w:rPr>
        <w:t>东莞市新东元环保投资有限公司</w:t>
      </w:r>
      <w:r>
        <w:rPr>
          <w:highlight w:val="none"/>
        </w:rPr>
        <w:t>工地现场，【</w:t>
      </w:r>
      <w:r>
        <w:rPr>
          <w:rFonts w:hint="eastAsia"/>
          <w:highlight w:val="none"/>
        </w:rPr>
        <w:t>落地</w:t>
      </w:r>
      <w:r>
        <w:rPr>
          <w:highlight w:val="none"/>
        </w:rPr>
        <w:t>交货】</w:t>
      </w:r>
      <w:r>
        <w:rPr>
          <w:rFonts w:hint="eastAsia" w:ascii="微软雅黑" w:hAnsi="微软雅黑" w:eastAsia="微软雅黑" w:cs="微软雅黑"/>
          <w:highlight w:val="none"/>
        </w:rPr>
        <w:t>｡</w:t>
      </w:r>
      <w:r>
        <w:rPr>
          <w:highlight w:val="none"/>
        </w:rPr>
        <w:t>所有合同设备完成安装调试经双方确认后交甲方试运行</w:t>
      </w:r>
      <w:r>
        <w:rPr>
          <w:rFonts w:hint="eastAsia" w:ascii="微软雅黑" w:hAnsi="微软雅黑" w:eastAsia="微软雅黑" w:cs="微软雅黑"/>
          <w:highlight w:val="none"/>
        </w:rPr>
        <w:t>｡</w:t>
      </w:r>
    </w:p>
    <w:p w14:paraId="006FB85D">
      <w:pPr>
        <w:pStyle w:val="44"/>
        <w:rPr>
          <w:rFonts w:hint="eastAsia"/>
          <w:highlight w:val="none"/>
        </w:rPr>
      </w:pPr>
      <w:r>
        <w:rPr>
          <w:highlight w:val="none"/>
        </w:rPr>
        <w:t>合同生效后</w:t>
      </w:r>
      <w:r>
        <w:rPr>
          <w:rFonts w:hint="eastAsia"/>
          <w:highlight w:val="none"/>
        </w:rPr>
        <w:t>10天</w:t>
      </w:r>
      <w:r>
        <w:rPr>
          <w:highlight w:val="none"/>
        </w:rPr>
        <w:t>内，乙方向甲方提供设备制造计划</w:t>
      </w:r>
      <w:r>
        <w:rPr>
          <w:rFonts w:hint="eastAsia" w:ascii="微软雅黑" w:hAnsi="微软雅黑" w:eastAsia="微软雅黑" w:cs="微软雅黑"/>
          <w:highlight w:val="none"/>
        </w:rPr>
        <w:t>､</w:t>
      </w:r>
      <w:r>
        <w:rPr>
          <w:rFonts w:hint="eastAsia" w:cs="宋体"/>
          <w:highlight w:val="none"/>
        </w:rPr>
        <w:t>到货计划</w:t>
      </w:r>
      <w:r>
        <w:rPr>
          <w:rFonts w:hint="eastAsia" w:ascii="微软雅黑" w:hAnsi="微软雅黑" w:eastAsia="微软雅黑" w:cs="微软雅黑"/>
          <w:highlight w:val="none"/>
        </w:rPr>
        <w:t>､</w:t>
      </w:r>
      <w:r>
        <w:rPr>
          <w:rFonts w:hint="eastAsia" w:cs="宋体"/>
          <w:highlight w:val="none"/>
        </w:rPr>
        <w:t>安装计划</w:t>
      </w:r>
      <w:r>
        <w:rPr>
          <w:rFonts w:hint="eastAsia" w:ascii="微软雅黑" w:hAnsi="微软雅黑" w:eastAsia="微软雅黑" w:cs="微软雅黑"/>
          <w:highlight w:val="none"/>
        </w:rPr>
        <w:t>､</w:t>
      </w:r>
      <w:r>
        <w:rPr>
          <w:rFonts w:hint="eastAsia" w:cs="宋体"/>
          <w:highlight w:val="none"/>
        </w:rPr>
        <w:t>调试计划</w:t>
      </w:r>
      <w:r>
        <w:rPr>
          <w:rFonts w:hint="eastAsia" w:ascii="微软雅黑" w:hAnsi="微软雅黑" w:eastAsia="微软雅黑" w:cs="微软雅黑"/>
          <w:highlight w:val="none"/>
        </w:rPr>
        <w:t>､</w:t>
      </w:r>
      <w:r>
        <w:rPr>
          <w:rFonts w:hint="eastAsia" w:cs="宋体"/>
          <w:highlight w:val="none"/>
        </w:rPr>
        <w:t>技术服务计划</w:t>
      </w:r>
      <w:r>
        <w:rPr>
          <w:rFonts w:hint="eastAsia" w:ascii="微软雅黑" w:hAnsi="微软雅黑" w:eastAsia="微软雅黑" w:cs="微软雅黑"/>
          <w:highlight w:val="none"/>
        </w:rPr>
        <w:t>､</w:t>
      </w:r>
      <w:r>
        <w:rPr>
          <w:rFonts w:hint="eastAsia" w:cs="宋体"/>
          <w:highlight w:val="none"/>
        </w:rPr>
        <w:t>合同设备移交计划</w:t>
      </w:r>
      <w:r>
        <w:rPr>
          <w:highlight w:val="none"/>
        </w:rPr>
        <w:t xml:space="preserve">； </w:t>
      </w:r>
    </w:p>
    <w:p w14:paraId="59007245">
      <w:pPr>
        <w:pStyle w:val="44"/>
        <w:rPr>
          <w:rFonts w:hint="eastAsia"/>
          <w:highlight w:val="none"/>
        </w:rPr>
      </w:pPr>
      <w:r>
        <w:rPr>
          <w:highlight w:val="none"/>
        </w:rPr>
        <w:t>乙方自行负责所有合同设备材料的运输；乙方自行负责整体工程移交甲方前的安全管理</w:t>
      </w:r>
      <w:r>
        <w:rPr>
          <w:rFonts w:hint="eastAsia"/>
          <w:highlight w:val="none"/>
          <w:lang w:eastAsia="zh-CN"/>
        </w:rPr>
        <w:t>，</w:t>
      </w:r>
      <w:r>
        <w:rPr>
          <w:rFonts w:hint="eastAsia"/>
          <w:highlight w:val="none"/>
          <w:lang w:val="en-US" w:eastAsia="zh-CN"/>
        </w:rPr>
        <w:t>在移交前包括损毁在内的全部风险由乙方承担</w:t>
      </w:r>
      <w:r>
        <w:rPr>
          <w:rFonts w:hint="eastAsia" w:ascii="微软雅黑" w:hAnsi="微软雅黑" w:eastAsia="微软雅黑" w:cs="微软雅黑"/>
          <w:highlight w:val="none"/>
        </w:rPr>
        <w:t>｡</w:t>
      </w:r>
    </w:p>
    <w:p w14:paraId="012C9A89">
      <w:pPr>
        <w:pStyle w:val="44"/>
        <w:rPr>
          <w:rFonts w:hint="eastAsia"/>
          <w:highlight w:val="none"/>
        </w:rPr>
      </w:pPr>
      <w:r>
        <w:rPr>
          <w:highlight w:val="none"/>
        </w:rPr>
        <w:t>乙方向甲方移交已完成调试</w:t>
      </w:r>
      <w:r>
        <w:rPr>
          <w:rFonts w:hint="eastAsia" w:ascii="微软雅黑" w:hAnsi="微软雅黑" w:eastAsia="微软雅黑" w:cs="微软雅黑"/>
          <w:highlight w:val="none"/>
        </w:rPr>
        <w:t>､</w:t>
      </w:r>
      <w:r>
        <w:rPr>
          <w:rFonts w:hint="eastAsia" w:cs="宋体"/>
          <w:highlight w:val="none"/>
        </w:rPr>
        <w:t>具备试运行条件的合同设备时</w:t>
      </w:r>
      <w:r>
        <w:rPr>
          <w:highlight w:val="none"/>
        </w:rPr>
        <w:t>，同时移交合同备品备件；双方应办理移交手续</w:t>
      </w:r>
      <w:r>
        <w:rPr>
          <w:rFonts w:hint="eastAsia" w:ascii="微软雅黑" w:hAnsi="微软雅黑" w:eastAsia="微软雅黑" w:cs="微软雅黑"/>
          <w:highlight w:val="none"/>
        </w:rPr>
        <w:t>｡</w:t>
      </w:r>
      <w:r>
        <w:rPr>
          <w:rFonts w:hint="eastAsia" w:cs="宋体"/>
          <w:highlight w:val="none"/>
        </w:rPr>
        <w:t>此移交日期即本合同</w:t>
      </w:r>
      <w:r>
        <w:rPr>
          <w:highlight w:val="none"/>
        </w:rPr>
        <w:t>11.1</w:t>
      </w:r>
      <w:r>
        <w:rPr>
          <w:rFonts w:hint="eastAsia"/>
          <w:highlight w:val="none"/>
        </w:rPr>
        <w:t>1</w:t>
      </w:r>
      <w:r>
        <w:rPr>
          <w:highlight w:val="none"/>
        </w:rPr>
        <w:t>款计算迟交货物违约金时的根据</w:t>
      </w:r>
      <w:r>
        <w:rPr>
          <w:rFonts w:hint="eastAsia" w:ascii="微软雅黑" w:hAnsi="微软雅黑" w:eastAsia="微软雅黑" w:cs="微软雅黑"/>
          <w:highlight w:val="none"/>
        </w:rPr>
        <w:t>｡</w:t>
      </w:r>
    </w:p>
    <w:p w14:paraId="764F1DDE">
      <w:pPr>
        <w:pStyle w:val="44"/>
        <w:rPr>
          <w:rFonts w:hint="eastAsia"/>
          <w:highlight w:val="none"/>
        </w:rPr>
      </w:pPr>
      <w:r>
        <w:rPr>
          <w:highlight w:val="none"/>
        </w:rPr>
        <w:t>在保证期内和在保证期满后至第一次大修时止由于乙方的过失或疏忽造成的供应设备(或部件)的损坏或潜在缺陷，而动用了甲方库存中的备品备件以调换损坏的设备或部件，则乙方应负责免费将动用的备品备件补齐，最迟不得超过15天运到甲方工地</w:t>
      </w:r>
      <w:r>
        <w:rPr>
          <w:rFonts w:hint="eastAsia" w:ascii="微软雅黑" w:hAnsi="微软雅黑" w:eastAsia="微软雅黑" w:cs="微软雅黑"/>
          <w:highlight w:val="none"/>
        </w:rPr>
        <w:t>｡</w:t>
      </w:r>
    </w:p>
    <w:p w14:paraId="5439B280">
      <w:pPr>
        <w:pStyle w:val="44"/>
        <w:rPr>
          <w:rFonts w:hint="eastAsia"/>
          <w:highlight w:val="none"/>
        </w:rPr>
      </w:pPr>
      <w:r>
        <w:rPr>
          <w:highlight w:val="none"/>
        </w:rPr>
        <w:t>技术文件交付和要求</w:t>
      </w:r>
    </w:p>
    <w:p w14:paraId="4481C539">
      <w:pPr>
        <w:pStyle w:val="46"/>
        <w:ind w:right="-94" w:rightChars="-39" w:hanging="720"/>
        <w:rPr>
          <w:rFonts w:hint="eastAsia"/>
          <w:highlight w:val="none"/>
        </w:rPr>
      </w:pPr>
      <w:r>
        <w:rPr>
          <w:highlight w:val="none"/>
        </w:rPr>
        <w:t>乙方应按《</w:t>
      </w:r>
      <w:r>
        <w:rPr>
          <w:rFonts w:hint="eastAsia"/>
          <w:highlight w:val="none"/>
          <w:lang w:eastAsia="zh-CN"/>
        </w:rPr>
        <w:t>东莞市海心沙资源综合利用中心环保热电厂循环水膜处理系统采购项目技术需求书</w:t>
      </w:r>
      <w:r>
        <w:rPr>
          <w:highlight w:val="none"/>
        </w:rPr>
        <w:t>》规定，向甲方分批提供满足垃圾发电厂设计</w:t>
      </w:r>
      <w:r>
        <w:rPr>
          <w:rFonts w:hint="eastAsia" w:ascii="微软雅黑" w:hAnsi="微软雅黑" w:eastAsia="微软雅黑" w:cs="微软雅黑"/>
          <w:highlight w:val="none"/>
        </w:rPr>
        <w:t>､</w:t>
      </w:r>
      <w:r>
        <w:rPr>
          <w:rFonts w:hint="eastAsia" w:cs="宋体"/>
          <w:highlight w:val="none"/>
        </w:rPr>
        <w:t>监造</w:t>
      </w:r>
      <w:r>
        <w:rPr>
          <w:rFonts w:hint="eastAsia" w:ascii="微软雅黑" w:hAnsi="微软雅黑" w:eastAsia="微软雅黑" w:cs="微软雅黑"/>
          <w:highlight w:val="none"/>
        </w:rPr>
        <w:t>､</w:t>
      </w:r>
      <w:r>
        <w:rPr>
          <w:rFonts w:hint="eastAsia" w:cs="宋体"/>
          <w:highlight w:val="none"/>
        </w:rPr>
        <w:t>施工</w:t>
      </w:r>
      <w:r>
        <w:rPr>
          <w:rFonts w:hint="eastAsia" w:ascii="微软雅黑" w:hAnsi="微软雅黑" w:eastAsia="微软雅黑" w:cs="微软雅黑"/>
          <w:highlight w:val="none"/>
        </w:rPr>
        <w:t>､</w:t>
      </w:r>
      <w:r>
        <w:rPr>
          <w:rFonts w:hint="eastAsia" w:cs="宋体"/>
          <w:highlight w:val="none"/>
        </w:rPr>
        <w:t>调试</w:t>
      </w:r>
      <w:r>
        <w:rPr>
          <w:rFonts w:hint="eastAsia" w:ascii="微软雅黑" w:hAnsi="微软雅黑" w:eastAsia="微软雅黑" w:cs="微软雅黑"/>
          <w:highlight w:val="none"/>
        </w:rPr>
        <w:t>､</w:t>
      </w:r>
      <w:r>
        <w:rPr>
          <w:rFonts w:hint="eastAsia" w:cs="宋体"/>
          <w:highlight w:val="none"/>
        </w:rPr>
        <w:t>试验</w:t>
      </w:r>
      <w:r>
        <w:rPr>
          <w:rFonts w:hint="eastAsia" w:ascii="微软雅黑" w:hAnsi="微软雅黑" w:eastAsia="微软雅黑" w:cs="微软雅黑"/>
          <w:highlight w:val="none"/>
        </w:rPr>
        <w:t>､</w:t>
      </w:r>
      <w:r>
        <w:rPr>
          <w:rFonts w:hint="eastAsia" w:cs="宋体"/>
          <w:highlight w:val="none"/>
        </w:rPr>
        <w:t>检验</w:t>
      </w:r>
      <w:r>
        <w:rPr>
          <w:rFonts w:hint="eastAsia" w:ascii="微软雅黑" w:hAnsi="微软雅黑" w:eastAsia="微软雅黑" w:cs="微软雅黑"/>
          <w:highlight w:val="none"/>
        </w:rPr>
        <w:t>､</w:t>
      </w:r>
      <w:r>
        <w:rPr>
          <w:rFonts w:hint="eastAsia" w:cs="宋体"/>
          <w:highlight w:val="none"/>
        </w:rPr>
        <w:t>培训</w:t>
      </w:r>
      <w:r>
        <w:rPr>
          <w:rFonts w:hint="eastAsia" w:ascii="微软雅黑" w:hAnsi="微软雅黑" w:eastAsia="微软雅黑" w:cs="微软雅黑"/>
          <w:highlight w:val="none"/>
        </w:rPr>
        <w:t>､</w:t>
      </w:r>
      <w:r>
        <w:rPr>
          <w:rFonts w:hint="eastAsia" w:cs="宋体"/>
          <w:highlight w:val="none"/>
        </w:rPr>
        <w:t>运行和维修所需的技术资料</w:t>
      </w:r>
      <w:r>
        <w:rPr>
          <w:highlight w:val="none"/>
        </w:rPr>
        <w:t>，按《</w:t>
      </w:r>
      <w:r>
        <w:rPr>
          <w:rFonts w:hint="eastAsia"/>
          <w:highlight w:val="none"/>
          <w:lang w:eastAsia="zh-CN"/>
        </w:rPr>
        <w:t>东莞市海心沙资源综合利用中心环保热电厂循环水膜处理系统采购项目技术需求书</w:t>
      </w:r>
      <w:r>
        <w:rPr>
          <w:highlight w:val="none"/>
        </w:rPr>
        <w:t>》的规定提供技术资料的纸质版8套及电子版1套；并分别列出上述技术资料的清单及符合附件《</w:t>
      </w:r>
      <w:r>
        <w:rPr>
          <w:rFonts w:hint="eastAsia"/>
          <w:highlight w:val="none"/>
          <w:lang w:eastAsia="zh-CN"/>
        </w:rPr>
        <w:t>东莞市海心沙资源综合利用中心环保热电厂循环水膜处理系统采购项目技术需求书</w:t>
      </w:r>
      <w:r>
        <w:rPr>
          <w:highlight w:val="none"/>
        </w:rPr>
        <w:t>》规定的交付进度</w:t>
      </w:r>
      <w:r>
        <w:rPr>
          <w:rFonts w:hint="eastAsia" w:ascii="微软雅黑" w:hAnsi="微软雅黑" w:eastAsia="微软雅黑" w:cs="微软雅黑"/>
          <w:highlight w:val="none"/>
        </w:rPr>
        <w:t>｡</w:t>
      </w:r>
    </w:p>
    <w:p w14:paraId="4177E4B0">
      <w:pPr>
        <w:pStyle w:val="46"/>
        <w:ind w:hanging="720"/>
        <w:rPr>
          <w:rFonts w:hint="eastAsia"/>
          <w:highlight w:val="none"/>
        </w:rPr>
      </w:pPr>
      <w:r>
        <w:rPr>
          <w:highlight w:val="none"/>
        </w:rPr>
        <w:t>乙方提供的资料应使用国家法定单位制即国际单位制，语言为中文，进口部件的外文图纸及文件应由乙方无偿翻译成中文，并提供外文原件和中文译本(投标文本以中文为准)</w:t>
      </w:r>
      <w:r>
        <w:rPr>
          <w:rFonts w:hint="eastAsia" w:ascii="微软雅黑" w:hAnsi="微软雅黑" w:eastAsia="微软雅黑" w:cs="微软雅黑"/>
          <w:highlight w:val="none"/>
        </w:rPr>
        <w:t>｡</w:t>
      </w:r>
      <w:r>
        <w:rPr>
          <w:rFonts w:hint="eastAsia" w:cs="宋体"/>
          <w:highlight w:val="none"/>
        </w:rPr>
        <w:t>说明书</w:t>
      </w:r>
      <w:r>
        <w:rPr>
          <w:rFonts w:hint="eastAsia" w:ascii="微软雅黑" w:hAnsi="微软雅黑" w:eastAsia="微软雅黑" w:cs="微软雅黑"/>
          <w:highlight w:val="none"/>
        </w:rPr>
        <w:t>､</w:t>
      </w:r>
      <w:r>
        <w:rPr>
          <w:rFonts w:hint="eastAsia" w:cs="宋体"/>
          <w:highlight w:val="none"/>
        </w:rPr>
        <w:t>计算书</w:t>
      </w:r>
      <w:r>
        <w:rPr>
          <w:rFonts w:hint="eastAsia" w:ascii="微软雅黑" w:hAnsi="微软雅黑" w:eastAsia="微软雅黑" w:cs="微软雅黑"/>
          <w:highlight w:val="none"/>
        </w:rPr>
        <w:t>､</w:t>
      </w:r>
      <w:r>
        <w:rPr>
          <w:rFonts w:hint="eastAsia" w:cs="宋体"/>
          <w:highlight w:val="none"/>
        </w:rPr>
        <w:t>资料清单等资料应使用</w:t>
      </w:r>
      <w:r>
        <w:rPr>
          <w:highlight w:val="none"/>
        </w:rPr>
        <w:t>WORD文档或EXCEL文档，图纸交付应同时交付蓝图及.dwg电子版文档；乙方应提供的详细资料，包括：</w:t>
      </w:r>
    </w:p>
    <w:p w14:paraId="2F8D0AA2">
      <w:pPr>
        <w:pStyle w:val="48"/>
        <w:rPr>
          <w:rFonts w:hint="eastAsia"/>
          <w:highlight w:val="none"/>
        </w:rPr>
      </w:pPr>
      <w:r>
        <w:rPr>
          <w:highlight w:val="none"/>
        </w:rPr>
        <w:t>产品质量合格证明书</w:t>
      </w:r>
      <w:r>
        <w:rPr>
          <w:rFonts w:hint="eastAsia" w:ascii="微软雅黑" w:hAnsi="微软雅黑" w:eastAsia="微软雅黑" w:cs="微软雅黑"/>
          <w:highlight w:val="none"/>
        </w:rPr>
        <w:t>､</w:t>
      </w:r>
      <w:r>
        <w:rPr>
          <w:rFonts w:hint="eastAsia" w:cs="宋体"/>
          <w:highlight w:val="none"/>
        </w:rPr>
        <w:t>出厂检测报告</w:t>
      </w:r>
      <w:r>
        <w:rPr>
          <w:highlight w:val="none"/>
        </w:rPr>
        <w:t>；</w:t>
      </w:r>
    </w:p>
    <w:p w14:paraId="50DDA265">
      <w:pPr>
        <w:pStyle w:val="48"/>
        <w:rPr>
          <w:rFonts w:hint="eastAsia"/>
          <w:highlight w:val="none"/>
        </w:rPr>
      </w:pPr>
      <w:r>
        <w:rPr>
          <w:highlight w:val="none"/>
        </w:rPr>
        <w:t xml:space="preserve">产品安装使用说明书(含电气和控制部分)； </w:t>
      </w:r>
    </w:p>
    <w:p w14:paraId="61ABE9B6">
      <w:pPr>
        <w:pStyle w:val="48"/>
        <w:rPr>
          <w:rFonts w:hint="eastAsia"/>
          <w:highlight w:val="none"/>
        </w:rPr>
      </w:pPr>
      <w:r>
        <w:rPr>
          <w:highlight w:val="none"/>
        </w:rPr>
        <w:t>产品技术资料</w:t>
      </w:r>
      <w:r>
        <w:rPr>
          <w:rFonts w:hint="eastAsia" w:ascii="微软雅黑" w:hAnsi="微软雅黑" w:eastAsia="微软雅黑" w:cs="微软雅黑"/>
          <w:highlight w:val="none"/>
        </w:rPr>
        <w:t>､</w:t>
      </w:r>
      <w:r>
        <w:rPr>
          <w:rFonts w:hint="eastAsia" w:cs="宋体"/>
          <w:highlight w:val="none"/>
        </w:rPr>
        <w:t>图纸</w:t>
      </w:r>
      <w:r>
        <w:rPr>
          <w:highlight w:val="none"/>
        </w:rPr>
        <w:t>(含设备结构图</w:t>
      </w:r>
      <w:r>
        <w:rPr>
          <w:rFonts w:hint="eastAsia" w:ascii="微软雅黑" w:hAnsi="微软雅黑" w:eastAsia="微软雅黑" w:cs="微软雅黑"/>
          <w:highlight w:val="none"/>
        </w:rPr>
        <w:t>､</w:t>
      </w:r>
      <w:r>
        <w:rPr>
          <w:rFonts w:hint="eastAsia" w:cs="宋体"/>
          <w:highlight w:val="none"/>
        </w:rPr>
        <w:t>总装图</w:t>
      </w:r>
      <w:r>
        <w:rPr>
          <w:highlight w:val="none"/>
        </w:rPr>
        <w:t>，设备外形尺寸图，电气接线原理图等)；</w:t>
      </w:r>
    </w:p>
    <w:p w14:paraId="1B31CFF9">
      <w:pPr>
        <w:pStyle w:val="48"/>
        <w:rPr>
          <w:rFonts w:hint="eastAsia"/>
          <w:highlight w:val="none"/>
        </w:rPr>
      </w:pPr>
      <w:r>
        <w:rPr>
          <w:highlight w:val="none"/>
        </w:rPr>
        <w:t>产品装箱清单；</w:t>
      </w:r>
    </w:p>
    <w:p w14:paraId="610449AA">
      <w:pPr>
        <w:pStyle w:val="48"/>
        <w:rPr>
          <w:rFonts w:hint="eastAsia"/>
          <w:highlight w:val="none"/>
        </w:rPr>
      </w:pPr>
      <w:r>
        <w:rPr>
          <w:highlight w:val="none"/>
        </w:rPr>
        <w:t>备品备件，易损件清单；</w:t>
      </w:r>
    </w:p>
    <w:p w14:paraId="7C8AE029">
      <w:pPr>
        <w:pStyle w:val="48"/>
        <w:rPr>
          <w:rFonts w:hint="eastAsia"/>
          <w:highlight w:val="none"/>
        </w:rPr>
      </w:pPr>
      <w:r>
        <w:rPr>
          <w:highlight w:val="none"/>
        </w:rPr>
        <w:t>其他有关的资料</w:t>
      </w:r>
      <w:r>
        <w:rPr>
          <w:rFonts w:hint="eastAsia" w:ascii="微软雅黑" w:hAnsi="微软雅黑" w:eastAsia="微软雅黑" w:cs="微软雅黑"/>
          <w:highlight w:val="none"/>
        </w:rPr>
        <w:t>｡</w:t>
      </w:r>
    </w:p>
    <w:p w14:paraId="76C68A30">
      <w:pPr>
        <w:pStyle w:val="46"/>
        <w:ind w:hanging="720"/>
        <w:rPr>
          <w:rFonts w:hint="eastAsia"/>
          <w:highlight w:val="none"/>
        </w:rPr>
      </w:pPr>
      <w:r>
        <w:rPr>
          <w:highlight w:val="none"/>
        </w:rPr>
        <w:t>技术资料一般以邮寄方式递交，每批技术资料交邮后，乙方应在24小时内将技术资料的交邮日期</w:t>
      </w:r>
      <w:r>
        <w:rPr>
          <w:rFonts w:hint="eastAsia" w:ascii="微软雅黑" w:hAnsi="微软雅黑" w:eastAsia="微软雅黑" w:cs="微软雅黑"/>
          <w:highlight w:val="none"/>
        </w:rPr>
        <w:t>､</w:t>
      </w:r>
      <w:r>
        <w:rPr>
          <w:rFonts w:hint="eastAsia" w:cs="宋体"/>
          <w:highlight w:val="none"/>
        </w:rPr>
        <w:t>邮单号</w:t>
      </w:r>
      <w:r>
        <w:rPr>
          <w:rFonts w:hint="eastAsia" w:ascii="微软雅黑" w:hAnsi="微软雅黑" w:eastAsia="微软雅黑" w:cs="微软雅黑"/>
          <w:highlight w:val="none"/>
        </w:rPr>
        <w:t>､</w:t>
      </w:r>
      <w:r>
        <w:rPr>
          <w:rFonts w:hint="eastAsia" w:cs="宋体"/>
          <w:highlight w:val="none"/>
        </w:rPr>
        <w:t>技术资料的详细清单</w:t>
      </w:r>
      <w:r>
        <w:rPr>
          <w:rFonts w:hint="eastAsia" w:ascii="微软雅黑" w:hAnsi="微软雅黑" w:eastAsia="微软雅黑" w:cs="微软雅黑"/>
          <w:highlight w:val="none"/>
        </w:rPr>
        <w:t>､</w:t>
      </w:r>
      <w:r>
        <w:rPr>
          <w:rFonts w:hint="eastAsia" w:cs="宋体"/>
          <w:highlight w:val="none"/>
        </w:rPr>
        <w:t>件数及重量</w:t>
      </w:r>
      <w:r>
        <w:rPr>
          <w:rFonts w:hint="eastAsia" w:ascii="微软雅黑" w:hAnsi="微软雅黑" w:eastAsia="微软雅黑" w:cs="微软雅黑"/>
          <w:highlight w:val="none"/>
        </w:rPr>
        <w:t>､</w:t>
      </w:r>
      <w:r>
        <w:rPr>
          <w:rFonts w:hint="eastAsia" w:cs="宋体"/>
          <w:highlight w:val="none"/>
        </w:rPr>
        <w:t>合同号等以传真或电报通知甲方</w:t>
      </w:r>
      <w:r>
        <w:rPr>
          <w:rFonts w:hint="eastAsia" w:ascii="微软雅黑" w:hAnsi="微软雅黑" w:eastAsia="微软雅黑" w:cs="微软雅黑"/>
          <w:highlight w:val="none"/>
        </w:rPr>
        <w:t>｡</w:t>
      </w:r>
    </w:p>
    <w:p w14:paraId="39B05909">
      <w:pPr>
        <w:pStyle w:val="46"/>
        <w:ind w:hanging="720"/>
        <w:rPr>
          <w:rFonts w:hint="eastAsia"/>
          <w:highlight w:val="none"/>
        </w:rPr>
      </w:pPr>
      <w:r>
        <w:rPr>
          <w:highlight w:val="none"/>
        </w:rPr>
        <w:t>技术资料的实际交付日期以甲方有关人员签字时间为准；如没有甲方有关人员签字的，以邮政部门提货通知单戳记时间为准，此日期将作为对任何延期交付资料进行延期违约金计算的依据</w:t>
      </w:r>
      <w:r>
        <w:rPr>
          <w:rFonts w:hint="eastAsia" w:ascii="微软雅黑" w:hAnsi="微软雅黑" w:eastAsia="微软雅黑" w:cs="微软雅黑"/>
          <w:highlight w:val="none"/>
        </w:rPr>
        <w:t>｡</w:t>
      </w:r>
      <w:r>
        <w:rPr>
          <w:rFonts w:hint="eastAsia" w:cs="宋体"/>
          <w:highlight w:val="none"/>
        </w:rPr>
        <w:t>如果技术资料经甲方</w:t>
      </w:r>
      <w:r>
        <w:rPr>
          <w:highlight w:val="none"/>
        </w:rPr>
        <w:t>或甲方代表检查后发现有缺少</w:t>
      </w:r>
      <w:r>
        <w:rPr>
          <w:rFonts w:hint="eastAsia" w:ascii="微软雅黑" w:hAnsi="微软雅黑" w:eastAsia="微软雅黑" w:cs="微软雅黑"/>
          <w:highlight w:val="none"/>
        </w:rPr>
        <w:t>､</w:t>
      </w:r>
      <w:r>
        <w:rPr>
          <w:rFonts w:hint="eastAsia" w:cs="宋体"/>
          <w:highlight w:val="none"/>
        </w:rPr>
        <w:t>丢失或损坏</w:t>
      </w:r>
      <w:r>
        <w:rPr>
          <w:highlight w:val="none"/>
        </w:rPr>
        <w:t>，且非甲方原因，乙方应在收到甲方通知后三天内(对急用者应在一天内)免费向现场补充提供缺少</w:t>
      </w:r>
      <w:r>
        <w:rPr>
          <w:rFonts w:hint="eastAsia" w:ascii="微软雅黑" w:hAnsi="微软雅黑" w:eastAsia="微软雅黑" w:cs="微软雅黑"/>
          <w:highlight w:val="none"/>
        </w:rPr>
        <w:t>､</w:t>
      </w:r>
      <w:r>
        <w:rPr>
          <w:rFonts w:hint="eastAsia" w:cs="宋体"/>
          <w:highlight w:val="none"/>
        </w:rPr>
        <w:t>丢失或损</w:t>
      </w:r>
      <w:r>
        <w:rPr>
          <w:rFonts w:hint="eastAsia"/>
          <w:highlight w:val="none"/>
        </w:rPr>
        <w:t>坏的部分</w:t>
      </w:r>
      <w:r>
        <w:rPr>
          <w:rFonts w:hint="eastAsia" w:ascii="微软雅黑" w:hAnsi="微软雅黑" w:eastAsia="微软雅黑" w:cs="微软雅黑"/>
          <w:highlight w:val="none"/>
        </w:rPr>
        <w:t>｡</w:t>
      </w:r>
      <w:r>
        <w:rPr>
          <w:rFonts w:hint="eastAsia" w:cs="宋体"/>
          <w:highlight w:val="none"/>
        </w:rPr>
        <w:t>如因甲方原因发生缺少</w:t>
      </w:r>
      <w:r>
        <w:rPr>
          <w:rFonts w:hint="eastAsia" w:ascii="微软雅黑" w:hAnsi="微软雅黑" w:eastAsia="微软雅黑" w:cs="微软雅黑"/>
          <w:highlight w:val="none"/>
        </w:rPr>
        <w:t>､</w:t>
      </w:r>
      <w:r>
        <w:rPr>
          <w:rFonts w:hint="eastAsia" w:cs="宋体"/>
          <w:highlight w:val="none"/>
        </w:rPr>
        <w:t>丢失或</w:t>
      </w:r>
      <w:r>
        <w:rPr>
          <w:highlight w:val="none"/>
        </w:rPr>
        <w:t>损坏，乙方应在接到甲方通知后五天内(对急用者应在两天内)，向现场补充提供缺少</w:t>
      </w:r>
      <w:r>
        <w:rPr>
          <w:rFonts w:hint="eastAsia" w:ascii="微软雅黑" w:hAnsi="微软雅黑" w:eastAsia="微软雅黑" w:cs="微软雅黑"/>
          <w:highlight w:val="none"/>
        </w:rPr>
        <w:t>､</w:t>
      </w:r>
      <w:r>
        <w:rPr>
          <w:rFonts w:hint="eastAsia" w:cs="宋体"/>
          <w:highlight w:val="none"/>
        </w:rPr>
        <w:t>丢失或损坏部分</w:t>
      </w:r>
      <w:r>
        <w:rPr>
          <w:highlight w:val="none"/>
        </w:rPr>
        <w:t>，费用由甲方承担</w:t>
      </w:r>
      <w:r>
        <w:rPr>
          <w:rFonts w:hint="eastAsia" w:ascii="微软雅黑" w:hAnsi="微软雅黑" w:eastAsia="微软雅黑" w:cs="微软雅黑"/>
          <w:highlight w:val="none"/>
        </w:rPr>
        <w:t>｡</w:t>
      </w:r>
    </w:p>
    <w:p w14:paraId="3D548304">
      <w:pPr>
        <w:pStyle w:val="42"/>
        <w:spacing w:before="163"/>
        <w:ind w:hanging="482"/>
        <w:rPr>
          <w:rFonts w:hint="eastAsia"/>
          <w:highlight w:val="none"/>
        </w:rPr>
      </w:pPr>
      <w:bookmarkStart w:id="18" w:name="_Toc475095464"/>
      <w:bookmarkStart w:id="19" w:name="_Toc475094753"/>
      <w:bookmarkStart w:id="20" w:name="_Toc149585875"/>
      <w:r>
        <w:rPr>
          <w:highlight w:val="none"/>
        </w:rPr>
        <w:t>包装与标记</w:t>
      </w:r>
      <w:bookmarkEnd w:id="18"/>
      <w:bookmarkEnd w:id="19"/>
      <w:bookmarkEnd w:id="20"/>
    </w:p>
    <w:p w14:paraId="6E32F4A3">
      <w:pPr>
        <w:pStyle w:val="44"/>
        <w:rPr>
          <w:rFonts w:hint="eastAsia"/>
          <w:highlight w:val="none"/>
        </w:rPr>
      </w:pPr>
      <w:r>
        <w:rPr>
          <w:highlight w:val="none"/>
        </w:rPr>
        <w:t>乙方到货的所有货物的包装</w:t>
      </w:r>
      <w:r>
        <w:rPr>
          <w:rFonts w:hint="eastAsia" w:ascii="微软雅黑" w:hAnsi="微软雅黑" w:eastAsia="微软雅黑" w:cs="微软雅黑"/>
          <w:highlight w:val="none"/>
        </w:rPr>
        <w:t>､</w:t>
      </w:r>
      <w:r>
        <w:rPr>
          <w:rFonts w:hint="eastAsia" w:cs="宋体"/>
          <w:highlight w:val="none"/>
        </w:rPr>
        <w:t>储运指示标志要符合国家</w:t>
      </w:r>
      <w:r>
        <w:rPr>
          <w:rFonts w:hint="eastAsia" w:ascii="微软雅黑" w:hAnsi="微软雅黑" w:eastAsia="微软雅黑" w:cs="微软雅黑"/>
          <w:highlight w:val="none"/>
        </w:rPr>
        <w:t>､</w:t>
      </w:r>
      <w:r>
        <w:rPr>
          <w:rFonts w:hint="eastAsia" w:cs="宋体"/>
          <w:highlight w:val="none"/>
        </w:rPr>
        <w:t>行业对本合同设备类设备的相关规定</w:t>
      </w:r>
      <w:r>
        <w:rPr>
          <w:highlight w:val="none"/>
        </w:rPr>
        <w:t>【</w:t>
      </w:r>
      <w:r>
        <w:rPr>
          <w:rFonts w:hint="eastAsia"/>
          <w:highlight w:val="none"/>
        </w:rPr>
        <w:t>GB191-2008</w:t>
      </w:r>
      <w:r>
        <w:rPr>
          <w:highlight w:val="none"/>
        </w:rPr>
        <w:t>】</w:t>
      </w:r>
      <w:r>
        <w:rPr>
          <w:rFonts w:hint="eastAsia" w:ascii="微软雅黑" w:hAnsi="微软雅黑" w:eastAsia="微软雅黑" w:cs="微软雅黑"/>
          <w:highlight w:val="none"/>
        </w:rPr>
        <w:t>｡</w:t>
      </w:r>
      <w:r>
        <w:rPr>
          <w:rFonts w:hint="eastAsia" w:cs="宋体"/>
          <w:highlight w:val="none"/>
        </w:rPr>
        <w:t>具有适合长途运输</w:t>
      </w:r>
      <w:r>
        <w:rPr>
          <w:rFonts w:hint="eastAsia" w:ascii="微软雅黑" w:hAnsi="微软雅黑" w:eastAsia="微软雅黑" w:cs="微软雅黑"/>
          <w:highlight w:val="none"/>
        </w:rPr>
        <w:t>､</w:t>
      </w:r>
      <w:r>
        <w:rPr>
          <w:rFonts w:hint="eastAsia" w:cs="宋体"/>
          <w:highlight w:val="none"/>
        </w:rPr>
        <w:t>多次搬运和装卸的坚固包装</w:t>
      </w:r>
      <w:r>
        <w:rPr>
          <w:highlight w:val="none"/>
        </w:rPr>
        <w:t>，包装应保证在运输</w:t>
      </w:r>
      <w:r>
        <w:rPr>
          <w:rFonts w:hint="eastAsia" w:ascii="微软雅黑" w:hAnsi="微软雅黑" w:eastAsia="微软雅黑" w:cs="微软雅黑"/>
          <w:highlight w:val="none"/>
        </w:rPr>
        <w:t>､</w:t>
      </w:r>
      <w:r>
        <w:rPr>
          <w:rFonts w:hint="eastAsia" w:cs="宋体"/>
          <w:highlight w:val="none"/>
        </w:rPr>
        <w:t>装卸过程中完好无损</w:t>
      </w:r>
      <w:r>
        <w:rPr>
          <w:highlight w:val="none"/>
        </w:rPr>
        <w:t>，并有</w:t>
      </w:r>
      <w:r>
        <w:rPr>
          <w:rFonts w:hint="eastAsia"/>
          <w:highlight w:val="none"/>
          <w:lang w:eastAsia="zh-CN"/>
        </w:rPr>
        <w:t>减震</w:t>
      </w:r>
      <w:r>
        <w:rPr>
          <w:rFonts w:hint="eastAsia" w:ascii="微软雅黑" w:hAnsi="微软雅黑" w:eastAsia="微软雅黑" w:cs="微软雅黑"/>
          <w:highlight w:val="none"/>
        </w:rPr>
        <w:t>､</w:t>
      </w:r>
      <w:r>
        <w:rPr>
          <w:rFonts w:hint="eastAsia" w:cs="宋体"/>
          <w:highlight w:val="none"/>
        </w:rPr>
        <w:t>防冲击的措施</w:t>
      </w:r>
      <w:r>
        <w:rPr>
          <w:rFonts w:hint="eastAsia" w:ascii="微软雅黑" w:hAnsi="微软雅黑" w:eastAsia="微软雅黑" w:cs="微软雅黑"/>
          <w:highlight w:val="none"/>
        </w:rPr>
        <w:t>｡</w:t>
      </w:r>
      <w:r>
        <w:rPr>
          <w:rFonts w:hint="eastAsia" w:cs="宋体"/>
          <w:highlight w:val="none"/>
        </w:rPr>
        <w:t>若包装无法防止运输</w:t>
      </w:r>
      <w:r>
        <w:rPr>
          <w:rFonts w:hint="eastAsia" w:ascii="微软雅黑" w:hAnsi="微软雅黑" w:eastAsia="微软雅黑" w:cs="微软雅黑"/>
          <w:highlight w:val="none"/>
        </w:rPr>
        <w:t>､</w:t>
      </w:r>
      <w:r>
        <w:rPr>
          <w:rFonts w:hint="eastAsia" w:cs="宋体"/>
          <w:highlight w:val="none"/>
        </w:rPr>
        <w:t>装卸过程中垂直</w:t>
      </w:r>
      <w:r>
        <w:rPr>
          <w:rFonts w:hint="eastAsia" w:ascii="微软雅黑" w:hAnsi="微软雅黑" w:eastAsia="微软雅黑" w:cs="微软雅黑"/>
          <w:highlight w:val="none"/>
        </w:rPr>
        <w:t>､</w:t>
      </w:r>
      <w:r>
        <w:rPr>
          <w:rFonts w:hint="eastAsia" w:cs="宋体"/>
          <w:highlight w:val="none"/>
        </w:rPr>
        <w:t>水平加速度等引起的设备损坏</w:t>
      </w:r>
      <w:r>
        <w:rPr>
          <w:highlight w:val="none"/>
        </w:rPr>
        <w:t>，乙方要在设备的设计结构上予以解决</w:t>
      </w:r>
      <w:r>
        <w:rPr>
          <w:rFonts w:hint="eastAsia" w:ascii="微软雅黑" w:hAnsi="微软雅黑" w:eastAsia="微软雅黑" w:cs="微软雅黑"/>
          <w:highlight w:val="none"/>
        </w:rPr>
        <w:t>｡</w:t>
      </w:r>
      <w:r>
        <w:rPr>
          <w:rFonts w:hint="eastAsia" w:cs="宋体"/>
          <w:highlight w:val="none"/>
        </w:rPr>
        <w:t>包装应按设备特点</w:t>
      </w:r>
      <w:r>
        <w:rPr>
          <w:highlight w:val="none"/>
        </w:rPr>
        <w:t>，按需要分别加上防潮</w:t>
      </w:r>
      <w:r>
        <w:rPr>
          <w:rFonts w:hint="eastAsia" w:ascii="微软雅黑" w:hAnsi="微软雅黑" w:eastAsia="微软雅黑" w:cs="微软雅黑"/>
          <w:highlight w:val="none"/>
        </w:rPr>
        <w:t>､</w:t>
      </w:r>
      <w:r>
        <w:rPr>
          <w:rFonts w:hint="eastAsia" w:cs="宋体"/>
          <w:highlight w:val="none"/>
        </w:rPr>
        <w:t>防霉</w:t>
      </w:r>
      <w:r>
        <w:rPr>
          <w:rFonts w:hint="eastAsia" w:ascii="微软雅黑" w:hAnsi="微软雅黑" w:eastAsia="微软雅黑" w:cs="微软雅黑"/>
          <w:highlight w:val="none"/>
        </w:rPr>
        <w:t>､</w:t>
      </w:r>
      <w:r>
        <w:rPr>
          <w:rFonts w:hint="eastAsia" w:cs="宋体"/>
          <w:highlight w:val="none"/>
        </w:rPr>
        <w:t>防锈</w:t>
      </w:r>
      <w:r>
        <w:rPr>
          <w:rFonts w:hint="eastAsia" w:ascii="微软雅黑" w:hAnsi="微软雅黑" w:eastAsia="微软雅黑" w:cs="微软雅黑"/>
          <w:highlight w:val="none"/>
        </w:rPr>
        <w:t>､</w:t>
      </w:r>
      <w:r>
        <w:rPr>
          <w:rFonts w:hint="eastAsia" w:cs="宋体"/>
          <w:highlight w:val="none"/>
        </w:rPr>
        <w:t>防腐蚀的保护措施</w:t>
      </w:r>
      <w:r>
        <w:rPr>
          <w:highlight w:val="none"/>
        </w:rPr>
        <w:t>，以保证货物在没有任何损坏和腐蚀的情况下安全运抵合同设备安装现场</w:t>
      </w:r>
      <w:r>
        <w:rPr>
          <w:rFonts w:hint="eastAsia" w:ascii="微软雅黑" w:hAnsi="微软雅黑" w:eastAsia="微软雅黑" w:cs="微软雅黑"/>
          <w:highlight w:val="none"/>
        </w:rPr>
        <w:t>｡</w:t>
      </w:r>
      <w:r>
        <w:rPr>
          <w:rFonts w:hint="eastAsia" w:cs="宋体"/>
          <w:highlight w:val="none"/>
        </w:rPr>
        <w:t>产品包装前</w:t>
      </w:r>
      <w:r>
        <w:rPr>
          <w:highlight w:val="none"/>
        </w:rPr>
        <w:t>，乙方负责按部套进行检查清理，不留异物，并保证零部件齐全</w:t>
      </w:r>
      <w:r>
        <w:rPr>
          <w:rFonts w:hint="eastAsia" w:ascii="微软雅黑" w:hAnsi="微软雅黑" w:eastAsia="微软雅黑" w:cs="微软雅黑"/>
          <w:highlight w:val="none"/>
        </w:rPr>
        <w:t>｡</w:t>
      </w:r>
    </w:p>
    <w:p w14:paraId="33DFF64B">
      <w:pPr>
        <w:pStyle w:val="44"/>
        <w:rPr>
          <w:rFonts w:hint="eastAsia"/>
          <w:highlight w:val="none"/>
        </w:rPr>
      </w:pPr>
      <w:r>
        <w:rPr>
          <w:highlight w:val="none"/>
        </w:rPr>
        <w:t>乙方对包装箱内和捆内的各散装部件在装配图中的部件号</w:t>
      </w:r>
      <w:r>
        <w:rPr>
          <w:rFonts w:hint="eastAsia" w:ascii="微软雅黑" w:hAnsi="微软雅黑" w:eastAsia="微软雅黑" w:cs="微软雅黑"/>
          <w:highlight w:val="none"/>
        </w:rPr>
        <w:t>､</w:t>
      </w:r>
      <w:r>
        <w:rPr>
          <w:rFonts w:hint="eastAsia" w:cs="宋体"/>
          <w:highlight w:val="none"/>
        </w:rPr>
        <w:t>零件号应标记清楚</w:t>
      </w:r>
      <w:r>
        <w:rPr>
          <w:rFonts w:hint="eastAsia" w:ascii="微软雅黑" w:hAnsi="微软雅黑" w:eastAsia="微软雅黑" w:cs="微软雅黑"/>
          <w:highlight w:val="none"/>
        </w:rPr>
        <w:t>｡</w:t>
      </w:r>
    </w:p>
    <w:p w14:paraId="31F8766F">
      <w:pPr>
        <w:pStyle w:val="44"/>
        <w:rPr>
          <w:rFonts w:hint="eastAsia"/>
          <w:highlight w:val="none"/>
        </w:rPr>
      </w:pPr>
      <w:r>
        <w:rPr>
          <w:highlight w:val="none"/>
        </w:rPr>
        <w:t>乙方应在每件包装箱的两个侧面上，用不褪色的油漆以明显易见的中文字样印刷以下标记：</w:t>
      </w:r>
    </w:p>
    <w:p w14:paraId="23E45C57">
      <w:pPr>
        <w:pStyle w:val="48"/>
        <w:rPr>
          <w:rFonts w:hint="eastAsia"/>
          <w:highlight w:val="none"/>
        </w:rPr>
      </w:pPr>
      <w:r>
        <w:rPr>
          <w:highlight w:val="none"/>
        </w:rPr>
        <w:t>合同号：</w:t>
      </w:r>
    </w:p>
    <w:p w14:paraId="0AB72B2F">
      <w:pPr>
        <w:pStyle w:val="48"/>
        <w:rPr>
          <w:rFonts w:hint="eastAsia"/>
          <w:highlight w:val="none"/>
        </w:rPr>
      </w:pPr>
      <w:r>
        <w:rPr>
          <w:highlight w:val="none"/>
        </w:rPr>
        <w:t>目的地：</w:t>
      </w:r>
    </w:p>
    <w:p w14:paraId="300058AE">
      <w:pPr>
        <w:pStyle w:val="48"/>
        <w:rPr>
          <w:rFonts w:hint="eastAsia"/>
          <w:highlight w:val="none"/>
        </w:rPr>
      </w:pPr>
      <w:r>
        <w:rPr>
          <w:highlight w:val="none"/>
        </w:rPr>
        <w:t>供货</w:t>
      </w:r>
      <w:r>
        <w:rPr>
          <w:rFonts w:hint="eastAsia" w:ascii="微软雅黑" w:hAnsi="微软雅黑" w:eastAsia="微软雅黑" w:cs="微软雅黑"/>
          <w:highlight w:val="none"/>
        </w:rPr>
        <w:t>､</w:t>
      </w:r>
      <w:r>
        <w:rPr>
          <w:rFonts w:hint="eastAsia"/>
          <w:highlight w:val="none"/>
        </w:rPr>
        <w:t>收货单位名称</w:t>
      </w:r>
      <w:r>
        <w:rPr>
          <w:highlight w:val="none"/>
        </w:rPr>
        <w:t>：</w:t>
      </w:r>
    </w:p>
    <w:p w14:paraId="1856E44E">
      <w:pPr>
        <w:pStyle w:val="48"/>
        <w:rPr>
          <w:rFonts w:hint="eastAsia"/>
          <w:highlight w:val="none"/>
        </w:rPr>
      </w:pPr>
      <w:r>
        <w:rPr>
          <w:highlight w:val="none"/>
        </w:rPr>
        <w:t>设备名称</w:t>
      </w:r>
      <w:r>
        <w:rPr>
          <w:rFonts w:hint="eastAsia" w:ascii="微软雅黑" w:hAnsi="微软雅黑" w:eastAsia="微软雅黑" w:cs="微软雅黑"/>
          <w:highlight w:val="none"/>
        </w:rPr>
        <w:t>､</w:t>
      </w:r>
      <w:r>
        <w:rPr>
          <w:rFonts w:hint="eastAsia"/>
          <w:highlight w:val="none"/>
        </w:rPr>
        <w:t>图号</w:t>
      </w:r>
      <w:r>
        <w:rPr>
          <w:highlight w:val="none"/>
        </w:rPr>
        <w:t>：</w:t>
      </w:r>
    </w:p>
    <w:p w14:paraId="588136B0">
      <w:pPr>
        <w:pStyle w:val="48"/>
        <w:rPr>
          <w:rFonts w:hint="eastAsia"/>
          <w:highlight w:val="none"/>
        </w:rPr>
      </w:pPr>
      <w:r>
        <w:rPr>
          <w:highlight w:val="none"/>
        </w:rPr>
        <w:t>箱号/件号：</w:t>
      </w:r>
    </w:p>
    <w:p w14:paraId="701BDA2C">
      <w:pPr>
        <w:pStyle w:val="48"/>
        <w:rPr>
          <w:rFonts w:hint="eastAsia"/>
          <w:highlight w:val="none"/>
        </w:rPr>
      </w:pPr>
      <w:r>
        <w:rPr>
          <w:highlight w:val="none"/>
        </w:rPr>
        <w:t>毛重/净重(公斤)：</w:t>
      </w:r>
    </w:p>
    <w:p w14:paraId="778DBAD3">
      <w:pPr>
        <w:pStyle w:val="48"/>
        <w:rPr>
          <w:rFonts w:hint="eastAsia"/>
          <w:highlight w:val="none"/>
        </w:rPr>
      </w:pPr>
      <w:r>
        <w:rPr>
          <w:highlight w:val="none"/>
        </w:rPr>
        <w:t>体积(长×宽×高，以毫米表示)</w:t>
      </w:r>
      <w:r>
        <w:rPr>
          <w:rFonts w:hint="eastAsia" w:ascii="微软雅黑" w:hAnsi="微软雅黑" w:eastAsia="微软雅黑" w:cs="微软雅黑"/>
          <w:highlight w:val="none"/>
        </w:rPr>
        <w:t>｡</w:t>
      </w:r>
    </w:p>
    <w:p w14:paraId="13451FC6">
      <w:pPr>
        <w:pStyle w:val="44"/>
        <w:rPr>
          <w:rFonts w:hint="eastAsia"/>
          <w:highlight w:val="none"/>
        </w:rPr>
      </w:pPr>
      <w:r>
        <w:rPr>
          <w:highlight w:val="none"/>
        </w:rPr>
        <w:t>包装箱外部应有如下运输作业标志：</w:t>
      </w:r>
    </w:p>
    <w:p w14:paraId="5DE0B0CA">
      <w:pPr>
        <w:pStyle w:val="48"/>
        <w:rPr>
          <w:rFonts w:hint="eastAsia"/>
          <w:highlight w:val="none"/>
        </w:rPr>
      </w:pPr>
      <w:r>
        <w:rPr>
          <w:highlight w:val="none"/>
        </w:rPr>
        <w:t>包括防潮</w:t>
      </w:r>
      <w:r>
        <w:rPr>
          <w:rFonts w:hint="eastAsia" w:ascii="微软雅黑" w:hAnsi="微软雅黑" w:eastAsia="微软雅黑" w:cs="微软雅黑"/>
          <w:highlight w:val="none"/>
        </w:rPr>
        <w:t>､</w:t>
      </w:r>
      <w:r>
        <w:rPr>
          <w:rFonts w:hint="eastAsia"/>
          <w:highlight w:val="none"/>
        </w:rPr>
        <w:t>防震</w:t>
      </w:r>
      <w:r>
        <w:rPr>
          <w:rFonts w:hint="eastAsia" w:ascii="微软雅黑" w:hAnsi="微软雅黑" w:eastAsia="微软雅黑" w:cs="微软雅黑"/>
          <w:highlight w:val="none"/>
        </w:rPr>
        <w:t>､</w:t>
      </w:r>
      <w:r>
        <w:rPr>
          <w:rFonts w:hint="eastAsia"/>
          <w:highlight w:val="none"/>
        </w:rPr>
        <w:t>放置方向</w:t>
      </w:r>
      <w:r>
        <w:rPr>
          <w:highlight w:val="none"/>
        </w:rPr>
        <w:t>，重心位置</w:t>
      </w:r>
      <w:r>
        <w:rPr>
          <w:rFonts w:hint="eastAsia" w:ascii="微软雅黑" w:hAnsi="微软雅黑" w:eastAsia="微软雅黑" w:cs="微软雅黑"/>
          <w:highlight w:val="none"/>
        </w:rPr>
        <w:t>､</w:t>
      </w:r>
      <w:r>
        <w:rPr>
          <w:rFonts w:hint="eastAsia"/>
          <w:highlight w:val="none"/>
        </w:rPr>
        <w:t>绳索固定部位等</w:t>
      </w:r>
      <w:r>
        <w:rPr>
          <w:rFonts w:hint="eastAsia" w:ascii="微软雅黑" w:hAnsi="微软雅黑" w:eastAsia="微软雅黑" w:cs="微软雅黑"/>
          <w:highlight w:val="none"/>
        </w:rPr>
        <w:t>｡</w:t>
      </w:r>
    </w:p>
    <w:p w14:paraId="0FEB28A0">
      <w:pPr>
        <w:pStyle w:val="48"/>
        <w:rPr>
          <w:rFonts w:hint="eastAsia"/>
          <w:highlight w:val="none"/>
        </w:rPr>
      </w:pPr>
      <w:r>
        <w:rPr>
          <w:highlight w:val="none"/>
        </w:rPr>
        <w:t>凡重量二吨以上或者尺寸超过9米×3米×3 米的每件货物，应在包装箱的侧面以运输常用的标记和图案标明重心位置及起吊点，以便于装卸搬运</w:t>
      </w:r>
      <w:r>
        <w:rPr>
          <w:rFonts w:hint="eastAsia" w:ascii="微软雅黑" w:hAnsi="微软雅黑" w:eastAsia="微软雅黑" w:cs="微软雅黑"/>
          <w:highlight w:val="none"/>
        </w:rPr>
        <w:t>｡</w:t>
      </w:r>
      <w:r>
        <w:rPr>
          <w:rFonts w:hint="eastAsia" w:cs="宋体"/>
          <w:highlight w:val="none"/>
        </w:rPr>
        <w:t>按照货物的特点</w:t>
      </w:r>
      <w:r>
        <w:rPr>
          <w:highlight w:val="none"/>
        </w:rPr>
        <w:t>，装卸和运输上的不同要求，包装箱上应明显地印刷有“轻放”</w:t>
      </w:r>
      <w:r>
        <w:rPr>
          <w:rFonts w:hint="eastAsia" w:ascii="微软雅黑" w:hAnsi="微软雅黑" w:eastAsia="微软雅黑" w:cs="微软雅黑"/>
          <w:highlight w:val="none"/>
        </w:rPr>
        <w:t>､</w:t>
      </w:r>
      <w:r>
        <w:rPr>
          <w:rFonts w:hint="eastAsia" w:cs="宋体"/>
          <w:highlight w:val="none"/>
        </w:rPr>
        <w:t>“勿倒置”和</w:t>
      </w:r>
      <w:r>
        <w:rPr>
          <w:highlight w:val="none"/>
        </w:rPr>
        <w:t>“防雨”等字样</w:t>
      </w:r>
      <w:r>
        <w:rPr>
          <w:rFonts w:hint="eastAsia" w:ascii="微软雅黑" w:hAnsi="微软雅黑" w:eastAsia="微软雅黑" w:cs="微软雅黑"/>
          <w:highlight w:val="none"/>
        </w:rPr>
        <w:t>｡</w:t>
      </w:r>
    </w:p>
    <w:p w14:paraId="4B824389">
      <w:pPr>
        <w:pStyle w:val="44"/>
        <w:rPr>
          <w:rFonts w:hint="eastAsia"/>
          <w:highlight w:val="none"/>
        </w:rPr>
      </w:pPr>
      <w:r>
        <w:rPr>
          <w:highlight w:val="none"/>
        </w:rPr>
        <w:t>对裸装货物应以金属标签或直接在设备本身上注明上述有关内容</w:t>
      </w:r>
      <w:r>
        <w:rPr>
          <w:rFonts w:hint="eastAsia" w:ascii="微软雅黑" w:hAnsi="微软雅黑" w:eastAsia="微软雅黑" w:cs="微软雅黑"/>
          <w:highlight w:val="none"/>
        </w:rPr>
        <w:t>｡</w:t>
      </w:r>
      <w:r>
        <w:rPr>
          <w:rFonts w:hint="eastAsia" w:cs="宋体"/>
          <w:highlight w:val="none"/>
        </w:rPr>
        <w:t>大件货物应带有足够的货物支架或包装垫木</w:t>
      </w:r>
      <w:r>
        <w:rPr>
          <w:rFonts w:hint="eastAsia" w:ascii="微软雅黑" w:hAnsi="微软雅黑" w:eastAsia="微软雅黑" w:cs="微软雅黑"/>
          <w:highlight w:val="none"/>
        </w:rPr>
        <w:t>｡</w:t>
      </w:r>
    </w:p>
    <w:p w14:paraId="5F65CE90">
      <w:pPr>
        <w:pStyle w:val="44"/>
        <w:rPr>
          <w:rFonts w:hint="eastAsia"/>
          <w:highlight w:val="none"/>
        </w:rPr>
      </w:pPr>
      <w:r>
        <w:rPr>
          <w:highlight w:val="none"/>
        </w:rPr>
        <w:t>每件包装箱内，应附有包括分件名称</w:t>
      </w:r>
      <w:r>
        <w:rPr>
          <w:rFonts w:hint="eastAsia" w:ascii="微软雅黑" w:hAnsi="微软雅黑" w:eastAsia="微软雅黑" w:cs="微软雅黑"/>
          <w:highlight w:val="none"/>
        </w:rPr>
        <w:t>､</w:t>
      </w:r>
      <w:r>
        <w:rPr>
          <w:rFonts w:hint="eastAsia"/>
          <w:highlight w:val="none"/>
        </w:rPr>
        <w:t>规格型号</w:t>
      </w:r>
      <w:r>
        <w:rPr>
          <w:rFonts w:hint="eastAsia" w:ascii="微软雅黑" w:hAnsi="微软雅黑" w:eastAsia="微软雅黑" w:cs="微软雅黑"/>
          <w:highlight w:val="none"/>
        </w:rPr>
        <w:t>､</w:t>
      </w:r>
      <w:r>
        <w:rPr>
          <w:rFonts w:hint="eastAsia"/>
          <w:highlight w:val="none"/>
        </w:rPr>
        <w:t>数量</w:t>
      </w:r>
      <w:r>
        <w:rPr>
          <w:rFonts w:hint="eastAsia" w:ascii="微软雅黑" w:hAnsi="微软雅黑" w:eastAsia="微软雅黑" w:cs="微软雅黑"/>
          <w:highlight w:val="none"/>
        </w:rPr>
        <w:t>､</w:t>
      </w:r>
      <w:r>
        <w:rPr>
          <w:rFonts w:hint="eastAsia"/>
          <w:highlight w:val="none"/>
        </w:rPr>
        <w:t>价格</w:t>
      </w:r>
      <w:r>
        <w:rPr>
          <w:rFonts w:hint="eastAsia" w:ascii="微软雅黑" w:hAnsi="微软雅黑" w:eastAsia="微软雅黑" w:cs="微软雅黑"/>
          <w:highlight w:val="none"/>
        </w:rPr>
        <w:t>､</w:t>
      </w:r>
      <w:r>
        <w:rPr>
          <w:rFonts w:hint="eastAsia"/>
          <w:highlight w:val="none"/>
        </w:rPr>
        <w:t>图号的详细装箱单</w:t>
      </w:r>
      <w:r>
        <w:rPr>
          <w:rFonts w:hint="eastAsia" w:ascii="微软雅黑" w:hAnsi="微软雅黑" w:eastAsia="微软雅黑" w:cs="微软雅黑"/>
          <w:highlight w:val="none"/>
        </w:rPr>
        <w:t>､</w:t>
      </w:r>
      <w:r>
        <w:rPr>
          <w:rFonts w:hint="eastAsia"/>
          <w:highlight w:val="none"/>
        </w:rPr>
        <w:t>合格证</w:t>
      </w:r>
      <w:r>
        <w:rPr>
          <w:rFonts w:hint="eastAsia" w:ascii="微软雅黑" w:hAnsi="微软雅黑" w:eastAsia="微软雅黑" w:cs="微软雅黑"/>
          <w:highlight w:val="none"/>
        </w:rPr>
        <w:t>｡</w:t>
      </w:r>
      <w:r>
        <w:rPr>
          <w:rFonts w:hint="eastAsia"/>
          <w:highlight w:val="none"/>
        </w:rPr>
        <w:t>外购件包装箱内应有产品出厂质量合格证明书</w:t>
      </w:r>
      <w:r>
        <w:rPr>
          <w:rFonts w:hint="eastAsia" w:ascii="微软雅黑" w:hAnsi="微软雅黑" w:eastAsia="微软雅黑" w:cs="微软雅黑"/>
          <w:highlight w:val="none"/>
        </w:rPr>
        <w:t>､</w:t>
      </w:r>
      <w:r>
        <w:rPr>
          <w:rFonts w:hint="eastAsia"/>
          <w:highlight w:val="none"/>
        </w:rPr>
        <w:t>技术说明各一份</w:t>
      </w:r>
      <w:r>
        <w:rPr>
          <w:rFonts w:hint="eastAsia" w:ascii="微软雅黑" w:hAnsi="微软雅黑" w:eastAsia="微软雅黑" w:cs="微软雅黑"/>
          <w:highlight w:val="none"/>
        </w:rPr>
        <w:t>｡</w:t>
      </w:r>
      <w:r>
        <w:rPr>
          <w:rFonts w:hint="eastAsia"/>
          <w:highlight w:val="none"/>
        </w:rPr>
        <w:t>另邮寄装箱清单各二份</w:t>
      </w:r>
      <w:r>
        <w:rPr>
          <w:rFonts w:hint="eastAsia" w:ascii="微软雅黑" w:hAnsi="微软雅黑" w:eastAsia="微软雅黑" w:cs="微软雅黑"/>
          <w:highlight w:val="none"/>
        </w:rPr>
        <w:t>｡</w:t>
      </w:r>
    </w:p>
    <w:p w14:paraId="5FB24473">
      <w:pPr>
        <w:pStyle w:val="44"/>
        <w:rPr>
          <w:rFonts w:hint="eastAsia"/>
          <w:highlight w:val="none"/>
        </w:rPr>
      </w:pPr>
      <w:r>
        <w:rPr>
          <w:highlight w:val="none"/>
        </w:rPr>
        <w:t>《</w:t>
      </w:r>
      <w:r>
        <w:rPr>
          <w:rFonts w:hint="eastAsia"/>
          <w:highlight w:val="none"/>
          <w:lang w:eastAsia="zh-CN"/>
        </w:rPr>
        <w:t>东莞市海心沙资源综合利用中心环保热电厂循环水膜处理系统采购项目技术需求书</w:t>
      </w:r>
      <w:r>
        <w:rPr>
          <w:highlight w:val="none"/>
        </w:rPr>
        <w:t>》中列明的备品备件</w:t>
      </w:r>
      <w:r>
        <w:rPr>
          <w:rFonts w:hint="eastAsia" w:ascii="微软雅黑" w:hAnsi="微软雅黑" w:eastAsia="微软雅黑" w:cs="微软雅黑"/>
          <w:highlight w:val="none"/>
        </w:rPr>
        <w:t>､</w:t>
      </w:r>
      <w:r>
        <w:rPr>
          <w:rFonts w:hint="eastAsia" w:cs="宋体"/>
          <w:highlight w:val="none"/>
        </w:rPr>
        <w:t>专</w:t>
      </w:r>
      <w:r>
        <w:rPr>
          <w:highlight w:val="none"/>
        </w:rPr>
        <w:t>用工具应按每套设备分别包装，并在包装箱外加以注明，一次性发货</w:t>
      </w:r>
      <w:r>
        <w:rPr>
          <w:rFonts w:hint="eastAsia" w:ascii="微软雅黑" w:hAnsi="微软雅黑" w:eastAsia="微软雅黑" w:cs="微软雅黑"/>
          <w:highlight w:val="none"/>
        </w:rPr>
        <w:t>｡</w:t>
      </w:r>
    </w:p>
    <w:p w14:paraId="54F8DD52">
      <w:pPr>
        <w:pStyle w:val="44"/>
        <w:rPr>
          <w:rFonts w:hint="eastAsia"/>
          <w:highlight w:val="none"/>
        </w:rPr>
      </w:pPr>
      <w:r>
        <w:rPr>
          <w:highlight w:val="none"/>
        </w:rPr>
        <w:t>各种设备的松散零星部件应采用好的包装方式，装入尺寸适当的箱内，并尽可能整车发运以减少运输费用</w:t>
      </w:r>
      <w:r>
        <w:rPr>
          <w:rFonts w:hint="eastAsia" w:ascii="微软雅黑" w:hAnsi="微软雅黑" w:eastAsia="微软雅黑" w:cs="微软雅黑"/>
          <w:highlight w:val="none"/>
        </w:rPr>
        <w:t>｡</w:t>
      </w:r>
    </w:p>
    <w:p w14:paraId="6A4F820E">
      <w:pPr>
        <w:pStyle w:val="44"/>
        <w:rPr>
          <w:rFonts w:hint="eastAsia"/>
          <w:highlight w:val="none"/>
        </w:rPr>
      </w:pPr>
      <w:r>
        <w:rPr>
          <w:highlight w:val="none"/>
        </w:rPr>
        <w:t>栅格式箱子和/或类似的包装，应能用于盛装不至于被偷窃或被其他物品或雨水造成损坏的设备及零部件</w:t>
      </w:r>
      <w:r>
        <w:rPr>
          <w:rFonts w:hint="eastAsia" w:ascii="微软雅黑" w:hAnsi="微软雅黑" w:eastAsia="微软雅黑" w:cs="微软雅黑"/>
          <w:highlight w:val="none"/>
        </w:rPr>
        <w:t>｡</w:t>
      </w:r>
    </w:p>
    <w:p w14:paraId="073D492D">
      <w:pPr>
        <w:pStyle w:val="44"/>
        <w:rPr>
          <w:rFonts w:hint="eastAsia"/>
          <w:highlight w:val="none"/>
        </w:rPr>
      </w:pPr>
      <w:r>
        <w:rPr>
          <w:highlight w:val="none"/>
        </w:rPr>
        <w:t>所有管道</w:t>
      </w:r>
      <w:r>
        <w:rPr>
          <w:rFonts w:hint="eastAsia" w:ascii="微软雅黑" w:hAnsi="微软雅黑" w:eastAsia="微软雅黑" w:cs="微软雅黑"/>
          <w:highlight w:val="none"/>
        </w:rPr>
        <w:t>､</w:t>
      </w:r>
      <w:r>
        <w:rPr>
          <w:rFonts w:hint="eastAsia"/>
          <w:highlight w:val="none"/>
        </w:rPr>
        <w:t>管件</w:t>
      </w:r>
      <w:r>
        <w:rPr>
          <w:rFonts w:hint="eastAsia" w:ascii="微软雅黑" w:hAnsi="微软雅黑" w:eastAsia="微软雅黑" w:cs="微软雅黑"/>
          <w:highlight w:val="none"/>
        </w:rPr>
        <w:t>､</w:t>
      </w:r>
      <w:r>
        <w:rPr>
          <w:rFonts w:hint="eastAsia"/>
          <w:highlight w:val="none"/>
        </w:rPr>
        <w:t>阀门及其它设备的端口必须用保护盖或其它方式妥善防护</w:t>
      </w:r>
      <w:r>
        <w:rPr>
          <w:rFonts w:hint="eastAsia" w:ascii="微软雅黑" w:hAnsi="微软雅黑" w:eastAsia="微软雅黑" w:cs="微软雅黑"/>
          <w:highlight w:val="none"/>
        </w:rPr>
        <w:t>｡</w:t>
      </w:r>
    </w:p>
    <w:p w14:paraId="552D0103">
      <w:pPr>
        <w:pStyle w:val="44"/>
        <w:rPr>
          <w:rFonts w:hint="eastAsia"/>
          <w:highlight w:val="none"/>
        </w:rPr>
      </w:pPr>
      <w:r>
        <w:rPr>
          <w:highlight w:val="none"/>
        </w:rPr>
        <w:t>乙方和/或其分包商不得用同一箱号标明任何两个箱件</w:t>
      </w:r>
      <w:r>
        <w:rPr>
          <w:rFonts w:hint="eastAsia" w:ascii="微软雅黑" w:hAnsi="微软雅黑" w:eastAsia="微软雅黑" w:cs="微软雅黑"/>
          <w:highlight w:val="none"/>
        </w:rPr>
        <w:t>｡</w:t>
      </w:r>
    </w:p>
    <w:p w14:paraId="3A8CBCBD">
      <w:pPr>
        <w:pStyle w:val="44"/>
        <w:rPr>
          <w:rFonts w:hint="eastAsia"/>
          <w:highlight w:val="none"/>
        </w:rPr>
      </w:pPr>
      <w:r>
        <w:rPr>
          <w:highlight w:val="none"/>
        </w:rPr>
        <w:t>对于需要精确装配的明亮洁净加工面的货物，加工面应采用优良，耐久的保护层(不得用油漆)以防止在安装前发生锈蚀和损坏</w:t>
      </w:r>
      <w:r>
        <w:rPr>
          <w:rFonts w:hint="eastAsia" w:ascii="微软雅黑" w:hAnsi="微软雅黑" w:eastAsia="微软雅黑" w:cs="微软雅黑"/>
          <w:highlight w:val="none"/>
        </w:rPr>
        <w:t>｡</w:t>
      </w:r>
    </w:p>
    <w:p w14:paraId="443160AC">
      <w:pPr>
        <w:pStyle w:val="44"/>
        <w:rPr>
          <w:rFonts w:hint="eastAsia"/>
          <w:highlight w:val="none"/>
        </w:rPr>
      </w:pPr>
      <w:r>
        <w:rPr>
          <w:highlight w:val="none"/>
        </w:rPr>
        <w:t>乙方交付的技术资料应使用适合于长途各类运输</w:t>
      </w:r>
      <w:r>
        <w:rPr>
          <w:rFonts w:hint="eastAsia" w:ascii="微软雅黑" w:hAnsi="微软雅黑" w:eastAsia="微软雅黑" w:cs="微软雅黑"/>
          <w:highlight w:val="none"/>
        </w:rPr>
        <w:t>､</w:t>
      </w:r>
      <w:r>
        <w:rPr>
          <w:rFonts w:hint="eastAsia"/>
          <w:highlight w:val="none"/>
        </w:rPr>
        <w:t>多次搬运</w:t>
      </w:r>
      <w:r>
        <w:rPr>
          <w:rFonts w:hint="eastAsia" w:ascii="微软雅黑" w:hAnsi="微软雅黑" w:eastAsia="微软雅黑" w:cs="微软雅黑"/>
          <w:highlight w:val="none"/>
        </w:rPr>
        <w:t>､</w:t>
      </w:r>
      <w:r>
        <w:rPr>
          <w:rFonts w:hint="eastAsia"/>
          <w:highlight w:val="none"/>
        </w:rPr>
        <w:t>防雨和防潮的包装</w:t>
      </w:r>
      <w:r>
        <w:rPr>
          <w:rFonts w:hint="eastAsia" w:ascii="微软雅黑" w:hAnsi="微软雅黑" w:eastAsia="微软雅黑" w:cs="微软雅黑"/>
          <w:highlight w:val="none"/>
        </w:rPr>
        <w:t>｡</w:t>
      </w:r>
      <w:r>
        <w:rPr>
          <w:rFonts w:hint="eastAsia"/>
          <w:highlight w:val="none"/>
        </w:rPr>
        <w:t>每包技术资料的封面上应注明下述内容</w:t>
      </w:r>
      <w:r>
        <w:rPr>
          <w:highlight w:val="none"/>
        </w:rPr>
        <w:t>：</w:t>
      </w:r>
    </w:p>
    <w:p w14:paraId="3556814C">
      <w:pPr>
        <w:pStyle w:val="48"/>
        <w:rPr>
          <w:rFonts w:hint="eastAsia"/>
          <w:highlight w:val="none"/>
        </w:rPr>
      </w:pPr>
      <w:r>
        <w:rPr>
          <w:highlight w:val="none"/>
        </w:rPr>
        <w:t>合同号：</w:t>
      </w:r>
    </w:p>
    <w:p w14:paraId="52AB2024">
      <w:pPr>
        <w:pStyle w:val="48"/>
        <w:rPr>
          <w:rFonts w:hint="eastAsia"/>
          <w:highlight w:val="none"/>
        </w:rPr>
      </w:pPr>
      <w:r>
        <w:rPr>
          <w:highlight w:val="none"/>
        </w:rPr>
        <w:t>供货</w:t>
      </w:r>
      <w:r>
        <w:rPr>
          <w:rFonts w:hint="eastAsia" w:ascii="微软雅黑" w:hAnsi="微软雅黑" w:eastAsia="微软雅黑" w:cs="微软雅黑"/>
          <w:highlight w:val="none"/>
        </w:rPr>
        <w:t>､</w:t>
      </w:r>
      <w:r>
        <w:rPr>
          <w:rFonts w:hint="eastAsia"/>
          <w:highlight w:val="none"/>
        </w:rPr>
        <w:t>收货单位名称</w:t>
      </w:r>
      <w:r>
        <w:rPr>
          <w:highlight w:val="none"/>
        </w:rPr>
        <w:t>：</w:t>
      </w:r>
    </w:p>
    <w:p w14:paraId="09FCF5A0">
      <w:pPr>
        <w:pStyle w:val="48"/>
        <w:rPr>
          <w:rFonts w:hint="eastAsia"/>
          <w:highlight w:val="none"/>
        </w:rPr>
      </w:pPr>
      <w:r>
        <w:rPr>
          <w:highlight w:val="none"/>
        </w:rPr>
        <w:t>目的地：</w:t>
      </w:r>
    </w:p>
    <w:p w14:paraId="4867A7DB">
      <w:pPr>
        <w:pStyle w:val="48"/>
        <w:rPr>
          <w:rFonts w:hint="eastAsia"/>
          <w:highlight w:val="none"/>
        </w:rPr>
      </w:pPr>
      <w:r>
        <w:rPr>
          <w:highlight w:val="none"/>
        </w:rPr>
        <w:t>毛重：</w:t>
      </w:r>
    </w:p>
    <w:p w14:paraId="4B9F6742">
      <w:pPr>
        <w:pStyle w:val="48"/>
        <w:rPr>
          <w:rFonts w:hint="eastAsia"/>
          <w:highlight w:val="none"/>
        </w:rPr>
      </w:pPr>
      <w:r>
        <w:rPr>
          <w:highlight w:val="none"/>
        </w:rPr>
        <w:t>箱号/件号</w:t>
      </w:r>
      <w:r>
        <w:rPr>
          <w:rFonts w:hint="eastAsia" w:ascii="微软雅黑" w:hAnsi="微软雅黑" w:eastAsia="微软雅黑" w:cs="微软雅黑"/>
          <w:highlight w:val="none"/>
        </w:rPr>
        <w:t>｡</w:t>
      </w:r>
    </w:p>
    <w:p w14:paraId="3D491BA1">
      <w:pPr>
        <w:pStyle w:val="48"/>
        <w:rPr>
          <w:rFonts w:hint="eastAsia"/>
          <w:highlight w:val="none"/>
        </w:rPr>
      </w:pPr>
      <w:r>
        <w:rPr>
          <w:highlight w:val="none"/>
        </w:rPr>
        <w:t>每一包资料内应附有技术资料的详细清单一式二份，标明技术资料的序号</w:t>
      </w:r>
      <w:r>
        <w:rPr>
          <w:rFonts w:hint="eastAsia" w:ascii="微软雅黑" w:hAnsi="微软雅黑" w:eastAsia="微软雅黑" w:cs="微软雅黑"/>
          <w:highlight w:val="none"/>
        </w:rPr>
        <w:t>､</w:t>
      </w:r>
      <w:r>
        <w:rPr>
          <w:rFonts w:hint="eastAsia" w:cs="宋体"/>
          <w:highlight w:val="none"/>
        </w:rPr>
        <w:t>文件项号</w:t>
      </w:r>
      <w:r>
        <w:rPr>
          <w:rFonts w:hint="eastAsia" w:ascii="微软雅黑" w:hAnsi="微软雅黑" w:eastAsia="微软雅黑" w:cs="微软雅黑"/>
          <w:highlight w:val="none"/>
        </w:rPr>
        <w:t>､</w:t>
      </w:r>
      <w:r>
        <w:rPr>
          <w:rFonts w:hint="eastAsia" w:cs="宋体"/>
          <w:highlight w:val="none"/>
        </w:rPr>
        <w:t>名称和页数</w:t>
      </w:r>
      <w:r>
        <w:rPr>
          <w:rFonts w:hint="eastAsia" w:ascii="微软雅黑" w:hAnsi="微软雅黑" w:eastAsia="微软雅黑" w:cs="微软雅黑"/>
          <w:highlight w:val="none"/>
        </w:rPr>
        <w:t>｡</w:t>
      </w:r>
    </w:p>
    <w:p w14:paraId="38B5C25C">
      <w:pPr>
        <w:pStyle w:val="44"/>
        <w:rPr>
          <w:rFonts w:hint="eastAsia"/>
          <w:highlight w:val="none"/>
        </w:rPr>
      </w:pPr>
      <w:r>
        <w:rPr>
          <w:highlight w:val="none"/>
        </w:rPr>
        <w:t>凡由于乙方包装或保管不善致使货物遭到损坏或丢失时，不论在何时何地发现，一经证实，乙方均应按本合同11款的规定负责及时修理</w:t>
      </w:r>
      <w:r>
        <w:rPr>
          <w:rFonts w:hint="eastAsia" w:ascii="微软雅黑" w:hAnsi="微软雅黑" w:eastAsia="微软雅黑" w:cs="微软雅黑"/>
          <w:highlight w:val="none"/>
        </w:rPr>
        <w:t>､</w:t>
      </w:r>
      <w:r>
        <w:rPr>
          <w:rFonts w:hint="eastAsia" w:cs="宋体"/>
          <w:highlight w:val="none"/>
        </w:rPr>
        <w:t>更换或补充</w:t>
      </w:r>
      <w:r>
        <w:rPr>
          <w:rFonts w:hint="eastAsia" w:ascii="微软雅黑" w:hAnsi="微软雅黑" w:eastAsia="微软雅黑" w:cs="微软雅黑"/>
          <w:highlight w:val="none"/>
        </w:rPr>
        <w:t>｡</w:t>
      </w:r>
    </w:p>
    <w:p w14:paraId="2FEE1937">
      <w:pPr>
        <w:pStyle w:val="42"/>
        <w:spacing w:before="163"/>
        <w:ind w:hanging="482"/>
        <w:rPr>
          <w:rFonts w:hint="eastAsia"/>
          <w:highlight w:val="none"/>
        </w:rPr>
      </w:pPr>
      <w:bookmarkStart w:id="21" w:name="_Toc149585876"/>
      <w:bookmarkStart w:id="22" w:name="_Toc475095465"/>
      <w:bookmarkStart w:id="23" w:name="_Toc475094754"/>
      <w:r>
        <w:rPr>
          <w:highlight w:val="none"/>
        </w:rPr>
        <w:t>技术服务和联络</w:t>
      </w:r>
      <w:bookmarkEnd w:id="21"/>
      <w:bookmarkEnd w:id="22"/>
      <w:bookmarkEnd w:id="23"/>
    </w:p>
    <w:p w14:paraId="5C4A2BFE">
      <w:pPr>
        <w:pStyle w:val="44"/>
        <w:rPr>
          <w:rFonts w:hint="eastAsia"/>
          <w:highlight w:val="none"/>
        </w:rPr>
      </w:pPr>
      <w:r>
        <w:rPr>
          <w:highlight w:val="none"/>
        </w:rPr>
        <w:t>乙方应及时提供与本合同设备有关的工程设计</w:t>
      </w:r>
      <w:r>
        <w:rPr>
          <w:rFonts w:hint="eastAsia" w:ascii="微软雅黑" w:hAnsi="微软雅黑" w:eastAsia="微软雅黑" w:cs="微软雅黑"/>
          <w:highlight w:val="none"/>
        </w:rPr>
        <w:t>､</w:t>
      </w:r>
      <w:r>
        <w:rPr>
          <w:rFonts w:hint="eastAsia"/>
          <w:highlight w:val="none"/>
        </w:rPr>
        <w:t>设备监造</w:t>
      </w:r>
      <w:r>
        <w:rPr>
          <w:rFonts w:hint="eastAsia" w:ascii="微软雅黑" w:hAnsi="微软雅黑" w:eastAsia="微软雅黑" w:cs="微软雅黑"/>
          <w:highlight w:val="none"/>
        </w:rPr>
        <w:t>､</w:t>
      </w:r>
      <w:r>
        <w:rPr>
          <w:rFonts w:hint="eastAsia"/>
          <w:highlight w:val="none"/>
        </w:rPr>
        <w:t>检验</w:t>
      </w:r>
      <w:r>
        <w:rPr>
          <w:rFonts w:hint="eastAsia" w:ascii="微软雅黑" w:hAnsi="微软雅黑" w:eastAsia="微软雅黑" w:cs="微软雅黑"/>
          <w:highlight w:val="none"/>
        </w:rPr>
        <w:t>､</w:t>
      </w:r>
      <w:r>
        <w:rPr>
          <w:rFonts w:hint="eastAsia"/>
          <w:highlight w:val="none"/>
        </w:rPr>
        <w:t>土建</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w:t>
      </w:r>
      <w:r>
        <w:rPr>
          <w:rFonts w:hint="eastAsia" w:ascii="微软雅黑" w:hAnsi="微软雅黑" w:eastAsia="微软雅黑" w:cs="微软雅黑"/>
          <w:highlight w:val="none"/>
        </w:rPr>
        <w:t>､</w:t>
      </w:r>
      <w:r>
        <w:rPr>
          <w:rFonts w:hint="eastAsia"/>
          <w:highlight w:val="none"/>
        </w:rPr>
        <w:t>验收</w:t>
      </w:r>
      <w:r>
        <w:rPr>
          <w:rFonts w:hint="eastAsia" w:ascii="微软雅黑" w:hAnsi="微软雅黑" w:eastAsia="微软雅黑" w:cs="微软雅黑"/>
          <w:highlight w:val="none"/>
        </w:rPr>
        <w:t>､</w:t>
      </w:r>
      <w:r>
        <w:rPr>
          <w:rFonts w:hint="eastAsia"/>
          <w:highlight w:val="none"/>
        </w:rPr>
        <w:t>性能验收试验</w:t>
      </w:r>
      <w:r>
        <w:rPr>
          <w:rFonts w:hint="eastAsia" w:ascii="微软雅黑" w:hAnsi="微软雅黑" w:eastAsia="微软雅黑" w:cs="微软雅黑"/>
          <w:highlight w:val="none"/>
        </w:rPr>
        <w:t>､</w:t>
      </w:r>
      <w:r>
        <w:rPr>
          <w:rFonts w:hint="eastAsia"/>
          <w:highlight w:val="none"/>
        </w:rPr>
        <w:t>运行</w:t>
      </w:r>
      <w:r>
        <w:rPr>
          <w:rFonts w:hint="eastAsia" w:ascii="微软雅黑" w:hAnsi="微软雅黑" w:eastAsia="微软雅黑" w:cs="微软雅黑"/>
          <w:highlight w:val="none"/>
        </w:rPr>
        <w:t>､</w:t>
      </w:r>
      <w:r>
        <w:rPr>
          <w:rFonts w:hint="eastAsia"/>
          <w:highlight w:val="none"/>
        </w:rPr>
        <w:t>检修等相应的</w:t>
      </w:r>
      <w:r>
        <w:rPr>
          <w:highlight w:val="none"/>
        </w:rPr>
        <w:t>技术指导</w:t>
      </w:r>
      <w:r>
        <w:rPr>
          <w:rFonts w:hint="eastAsia" w:ascii="微软雅黑" w:hAnsi="微软雅黑" w:eastAsia="微软雅黑" w:cs="微软雅黑"/>
          <w:highlight w:val="none"/>
        </w:rPr>
        <w:t>､</w:t>
      </w:r>
      <w:r>
        <w:rPr>
          <w:rFonts w:hint="eastAsia"/>
          <w:highlight w:val="none"/>
        </w:rPr>
        <w:t>技术配合</w:t>
      </w:r>
      <w:r>
        <w:rPr>
          <w:highlight w:val="none"/>
        </w:rPr>
        <w:t>(包括各类资质资料</w:t>
      </w:r>
      <w:r>
        <w:rPr>
          <w:rFonts w:hint="eastAsia" w:ascii="微软雅黑" w:hAnsi="微软雅黑" w:eastAsia="微软雅黑" w:cs="微软雅黑"/>
          <w:highlight w:val="none"/>
        </w:rPr>
        <w:t>､</w:t>
      </w:r>
      <w:r>
        <w:rPr>
          <w:rFonts w:hint="eastAsia"/>
          <w:highlight w:val="none"/>
        </w:rPr>
        <w:t>技术资料提供</w:t>
      </w:r>
      <w:r>
        <w:rPr>
          <w:highlight w:val="none"/>
        </w:rPr>
        <w:t>)</w:t>
      </w:r>
      <w:r>
        <w:rPr>
          <w:rFonts w:hint="eastAsia" w:ascii="微软雅黑" w:hAnsi="微软雅黑" w:eastAsia="微软雅黑" w:cs="微软雅黑"/>
          <w:highlight w:val="none"/>
        </w:rPr>
        <w:t>､</w:t>
      </w:r>
      <w:r>
        <w:rPr>
          <w:rFonts w:hint="eastAsia"/>
          <w:highlight w:val="none"/>
        </w:rPr>
        <w:t>技术培训等全过程的服务</w:t>
      </w:r>
      <w:r>
        <w:rPr>
          <w:rFonts w:hint="eastAsia" w:ascii="微软雅黑" w:hAnsi="微软雅黑" w:eastAsia="微软雅黑" w:cs="微软雅黑"/>
          <w:highlight w:val="none"/>
        </w:rPr>
        <w:t>｡</w:t>
      </w:r>
    </w:p>
    <w:p w14:paraId="2486A763">
      <w:pPr>
        <w:pStyle w:val="44"/>
        <w:rPr>
          <w:rFonts w:hint="eastAsia"/>
          <w:highlight w:val="none"/>
        </w:rPr>
      </w:pPr>
      <w:r>
        <w:rPr>
          <w:highlight w:val="none"/>
        </w:rPr>
        <w:t>在合同生效后半个月内，双方确定技术联络会的次数</w:t>
      </w:r>
      <w:r>
        <w:rPr>
          <w:rFonts w:hint="eastAsia" w:ascii="微软雅黑" w:hAnsi="微软雅黑" w:eastAsia="微软雅黑" w:cs="微软雅黑"/>
          <w:highlight w:val="none"/>
        </w:rPr>
        <w:t>､</w:t>
      </w:r>
      <w:r>
        <w:rPr>
          <w:rFonts w:hint="eastAsia" w:cs="宋体"/>
          <w:highlight w:val="none"/>
        </w:rPr>
        <w:t>时间和地点</w:t>
      </w:r>
      <w:r>
        <w:rPr>
          <w:rFonts w:hint="eastAsia" w:ascii="微软雅黑" w:hAnsi="微软雅黑" w:eastAsia="微软雅黑" w:cs="微软雅黑"/>
          <w:highlight w:val="none"/>
        </w:rPr>
        <w:t>｡</w:t>
      </w:r>
    </w:p>
    <w:p w14:paraId="5CD03AF5">
      <w:pPr>
        <w:pStyle w:val="44"/>
        <w:rPr>
          <w:rFonts w:hint="eastAsia"/>
          <w:highlight w:val="none"/>
        </w:rPr>
      </w:pPr>
      <w:r>
        <w:rPr>
          <w:highlight w:val="none"/>
        </w:rPr>
        <w:t>乙方有义务在必要时</w:t>
      </w:r>
      <w:r>
        <w:rPr>
          <w:rFonts w:hint="eastAsia"/>
          <w:highlight w:val="none"/>
          <w:lang w:val="en-US" w:eastAsia="zh-CN"/>
        </w:rPr>
        <w:t>或应甲方的要求</w:t>
      </w:r>
      <w:r>
        <w:rPr>
          <w:highlight w:val="none"/>
        </w:rPr>
        <w:t>邀请甲方参与乙方的技术设计，并向甲方解释技术设计</w:t>
      </w:r>
      <w:r>
        <w:rPr>
          <w:rFonts w:hint="eastAsia" w:ascii="微软雅黑" w:hAnsi="微软雅黑" w:eastAsia="微软雅黑" w:cs="微软雅黑"/>
          <w:highlight w:val="none"/>
        </w:rPr>
        <w:t>｡</w:t>
      </w:r>
    </w:p>
    <w:p w14:paraId="3B72B979">
      <w:pPr>
        <w:pStyle w:val="44"/>
        <w:rPr>
          <w:rFonts w:hint="eastAsia"/>
          <w:highlight w:val="none"/>
        </w:rPr>
      </w:pPr>
      <w:r>
        <w:rPr>
          <w:highlight w:val="none"/>
        </w:rPr>
        <w:t>如遇有重大问题需要双方立即研究协商时，任何一方均可建议召开会议，在一般情况下，另一方应同意参加</w:t>
      </w:r>
      <w:r>
        <w:rPr>
          <w:rFonts w:hint="eastAsia" w:ascii="微软雅黑" w:hAnsi="微软雅黑" w:eastAsia="微软雅黑" w:cs="微软雅黑"/>
          <w:highlight w:val="none"/>
        </w:rPr>
        <w:t>｡</w:t>
      </w:r>
    </w:p>
    <w:p w14:paraId="3B422316">
      <w:pPr>
        <w:pStyle w:val="44"/>
        <w:rPr>
          <w:rFonts w:hint="eastAsia"/>
          <w:highlight w:val="none"/>
        </w:rPr>
      </w:pPr>
      <w:r>
        <w:rPr>
          <w:highlight w:val="none"/>
        </w:rPr>
        <w:t>各次会议及其他联络方式双方均应签订会议或联络纪要，所签纪要双方均应执行</w:t>
      </w:r>
      <w:r>
        <w:rPr>
          <w:rFonts w:hint="eastAsia" w:ascii="微软雅黑" w:hAnsi="微软雅黑" w:eastAsia="微软雅黑" w:cs="微软雅黑"/>
          <w:highlight w:val="none"/>
        </w:rPr>
        <w:t>｡</w:t>
      </w:r>
      <w:r>
        <w:rPr>
          <w:rFonts w:hint="eastAsia" w:cs="宋体"/>
          <w:highlight w:val="none"/>
        </w:rPr>
        <w:t>如涉及合同条款修改和</w:t>
      </w:r>
      <w:r>
        <w:rPr>
          <w:rFonts w:hint="eastAsia"/>
          <w:highlight w:val="none"/>
        </w:rPr>
        <w:t>有重大技术方案修正引起合同价格的增减</w:t>
      </w:r>
      <w:r>
        <w:rPr>
          <w:highlight w:val="none"/>
        </w:rPr>
        <w:t>，需经双方法定代表人批准或其授权代表批准，所有修改应形成文本，并签字盖章确认</w:t>
      </w:r>
      <w:r>
        <w:rPr>
          <w:rFonts w:hint="eastAsia" w:ascii="微软雅黑" w:hAnsi="微软雅黑" w:eastAsia="微软雅黑" w:cs="微软雅黑"/>
          <w:highlight w:val="none"/>
        </w:rPr>
        <w:t>｡</w:t>
      </w:r>
    </w:p>
    <w:p w14:paraId="7348CB72">
      <w:pPr>
        <w:pStyle w:val="44"/>
        <w:rPr>
          <w:rFonts w:hint="eastAsia"/>
          <w:highlight w:val="none"/>
        </w:rPr>
      </w:pPr>
      <w:r>
        <w:rPr>
          <w:highlight w:val="none"/>
        </w:rPr>
        <w:t>乙方的安装</w:t>
      </w:r>
      <w:r>
        <w:rPr>
          <w:rFonts w:hint="eastAsia" w:ascii="微软雅黑" w:hAnsi="微软雅黑" w:eastAsia="微软雅黑" w:cs="微软雅黑"/>
          <w:highlight w:val="none"/>
        </w:rPr>
        <w:t>､</w:t>
      </w:r>
      <w:r>
        <w:rPr>
          <w:rFonts w:hint="eastAsia" w:cs="宋体"/>
          <w:highlight w:val="none"/>
        </w:rPr>
        <w:t>调试方案需在工程进行前不迟于一个月提交</w:t>
      </w:r>
      <w:r>
        <w:rPr>
          <w:highlight w:val="none"/>
        </w:rPr>
        <w:t>甲方，并经甲方认可；如有修改，须以书面形式通知甲方，经甲方确认后方可进行</w:t>
      </w:r>
      <w:r>
        <w:rPr>
          <w:rFonts w:hint="eastAsia" w:ascii="微软雅黑" w:hAnsi="微软雅黑" w:eastAsia="微软雅黑" w:cs="微软雅黑"/>
          <w:highlight w:val="none"/>
        </w:rPr>
        <w:t>｡</w:t>
      </w:r>
      <w:r>
        <w:rPr>
          <w:rFonts w:hint="eastAsia" w:cs="宋体"/>
          <w:highlight w:val="none"/>
        </w:rPr>
        <w:t>为适应现场条件的要求</w:t>
      </w:r>
      <w:r>
        <w:rPr>
          <w:highlight w:val="none"/>
        </w:rPr>
        <w:t>，甲方有权提出变更或修改意见，并书面通知乙方，乙方应给予充分考虑，应设法满足甲方要求</w:t>
      </w:r>
      <w:r>
        <w:rPr>
          <w:rFonts w:hint="eastAsia" w:ascii="微软雅黑" w:hAnsi="微软雅黑" w:eastAsia="微软雅黑" w:cs="微软雅黑"/>
          <w:highlight w:val="none"/>
        </w:rPr>
        <w:t>｡</w:t>
      </w:r>
    </w:p>
    <w:p w14:paraId="4AB1C70E">
      <w:pPr>
        <w:pStyle w:val="44"/>
        <w:rPr>
          <w:rFonts w:hint="eastAsia"/>
          <w:highlight w:val="none"/>
        </w:rPr>
      </w:pPr>
      <w:r>
        <w:rPr>
          <w:highlight w:val="none"/>
        </w:rPr>
        <w:t>乙方或甲方有权将对方所提供的一切与本合同设备有关的资料分发给与本工程有关的各方，并不由此而构成任何侵权，但不得向任何与本工程无关的第三方提供</w:t>
      </w:r>
      <w:r>
        <w:rPr>
          <w:rFonts w:hint="eastAsia" w:ascii="微软雅黑" w:hAnsi="微软雅黑" w:eastAsia="微软雅黑" w:cs="微软雅黑"/>
          <w:highlight w:val="none"/>
        </w:rPr>
        <w:t>｡</w:t>
      </w:r>
    </w:p>
    <w:p w14:paraId="212E3AA1">
      <w:pPr>
        <w:pStyle w:val="44"/>
        <w:rPr>
          <w:rFonts w:hint="eastAsia"/>
          <w:highlight w:val="none"/>
        </w:rPr>
      </w:pPr>
      <w:r>
        <w:rPr>
          <w:highlight w:val="none"/>
        </w:rPr>
        <w:t>对盖有“密件”及相同性质印章的乙方或甲方的资料，双方都有为其保密的义务</w:t>
      </w:r>
      <w:r>
        <w:rPr>
          <w:rFonts w:hint="eastAsia" w:ascii="微软雅黑" w:hAnsi="微软雅黑" w:eastAsia="微软雅黑" w:cs="微软雅黑"/>
          <w:highlight w:val="none"/>
        </w:rPr>
        <w:t>｡</w:t>
      </w:r>
    </w:p>
    <w:p w14:paraId="058C0477">
      <w:pPr>
        <w:pStyle w:val="44"/>
        <w:rPr>
          <w:rFonts w:hint="eastAsia"/>
          <w:highlight w:val="none"/>
        </w:rPr>
      </w:pPr>
      <w:r>
        <w:rPr>
          <w:highlight w:val="none"/>
        </w:rPr>
        <w:t>乙方的分包商到甲方工程现场工作，应由乙方统一组织并征得甲方同意，费用应由</w:t>
      </w:r>
      <w:r>
        <w:rPr>
          <w:rFonts w:hint="eastAsia"/>
          <w:highlight w:val="none"/>
          <w:lang w:val="en-US" w:eastAsia="zh-CN"/>
        </w:rPr>
        <w:t>乙方</w:t>
      </w:r>
      <w:r>
        <w:rPr>
          <w:highlight w:val="none"/>
        </w:rPr>
        <w:t>自行负担</w:t>
      </w:r>
      <w:r>
        <w:rPr>
          <w:rFonts w:hint="eastAsia" w:ascii="微软雅黑" w:hAnsi="微软雅黑" w:eastAsia="微软雅黑" w:cs="微软雅黑"/>
          <w:highlight w:val="none"/>
        </w:rPr>
        <w:t>｡</w:t>
      </w:r>
    </w:p>
    <w:p w14:paraId="6793F1C4">
      <w:pPr>
        <w:pStyle w:val="44"/>
        <w:rPr>
          <w:rFonts w:hint="eastAsia"/>
          <w:highlight w:val="none"/>
        </w:rPr>
      </w:pPr>
      <w:r>
        <w:rPr>
          <w:highlight w:val="none"/>
        </w:rPr>
        <w:t>乙方须对一切与本合同有关的供货</w:t>
      </w:r>
      <w:r>
        <w:rPr>
          <w:rFonts w:hint="eastAsia" w:ascii="微软雅黑" w:hAnsi="微软雅黑" w:eastAsia="微软雅黑" w:cs="微软雅黑"/>
          <w:highlight w:val="none"/>
        </w:rPr>
        <w:t>､</w:t>
      </w:r>
      <w:r>
        <w:rPr>
          <w:rFonts w:hint="eastAsia" w:cs="宋体"/>
          <w:highlight w:val="none"/>
        </w:rPr>
        <w:t>设备及技术接口</w:t>
      </w:r>
      <w:r>
        <w:rPr>
          <w:rFonts w:hint="eastAsia" w:ascii="微软雅黑" w:hAnsi="微软雅黑" w:eastAsia="微软雅黑" w:cs="微软雅黑"/>
          <w:highlight w:val="none"/>
        </w:rPr>
        <w:t>､</w:t>
      </w:r>
      <w:r>
        <w:rPr>
          <w:rFonts w:hint="eastAsia" w:cs="宋体"/>
          <w:highlight w:val="none"/>
        </w:rPr>
        <w:t>技术服务等问题负全部责任</w:t>
      </w:r>
      <w:r>
        <w:rPr>
          <w:highlight w:val="none"/>
        </w:rPr>
        <w:t>，乙方责任包括其分包方与外购设备提乙方责任</w:t>
      </w:r>
      <w:r>
        <w:rPr>
          <w:rFonts w:hint="eastAsia" w:ascii="微软雅黑" w:hAnsi="微软雅黑" w:eastAsia="微软雅黑" w:cs="微软雅黑"/>
          <w:highlight w:val="none"/>
        </w:rPr>
        <w:t>｡</w:t>
      </w:r>
    </w:p>
    <w:p w14:paraId="31AED04F">
      <w:pPr>
        <w:pStyle w:val="44"/>
        <w:rPr>
          <w:rFonts w:hint="eastAsia"/>
          <w:highlight w:val="none"/>
        </w:rPr>
      </w:pPr>
      <w:r>
        <w:rPr>
          <w:highlight w:val="none"/>
        </w:rPr>
        <w:t>凡与本合同设备相连接的其它设备装置，乙方有提供接口和技术配合的义务，并不由此而发生合同价格以外的任何费用</w:t>
      </w:r>
      <w:r>
        <w:rPr>
          <w:rFonts w:hint="eastAsia" w:ascii="微软雅黑" w:hAnsi="微软雅黑" w:eastAsia="微软雅黑" w:cs="微软雅黑"/>
          <w:highlight w:val="none"/>
        </w:rPr>
        <w:t>｡</w:t>
      </w:r>
    </w:p>
    <w:p w14:paraId="1A7A33F4">
      <w:pPr>
        <w:pStyle w:val="44"/>
        <w:rPr>
          <w:rFonts w:hint="eastAsia"/>
          <w:highlight w:val="none"/>
        </w:rPr>
      </w:pPr>
      <w:r>
        <w:rPr>
          <w:highlight w:val="none"/>
        </w:rPr>
        <w:t>乙方派到现场服务的管理人员</w:t>
      </w:r>
      <w:r>
        <w:rPr>
          <w:rFonts w:hint="eastAsia" w:ascii="微软雅黑" w:hAnsi="微软雅黑" w:eastAsia="微软雅黑" w:cs="微软雅黑"/>
          <w:highlight w:val="none"/>
        </w:rPr>
        <w:t>､</w:t>
      </w:r>
      <w:r>
        <w:rPr>
          <w:rFonts w:hint="eastAsia" w:cs="宋体"/>
          <w:highlight w:val="none"/>
        </w:rPr>
        <w:t>技术人员和施工人员应是有实践经验</w:t>
      </w:r>
      <w:r>
        <w:rPr>
          <w:rFonts w:hint="eastAsia" w:ascii="微软雅黑" w:hAnsi="微软雅黑" w:eastAsia="微软雅黑" w:cs="微软雅黑"/>
          <w:highlight w:val="none"/>
        </w:rPr>
        <w:t>､</w:t>
      </w:r>
      <w:r>
        <w:rPr>
          <w:rFonts w:hint="eastAsia" w:cs="宋体"/>
          <w:highlight w:val="none"/>
        </w:rPr>
        <w:t>可胜任此项工作的人员</w:t>
      </w:r>
      <w:r>
        <w:rPr>
          <w:rFonts w:hint="eastAsia" w:ascii="微软雅黑" w:hAnsi="微软雅黑" w:eastAsia="微软雅黑" w:cs="微软雅黑"/>
          <w:highlight w:val="none"/>
        </w:rPr>
        <w:t>｡</w:t>
      </w:r>
      <w:r>
        <w:rPr>
          <w:highlight w:val="none"/>
        </w:rPr>
        <w:t>乙方派到甲方现场的人员需在进入甲方现场前一个月内提交甲方予以确认</w:t>
      </w:r>
      <w:r>
        <w:rPr>
          <w:rFonts w:hint="eastAsia" w:ascii="微软雅黑" w:hAnsi="微软雅黑" w:eastAsia="微软雅黑" w:cs="微软雅黑"/>
          <w:highlight w:val="none"/>
        </w:rPr>
        <w:t>｡</w:t>
      </w:r>
      <w:r>
        <w:rPr>
          <w:highlight w:val="none"/>
        </w:rPr>
        <w:t>甲方有权提出更换不符合要求的乙方现场服务人员，乙方无条件接受甲方更换人员的要求，并根据现场需要，一周内重新选派甲方认可的服务人员</w:t>
      </w:r>
      <w:r>
        <w:rPr>
          <w:rFonts w:hint="eastAsia" w:ascii="微软雅黑" w:hAnsi="微软雅黑" w:eastAsia="微软雅黑" w:cs="微软雅黑"/>
          <w:highlight w:val="none"/>
        </w:rPr>
        <w:t>｡</w:t>
      </w:r>
      <w:r>
        <w:rPr>
          <w:rFonts w:hint="eastAsia" w:cs="宋体"/>
          <w:highlight w:val="none"/>
        </w:rPr>
        <w:t>如果</w:t>
      </w:r>
      <w:r>
        <w:rPr>
          <w:highlight w:val="none"/>
        </w:rPr>
        <w:t>甲方在书面提出该项要求15天内乙方没有答复，将按</w:t>
      </w:r>
      <w:r>
        <w:rPr>
          <w:rFonts w:hint="eastAsia"/>
          <w:highlight w:val="none"/>
          <w:lang w:val="en-US" w:eastAsia="zh-CN"/>
        </w:rPr>
        <w:t>11.11</w:t>
      </w:r>
      <w:r>
        <w:rPr>
          <w:highlight w:val="none"/>
        </w:rPr>
        <w:t>款为延误工期等同处理</w:t>
      </w:r>
      <w:r>
        <w:rPr>
          <w:rFonts w:hint="eastAsia" w:ascii="微软雅黑" w:hAnsi="微软雅黑" w:eastAsia="微软雅黑" w:cs="微软雅黑"/>
          <w:highlight w:val="none"/>
        </w:rPr>
        <w:t>。</w:t>
      </w:r>
    </w:p>
    <w:p w14:paraId="5D27D588">
      <w:pPr>
        <w:pStyle w:val="42"/>
        <w:spacing w:before="163"/>
        <w:ind w:hanging="482"/>
        <w:rPr>
          <w:rFonts w:hint="eastAsia"/>
          <w:highlight w:val="none"/>
        </w:rPr>
      </w:pPr>
      <w:bookmarkStart w:id="24" w:name="_Toc475094755"/>
      <w:bookmarkStart w:id="25" w:name="_Toc475095466"/>
      <w:bookmarkStart w:id="26" w:name="_Toc149585877"/>
      <w:r>
        <w:rPr>
          <w:highlight w:val="none"/>
        </w:rPr>
        <w:t>设备监造与检验</w:t>
      </w:r>
      <w:bookmarkEnd w:id="24"/>
      <w:bookmarkEnd w:id="25"/>
      <w:bookmarkEnd w:id="26"/>
    </w:p>
    <w:p w14:paraId="5C379D98">
      <w:pPr>
        <w:pStyle w:val="44"/>
        <w:rPr>
          <w:rFonts w:hint="eastAsia"/>
          <w:highlight w:val="none"/>
        </w:rPr>
      </w:pPr>
      <w:r>
        <w:rPr>
          <w:highlight w:val="none"/>
        </w:rPr>
        <w:t>监造</w:t>
      </w:r>
    </w:p>
    <w:p w14:paraId="5CA5AC3B">
      <w:pPr>
        <w:pStyle w:val="46"/>
        <w:ind w:hanging="720"/>
        <w:rPr>
          <w:rFonts w:hint="eastAsia"/>
          <w:highlight w:val="none"/>
        </w:rPr>
      </w:pPr>
      <w:r>
        <w:rPr>
          <w:highlight w:val="none"/>
        </w:rPr>
        <w:t>乙方应在本合同生效日期起两周内，向甲方提供本合同设备的设计</w:t>
      </w:r>
      <w:r>
        <w:rPr>
          <w:rFonts w:hint="eastAsia" w:ascii="微软雅黑" w:hAnsi="微软雅黑" w:eastAsia="微软雅黑" w:cs="微软雅黑"/>
          <w:highlight w:val="none"/>
        </w:rPr>
        <w:t>､</w:t>
      </w:r>
      <w:r>
        <w:rPr>
          <w:rFonts w:hint="eastAsia"/>
          <w:highlight w:val="none"/>
        </w:rPr>
        <w:t>制</w:t>
      </w:r>
      <w:r>
        <w:rPr>
          <w:highlight w:val="none"/>
        </w:rPr>
        <w:t>造</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调试和检验标准的目录</w:t>
      </w:r>
      <w:r>
        <w:rPr>
          <w:rFonts w:hint="eastAsia" w:ascii="微软雅黑" w:hAnsi="微软雅黑" w:eastAsia="微软雅黑" w:cs="微软雅黑"/>
          <w:highlight w:val="none"/>
        </w:rPr>
        <w:t>｡</w:t>
      </w:r>
      <w:r>
        <w:rPr>
          <w:rFonts w:hint="eastAsia"/>
          <w:highlight w:val="none"/>
        </w:rPr>
        <w:t>设计</w:t>
      </w:r>
      <w:r>
        <w:rPr>
          <w:rFonts w:hint="eastAsia" w:ascii="微软雅黑" w:hAnsi="微软雅黑" w:eastAsia="微软雅黑" w:cs="微软雅黑"/>
          <w:highlight w:val="none"/>
        </w:rPr>
        <w:t>､</w:t>
      </w:r>
      <w:r>
        <w:rPr>
          <w:rFonts w:hint="eastAsia"/>
          <w:highlight w:val="none"/>
        </w:rPr>
        <w:t>制造</w:t>
      </w:r>
      <w:r>
        <w:rPr>
          <w:rFonts w:hint="eastAsia" w:ascii="微软雅黑" w:hAnsi="微软雅黑" w:eastAsia="微软雅黑" w:cs="微软雅黑"/>
          <w:highlight w:val="none"/>
        </w:rPr>
        <w:t>､</w:t>
      </w:r>
      <w:r>
        <w:rPr>
          <w:rFonts w:hint="eastAsia"/>
          <w:highlight w:val="none"/>
        </w:rPr>
        <w:t>安装</w:t>
      </w:r>
      <w:r>
        <w:rPr>
          <w:rFonts w:hint="eastAsia" w:ascii="微软雅黑" w:hAnsi="微软雅黑" w:eastAsia="微软雅黑" w:cs="微软雅黑"/>
          <w:highlight w:val="none"/>
        </w:rPr>
        <w:t>､</w:t>
      </w:r>
      <w:r>
        <w:rPr>
          <w:rFonts w:hint="eastAsia"/>
          <w:highlight w:val="none"/>
        </w:rPr>
        <w:t>调试和检验标准应符合</w:t>
      </w:r>
      <w:r>
        <w:rPr>
          <w:highlight w:val="none"/>
        </w:rPr>
        <w:t>《</w:t>
      </w:r>
      <w:r>
        <w:rPr>
          <w:rFonts w:hint="eastAsia"/>
          <w:highlight w:val="none"/>
          <w:lang w:eastAsia="zh-CN"/>
        </w:rPr>
        <w:t>东莞市海心沙资源综合利用中心环保热电厂循环水膜处理系统采购项目技术需求书</w:t>
      </w:r>
      <w:r>
        <w:rPr>
          <w:highlight w:val="none"/>
        </w:rPr>
        <w:t>》的规定</w:t>
      </w:r>
      <w:r>
        <w:rPr>
          <w:rFonts w:hint="eastAsia"/>
          <w:highlight w:val="none"/>
        </w:rPr>
        <w:t>。</w:t>
      </w:r>
    </w:p>
    <w:p w14:paraId="5ACD2F5F">
      <w:pPr>
        <w:pStyle w:val="46"/>
        <w:ind w:hanging="720"/>
        <w:rPr>
          <w:rFonts w:hint="eastAsia"/>
          <w:highlight w:val="none"/>
        </w:rPr>
      </w:pPr>
      <w:r>
        <w:rPr>
          <w:highlight w:val="none"/>
        </w:rPr>
        <w:t>甲方将派遣专业人员进行设备监造，包括乙方生产现场和甲方安装调试现场</w:t>
      </w:r>
      <w:r>
        <w:rPr>
          <w:rFonts w:hint="eastAsia" w:ascii="微软雅黑" w:hAnsi="微软雅黑" w:eastAsia="微软雅黑" w:cs="微软雅黑"/>
          <w:highlight w:val="none"/>
        </w:rPr>
        <w:t>｡</w:t>
      </w:r>
      <w:r>
        <w:rPr>
          <w:rFonts w:hint="eastAsia"/>
          <w:highlight w:val="none"/>
        </w:rPr>
        <w:t>监造检验的标准为</w:t>
      </w:r>
      <w:r>
        <w:rPr>
          <w:highlight w:val="none"/>
        </w:rPr>
        <w:t>《</w:t>
      </w:r>
      <w:r>
        <w:rPr>
          <w:rFonts w:hint="eastAsia"/>
          <w:highlight w:val="none"/>
          <w:lang w:eastAsia="zh-CN"/>
        </w:rPr>
        <w:t>东莞市海心沙资源综合利用中心环保热电厂循环水膜处理系统采购项目技术需求书</w:t>
      </w:r>
      <w:r>
        <w:rPr>
          <w:highlight w:val="none"/>
        </w:rPr>
        <w:t>》所列的相应标准</w:t>
      </w:r>
      <w:r>
        <w:rPr>
          <w:rFonts w:hint="eastAsia" w:ascii="微软雅黑" w:hAnsi="微软雅黑" w:eastAsia="微软雅黑" w:cs="微软雅黑"/>
          <w:highlight w:val="none"/>
        </w:rPr>
        <w:t>｡</w:t>
      </w:r>
      <w:r>
        <w:rPr>
          <w:highlight w:val="none"/>
        </w:rPr>
        <w:t>乙方有配合监造的义务，在监造中及时提供相应资料和标准，并不由此而发生任何费用</w:t>
      </w:r>
      <w:r>
        <w:rPr>
          <w:rFonts w:hint="eastAsia" w:ascii="微软雅黑" w:hAnsi="微软雅黑" w:eastAsia="微软雅黑" w:cs="微软雅黑"/>
          <w:highlight w:val="none"/>
        </w:rPr>
        <w:t>｡</w:t>
      </w:r>
    </w:p>
    <w:p w14:paraId="0C9F247C">
      <w:pPr>
        <w:pStyle w:val="46"/>
        <w:ind w:hanging="720"/>
        <w:rPr>
          <w:rFonts w:hint="eastAsia"/>
          <w:highlight w:val="none"/>
        </w:rPr>
      </w:pPr>
      <w:r>
        <w:rPr>
          <w:highlight w:val="none"/>
        </w:rPr>
        <w:t>监造的范围及具体监造检验/见证项目见《</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p>
    <w:p w14:paraId="50475BC6">
      <w:pPr>
        <w:pStyle w:val="46"/>
        <w:ind w:hanging="720"/>
        <w:rPr>
          <w:rFonts w:hint="eastAsia"/>
          <w:highlight w:val="none"/>
        </w:rPr>
      </w:pPr>
      <w:r>
        <w:rPr>
          <w:highlight w:val="none"/>
        </w:rPr>
        <w:t>乙方必须为监造代表的监造检验提供：</w:t>
      </w:r>
    </w:p>
    <w:p w14:paraId="5C9893A5">
      <w:pPr>
        <w:pStyle w:val="48"/>
        <w:rPr>
          <w:rFonts w:hint="eastAsia"/>
          <w:highlight w:val="none"/>
        </w:rPr>
      </w:pPr>
      <w:r>
        <w:rPr>
          <w:highlight w:val="none"/>
        </w:rPr>
        <w:t>本合同设备的生产计划</w:t>
      </w:r>
      <w:r>
        <w:rPr>
          <w:rFonts w:hint="eastAsia" w:ascii="微软雅黑" w:hAnsi="微软雅黑" w:eastAsia="微软雅黑" w:cs="微软雅黑"/>
          <w:highlight w:val="none"/>
        </w:rPr>
        <w:t>､</w:t>
      </w:r>
      <w:r>
        <w:rPr>
          <w:rFonts w:hint="eastAsia"/>
          <w:highlight w:val="none"/>
        </w:rPr>
        <w:t>安装计划和调试计划</w:t>
      </w:r>
      <w:r>
        <w:rPr>
          <w:rFonts w:hint="eastAsia" w:ascii="微软雅黑" w:hAnsi="微软雅黑" w:eastAsia="微软雅黑" w:cs="微软雅黑"/>
          <w:highlight w:val="none"/>
        </w:rPr>
        <w:t>｡</w:t>
      </w:r>
    </w:p>
    <w:p w14:paraId="6464FD2D">
      <w:pPr>
        <w:pStyle w:val="48"/>
        <w:rPr>
          <w:rFonts w:hint="eastAsia"/>
          <w:highlight w:val="none"/>
        </w:rPr>
      </w:pPr>
      <w:r>
        <w:rPr>
          <w:highlight w:val="none"/>
        </w:rPr>
        <w:t>提前十五天书面提供设备的监造内容和检验时间</w:t>
      </w:r>
      <w:r>
        <w:rPr>
          <w:rFonts w:hint="eastAsia" w:ascii="微软雅黑" w:hAnsi="微软雅黑" w:eastAsia="微软雅黑" w:cs="微软雅黑"/>
          <w:highlight w:val="none"/>
        </w:rPr>
        <w:t>｡</w:t>
      </w:r>
    </w:p>
    <w:p w14:paraId="11519831">
      <w:pPr>
        <w:pStyle w:val="48"/>
        <w:rPr>
          <w:rFonts w:hint="eastAsia"/>
          <w:highlight w:val="none"/>
        </w:rPr>
      </w:pPr>
      <w:r>
        <w:rPr>
          <w:highlight w:val="none"/>
        </w:rPr>
        <w:t>与本合同设备监造有关的标准(包括工厂标准)</w:t>
      </w:r>
      <w:r>
        <w:rPr>
          <w:rFonts w:hint="eastAsia" w:ascii="微软雅黑" w:hAnsi="微软雅黑" w:eastAsia="微软雅黑" w:cs="微软雅黑"/>
          <w:highlight w:val="none"/>
        </w:rPr>
        <w:t>､</w:t>
      </w:r>
      <w:r>
        <w:rPr>
          <w:rFonts w:hint="eastAsia"/>
          <w:highlight w:val="none"/>
        </w:rPr>
        <w:t>图纸</w:t>
      </w:r>
      <w:r>
        <w:rPr>
          <w:rFonts w:hint="eastAsia" w:ascii="微软雅黑" w:hAnsi="微软雅黑" w:eastAsia="微软雅黑" w:cs="微软雅黑"/>
          <w:highlight w:val="none"/>
        </w:rPr>
        <w:t>､</w:t>
      </w:r>
      <w:r>
        <w:rPr>
          <w:rFonts w:hint="eastAsia"/>
          <w:highlight w:val="none"/>
        </w:rPr>
        <w:t>资料</w:t>
      </w:r>
      <w:r>
        <w:rPr>
          <w:rFonts w:hint="eastAsia" w:ascii="微软雅黑" w:hAnsi="微软雅黑" w:eastAsia="微软雅黑" w:cs="微软雅黑"/>
          <w:highlight w:val="none"/>
        </w:rPr>
        <w:t>､</w:t>
      </w:r>
      <w:r>
        <w:rPr>
          <w:rFonts w:hint="eastAsia"/>
          <w:highlight w:val="none"/>
        </w:rPr>
        <w:t>工艺及实际工艺过程和检验记录</w:t>
      </w:r>
      <w:r>
        <w:rPr>
          <w:highlight w:val="none"/>
        </w:rPr>
        <w:t>(包括中间检验记录和/或不一致性报告)及《</w:t>
      </w:r>
      <w:r>
        <w:rPr>
          <w:rFonts w:hint="eastAsia"/>
          <w:highlight w:val="none"/>
          <w:lang w:eastAsia="zh-CN"/>
        </w:rPr>
        <w:t>东莞市海心沙资源综合利用中心环保热电厂循环水膜处理系统采购项目技术需求书</w:t>
      </w:r>
      <w:r>
        <w:rPr>
          <w:highlight w:val="none"/>
        </w:rPr>
        <w:t>》规定的有关文件以及复印件</w:t>
      </w:r>
      <w:r>
        <w:rPr>
          <w:rFonts w:hint="eastAsia" w:ascii="微软雅黑" w:hAnsi="微软雅黑" w:eastAsia="微软雅黑" w:cs="微软雅黑"/>
          <w:highlight w:val="none"/>
        </w:rPr>
        <w:t>｡</w:t>
      </w:r>
    </w:p>
    <w:p w14:paraId="02485869">
      <w:pPr>
        <w:pStyle w:val="48"/>
        <w:rPr>
          <w:rFonts w:hint="eastAsia"/>
          <w:highlight w:val="none"/>
        </w:rPr>
      </w:pPr>
      <w:r>
        <w:rPr>
          <w:highlight w:val="none"/>
        </w:rPr>
        <w:t>向监造代表提供工作</w:t>
      </w:r>
      <w:r>
        <w:rPr>
          <w:rFonts w:hint="eastAsia" w:ascii="微软雅黑" w:hAnsi="微软雅黑" w:eastAsia="微软雅黑" w:cs="微软雅黑"/>
          <w:highlight w:val="none"/>
        </w:rPr>
        <w:t>､</w:t>
      </w:r>
      <w:r>
        <w:rPr>
          <w:rFonts w:hint="eastAsia"/>
          <w:highlight w:val="none"/>
        </w:rPr>
        <w:t>生活方便</w:t>
      </w:r>
      <w:r>
        <w:rPr>
          <w:rFonts w:hint="eastAsia" w:ascii="微软雅黑" w:hAnsi="微软雅黑" w:eastAsia="微软雅黑" w:cs="微软雅黑"/>
          <w:highlight w:val="none"/>
        </w:rPr>
        <w:t>｡</w:t>
      </w:r>
    </w:p>
    <w:p w14:paraId="2C7467FF">
      <w:pPr>
        <w:pStyle w:val="46"/>
        <w:ind w:hanging="720"/>
        <w:rPr>
          <w:rFonts w:hint="eastAsia"/>
          <w:highlight w:val="none"/>
        </w:rPr>
      </w:pPr>
      <w:r>
        <w:rPr>
          <w:highlight w:val="none"/>
        </w:rPr>
        <w:t>监造检验/见证(一般为现场见证)一般不得影响乙方的正常生产进度(不包括发现重大问题时的停工检验)，应尽量结合实际生产过程</w:t>
      </w:r>
      <w:r>
        <w:rPr>
          <w:rFonts w:hint="eastAsia" w:ascii="微软雅黑" w:hAnsi="微软雅黑" w:eastAsia="微软雅黑" w:cs="微软雅黑"/>
          <w:highlight w:val="none"/>
        </w:rPr>
        <w:t>｡</w:t>
      </w:r>
      <w:r>
        <w:rPr>
          <w:rFonts w:hint="eastAsia" w:cs="宋体"/>
          <w:highlight w:val="none"/>
        </w:rPr>
        <w:t>若监造代表不能按</w:t>
      </w:r>
      <w:r>
        <w:rPr>
          <w:highlight w:val="none"/>
        </w:rPr>
        <w:t>乙方通知时间及时到场，乙方工厂的试验工作可正常进行，试验结果有效，但是监造代表有权事后了解</w:t>
      </w:r>
      <w:r>
        <w:rPr>
          <w:rFonts w:hint="eastAsia" w:ascii="微软雅黑" w:hAnsi="微软雅黑" w:eastAsia="微软雅黑" w:cs="微软雅黑"/>
          <w:highlight w:val="none"/>
        </w:rPr>
        <w:t>､</w:t>
      </w:r>
      <w:r>
        <w:rPr>
          <w:rFonts w:hint="eastAsia" w:cs="宋体"/>
          <w:highlight w:val="none"/>
        </w:rPr>
        <w:t>查阅</w:t>
      </w:r>
      <w:r>
        <w:rPr>
          <w:rFonts w:hint="eastAsia" w:ascii="微软雅黑" w:hAnsi="微软雅黑" w:eastAsia="微软雅黑" w:cs="微软雅黑"/>
          <w:highlight w:val="none"/>
        </w:rPr>
        <w:t>､</w:t>
      </w:r>
      <w:r>
        <w:rPr>
          <w:rFonts w:hint="eastAsia" w:cs="宋体"/>
          <w:highlight w:val="none"/>
        </w:rPr>
        <w:t>复制检查试验报告和结果</w:t>
      </w:r>
      <w:r>
        <w:rPr>
          <w:highlight w:val="none"/>
        </w:rPr>
        <w:t>(转为文件见证人)</w:t>
      </w:r>
      <w:r>
        <w:rPr>
          <w:rFonts w:hint="eastAsia" w:ascii="微软雅黑" w:hAnsi="微软雅黑" w:eastAsia="微软雅黑" w:cs="微软雅黑"/>
          <w:highlight w:val="none"/>
        </w:rPr>
        <w:t>｡</w:t>
      </w:r>
      <w:r>
        <w:rPr>
          <w:rFonts w:hint="eastAsia" w:cs="宋体"/>
          <w:highlight w:val="none"/>
        </w:rPr>
        <w:t>对必须停工检查的工程</w:t>
      </w:r>
      <w:r>
        <w:rPr>
          <w:rFonts w:hint="eastAsia" w:cs="宋体"/>
          <w:highlight w:val="none"/>
          <w:lang w:eastAsia="zh-CN"/>
        </w:rPr>
        <w:t>关键</w:t>
      </w:r>
      <w:r>
        <w:rPr>
          <w:rFonts w:hint="eastAsia" w:cs="宋体"/>
          <w:highlight w:val="none"/>
        </w:rPr>
        <w:t>节点</w:t>
      </w:r>
      <w:r>
        <w:rPr>
          <w:highlight w:val="none"/>
        </w:rPr>
        <w:t>(由双方在合同执行过程中具体议定)，若乙方未及时通知监造代表而单独检验，甲方将不承认该检验结果，乙方应在甲方代表在场的情况下进行该项试验</w:t>
      </w:r>
      <w:r>
        <w:rPr>
          <w:rFonts w:hint="eastAsia" w:ascii="微软雅黑" w:hAnsi="微软雅黑" w:eastAsia="微软雅黑" w:cs="微软雅黑"/>
          <w:highlight w:val="none"/>
        </w:rPr>
        <w:t>。</w:t>
      </w:r>
    </w:p>
    <w:p w14:paraId="08C66FCB">
      <w:pPr>
        <w:pStyle w:val="46"/>
        <w:ind w:hanging="720"/>
        <w:rPr>
          <w:rFonts w:hint="eastAsia"/>
          <w:highlight w:val="none"/>
        </w:rPr>
      </w:pPr>
      <w:r>
        <w:rPr>
          <w:highlight w:val="none"/>
        </w:rPr>
        <w:t>监造代表在监造中如发现设备</w:t>
      </w:r>
      <w:r>
        <w:rPr>
          <w:rFonts w:hint="eastAsia" w:ascii="微软雅黑" w:hAnsi="微软雅黑" w:eastAsia="微软雅黑" w:cs="微软雅黑"/>
          <w:highlight w:val="none"/>
        </w:rPr>
        <w:t>､</w:t>
      </w:r>
      <w:r>
        <w:rPr>
          <w:rFonts w:hint="eastAsia" w:cs="宋体"/>
          <w:highlight w:val="none"/>
        </w:rPr>
        <w:t>材料及工程存在质量问题或不符合本规定的标准时</w:t>
      </w:r>
      <w:r>
        <w:rPr>
          <w:highlight w:val="none"/>
        </w:rPr>
        <w:t>，有权提出意见并暂不予以签字，乙方须采取相应改进措施，以保证交货质量，直至监造代表在监造与检验报告上签字</w:t>
      </w:r>
      <w:r>
        <w:rPr>
          <w:rFonts w:hint="eastAsia" w:ascii="微软雅黑" w:hAnsi="微软雅黑" w:eastAsia="微软雅黑" w:cs="微软雅黑"/>
          <w:highlight w:val="none"/>
        </w:rPr>
        <w:t>｡</w:t>
      </w:r>
      <w:r>
        <w:rPr>
          <w:rFonts w:hint="eastAsia" w:cs="宋体"/>
          <w:highlight w:val="none"/>
        </w:rPr>
        <w:t>无论监造代表是否要求和是否知道</w:t>
      </w:r>
      <w:r>
        <w:rPr>
          <w:highlight w:val="none"/>
        </w:rPr>
        <w:t>，乙方均有义务主动及时地向其提供合同设备制造和安装调试过程中出现的较大的质量缺陷和问题，不得隐瞒，在监造代表不知道的情况下乙方不得擅自处理</w:t>
      </w:r>
      <w:r>
        <w:rPr>
          <w:rFonts w:hint="eastAsia" w:ascii="微软雅黑" w:hAnsi="微软雅黑" w:eastAsia="微软雅黑" w:cs="微软雅黑"/>
          <w:highlight w:val="none"/>
        </w:rPr>
        <w:t>｡</w:t>
      </w:r>
    </w:p>
    <w:p w14:paraId="3FBB742C">
      <w:pPr>
        <w:pStyle w:val="46"/>
        <w:ind w:hanging="720"/>
        <w:rPr>
          <w:rFonts w:hint="eastAsia"/>
          <w:highlight w:val="none"/>
        </w:rPr>
      </w:pPr>
      <w:r>
        <w:rPr>
          <w:highlight w:val="none"/>
        </w:rPr>
        <w:t>不论监造代表是否参与监造与检验，是否签署了监造与检验报告，均不能被视为乙方按合同11款规定应承担的质量保证责任的任何减免</w:t>
      </w:r>
      <w:r>
        <w:rPr>
          <w:rFonts w:hint="eastAsia" w:ascii="微软雅黑" w:hAnsi="微软雅黑" w:eastAsia="微软雅黑" w:cs="微软雅黑"/>
          <w:highlight w:val="none"/>
        </w:rPr>
        <w:t>｡</w:t>
      </w:r>
    </w:p>
    <w:p w14:paraId="15648305">
      <w:pPr>
        <w:pStyle w:val="44"/>
        <w:rPr>
          <w:rFonts w:hint="eastAsia"/>
          <w:highlight w:val="none"/>
        </w:rPr>
      </w:pPr>
      <w:r>
        <w:rPr>
          <w:highlight w:val="none"/>
        </w:rPr>
        <w:t>工厂检验与现场开箱检验</w:t>
      </w:r>
    </w:p>
    <w:p w14:paraId="4C0311C9">
      <w:pPr>
        <w:pStyle w:val="46"/>
        <w:ind w:hanging="720"/>
        <w:rPr>
          <w:rFonts w:hint="eastAsia"/>
          <w:highlight w:val="none"/>
        </w:rPr>
      </w:pPr>
      <w:r>
        <w:rPr>
          <w:highlight w:val="none"/>
        </w:rPr>
        <w:t>由乙方供应的所有合同设备/部件(包括分包与外购)，在生产过程中都须进行严格的检验和试验，出厂前须进行部套和/或整机总装和试验</w:t>
      </w:r>
      <w:r>
        <w:rPr>
          <w:rFonts w:hint="eastAsia" w:ascii="微软雅黑" w:hAnsi="微软雅黑" w:eastAsia="微软雅黑" w:cs="微软雅黑"/>
          <w:highlight w:val="none"/>
        </w:rPr>
        <w:t>｡</w:t>
      </w:r>
      <w:r>
        <w:rPr>
          <w:rFonts w:hint="eastAsia" w:cs="宋体"/>
          <w:highlight w:val="none"/>
        </w:rPr>
        <w:t>所有检验</w:t>
      </w:r>
      <w:r>
        <w:rPr>
          <w:rFonts w:hint="eastAsia" w:ascii="微软雅黑" w:hAnsi="微软雅黑" w:eastAsia="微软雅黑" w:cs="微软雅黑"/>
          <w:highlight w:val="none"/>
        </w:rPr>
        <w:t>､</w:t>
      </w:r>
      <w:r>
        <w:rPr>
          <w:rFonts w:hint="eastAsia" w:cs="宋体"/>
          <w:highlight w:val="none"/>
        </w:rPr>
        <w:t>试验和总装</w:t>
      </w:r>
      <w:r>
        <w:rPr>
          <w:highlight w:val="none"/>
        </w:rPr>
        <w:t>(装配)必须有正式的记录文件</w:t>
      </w:r>
      <w:r>
        <w:rPr>
          <w:rFonts w:hint="eastAsia" w:ascii="微软雅黑" w:hAnsi="微软雅黑" w:eastAsia="微软雅黑" w:cs="微软雅黑"/>
          <w:highlight w:val="none"/>
        </w:rPr>
        <w:t>｡</w:t>
      </w:r>
      <w:r>
        <w:rPr>
          <w:rFonts w:hint="eastAsia" w:cs="宋体"/>
          <w:highlight w:val="none"/>
        </w:rPr>
        <w:t>以上工作完成之后</w:t>
      </w:r>
      <w:r>
        <w:rPr>
          <w:highlight w:val="none"/>
        </w:rPr>
        <w:t>，合格者才能出厂发运</w:t>
      </w:r>
      <w:r>
        <w:rPr>
          <w:rFonts w:hint="eastAsia" w:ascii="微软雅黑" w:hAnsi="微软雅黑" w:eastAsia="微软雅黑" w:cs="微软雅黑"/>
          <w:highlight w:val="none"/>
        </w:rPr>
        <w:t>｡</w:t>
      </w:r>
      <w:r>
        <w:rPr>
          <w:rFonts w:hint="eastAsia" w:cs="宋体"/>
          <w:highlight w:val="none"/>
        </w:rPr>
        <w:t>所有这些正式的记录文件</w:t>
      </w:r>
      <w:r>
        <w:rPr>
          <w:highlight w:val="none"/>
        </w:rPr>
        <w:t>及合格证作为技术资料的一部分邮寄给甲方存档</w:t>
      </w:r>
      <w:r>
        <w:rPr>
          <w:rFonts w:hint="eastAsia" w:ascii="微软雅黑" w:hAnsi="微软雅黑" w:eastAsia="微软雅黑" w:cs="微软雅黑"/>
          <w:highlight w:val="none"/>
        </w:rPr>
        <w:t>｡</w:t>
      </w:r>
      <w:r>
        <w:rPr>
          <w:rFonts w:hint="eastAsia" w:cs="宋体"/>
          <w:highlight w:val="none"/>
        </w:rPr>
        <w:t>此外</w:t>
      </w:r>
      <w:r>
        <w:rPr>
          <w:highlight w:val="none"/>
        </w:rPr>
        <w:t>，乙方还应在随机文件中提供合格证和质量证明文件</w:t>
      </w:r>
      <w:r>
        <w:rPr>
          <w:rFonts w:hint="eastAsia" w:ascii="微软雅黑" w:hAnsi="微软雅黑" w:eastAsia="微软雅黑" w:cs="微软雅黑"/>
          <w:highlight w:val="none"/>
        </w:rPr>
        <w:t>｡</w:t>
      </w:r>
    </w:p>
    <w:p w14:paraId="2CCE23FD">
      <w:pPr>
        <w:pStyle w:val="46"/>
        <w:ind w:hanging="720"/>
        <w:rPr>
          <w:rFonts w:hint="eastAsia"/>
          <w:highlight w:val="none"/>
        </w:rPr>
      </w:pPr>
      <w:r>
        <w:rPr>
          <w:highlight w:val="none"/>
        </w:rPr>
        <w:t>设备到达安装现场后，应按国家相应规范标准的规定存放和保管</w:t>
      </w:r>
      <w:r>
        <w:rPr>
          <w:rFonts w:hint="eastAsia" w:ascii="微软雅黑" w:hAnsi="微软雅黑" w:eastAsia="微软雅黑" w:cs="微软雅黑"/>
          <w:highlight w:val="none"/>
        </w:rPr>
        <w:t>｡</w:t>
      </w:r>
    </w:p>
    <w:p w14:paraId="7B475DD3">
      <w:pPr>
        <w:pStyle w:val="46"/>
        <w:ind w:hanging="720"/>
        <w:rPr>
          <w:rFonts w:hint="eastAsia"/>
          <w:highlight w:val="none"/>
        </w:rPr>
      </w:pPr>
      <w:r>
        <w:rPr>
          <w:highlight w:val="none"/>
        </w:rPr>
        <w:t>货物到达甲方现场后，甲方有权进行开箱时的检查和设备安装前的检查，乙方应提供配合；</w:t>
      </w:r>
    </w:p>
    <w:p w14:paraId="7BE75B57">
      <w:pPr>
        <w:pStyle w:val="46"/>
        <w:ind w:hanging="720"/>
        <w:rPr>
          <w:rFonts w:hint="eastAsia"/>
          <w:highlight w:val="none"/>
        </w:rPr>
      </w:pPr>
      <w:r>
        <w:rPr>
          <w:highlight w:val="none"/>
        </w:rPr>
        <w:t>现场检验时，如发现设备有任何损坏</w:t>
      </w:r>
      <w:r>
        <w:rPr>
          <w:rFonts w:hint="eastAsia" w:ascii="微软雅黑" w:hAnsi="微软雅黑" w:eastAsia="微软雅黑" w:cs="微软雅黑"/>
          <w:highlight w:val="none"/>
        </w:rPr>
        <w:t>､</w:t>
      </w:r>
      <w:r>
        <w:rPr>
          <w:rFonts w:hint="eastAsia" w:cs="宋体"/>
          <w:highlight w:val="none"/>
        </w:rPr>
        <w:t>缺陷</w:t>
      </w:r>
      <w:r>
        <w:rPr>
          <w:rFonts w:hint="eastAsia" w:ascii="微软雅黑" w:hAnsi="微软雅黑" w:eastAsia="微软雅黑" w:cs="微软雅黑"/>
          <w:highlight w:val="none"/>
        </w:rPr>
        <w:t>､</w:t>
      </w:r>
      <w:r>
        <w:rPr>
          <w:rFonts w:hint="eastAsia" w:cs="宋体"/>
          <w:highlight w:val="none"/>
        </w:rPr>
        <w:t>短少或不符合合同中规定的质量标准和规范时</w:t>
      </w:r>
      <w:r>
        <w:rPr>
          <w:highlight w:val="none"/>
        </w:rPr>
        <w:t>，应做好记录，并由双方代表签字，各执一份；所有损坏</w:t>
      </w:r>
      <w:r>
        <w:rPr>
          <w:rFonts w:hint="eastAsia" w:ascii="微软雅黑" w:hAnsi="微软雅黑" w:eastAsia="微软雅黑" w:cs="微软雅黑"/>
          <w:highlight w:val="none"/>
        </w:rPr>
        <w:t>､</w:t>
      </w:r>
      <w:r>
        <w:rPr>
          <w:rFonts w:hint="eastAsia" w:cs="宋体"/>
          <w:highlight w:val="none"/>
        </w:rPr>
        <w:t>缺陷设备及材料</w:t>
      </w:r>
      <w:r>
        <w:rPr>
          <w:highlight w:val="none"/>
        </w:rPr>
        <w:t>，乙方无条件更换；所有缺少件，乙方自行补齐；除非甲方书面同意，任何损坏</w:t>
      </w:r>
      <w:r>
        <w:rPr>
          <w:rFonts w:hint="eastAsia" w:ascii="微软雅黑" w:hAnsi="微软雅黑" w:eastAsia="微软雅黑" w:cs="微软雅黑"/>
          <w:highlight w:val="none"/>
        </w:rPr>
        <w:t>､</w:t>
      </w:r>
      <w:r>
        <w:rPr>
          <w:rFonts w:hint="eastAsia" w:cs="宋体"/>
          <w:highlight w:val="none"/>
        </w:rPr>
        <w:t>缺陷设备及材料不得维修后用于</w:t>
      </w:r>
      <w:r>
        <w:rPr>
          <w:highlight w:val="none"/>
        </w:rPr>
        <w:t>甲方工程</w:t>
      </w:r>
      <w:r>
        <w:rPr>
          <w:rFonts w:hint="eastAsia" w:ascii="微软雅黑" w:hAnsi="微软雅黑" w:eastAsia="微软雅黑" w:cs="微软雅黑"/>
          <w:highlight w:val="none"/>
        </w:rPr>
        <w:t>｡</w:t>
      </w:r>
    </w:p>
    <w:p w14:paraId="75A803D3">
      <w:pPr>
        <w:pStyle w:val="46"/>
        <w:ind w:hanging="720"/>
        <w:rPr>
          <w:rFonts w:hint="eastAsia"/>
          <w:highlight w:val="none"/>
        </w:rPr>
      </w:pPr>
      <w:r>
        <w:rPr>
          <w:highlight w:val="none"/>
        </w:rPr>
        <w:t>如双方代表在会同检验中对检验记录不能取得一致意见时，可由双方委托权威的第三方检验机构/双方权威检验机构联合进行检验</w:t>
      </w:r>
      <w:r>
        <w:rPr>
          <w:rFonts w:hint="eastAsia" w:ascii="微软雅黑" w:hAnsi="微软雅黑" w:eastAsia="微软雅黑" w:cs="微软雅黑"/>
          <w:highlight w:val="none"/>
        </w:rPr>
        <w:t>｡</w:t>
      </w:r>
      <w:r>
        <w:rPr>
          <w:rFonts w:hint="eastAsia" w:cs="宋体"/>
          <w:highlight w:val="none"/>
        </w:rPr>
        <w:t>检验结果对双方都有约束力</w:t>
      </w:r>
      <w:r>
        <w:rPr>
          <w:highlight w:val="none"/>
        </w:rPr>
        <w:t>，检验费用由责任方负担</w:t>
      </w:r>
      <w:r>
        <w:rPr>
          <w:rFonts w:hint="eastAsia" w:ascii="微软雅黑" w:hAnsi="微软雅黑" w:eastAsia="微软雅黑" w:cs="微软雅黑"/>
          <w:highlight w:val="none"/>
        </w:rPr>
        <w:t>｡</w:t>
      </w:r>
    </w:p>
    <w:p w14:paraId="49A7B328">
      <w:pPr>
        <w:pStyle w:val="46"/>
        <w:ind w:hanging="720"/>
        <w:rPr>
          <w:rFonts w:hint="eastAsia"/>
          <w:highlight w:val="none"/>
        </w:rPr>
      </w:pPr>
      <w:r>
        <w:rPr>
          <w:highlight w:val="none"/>
        </w:rPr>
        <w:t>由于乙方原因而引起的设备或部件的修理或更换的时间，以不影响工程建设进度为原则，但最迟不得晚于发现缺陷</w:t>
      </w:r>
      <w:r>
        <w:rPr>
          <w:rFonts w:hint="eastAsia" w:ascii="微软雅黑" w:hAnsi="微软雅黑" w:eastAsia="微软雅黑" w:cs="微软雅黑"/>
          <w:highlight w:val="none"/>
        </w:rPr>
        <w:t>､</w:t>
      </w:r>
      <w:r>
        <w:rPr>
          <w:rFonts w:hint="eastAsia" w:cs="宋体"/>
          <w:highlight w:val="none"/>
        </w:rPr>
        <w:t>损坏或短缺等之后一个月</w:t>
      </w:r>
      <w:r>
        <w:rPr>
          <w:highlight w:val="none"/>
        </w:rPr>
        <w:t>，否则按</w:t>
      </w:r>
      <w:r>
        <w:rPr>
          <w:rFonts w:hint="eastAsia"/>
          <w:highlight w:val="none"/>
          <w:lang w:val="en-US" w:eastAsia="zh-CN"/>
        </w:rPr>
        <w:t>11.11</w:t>
      </w:r>
      <w:r>
        <w:rPr>
          <w:highlight w:val="none"/>
        </w:rPr>
        <w:t>款处理</w:t>
      </w:r>
      <w:r>
        <w:rPr>
          <w:rFonts w:hint="eastAsia" w:ascii="微软雅黑" w:hAnsi="微软雅黑" w:eastAsia="微软雅黑" w:cs="微软雅黑"/>
          <w:highlight w:val="none"/>
        </w:rPr>
        <w:t>。</w:t>
      </w:r>
    </w:p>
    <w:p w14:paraId="4190E8F6">
      <w:pPr>
        <w:pStyle w:val="46"/>
        <w:ind w:hanging="720"/>
        <w:rPr>
          <w:rFonts w:hint="eastAsia"/>
          <w:highlight w:val="none"/>
        </w:rPr>
      </w:pPr>
      <w:r>
        <w:rPr>
          <w:highlight w:val="none"/>
        </w:rPr>
        <w:t>上述到货检验，无论是否发现问题或乙方已进行更换或修理均不能被视为乙方按合同11款及《</w:t>
      </w:r>
      <w:r>
        <w:rPr>
          <w:rFonts w:hint="eastAsia"/>
          <w:highlight w:val="none"/>
          <w:lang w:eastAsia="zh-CN"/>
        </w:rPr>
        <w:t>东莞市海心沙资源综合利用中心环保热电厂循环水膜处理系统采购项目技术需求书</w:t>
      </w:r>
      <w:r>
        <w:rPr>
          <w:highlight w:val="none"/>
        </w:rPr>
        <w:t>》的规定应承担的质量保证责任的解除</w:t>
      </w:r>
      <w:r>
        <w:rPr>
          <w:rFonts w:hint="eastAsia" w:ascii="微软雅黑" w:hAnsi="微软雅黑" w:eastAsia="微软雅黑" w:cs="微软雅黑"/>
          <w:highlight w:val="none"/>
        </w:rPr>
        <w:t>｡</w:t>
      </w:r>
    </w:p>
    <w:p w14:paraId="6F4600A1">
      <w:pPr>
        <w:pStyle w:val="42"/>
        <w:spacing w:before="163"/>
        <w:ind w:hanging="482"/>
        <w:rPr>
          <w:rFonts w:hint="eastAsia"/>
          <w:highlight w:val="none"/>
        </w:rPr>
      </w:pPr>
      <w:bookmarkStart w:id="27" w:name="_Toc475094756"/>
      <w:bookmarkStart w:id="28" w:name="_Toc149585878"/>
      <w:bookmarkStart w:id="29" w:name="_Toc475095467"/>
      <w:r>
        <w:rPr>
          <w:highlight w:val="none"/>
        </w:rPr>
        <w:t>安装</w:t>
      </w:r>
      <w:r>
        <w:rPr>
          <w:rFonts w:hint="eastAsia" w:ascii="微软雅黑" w:hAnsi="微软雅黑" w:eastAsia="微软雅黑" w:cs="微软雅黑"/>
          <w:highlight w:val="none"/>
        </w:rPr>
        <w:t>､</w:t>
      </w:r>
      <w:r>
        <w:rPr>
          <w:rFonts w:hint="eastAsia"/>
          <w:highlight w:val="none"/>
        </w:rPr>
        <w:t>调试</w:t>
      </w:r>
      <w:r>
        <w:rPr>
          <w:rFonts w:hint="eastAsia" w:ascii="微软雅黑" w:hAnsi="微软雅黑" w:eastAsia="微软雅黑" w:cs="微软雅黑"/>
          <w:highlight w:val="none"/>
        </w:rPr>
        <w:t>､</w:t>
      </w:r>
      <w:r>
        <w:rPr>
          <w:rFonts w:hint="eastAsia"/>
          <w:highlight w:val="none"/>
        </w:rPr>
        <w:t>试运和验收</w:t>
      </w:r>
      <w:bookmarkEnd w:id="27"/>
      <w:bookmarkEnd w:id="28"/>
      <w:bookmarkEnd w:id="29"/>
    </w:p>
    <w:p w14:paraId="6B930377">
      <w:pPr>
        <w:pStyle w:val="44"/>
        <w:rPr>
          <w:rFonts w:hint="eastAsia"/>
          <w:highlight w:val="none"/>
        </w:rPr>
      </w:pPr>
      <w:r>
        <w:rPr>
          <w:highlight w:val="none"/>
        </w:rPr>
        <w:t>双方确认本合同设备的安装及调试按以下</w:t>
      </w:r>
      <w:r>
        <w:rPr>
          <w:b/>
          <w:highlight w:val="none"/>
        </w:rPr>
        <w:t>【</w:t>
      </w:r>
      <w:r>
        <w:rPr>
          <w:highlight w:val="none"/>
        </w:rPr>
        <w:t>10.2</w:t>
      </w:r>
      <w:r>
        <w:rPr>
          <w:b/>
          <w:highlight w:val="none"/>
        </w:rPr>
        <w:t>乙方</w:t>
      </w:r>
      <w:r>
        <w:rPr>
          <w:rFonts w:hint="eastAsia"/>
          <w:b/>
          <w:highlight w:val="none"/>
        </w:rPr>
        <w:t>包</w:t>
      </w:r>
      <w:r>
        <w:rPr>
          <w:b/>
          <w:highlight w:val="none"/>
        </w:rPr>
        <w:t>安装及调试】</w:t>
      </w:r>
      <w:r>
        <w:rPr>
          <w:highlight w:val="none"/>
        </w:rPr>
        <w:t>条款执行：</w:t>
      </w:r>
    </w:p>
    <w:p w14:paraId="01F8EA7D">
      <w:pPr>
        <w:pStyle w:val="44"/>
        <w:ind w:left="1203" w:hanging="723"/>
        <w:rPr>
          <w:rFonts w:hint="eastAsia"/>
          <w:b/>
          <w:highlight w:val="none"/>
        </w:rPr>
      </w:pPr>
      <w:r>
        <w:rPr>
          <w:b/>
          <w:highlight w:val="none"/>
        </w:rPr>
        <w:t>乙方包安装及调试</w:t>
      </w:r>
    </w:p>
    <w:p w14:paraId="4548736F">
      <w:pPr>
        <w:pStyle w:val="46"/>
        <w:ind w:hanging="720"/>
        <w:rPr>
          <w:rFonts w:hint="eastAsia"/>
          <w:highlight w:val="none"/>
        </w:rPr>
      </w:pPr>
      <w:r>
        <w:rPr>
          <w:highlight w:val="none"/>
        </w:rPr>
        <w:t>本合同设备由乙方负责安装和调试工作；甲方将派遣管理人员</w:t>
      </w:r>
      <w:r>
        <w:rPr>
          <w:rFonts w:hint="eastAsia" w:ascii="微软雅黑" w:hAnsi="微软雅黑" w:eastAsia="微软雅黑" w:cs="微软雅黑"/>
          <w:highlight w:val="none"/>
        </w:rPr>
        <w:t>､</w:t>
      </w:r>
      <w:r>
        <w:rPr>
          <w:rFonts w:hint="eastAsia" w:cs="宋体"/>
          <w:highlight w:val="none"/>
        </w:rPr>
        <w:t>技术人员监督</w:t>
      </w:r>
      <w:r>
        <w:rPr>
          <w:rFonts w:hint="eastAsia" w:ascii="微软雅黑" w:hAnsi="微软雅黑" w:eastAsia="微软雅黑" w:cs="微软雅黑"/>
          <w:highlight w:val="none"/>
        </w:rPr>
        <w:t>､</w:t>
      </w:r>
      <w:r>
        <w:rPr>
          <w:rFonts w:hint="eastAsia" w:cs="宋体"/>
          <w:highlight w:val="none"/>
        </w:rPr>
        <w:t>检查和配合</w:t>
      </w:r>
      <w:r>
        <w:rPr>
          <w:highlight w:val="none"/>
        </w:rPr>
        <w:t>乙方的安装调试工作；乙方的安装调试工作须服从甲方的现场管理，甲方现场工作管理的相关制度，包括安全要求</w:t>
      </w:r>
      <w:r>
        <w:rPr>
          <w:rFonts w:hint="eastAsia" w:ascii="微软雅黑" w:hAnsi="微软雅黑" w:eastAsia="微软雅黑" w:cs="微软雅黑"/>
          <w:highlight w:val="none"/>
        </w:rPr>
        <w:t>､</w:t>
      </w:r>
      <w:r>
        <w:rPr>
          <w:rFonts w:hint="eastAsia" w:cs="宋体"/>
          <w:highlight w:val="none"/>
        </w:rPr>
        <w:t>技术要求等</w:t>
      </w:r>
      <w:r>
        <w:rPr>
          <w:highlight w:val="none"/>
        </w:rPr>
        <w:t>，在乙方人员入场前不迟于一个月提交乙方，乙方不得异议</w:t>
      </w:r>
      <w:r>
        <w:rPr>
          <w:rFonts w:hint="eastAsia" w:ascii="微软雅黑" w:hAnsi="微软雅黑" w:eastAsia="微软雅黑" w:cs="微软雅黑"/>
          <w:highlight w:val="none"/>
        </w:rPr>
        <w:t>｡</w:t>
      </w:r>
    </w:p>
    <w:p w14:paraId="078141BF">
      <w:pPr>
        <w:pStyle w:val="46"/>
        <w:ind w:hanging="720"/>
        <w:rPr>
          <w:rFonts w:hint="eastAsia"/>
          <w:highlight w:val="none"/>
        </w:rPr>
      </w:pPr>
      <w:r>
        <w:rPr>
          <w:highlight w:val="none"/>
        </w:rPr>
        <w:t>乙方的安装</w:t>
      </w:r>
      <w:r>
        <w:rPr>
          <w:rFonts w:hint="eastAsia" w:ascii="微软雅黑" w:hAnsi="微软雅黑" w:eastAsia="微软雅黑" w:cs="微软雅黑"/>
          <w:highlight w:val="none"/>
        </w:rPr>
        <w:t>､</w:t>
      </w:r>
      <w:r>
        <w:rPr>
          <w:rFonts w:hint="eastAsia"/>
          <w:highlight w:val="none"/>
        </w:rPr>
        <w:t>调试方案需在工程进行前不迟于一个月提交</w:t>
      </w:r>
      <w:r>
        <w:rPr>
          <w:highlight w:val="none"/>
        </w:rPr>
        <w:t>甲方，并经甲方</w:t>
      </w:r>
      <w:r>
        <w:rPr>
          <w:rFonts w:hint="eastAsia"/>
          <w:highlight w:val="none"/>
          <w:lang w:val="en-US" w:eastAsia="zh-CN"/>
        </w:rPr>
        <w:t>书面</w:t>
      </w:r>
      <w:r>
        <w:rPr>
          <w:highlight w:val="none"/>
        </w:rPr>
        <w:t>认可；</w:t>
      </w:r>
    </w:p>
    <w:p w14:paraId="04C3ED65">
      <w:pPr>
        <w:pStyle w:val="46"/>
        <w:ind w:hanging="720"/>
        <w:rPr>
          <w:rFonts w:hint="eastAsia"/>
          <w:highlight w:val="none"/>
        </w:rPr>
      </w:pPr>
      <w:r>
        <w:rPr>
          <w:highlight w:val="none"/>
        </w:rPr>
        <w:t>乙方的安装调试工作须按照包括但不限于双方于《</w:t>
      </w:r>
      <w:r>
        <w:rPr>
          <w:rFonts w:hint="eastAsia"/>
          <w:highlight w:val="none"/>
          <w:lang w:eastAsia="zh-CN"/>
        </w:rPr>
        <w:t>东莞市海心沙资源综合利用中心环保热电厂循环水膜处理系统采购项目技术需求书</w:t>
      </w:r>
      <w:r>
        <w:rPr>
          <w:highlight w:val="none"/>
        </w:rPr>
        <w:t>》列示的国家</w:t>
      </w:r>
      <w:r>
        <w:rPr>
          <w:rFonts w:hint="eastAsia" w:ascii="微软雅黑" w:hAnsi="微软雅黑" w:eastAsia="微软雅黑" w:cs="微软雅黑"/>
          <w:highlight w:val="none"/>
        </w:rPr>
        <w:t>､</w:t>
      </w:r>
      <w:r>
        <w:rPr>
          <w:rFonts w:hint="eastAsia" w:cs="宋体"/>
          <w:highlight w:val="none"/>
        </w:rPr>
        <w:t>行业和地方的安全</w:t>
      </w:r>
      <w:r>
        <w:rPr>
          <w:rFonts w:hint="eastAsia" w:ascii="微软雅黑" w:hAnsi="微软雅黑" w:eastAsia="微软雅黑" w:cs="微软雅黑"/>
          <w:highlight w:val="none"/>
        </w:rPr>
        <w:t>､</w:t>
      </w:r>
      <w:r>
        <w:rPr>
          <w:rFonts w:hint="eastAsia" w:cs="宋体"/>
          <w:highlight w:val="none"/>
        </w:rPr>
        <w:t>技术的标准</w:t>
      </w:r>
      <w:r>
        <w:rPr>
          <w:rFonts w:hint="eastAsia" w:ascii="微软雅黑" w:hAnsi="微软雅黑" w:eastAsia="微软雅黑" w:cs="微软雅黑"/>
          <w:highlight w:val="none"/>
        </w:rPr>
        <w:t>､</w:t>
      </w:r>
      <w:r>
        <w:rPr>
          <w:rFonts w:hint="eastAsia" w:cs="宋体"/>
          <w:highlight w:val="none"/>
        </w:rPr>
        <w:t>规范和规定执行</w:t>
      </w:r>
      <w:r>
        <w:rPr>
          <w:highlight w:val="none"/>
        </w:rPr>
        <w:t>；乙方自行负责施工安全工作，同时接</w:t>
      </w:r>
      <w:r>
        <w:rPr>
          <w:rFonts w:hint="eastAsia"/>
          <w:highlight w:val="none"/>
          <w:lang w:eastAsia="zh-CN"/>
        </w:rPr>
        <w:t>受</w:t>
      </w:r>
      <w:r>
        <w:rPr>
          <w:highlight w:val="none"/>
        </w:rPr>
        <w:t>甲方的现场管理；乙方如有违反，甲方有权中止乙方工作；乙方违章违规工作，情节严重</w:t>
      </w:r>
      <w:r>
        <w:rPr>
          <w:rFonts w:hint="eastAsia" w:ascii="微软雅黑" w:hAnsi="微软雅黑" w:eastAsia="微软雅黑" w:cs="微软雅黑"/>
          <w:highlight w:val="none"/>
        </w:rPr>
        <w:t>､</w:t>
      </w:r>
      <w:r>
        <w:rPr>
          <w:rFonts w:hint="eastAsia" w:cs="宋体"/>
          <w:highlight w:val="none"/>
        </w:rPr>
        <w:t>拒不整改</w:t>
      </w:r>
      <w:r>
        <w:rPr>
          <w:rFonts w:hint="eastAsia" w:ascii="微软雅黑" w:hAnsi="微软雅黑" w:eastAsia="微软雅黑" w:cs="微软雅黑"/>
          <w:highlight w:val="none"/>
        </w:rPr>
        <w:t>､</w:t>
      </w:r>
      <w:r>
        <w:rPr>
          <w:rFonts w:hint="eastAsia" w:cs="宋体"/>
          <w:highlight w:val="none"/>
        </w:rPr>
        <w:t>多次重复出现的</w:t>
      </w:r>
      <w:r>
        <w:rPr>
          <w:highlight w:val="none"/>
        </w:rPr>
        <w:t>，甲方有权</w:t>
      </w:r>
      <w:r>
        <w:rPr>
          <w:rFonts w:hint="eastAsia"/>
          <w:highlight w:val="none"/>
          <w:lang w:eastAsia="zh-CN"/>
        </w:rPr>
        <w:t>终止</w:t>
      </w:r>
      <w:r>
        <w:rPr>
          <w:highlight w:val="none"/>
        </w:rPr>
        <w:t>双方合同</w:t>
      </w:r>
      <w:r>
        <w:rPr>
          <w:rFonts w:hint="eastAsia" w:ascii="微软雅黑" w:hAnsi="微软雅黑" w:eastAsia="微软雅黑" w:cs="微软雅黑"/>
          <w:highlight w:val="none"/>
        </w:rPr>
        <w:t>｡</w:t>
      </w:r>
    </w:p>
    <w:p w14:paraId="6B76E739">
      <w:pPr>
        <w:pStyle w:val="46"/>
        <w:ind w:hanging="720"/>
        <w:rPr>
          <w:rFonts w:hint="eastAsia"/>
          <w:highlight w:val="none"/>
        </w:rPr>
      </w:pPr>
      <w:r>
        <w:rPr>
          <w:highlight w:val="none"/>
        </w:rPr>
        <w:t>合同设备稳定运行三日后，由乙方提交移交申请；甲方收到乙方申请两周内进行系统移交验收和接收工作</w:t>
      </w:r>
      <w:r>
        <w:rPr>
          <w:rFonts w:hint="eastAsia" w:ascii="微软雅黑" w:hAnsi="微软雅黑" w:eastAsia="微软雅黑" w:cs="微软雅黑"/>
          <w:highlight w:val="none"/>
        </w:rPr>
        <w:t>｡</w:t>
      </w:r>
      <w:r>
        <w:rPr>
          <w:rFonts w:hint="eastAsia" w:cs="宋体"/>
          <w:highlight w:val="none"/>
        </w:rPr>
        <w:t>相关设备及工程安装调试后的验收移交细则参照双方</w:t>
      </w:r>
      <w:r>
        <w:rPr>
          <w:highlight w:val="none"/>
        </w:rPr>
        <w:t>《</w:t>
      </w:r>
      <w:r>
        <w:rPr>
          <w:rFonts w:hint="eastAsia"/>
          <w:highlight w:val="none"/>
          <w:lang w:eastAsia="zh-CN"/>
        </w:rPr>
        <w:t>东莞市海心沙资源综合利用中心环保热电厂循环水膜处理系统采购项目技术需求书</w:t>
      </w:r>
      <w:r>
        <w:rPr>
          <w:highlight w:val="none"/>
        </w:rPr>
        <w:t>》，由双方在安装工程进行前一个月议定</w:t>
      </w:r>
      <w:r>
        <w:rPr>
          <w:rFonts w:hint="eastAsia" w:ascii="微软雅黑" w:hAnsi="微软雅黑" w:eastAsia="微软雅黑" w:cs="微软雅黑"/>
          <w:highlight w:val="none"/>
        </w:rPr>
        <w:t>｡</w:t>
      </w:r>
      <w:r>
        <w:rPr>
          <w:rFonts w:hint="eastAsia" w:cs="宋体"/>
          <w:highlight w:val="none"/>
        </w:rPr>
        <w:t>本次的移交和验收仅代表系统设备管理权属的转移</w:t>
      </w:r>
      <w:r>
        <w:rPr>
          <w:highlight w:val="none"/>
        </w:rPr>
        <w:t>，不代表初步验收</w:t>
      </w:r>
      <w:r>
        <w:rPr>
          <w:rFonts w:hint="eastAsia" w:ascii="微软雅黑" w:hAnsi="微软雅黑" w:eastAsia="微软雅黑" w:cs="微软雅黑"/>
          <w:highlight w:val="none"/>
        </w:rPr>
        <w:t>｡</w:t>
      </w:r>
    </w:p>
    <w:p w14:paraId="4B916400">
      <w:pPr>
        <w:pStyle w:val="46"/>
        <w:ind w:hanging="720"/>
        <w:rPr>
          <w:rFonts w:hint="eastAsia"/>
          <w:highlight w:val="none"/>
        </w:rPr>
      </w:pPr>
      <w:r>
        <w:rPr>
          <w:highlight w:val="none"/>
        </w:rPr>
        <w:t>合同和设备移交甲方后，由甲方负责试运行工作，乙方现场技术服务人员负责技术指导；试运行期间因甲方人员未按双方议定的运行规程造成的损失由甲方承担，因乙方设备和工程原因</w:t>
      </w:r>
      <w:r>
        <w:rPr>
          <w:rFonts w:hint="eastAsia" w:ascii="微软雅黑" w:hAnsi="微软雅黑" w:eastAsia="微软雅黑" w:cs="微软雅黑"/>
          <w:highlight w:val="none"/>
        </w:rPr>
        <w:t>､</w:t>
      </w:r>
      <w:r>
        <w:rPr>
          <w:highlight w:val="none"/>
        </w:rPr>
        <w:t>乙方指导错误造成的损失由乙方承担</w:t>
      </w:r>
      <w:r>
        <w:rPr>
          <w:rFonts w:hint="eastAsia" w:ascii="微软雅黑" w:hAnsi="微软雅黑" w:eastAsia="微软雅黑" w:cs="微软雅黑"/>
          <w:highlight w:val="none"/>
        </w:rPr>
        <w:t>｡</w:t>
      </w:r>
    </w:p>
    <w:p w14:paraId="23B63C3A">
      <w:pPr>
        <w:pStyle w:val="44"/>
        <w:ind w:left="1203" w:hanging="723"/>
        <w:rPr>
          <w:rFonts w:hint="eastAsia"/>
          <w:b/>
          <w:highlight w:val="none"/>
        </w:rPr>
      </w:pPr>
      <w:r>
        <w:rPr>
          <w:b/>
          <w:highlight w:val="none"/>
        </w:rPr>
        <w:t>乙方指导甲方安装及调试</w:t>
      </w:r>
    </w:p>
    <w:p w14:paraId="213149F3">
      <w:pPr>
        <w:pStyle w:val="46"/>
        <w:ind w:hanging="720"/>
        <w:rPr>
          <w:rFonts w:hint="eastAsia"/>
          <w:highlight w:val="none"/>
        </w:rPr>
      </w:pPr>
      <w:r>
        <w:rPr>
          <w:highlight w:val="none"/>
        </w:rPr>
        <w:t>本合同设备由甲方根据乙方提供的技术资料</w:t>
      </w:r>
      <w:r>
        <w:rPr>
          <w:rFonts w:hint="eastAsia" w:ascii="微软雅黑" w:hAnsi="微软雅黑" w:eastAsia="微软雅黑" w:cs="微软雅黑"/>
          <w:highlight w:val="none"/>
        </w:rPr>
        <w:t>､</w:t>
      </w:r>
      <w:r>
        <w:rPr>
          <w:rFonts w:hint="eastAsia" w:cs="宋体"/>
          <w:highlight w:val="none"/>
        </w:rPr>
        <w:t>检验标准</w:t>
      </w:r>
      <w:r>
        <w:rPr>
          <w:rFonts w:hint="eastAsia" w:ascii="微软雅黑" w:hAnsi="微软雅黑" w:eastAsia="微软雅黑" w:cs="微软雅黑"/>
          <w:highlight w:val="none"/>
        </w:rPr>
        <w:t>､</w:t>
      </w:r>
      <w:r>
        <w:rPr>
          <w:rFonts w:hint="eastAsia" w:cs="宋体"/>
          <w:highlight w:val="none"/>
        </w:rPr>
        <w:t>图纸及说明书进行安装</w:t>
      </w:r>
      <w:r>
        <w:rPr>
          <w:rFonts w:hint="eastAsia" w:ascii="微软雅黑" w:hAnsi="微软雅黑" w:eastAsia="微软雅黑" w:cs="微软雅黑"/>
          <w:highlight w:val="none"/>
        </w:rPr>
        <w:t>､</w:t>
      </w:r>
      <w:r>
        <w:rPr>
          <w:rFonts w:hint="eastAsia" w:cs="宋体"/>
          <w:highlight w:val="none"/>
        </w:rPr>
        <w:t>调试</w:t>
      </w:r>
      <w:r>
        <w:rPr>
          <w:rFonts w:hint="eastAsia" w:ascii="微软雅黑" w:hAnsi="微软雅黑" w:eastAsia="微软雅黑" w:cs="微软雅黑"/>
          <w:highlight w:val="none"/>
        </w:rPr>
        <w:t>､</w:t>
      </w:r>
      <w:r>
        <w:rPr>
          <w:rFonts w:hint="eastAsia" w:cs="宋体"/>
          <w:highlight w:val="none"/>
        </w:rPr>
        <w:t>运行和维修</w:t>
      </w:r>
      <w:r>
        <w:rPr>
          <w:highlight w:val="none"/>
        </w:rPr>
        <w:t>，软件系统的安装与整个合同范围内工作的调试由乙方负责</w:t>
      </w:r>
      <w:r>
        <w:rPr>
          <w:rFonts w:hint="eastAsia" w:ascii="微软雅黑" w:hAnsi="微软雅黑" w:eastAsia="微软雅黑" w:cs="微软雅黑"/>
          <w:highlight w:val="none"/>
        </w:rPr>
        <w:t>｡</w:t>
      </w:r>
      <w:r>
        <w:rPr>
          <w:rFonts w:hint="eastAsia" w:cs="宋体"/>
          <w:highlight w:val="none"/>
        </w:rPr>
        <w:t>整个安装</w:t>
      </w:r>
      <w:r>
        <w:rPr>
          <w:rFonts w:hint="eastAsia" w:ascii="微软雅黑" w:hAnsi="微软雅黑" w:eastAsia="微软雅黑" w:cs="微软雅黑"/>
          <w:highlight w:val="none"/>
        </w:rPr>
        <w:t>､</w:t>
      </w:r>
      <w:r>
        <w:rPr>
          <w:rFonts w:hint="eastAsia" w:cs="宋体"/>
          <w:highlight w:val="none"/>
        </w:rPr>
        <w:t>调试过程须在</w:t>
      </w:r>
      <w:r>
        <w:rPr>
          <w:highlight w:val="none"/>
        </w:rPr>
        <w:t>乙方现场技术服务人员指导下进行</w:t>
      </w:r>
      <w:r>
        <w:rPr>
          <w:rFonts w:hint="eastAsia" w:ascii="微软雅黑" w:hAnsi="微软雅黑" w:eastAsia="微软雅黑" w:cs="微软雅黑"/>
          <w:highlight w:val="none"/>
        </w:rPr>
        <w:t>｡</w:t>
      </w:r>
      <w:r>
        <w:rPr>
          <w:rFonts w:hint="eastAsia" w:cs="宋体"/>
          <w:highlight w:val="none"/>
        </w:rPr>
        <w:t>重要工序须经</w:t>
      </w:r>
      <w:r>
        <w:rPr>
          <w:highlight w:val="none"/>
        </w:rPr>
        <w:t>乙方现场技术服务人员签字确认</w:t>
      </w:r>
      <w:r>
        <w:rPr>
          <w:rFonts w:hint="eastAsia" w:ascii="微软雅黑" w:hAnsi="微软雅黑" w:eastAsia="微软雅黑" w:cs="微软雅黑"/>
          <w:highlight w:val="none"/>
        </w:rPr>
        <w:t>｡</w:t>
      </w:r>
      <w:r>
        <w:rPr>
          <w:rFonts w:hint="eastAsia" w:cs="宋体"/>
          <w:highlight w:val="none"/>
        </w:rPr>
        <w:t>重要工序由</w:t>
      </w:r>
      <w:r>
        <w:rPr>
          <w:highlight w:val="none"/>
        </w:rPr>
        <w:t>乙方提供(见《</w:t>
      </w:r>
      <w:r>
        <w:rPr>
          <w:rFonts w:hint="eastAsia"/>
          <w:highlight w:val="none"/>
          <w:lang w:eastAsia="zh-CN"/>
        </w:rPr>
        <w:t>东莞市海心沙资源综合利用中心环保热电厂循环水膜处理系统采购项目技术需求书</w:t>
      </w:r>
      <w:r>
        <w:rPr>
          <w:highlight w:val="none"/>
        </w:rPr>
        <w:t>》)</w:t>
      </w:r>
      <w:r>
        <w:rPr>
          <w:rFonts w:hint="eastAsia" w:ascii="微软雅黑" w:hAnsi="微软雅黑" w:eastAsia="微软雅黑" w:cs="微软雅黑"/>
          <w:highlight w:val="none"/>
        </w:rPr>
        <w:t>｡</w:t>
      </w:r>
      <w:r>
        <w:rPr>
          <w:rFonts w:hint="eastAsia" w:cs="宋体"/>
          <w:highlight w:val="none"/>
        </w:rPr>
        <w:t>安装</w:t>
      </w:r>
      <w:r>
        <w:rPr>
          <w:rFonts w:hint="eastAsia" w:ascii="微软雅黑" w:hAnsi="微软雅黑" w:eastAsia="微软雅黑" w:cs="微软雅黑"/>
          <w:highlight w:val="none"/>
        </w:rPr>
        <w:t>､</w:t>
      </w:r>
      <w:r>
        <w:rPr>
          <w:rFonts w:hint="eastAsia" w:cs="宋体"/>
          <w:highlight w:val="none"/>
        </w:rPr>
        <w:t>调试过程中</w:t>
      </w:r>
      <w:r>
        <w:rPr>
          <w:highlight w:val="none"/>
        </w:rPr>
        <w:t>，若甲方未按乙方的技术资料规定和现场技术服务人员指导</w:t>
      </w:r>
      <w:r>
        <w:rPr>
          <w:rFonts w:hint="eastAsia" w:ascii="微软雅黑" w:hAnsi="微软雅黑" w:eastAsia="微软雅黑" w:cs="微软雅黑"/>
          <w:highlight w:val="none"/>
        </w:rPr>
        <w:t>､</w:t>
      </w:r>
      <w:r>
        <w:rPr>
          <w:rFonts w:hint="eastAsia" w:cs="宋体"/>
          <w:highlight w:val="none"/>
        </w:rPr>
        <w:t>未经</w:t>
      </w:r>
      <w:r>
        <w:rPr>
          <w:highlight w:val="none"/>
        </w:rPr>
        <w:t>乙方现场技术服务人员签字确认而出现问题，甲方自行负责(设备问题除外)；若甲方按乙方技术资料规定</w:t>
      </w:r>
      <w:r>
        <w:rPr>
          <w:rFonts w:hint="eastAsia" w:ascii="微软雅黑" w:hAnsi="微软雅黑" w:eastAsia="微软雅黑" w:cs="微软雅黑"/>
          <w:highlight w:val="none"/>
        </w:rPr>
        <w:t>､</w:t>
      </w:r>
      <w:r>
        <w:rPr>
          <w:rFonts w:hint="eastAsia" w:cs="宋体"/>
          <w:highlight w:val="none"/>
        </w:rPr>
        <w:t>现场技术服务人员的指导</w:t>
      </w:r>
      <w:r>
        <w:rPr>
          <w:rFonts w:hint="eastAsia" w:ascii="微软雅黑" w:hAnsi="微软雅黑" w:eastAsia="微软雅黑" w:cs="微软雅黑"/>
          <w:highlight w:val="none"/>
        </w:rPr>
        <w:t>､</w:t>
      </w:r>
      <w:r>
        <w:rPr>
          <w:highlight w:val="none"/>
        </w:rPr>
        <w:t>乙方现场技术服务人员签字确认而出现问题，乙方承担责任</w:t>
      </w:r>
      <w:r>
        <w:rPr>
          <w:rFonts w:hint="eastAsia" w:ascii="微软雅黑" w:hAnsi="微软雅黑" w:eastAsia="微软雅黑" w:cs="微软雅黑"/>
          <w:highlight w:val="none"/>
        </w:rPr>
        <w:t>｡</w:t>
      </w:r>
    </w:p>
    <w:p w14:paraId="7AEEB0B0">
      <w:pPr>
        <w:pStyle w:val="46"/>
        <w:ind w:hanging="720"/>
        <w:rPr>
          <w:rFonts w:hint="eastAsia"/>
          <w:highlight w:val="none"/>
        </w:rPr>
      </w:pPr>
      <w:r>
        <w:rPr>
          <w:highlight w:val="none"/>
        </w:rPr>
        <w:t>在安装之前，乙方技术人员应讲解安装方法和要求</w:t>
      </w:r>
      <w:r>
        <w:rPr>
          <w:rFonts w:hint="eastAsia" w:ascii="微软雅黑" w:hAnsi="微软雅黑" w:eastAsia="微软雅黑" w:cs="微软雅黑"/>
          <w:highlight w:val="none"/>
        </w:rPr>
        <w:t>｡</w:t>
      </w:r>
      <w:r>
        <w:rPr>
          <w:rFonts w:hint="eastAsia" w:cs="宋体"/>
          <w:highlight w:val="none"/>
        </w:rPr>
        <w:t>在安装过程中</w:t>
      </w:r>
      <w:r>
        <w:rPr>
          <w:highlight w:val="none"/>
        </w:rPr>
        <w:t>，乙方技术人员应对安装工作给予技术指导/监督服务，并参加为满足保证指标和安全稳定运行所需的每套机组合同设备的安装质量的检验和测试</w:t>
      </w:r>
      <w:r>
        <w:rPr>
          <w:rFonts w:hint="eastAsia" w:ascii="微软雅黑" w:hAnsi="微软雅黑" w:eastAsia="微软雅黑" w:cs="微软雅黑"/>
          <w:highlight w:val="none"/>
        </w:rPr>
        <w:t>｡</w:t>
      </w:r>
    </w:p>
    <w:p w14:paraId="31FD3FBB">
      <w:pPr>
        <w:pStyle w:val="46"/>
        <w:ind w:hanging="720"/>
        <w:rPr>
          <w:rFonts w:hint="eastAsia"/>
          <w:highlight w:val="none"/>
        </w:rPr>
      </w:pPr>
      <w:r>
        <w:rPr>
          <w:highlight w:val="none"/>
        </w:rPr>
        <w:t>在设备安装完毕后，双方代表将进一步核实</w:t>
      </w:r>
      <w:r>
        <w:rPr>
          <w:rFonts w:hint="eastAsia" w:ascii="微软雅黑" w:hAnsi="微软雅黑" w:eastAsia="微软雅黑" w:cs="微软雅黑"/>
          <w:highlight w:val="none"/>
        </w:rPr>
        <w:t>､</w:t>
      </w:r>
      <w:r>
        <w:rPr>
          <w:rFonts w:hint="eastAsia" w:cs="宋体"/>
          <w:highlight w:val="none"/>
        </w:rPr>
        <w:t>确认安装工作</w:t>
      </w:r>
      <w:r>
        <w:rPr>
          <w:highlight w:val="none"/>
        </w:rPr>
        <w:t>，并共同签署安装完毕证书一式二份，双方各执一份</w:t>
      </w:r>
      <w:r>
        <w:rPr>
          <w:rFonts w:hint="eastAsia" w:ascii="微软雅黑" w:hAnsi="微软雅黑" w:eastAsia="微软雅黑" w:cs="微软雅黑"/>
          <w:highlight w:val="none"/>
        </w:rPr>
        <w:t>｡</w:t>
      </w:r>
      <w:r>
        <w:rPr>
          <w:rFonts w:hint="eastAsia" w:cs="宋体"/>
          <w:highlight w:val="none"/>
        </w:rPr>
        <w:t>但此证书不能解除</w:t>
      </w:r>
      <w:r>
        <w:rPr>
          <w:highlight w:val="none"/>
        </w:rPr>
        <w:t>乙方在试运行</w:t>
      </w:r>
      <w:r>
        <w:rPr>
          <w:rFonts w:hint="eastAsia" w:ascii="微软雅黑" w:hAnsi="微软雅黑" w:eastAsia="微软雅黑" w:cs="微软雅黑"/>
          <w:highlight w:val="none"/>
        </w:rPr>
        <w:t>､</w:t>
      </w:r>
      <w:r>
        <w:rPr>
          <w:rFonts w:hint="eastAsia" w:cs="宋体"/>
          <w:highlight w:val="none"/>
        </w:rPr>
        <w:t>性能验收试验和保证期内的责任</w:t>
      </w:r>
      <w:r>
        <w:rPr>
          <w:highlight w:val="none"/>
        </w:rPr>
        <w:t>，以及技术性能和保证与合同规定不相符的责任</w:t>
      </w:r>
      <w:r>
        <w:rPr>
          <w:rFonts w:hint="eastAsia" w:ascii="微软雅黑" w:hAnsi="微软雅黑" w:eastAsia="微软雅黑" w:cs="微软雅黑"/>
          <w:highlight w:val="none"/>
        </w:rPr>
        <w:t>｡</w:t>
      </w:r>
    </w:p>
    <w:p w14:paraId="5B82C312">
      <w:pPr>
        <w:pStyle w:val="46"/>
        <w:ind w:hanging="720"/>
        <w:rPr>
          <w:rFonts w:hint="eastAsia"/>
          <w:highlight w:val="none"/>
        </w:rPr>
      </w:pPr>
      <w:r>
        <w:rPr>
          <w:highlight w:val="none"/>
        </w:rPr>
        <w:t>本合同设备安装完毕后的验收工作按照《</w:t>
      </w:r>
      <w:r>
        <w:rPr>
          <w:rFonts w:hint="eastAsia"/>
          <w:highlight w:val="none"/>
          <w:lang w:eastAsia="zh-CN"/>
        </w:rPr>
        <w:t>东莞市海心沙资源综合利用中心环保热电厂循环水膜处理系统采购项目技术需求书</w:t>
      </w:r>
      <w:r>
        <w:rPr>
          <w:highlight w:val="none"/>
        </w:rPr>
        <w:t>》的要求进行</w:t>
      </w:r>
      <w:r>
        <w:rPr>
          <w:rFonts w:hint="eastAsia" w:ascii="微软雅黑" w:hAnsi="微软雅黑" w:eastAsia="微软雅黑" w:cs="微软雅黑"/>
          <w:highlight w:val="none"/>
        </w:rPr>
        <w:t>｡</w:t>
      </w:r>
    </w:p>
    <w:p w14:paraId="42827716">
      <w:pPr>
        <w:pStyle w:val="46"/>
        <w:ind w:hanging="720"/>
        <w:rPr>
          <w:rFonts w:hint="eastAsia"/>
          <w:highlight w:val="none"/>
        </w:rPr>
      </w:pPr>
      <w:r>
        <w:rPr>
          <w:highlight w:val="none"/>
        </w:rPr>
        <w:t>合同设备安装完毕后，乙方应派人参加调试</w:t>
      </w:r>
      <w:r>
        <w:rPr>
          <w:rFonts w:hint="eastAsia" w:ascii="微软雅黑" w:hAnsi="微软雅黑" w:eastAsia="微软雅黑" w:cs="微软雅黑"/>
          <w:highlight w:val="none"/>
        </w:rPr>
        <w:t>､</w:t>
      </w:r>
      <w:r>
        <w:rPr>
          <w:highlight w:val="none"/>
        </w:rPr>
        <w:t>进行技术指导，并应尽快解决调试中出现的设备问题，其所需时间应不超过一个月，否则将按11.13款视为延误工期等同处理</w:t>
      </w:r>
      <w:r>
        <w:rPr>
          <w:rFonts w:hint="eastAsia" w:ascii="微软雅黑" w:hAnsi="微软雅黑" w:eastAsia="微软雅黑" w:cs="微软雅黑"/>
          <w:highlight w:val="none"/>
        </w:rPr>
        <w:t>｡</w:t>
      </w:r>
    </w:p>
    <w:p w14:paraId="221F4FE6">
      <w:pPr>
        <w:pStyle w:val="44"/>
        <w:ind w:left="1203" w:hanging="723"/>
        <w:rPr>
          <w:rFonts w:hint="eastAsia"/>
          <w:highlight w:val="none"/>
        </w:rPr>
      </w:pPr>
      <w:r>
        <w:rPr>
          <w:b/>
          <w:bCs/>
          <w:highlight w:val="none"/>
        </w:rPr>
        <w:t>性能验收与初步验收：</w:t>
      </w:r>
      <w:r>
        <w:rPr>
          <w:highlight w:val="none"/>
        </w:rPr>
        <w:t>合同设备及工程的性能验收以设备在额定工况连续稳定运行96小时为验收条件，期间检查确认双方《</w:t>
      </w:r>
      <w:r>
        <w:rPr>
          <w:rFonts w:hint="eastAsia"/>
          <w:highlight w:val="none"/>
          <w:lang w:eastAsia="zh-CN"/>
        </w:rPr>
        <w:t>东莞市海心沙资源综合利用中心环保热电厂循环水膜处理系统采购项目技术需求书</w:t>
      </w:r>
      <w:r>
        <w:rPr>
          <w:highlight w:val="none"/>
        </w:rPr>
        <w:t>》书中所列示的各种技术指标，该项实验由甲方负责</w:t>
      </w:r>
      <w:r>
        <w:rPr>
          <w:rFonts w:hint="eastAsia" w:ascii="微软雅黑" w:hAnsi="微软雅黑" w:eastAsia="微软雅黑" w:cs="微软雅黑"/>
          <w:highlight w:val="none"/>
        </w:rPr>
        <w:t>､</w:t>
      </w:r>
      <w:r>
        <w:rPr>
          <w:highlight w:val="none"/>
        </w:rPr>
        <w:t>乙方参与配合；双方对测试结果产生争议，可由第三方进行测试，第三方单位由甲方推荐</w:t>
      </w:r>
      <w:r>
        <w:rPr>
          <w:rFonts w:hint="eastAsia" w:ascii="微软雅黑" w:hAnsi="微软雅黑" w:eastAsia="微软雅黑" w:cs="微软雅黑"/>
          <w:highlight w:val="none"/>
        </w:rPr>
        <w:t>､</w:t>
      </w:r>
      <w:r>
        <w:rPr>
          <w:highlight w:val="none"/>
        </w:rPr>
        <w:t>乙方认可，若测试结果均达到设计要求，第三方测试费由甲方承担，测试结果未达要求，第三方测试费乙方承担；性能验收试验完毕，合同设备达到《</w:t>
      </w:r>
      <w:r>
        <w:rPr>
          <w:rFonts w:hint="eastAsia"/>
          <w:highlight w:val="none"/>
          <w:lang w:eastAsia="zh-CN"/>
        </w:rPr>
        <w:t>东莞市海心沙资源综合利用中心环保热电厂循环水膜处理系统采购项目技术需求书</w:t>
      </w:r>
      <w:r>
        <w:rPr>
          <w:highlight w:val="none"/>
        </w:rPr>
        <w:t>》所规定的各项性能保证值指标；设备停机检查未见异常，双方合同执行无争议，视为初步验收合格</w:t>
      </w:r>
      <w:r>
        <w:rPr>
          <w:rFonts w:hint="eastAsia" w:ascii="微软雅黑" w:hAnsi="微软雅黑" w:eastAsia="微软雅黑" w:cs="微软雅黑"/>
          <w:highlight w:val="none"/>
        </w:rPr>
        <w:t>｡</w:t>
      </w:r>
      <w:r>
        <w:rPr>
          <w:rFonts w:hint="eastAsia" w:cs="宋体"/>
          <w:highlight w:val="none"/>
        </w:rPr>
        <w:t>初步验收合格</w:t>
      </w:r>
      <w:r>
        <w:rPr>
          <w:highlight w:val="none"/>
        </w:rPr>
        <w:t>，双方会签的本合同设备初步验收证书一式二份，双方各执一份</w:t>
      </w:r>
      <w:r>
        <w:rPr>
          <w:rFonts w:hint="eastAsia" w:ascii="微软雅黑" w:hAnsi="微软雅黑" w:eastAsia="微软雅黑" w:cs="微软雅黑"/>
          <w:highlight w:val="none"/>
        </w:rPr>
        <w:t>｡</w:t>
      </w:r>
    </w:p>
    <w:p w14:paraId="2648FA48">
      <w:pPr>
        <w:pStyle w:val="46"/>
        <w:ind w:hanging="720"/>
        <w:rPr>
          <w:rFonts w:hint="eastAsia"/>
          <w:highlight w:val="none"/>
        </w:rPr>
      </w:pPr>
      <w:r>
        <w:rPr>
          <w:highlight w:val="none"/>
        </w:rPr>
        <w:t>如果合同设备不能达到《</w:t>
      </w:r>
      <w:r>
        <w:rPr>
          <w:rFonts w:hint="eastAsia"/>
          <w:highlight w:val="none"/>
          <w:lang w:eastAsia="zh-CN"/>
        </w:rPr>
        <w:t>东莞市海心沙资源综合利用中心环保热电厂循环水膜处理系统采购项目技术需求书</w:t>
      </w:r>
      <w:r>
        <w:rPr>
          <w:highlight w:val="none"/>
        </w:rPr>
        <w:t>》所规定的一项或多项保证指标时则按10.7款和</w:t>
      </w:r>
      <w:r>
        <w:rPr>
          <w:rFonts w:hint="eastAsia"/>
          <w:highlight w:val="none"/>
          <w:lang w:val="en-US" w:eastAsia="zh-CN"/>
        </w:rPr>
        <w:t>11.9</w:t>
      </w:r>
      <w:r>
        <w:rPr>
          <w:highlight w:val="none"/>
        </w:rPr>
        <w:t>款办理</w:t>
      </w:r>
      <w:r>
        <w:rPr>
          <w:rFonts w:hint="eastAsia" w:ascii="微软雅黑" w:hAnsi="微软雅黑" w:eastAsia="微软雅黑" w:cs="微软雅黑"/>
          <w:highlight w:val="none"/>
        </w:rPr>
        <w:t>｡</w:t>
      </w:r>
    </w:p>
    <w:p w14:paraId="58B659D2">
      <w:pPr>
        <w:pStyle w:val="46"/>
        <w:ind w:hanging="720"/>
        <w:rPr>
          <w:rFonts w:hint="eastAsia"/>
          <w:highlight w:val="none"/>
        </w:rPr>
      </w:pPr>
      <w:r>
        <w:rPr>
          <w:highlight w:val="none"/>
        </w:rPr>
        <w:t>非乙方责任，设备安装调试移交甲方后6个月，若甲方未组织调试验收，视为初步验收合格</w:t>
      </w:r>
      <w:r>
        <w:rPr>
          <w:rFonts w:hint="eastAsia" w:ascii="微软雅黑" w:hAnsi="微软雅黑" w:eastAsia="微软雅黑" w:cs="微软雅黑"/>
          <w:highlight w:val="none"/>
        </w:rPr>
        <w:t>｡</w:t>
      </w:r>
    </w:p>
    <w:p w14:paraId="66A0B9EF">
      <w:pPr>
        <w:pStyle w:val="44"/>
        <w:rPr>
          <w:rFonts w:hint="eastAsia"/>
          <w:highlight w:val="none"/>
        </w:rPr>
      </w:pPr>
      <w:r>
        <w:rPr>
          <w:highlight w:val="none"/>
        </w:rPr>
        <w:t>在不影响本合同设备安全</w:t>
      </w:r>
      <w:r>
        <w:rPr>
          <w:rFonts w:hint="eastAsia" w:ascii="微软雅黑" w:hAnsi="微软雅黑" w:eastAsia="微软雅黑" w:cs="微软雅黑"/>
          <w:highlight w:val="none"/>
        </w:rPr>
        <w:t>､</w:t>
      </w:r>
      <w:r>
        <w:rPr>
          <w:rFonts w:hint="eastAsia" w:cs="宋体"/>
          <w:highlight w:val="none"/>
        </w:rPr>
        <w:t>可靠运行的条件下</w:t>
      </w:r>
      <w:r>
        <w:rPr>
          <w:highlight w:val="none"/>
        </w:rPr>
        <w:t>，如有个别微小缺陷，乙方在双方商定的时间内免费修理上述的缺陷，</w:t>
      </w:r>
      <w:r>
        <w:rPr>
          <w:rFonts w:hint="eastAsia"/>
          <w:highlight w:val="none"/>
          <w:lang w:val="en-US" w:eastAsia="zh-CN"/>
        </w:rPr>
        <w:t>在</w:t>
      </w:r>
      <w:r>
        <w:rPr>
          <w:highlight w:val="none"/>
        </w:rPr>
        <w:t>乙方</w:t>
      </w:r>
      <w:r>
        <w:rPr>
          <w:rFonts w:hint="eastAsia"/>
          <w:highlight w:val="none"/>
          <w:lang w:val="en-US" w:eastAsia="zh-CN"/>
        </w:rPr>
        <w:t>修理完毕后，</w:t>
      </w:r>
      <w:r>
        <w:rPr>
          <w:highlight w:val="none"/>
        </w:rPr>
        <w:t>甲方则可同意签署初步验收证书</w:t>
      </w:r>
      <w:r>
        <w:rPr>
          <w:rFonts w:hint="eastAsia" w:ascii="微软雅黑" w:hAnsi="微软雅黑" w:eastAsia="微软雅黑" w:cs="微软雅黑"/>
          <w:highlight w:val="none"/>
        </w:rPr>
        <w:t>｡</w:t>
      </w:r>
    </w:p>
    <w:p w14:paraId="3F09EE33">
      <w:pPr>
        <w:pStyle w:val="44"/>
        <w:rPr>
          <w:rFonts w:hint="eastAsia"/>
          <w:highlight w:val="none"/>
        </w:rPr>
      </w:pPr>
      <w:r>
        <w:rPr>
          <w:highlight w:val="none"/>
        </w:rPr>
        <w:t>如果第一次性能验收试验达不到《</w:t>
      </w:r>
      <w:r>
        <w:rPr>
          <w:rFonts w:hint="eastAsia"/>
          <w:highlight w:val="none"/>
          <w:lang w:eastAsia="zh-CN"/>
        </w:rPr>
        <w:t>东莞市海心沙资源综合利用中心环保热电厂循环水膜处理系统采购项目技术需求书</w:t>
      </w:r>
      <w:r>
        <w:rPr>
          <w:highlight w:val="none"/>
        </w:rPr>
        <w:t>》所规定的一项或多项性能保证值，则双方应共同分析原因，澄清责任，由责任一方采取措施，并在第一次验收试验结束后三个月内进行第二次验收试验；如需第三方测试，第三方测试费由责任方承担</w:t>
      </w:r>
      <w:r>
        <w:rPr>
          <w:rFonts w:hint="eastAsia" w:ascii="微软雅黑" w:hAnsi="微软雅黑" w:eastAsia="微软雅黑" w:cs="微软雅黑"/>
          <w:highlight w:val="none"/>
        </w:rPr>
        <w:t>｡</w:t>
      </w:r>
    </w:p>
    <w:p w14:paraId="7B03F556">
      <w:pPr>
        <w:pStyle w:val="44"/>
        <w:rPr>
          <w:rFonts w:hint="eastAsia"/>
          <w:highlight w:val="none"/>
        </w:rPr>
      </w:pPr>
      <w:r>
        <w:rPr>
          <w:highlight w:val="none"/>
        </w:rPr>
        <w:t>在第二次性能验收试验后，如仍有一项或多项指标未能达到《</w:t>
      </w:r>
      <w:r>
        <w:rPr>
          <w:rFonts w:hint="eastAsia"/>
          <w:highlight w:val="none"/>
          <w:lang w:eastAsia="zh-CN"/>
        </w:rPr>
        <w:t>东莞市海心沙资源综合利用中心环保热电厂循环水膜处理系统采购项目技术需求书</w:t>
      </w:r>
      <w:r>
        <w:rPr>
          <w:highlight w:val="none"/>
        </w:rPr>
        <w:t>》所规定的性能保证值，双方应共同研究，分析原因，澄清责任：</w:t>
      </w:r>
    </w:p>
    <w:p w14:paraId="61E7EA23">
      <w:pPr>
        <w:pStyle w:val="46"/>
        <w:ind w:hanging="720"/>
        <w:rPr>
          <w:rFonts w:hint="eastAsia"/>
          <w:highlight w:val="none"/>
        </w:rPr>
      </w:pPr>
      <w:r>
        <w:rPr>
          <w:highlight w:val="none"/>
        </w:rPr>
        <w:t>如属乙方原因，则应按本合同11款执行</w:t>
      </w:r>
      <w:r>
        <w:rPr>
          <w:rFonts w:hint="eastAsia"/>
          <w:highlight w:val="none"/>
        </w:rPr>
        <w:t>。</w:t>
      </w:r>
    </w:p>
    <w:p w14:paraId="190E3156">
      <w:pPr>
        <w:pStyle w:val="46"/>
        <w:ind w:hanging="720"/>
        <w:rPr>
          <w:rFonts w:hint="eastAsia"/>
          <w:highlight w:val="none"/>
        </w:rPr>
      </w:pPr>
      <w:r>
        <w:rPr>
          <w:highlight w:val="none"/>
        </w:rPr>
        <w:t>如属甲方原因，本合同设备应被认为初步验收通过，此后三十天内由甲方代表签署由乙方代表会签的本合同设备初步验收证书一式二份，双方各执一份</w:t>
      </w:r>
      <w:r>
        <w:rPr>
          <w:rFonts w:hint="eastAsia" w:ascii="微软雅黑" w:hAnsi="微软雅黑" w:eastAsia="微软雅黑" w:cs="微软雅黑"/>
          <w:highlight w:val="none"/>
        </w:rPr>
        <w:t>｡</w:t>
      </w:r>
      <w:r>
        <w:rPr>
          <w:rFonts w:hint="eastAsia" w:cs="宋体"/>
          <w:highlight w:val="none"/>
        </w:rPr>
        <w:t>此时</w:t>
      </w:r>
      <w:r>
        <w:rPr>
          <w:highlight w:val="none"/>
        </w:rPr>
        <w:t>乙方仍有义务与甲方一起采取措施，使合同设备性能达到保证值</w:t>
      </w:r>
      <w:r>
        <w:rPr>
          <w:rFonts w:hint="eastAsia" w:ascii="微软雅黑" w:hAnsi="微软雅黑" w:eastAsia="微软雅黑" w:cs="微软雅黑"/>
          <w:highlight w:val="none"/>
        </w:rPr>
        <w:t>｡</w:t>
      </w:r>
    </w:p>
    <w:p w14:paraId="508763F1">
      <w:pPr>
        <w:pStyle w:val="44"/>
        <w:rPr>
          <w:rFonts w:hint="eastAsia"/>
          <w:highlight w:val="none"/>
        </w:rPr>
      </w:pPr>
      <w:r>
        <w:rPr>
          <w:highlight w:val="none"/>
        </w:rPr>
        <w:t>不管合同设备性能验收试验进行一次或二次，甲方将于初步验收证书签发之日起按照10.11款的规定进行最终验收</w:t>
      </w:r>
      <w:r>
        <w:rPr>
          <w:rFonts w:hint="eastAsia" w:ascii="微软雅黑" w:hAnsi="微软雅黑" w:eastAsia="微软雅黑" w:cs="微软雅黑"/>
          <w:highlight w:val="none"/>
        </w:rPr>
        <w:t>｡</w:t>
      </w:r>
    </w:p>
    <w:p w14:paraId="7511FB20">
      <w:pPr>
        <w:pStyle w:val="44"/>
        <w:rPr>
          <w:rFonts w:hint="eastAsia"/>
          <w:highlight w:val="none"/>
        </w:rPr>
      </w:pPr>
      <w:r>
        <w:rPr>
          <w:highlight w:val="none"/>
        </w:rPr>
        <w:t>按上述条款出具的初步验收证书只是证明乙方所提供的合同设备性能和参数截至出具初步验收证明时可以按合同要求予以接受，但不能视为乙方对合同设备中存在的可能引起合同设备损坏的潜在缺陷所应负的责任解除的证据，同样，最终验收证书也不能被视为乙方对合同设备中存在可能引起合同设备损坏的潜在缺陷应负责任的解除的证据</w:t>
      </w:r>
      <w:r>
        <w:rPr>
          <w:rFonts w:hint="eastAsia" w:ascii="微软雅黑" w:hAnsi="微软雅黑" w:eastAsia="微软雅黑" w:cs="微软雅黑"/>
          <w:highlight w:val="none"/>
        </w:rPr>
        <w:t>｡</w:t>
      </w:r>
      <w:r>
        <w:rPr>
          <w:rFonts w:hint="eastAsia" w:cs="宋体"/>
          <w:highlight w:val="none"/>
        </w:rPr>
        <w:t>潜在缺陷指在正常情况下不能或不容易在设计</w:t>
      </w:r>
      <w:r>
        <w:rPr>
          <w:rFonts w:hint="eastAsia" w:ascii="微软雅黑" w:hAnsi="微软雅黑" w:eastAsia="微软雅黑" w:cs="微软雅黑"/>
          <w:highlight w:val="none"/>
        </w:rPr>
        <w:t>､</w:t>
      </w:r>
      <w:r>
        <w:rPr>
          <w:rFonts w:hint="eastAsia" w:cs="宋体"/>
          <w:highlight w:val="none"/>
        </w:rPr>
        <w:t>制造和短期运行过程中被发现的设计</w:t>
      </w:r>
      <w:r>
        <w:rPr>
          <w:rFonts w:hint="eastAsia" w:ascii="微软雅黑" w:hAnsi="微软雅黑" w:eastAsia="微软雅黑" w:cs="微软雅黑"/>
          <w:highlight w:val="none"/>
        </w:rPr>
        <w:t>､</w:t>
      </w:r>
      <w:r>
        <w:rPr>
          <w:rFonts w:hint="eastAsia" w:cs="宋体"/>
          <w:highlight w:val="none"/>
        </w:rPr>
        <w:t>设备和工程缺陷和隐患</w:t>
      </w:r>
      <w:r>
        <w:rPr>
          <w:highlight w:val="none"/>
        </w:rPr>
        <w:t>，乙方对纠正潜在缺陷所应负的责任，其时间应保证到</w:t>
      </w:r>
      <w:r>
        <w:rPr>
          <w:rFonts w:hint="eastAsia"/>
          <w:highlight w:val="none"/>
          <w:lang w:val="en-US" w:eastAsia="zh-CN"/>
        </w:rPr>
        <w:t>两年</w:t>
      </w:r>
      <w:r>
        <w:rPr>
          <w:highlight w:val="none"/>
        </w:rPr>
        <w:t>保证期终止后到第一次大修时</w:t>
      </w:r>
      <w:r>
        <w:rPr>
          <w:rFonts w:hint="eastAsia" w:ascii="微软雅黑" w:hAnsi="微软雅黑" w:eastAsia="微软雅黑" w:cs="微软雅黑"/>
          <w:highlight w:val="none"/>
        </w:rPr>
        <w:t>｡</w:t>
      </w:r>
      <w:r>
        <w:rPr>
          <w:rFonts w:hint="eastAsia" w:cs="宋体"/>
          <w:highlight w:val="none"/>
        </w:rPr>
        <w:t>当发现这类潜在缺陷时</w:t>
      </w:r>
      <w:r>
        <w:rPr>
          <w:highlight w:val="none"/>
        </w:rPr>
        <w:t>(经双方确认)，乙方应按照本合同6款及11款的规定进行修理或调换</w:t>
      </w:r>
      <w:r>
        <w:rPr>
          <w:rFonts w:hint="eastAsia" w:ascii="微软雅黑" w:hAnsi="微软雅黑" w:eastAsia="微软雅黑" w:cs="微软雅黑"/>
          <w:highlight w:val="none"/>
        </w:rPr>
        <w:t>｡</w:t>
      </w:r>
    </w:p>
    <w:p w14:paraId="4DDBEE04">
      <w:pPr>
        <w:pStyle w:val="44"/>
        <w:rPr>
          <w:rFonts w:hint="eastAsia"/>
          <w:highlight w:val="none"/>
        </w:rPr>
      </w:pPr>
      <w:r>
        <w:rPr>
          <w:highlight w:val="none"/>
        </w:rPr>
        <w:t>在合同执行过程中的任何时候，对由于乙方责任需要进行的检查</w:t>
      </w:r>
      <w:r>
        <w:rPr>
          <w:rFonts w:hint="eastAsia" w:ascii="微软雅黑" w:hAnsi="微软雅黑" w:eastAsia="微软雅黑" w:cs="微软雅黑"/>
          <w:highlight w:val="none"/>
        </w:rPr>
        <w:t>､</w:t>
      </w:r>
      <w:r>
        <w:rPr>
          <w:rFonts w:hint="eastAsia" w:cs="宋体"/>
          <w:highlight w:val="none"/>
        </w:rPr>
        <w:t>试验</w:t>
      </w:r>
      <w:r>
        <w:rPr>
          <w:rFonts w:hint="eastAsia" w:ascii="微软雅黑" w:hAnsi="微软雅黑" w:eastAsia="微软雅黑" w:cs="微软雅黑"/>
          <w:highlight w:val="none"/>
        </w:rPr>
        <w:t>､</w:t>
      </w:r>
      <w:r>
        <w:rPr>
          <w:rFonts w:hint="eastAsia" w:cs="宋体"/>
          <w:highlight w:val="none"/>
        </w:rPr>
        <w:t>再试验</w:t>
      </w:r>
      <w:r>
        <w:rPr>
          <w:rFonts w:hint="eastAsia" w:ascii="微软雅黑" w:hAnsi="微软雅黑" w:eastAsia="微软雅黑" w:cs="微软雅黑"/>
          <w:highlight w:val="none"/>
        </w:rPr>
        <w:t>､</w:t>
      </w:r>
      <w:r>
        <w:rPr>
          <w:rFonts w:hint="eastAsia" w:cs="宋体"/>
          <w:highlight w:val="none"/>
        </w:rPr>
        <w:t>修理或调换</w:t>
      </w:r>
      <w:r>
        <w:rPr>
          <w:highlight w:val="none"/>
        </w:rPr>
        <w:t>，在甲方提出请求时，乙方应作好安排进行配合以便进行上述工作</w:t>
      </w:r>
      <w:r>
        <w:rPr>
          <w:rFonts w:hint="eastAsia" w:ascii="微软雅黑" w:hAnsi="微软雅黑" w:eastAsia="微软雅黑" w:cs="微软雅黑"/>
          <w:highlight w:val="none"/>
        </w:rPr>
        <w:t>｡</w:t>
      </w:r>
      <w:r>
        <w:rPr>
          <w:highlight w:val="none"/>
        </w:rPr>
        <w:t>乙方应负担修理或调换所发生的各种费用</w:t>
      </w:r>
      <w:r>
        <w:rPr>
          <w:rFonts w:hint="eastAsia" w:ascii="微软雅黑" w:hAnsi="微软雅黑" w:eastAsia="微软雅黑" w:cs="微软雅黑"/>
          <w:highlight w:val="none"/>
        </w:rPr>
        <w:t>｡</w:t>
      </w:r>
      <w:r>
        <w:rPr>
          <w:rFonts w:hint="eastAsia" w:cs="宋体"/>
          <w:highlight w:val="none"/>
        </w:rPr>
        <w:t>如果</w:t>
      </w:r>
      <w:r>
        <w:rPr>
          <w:highlight w:val="none"/>
        </w:rPr>
        <w:t>乙方委托甲方施工人员进行加工和/或修理</w:t>
      </w:r>
      <w:r>
        <w:rPr>
          <w:rFonts w:hint="eastAsia" w:ascii="微软雅黑" w:hAnsi="微软雅黑" w:eastAsia="微软雅黑" w:cs="微软雅黑"/>
          <w:highlight w:val="none"/>
        </w:rPr>
        <w:t>､</w:t>
      </w:r>
      <w:r>
        <w:rPr>
          <w:rFonts w:hint="eastAsia" w:cs="宋体"/>
          <w:highlight w:val="none"/>
        </w:rPr>
        <w:t>更换设备</w:t>
      </w:r>
      <w:r>
        <w:rPr>
          <w:highlight w:val="none"/>
        </w:rPr>
        <w:t>，或由于乙方设计图纸错误或乙方技术服务人员的指导错误造成返工，乙方应按下列公式向甲方支付费用：(所有费用按发生时的费率水平计费)</w:t>
      </w:r>
    </w:p>
    <w:p w14:paraId="0946DECE">
      <w:pPr>
        <w:pStyle w:val="48"/>
        <w:rPr>
          <w:rFonts w:hint="eastAsia"/>
          <w:highlight w:val="none"/>
        </w:rPr>
      </w:pPr>
      <w:r>
        <w:rPr>
          <w:highlight w:val="none"/>
        </w:rPr>
        <w:t>P=ah+M+cm</w:t>
      </w:r>
    </w:p>
    <w:p w14:paraId="7EDE4605">
      <w:pPr>
        <w:pStyle w:val="48"/>
        <w:rPr>
          <w:rFonts w:hint="default"/>
          <w:highlight w:val="none"/>
        </w:rPr>
      </w:pPr>
      <w:r>
        <w:rPr>
          <w:highlight w:val="none"/>
        </w:rPr>
        <w:t>其中：P-总费用(元)</w:t>
      </w:r>
    </w:p>
    <w:p w14:paraId="30312F12">
      <w:pPr>
        <w:pStyle w:val="48"/>
        <w:rPr>
          <w:rFonts w:hint="eastAsia"/>
          <w:highlight w:val="none"/>
        </w:rPr>
      </w:pPr>
      <w:r>
        <w:rPr>
          <w:highlight w:val="none"/>
        </w:rPr>
        <w:t>a-人工费(元/小时·人)</w:t>
      </w:r>
    </w:p>
    <w:p w14:paraId="69E785C0">
      <w:pPr>
        <w:pStyle w:val="48"/>
        <w:rPr>
          <w:rFonts w:hint="eastAsia"/>
          <w:highlight w:val="none"/>
        </w:rPr>
      </w:pPr>
      <w:r>
        <w:rPr>
          <w:highlight w:val="none"/>
        </w:rPr>
        <w:t>h-人时(小时·人)</w:t>
      </w:r>
    </w:p>
    <w:p w14:paraId="72030A23">
      <w:pPr>
        <w:pStyle w:val="48"/>
        <w:rPr>
          <w:rFonts w:hint="eastAsia"/>
          <w:highlight w:val="none"/>
        </w:rPr>
      </w:pPr>
      <w:r>
        <w:rPr>
          <w:highlight w:val="none"/>
        </w:rPr>
        <w:t>M-材料费(元)</w:t>
      </w:r>
    </w:p>
    <w:p w14:paraId="79A8D66D">
      <w:pPr>
        <w:pStyle w:val="48"/>
        <w:rPr>
          <w:rFonts w:hint="eastAsia"/>
          <w:highlight w:val="none"/>
        </w:rPr>
      </w:pPr>
      <w:r>
        <w:rPr>
          <w:highlight w:val="none"/>
        </w:rPr>
        <w:t>c-台班数(台·班)</w:t>
      </w:r>
    </w:p>
    <w:p w14:paraId="5D36FB39">
      <w:pPr>
        <w:pStyle w:val="48"/>
        <w:rPr>
          <w:rFonts w:hint="eastAsia"/>
          <w:highlight w:val="none"/>
        </w:rPr>
      </w:pPr>
      <w:r>
        <w:rPr>
          <w:highlight w:val="none"/>
        </w:rPr>
        <w:t>m-每台设备的台班费(元/台·班)</w:t>
      </w:r>
    </w:p>
    <w:p w14:paraId="21509BA4">
      <w:pPr>
        <w:pStyle w:val="44"/>
        <w:rPr>
          <w:rFonts w:hint="eastAsia"/>
          <w:highlight w:val="none"/>
        </w:rPr>
      </w:pPr>
      <w:r>
        <w:rPr>
          <w:rFonts w:hint="eastAsia"/>
          <w:highlight w:val="none"/>
        </w:rPr>
        <w:t>至</w:t>
      </w:r>
      <w:r>
        <w:rPr>
          <w:highlight w:val="none"/>
        </w:rPr>
        <w:t>保证期</w:t>
      </w:r>
      <w:r>
        <w:rPr>
          <w:rFonts w:hint="eastAsia"/>
          <w:highlight w:val="none"/>
        </w:rPr>
        <w:t>满前十日内，参照初步验收的要求，由甲方负责</w:t>
      </w:r>
      <w:r>
        <w:rPr>
          <w:rFonts w:hint="eastAsia" w:ascii="微软雅黑" w:hAnsi="微软雅黑" w:eastAsia="微软雅黑" w:cs="微软雅黑"/>
          <w:highlight w:val="none"/>
        </w:rPr>
        <w:t>､</w:t>
      </w:r>
      <w:r>
        <w:rPr>
          <w:rFonts w:hint="eastAsia" w:cs="宋体"/>
          <w:highlight w:val="none"/>
        </w:rPr>
        <w:t>乙方参与进行设备最终验收</w:t>
      </w:r>
      <w:r>
        <w:rPr>
          <w:rFonts w:hint="eastAsia" w:ascii="微软雅黑" w:hAnsi="微软雅黑" w:eastAsia="微软雅黑" w:cs="微软雅黑"/>
          <w:highlight w:val="none"/>
        </w:rPr>
        <w:t>｡</w:t>
      </w:r>
      <w:r>
        <w:rPr>
          <w:rFonts w:hint="eastAsia" w:cs="宋体"/>
          <w:highlight w:val="none"/>
        </w:rPr>
        <w:t>设备通过最终验收，质保期满，双方共同会签最终验收证书。</w:t>
      </w:r>
    </w:p>
    <w:p w14:paraId="2C6FA591">
      <w:pPr>
        <w:pStyle w:val="44"/>
        <w:rPr>
          <w:rFonts w:hint="eastAsia"/>
          <w:highlight w:val="none"/>
        </w:rPr>
      </w:pPr>
      <w:r>
        <w:rPr>
          <w:highlight w:val="none"/>
        </w:rPr>
        <w:t>安装调试费用：乙方自行负责所有</w:t>
      </w:r>
      <w:r>
        <w:rPr>
          <w:rFonts w:hint="eastAsia" w:cs="宋体"/>
          <w:highlight w:val="none"/>
        </w:rPr>
        <w:t>安装费､调试费</w:t>
      </w:r>
      <w:r>
        <w:rPr>
          <w:rFonts w:hint="eastAsia" w:ascii="微软雅黑" w:hAnsi="微软雅黑" w:eastAsia="微软雅黑" w:cs="微软雅黑"/>
          <w:highlight w:val="none"/>
        </w:rPr>
        <w:t>､</w:t>
      </w:r>
      <w:r>
        <w:rPr>
          <w:rFonts w:hint="eastAsia" w:cs="宋体"/>
          <w:highlight w:val="none"/>
        </w:rPr>
        <w:t>工程措施费</w:t>
      </w:r>
      <w:r>
        <w:rPr>
          <w:rFonts w:hint="eastAsia" w:ascii="微软雅黑" w:hAnsi="微软雅黑" w:eastAsia="微软雅黑" w:cs="微软雅黑"/>
          <w:highlight w:val="none"/>
        </w:rPr>
        <w:t>､</w:t>
      </w:r>
      <w:r>
        <w:rPr>
          <w:rFonts w:hint="eastAsia" w:cs="宋体"/>
          <w:highlight w:val="none"/>
        </w:rPr>
        <w:t>人员费用</w:t>
      </w:r>
      <w:r>
        <w:rPr>
          <w:rFonts w:hint="eastAsia" w:ascii="微软雅黑" w:hAnsi="微软雅黑" w:eastAsia="微软雅黑" w:cs="微软雅黑"/>
          <w:highlight w:val="none"/>
        </w:rPr>
        <w:t>､</w:t>
      </w:r>
      <w:r>
        <w:rPr>
          <w:rFonts w:hint="eastAsia" w:cs="宋体"/>
          <w:highlight w:val="none"/>
        </w:rPr>
        <w:t>交通费用</w:t>
      </w:r>
      <w:r>
        <w:rPr>
          <w:rFonts w:hint="eastAsia" w:ascii="微软雅黑" w:hAnsi="微软雅黑" w:eastAsia="微软雅黑" w:cs="微软雅黑"/>
          <w:highlight w:val="none"/>
        </w:rPr>
        <w:t>､</w:t>
      </w:r>
      <w:r>
        <w:rPr>
          <w:rFonts w:hint="eastAsia" w:cs="宋体"/>
          <w:highlight w:val="none"/>
        </w:rPr>
        <w:t>食宿费用</w:t>
      </w:r>
      <w:r>
        <w:rPr>
          <w:rFonts w:hint="eastAsia" w:ascii="微软雅黑" w:hAnsi="微软雅黑" w:eastAsia="微软雅黑" w:cs="微软雅黑"/>
          <w:highlight w:val="none"/>
        </w:rPr>
        <w:t>､</w:t>
      </w:r>
      <w:r>
        <w:rPr>
          <w:highlight w:val="none"/>
        </w:rPr>
        <w:t>设备费用</w:t>
      </w:r>
      <w:r>
        <w:rPr>
          <w:rFonts w:hint="eastAsia" w:ascii="微软雅黑" w:hAnsi="微软雅黑" w:eastAsia="微软雅黑" w:cs="微软雅黑"/>
          <w:highlight w:val="none"/>
        </w:rPr>
        <w:t>､</w:t>
      </w:r>
      <w:r>
        <w:rPr>
          <w:rFonts w:hint="eastAsia" w:cs="宋体"/>
          <w:highlight w:val="none"/>
        </w:rPr>
        <w:t>设施费用</w:t>
      </w:r>
      <w:r>
        <w:rPr>
          <w:rFonts w:hint="eastAsia" w:ascii="微软雅黑" w:hAnsi="微软雅黑" w:eastAsia="微软雅黑" w:cs="微软雅黑"/>
          <w:highlight w:val="none"/>
        </w:rPr>
        <w:t>､</w:t>
      </w:r>
      <w:r>
        <w:rPr>
          <w:rFonts w:hint="eastAsia" w:cs="宋体"/>
          <w:highlight w:val="none"/>
        </w:rPr>
        <w:t>水电费等的所有费用</w:t>
      </w:r>
    </w:p>
    <w:p w14:paraId="522F6DFD">
      <w:pPr>
        <w:pStyle w:val="42"/>
        <w:spacing w:before="163"/>
        <w:ind w:hanging="482"/>
        <w:rPr>
          <w:rFonts w:hint="eastAsia"/>
          <w:highlight w:val="none"/>
        </w:rPr>
      </w:pPr>
      <w:bookmarkStart w:id="30" w:name="_Toc475095468"/>
      <w:bookmarkStart w:id="31" w:name="_Toc149585879"/>
      <w:bookmarkStart w:id="32" w:name="_Toc475094757"/>
      <w:r>
        <w:rPr>
          <w:highlight w:val="none"/>
        </w:rPr>
        <w:t>保证与索赔</w:t>
      </w:r>
      <w:bookmarkEnd w:id="30"/>
      <w:bookmarkEnd w:id="31"/>
      <w:bookmarkEnd w:id="32"/>
    </w:p>
    <w:p w14:paraId="009B533D">
      <w:pPr>
        <w:pStyle w:val="44"/>
        <w:rPr>
          <w:rFonts w:hint="eastAsia"/>
          <w:highlight w:val="none"/>
        </w:rPr>
      </w:pPr>
      <w:r>
        <w:rPr>
          <w:highlight w:val="none"/>
        </w:rPr>
        <w:t>乙方保证在本合同执行期内，对应本合同范围：乙方的设计资质</w:t>
      </w:r>
      <w:r>
        <w:rPr>
          <w:rFonts w:hint="eastAsia" w:ascii="微软雅黑" w:hAnsi="微软雅黑" w:eastAsia="微软雅黑" w:cs="微软雅黑"/>
          <w:highlight w:val="none"/>
        </w:rPr>
        <w:t>､</w:t>
      </w:r>
      <w:r>
        <w:rPr>
          <w:rFonts w:hint="eastAsia" w:cs="宋体"/>
          <w:highlight w:val="none"/>
        </w:rPr>
        <w:t>制造资质</w:t>
      </w:r>
      <w:r>
        <w:rPr>
          <w:rFonts w:hint="eastAsia" w:ascii="微软雅黑" w:hAnsi="微软雅黑" w:eastAsia="微软雅黑" w:cs="微软雅黑"/>
          <w:highlight w:val="none"/>
        </w:rPr>
        <w:t>､</w:t>
      </w:r>
      <w:r>
        <w:rPr>
          <w:rFonts w:hint="eastAsia" w:cs="宋体"/>
          <w:highlight w:val="none"/>
        </w:rPr>
        <w:t>施工建设</w:t>
      </w:r>
      <w:r>
        <w:rPr>
          <w:highlight w:val="none"/>
        </w:rPr>
        <w:t>(包括安装调试)资质符合国家</w:t>
      </w:r>
      <w:r>
        <w:rPr>
          <w:rFonts w:hint="eastAsia" w:ascii="微软雅黑" w:hAnsi="微软雅黑" w:eastAsia="微软雅黑" w:cs="微软雅黑"/>
          <w:highlight w:val="none"/>
        </w:rPr>
        <w:t>､</w:t>
      </w:r>
      <w:r>
        <w:rPr>
          <w:rFonts w:hint="eastAsia" w:cs="宋体"/>
          <w:highlight w:val="none"/>
        </w:rPr>
        <w:t>部门</w:t>
      </w:r>
      <w:r>
        <w:rPr>
          <w:rFonts w:hint="eastAsia" w:ascii="微软雅黑" w:hAnsi="微软雅黑" w:eastAsia="微软雅黑" w:cs="微软雅黑"/>
          <w:highlight w:val="none"/>
        </w:rPr>
        <w:t>､</w:t>
      </w:r>
      <w:r>
        <w:rPr>
          <w:rFonts w:hint="eastAsia" w:cs="宋体"/>
          <w:highlight w:val="none"/>
        </w:rPr>
        <w:t>地方的相关规定并在有效期内</w:t>
      </w:r>
      <w:r>
        <w:rPr>
          <w:highlight w:val="none"/>
        </w:rPr>
        <w:t>；乙方资质虚假</w:t>
      </w:r>
      <w:r>
        <w:rPr>
          <w:rFonts w:hint="eastAsia" w:ascii="微软雅黑" w:hAnsi="微软雅黑" w:eastAsia="微软雅黑" w:cs="微软雅黑"/>
          <w:highlight w:val="none"/>
        </w:rPr>
        <w:t>､</w:t>
      </w:r>
      <w:r>
        <w:rPr>
          <w:rFonts w:hint="eastAsia" w:cs="宋体"/>
          <w:highlight w:val="none"/>
        </w:rPr>
        <w:t>资质不符</w:t>
      </w:r>
      <w:r>
        <w:rPr>
          <w:rFonts w:hint="eastAsia" w:ascii="微软雅黑" w:hAnsi="微软雅黑" w:eastAsia="微软雅黑" w:cs="微软雅黑"/>
          <w:highlight w:val="none"/>
        </w:rPr>
        <w:t>､</w:t>
      </w:r>
      <w:r>
        <w:rPr>
          <w:rFonts w:hint="eastAsia" w:cs="宋体"/>
          <w:highlight w:val="none"/>
        </w:rPr>
        <w:t>资质过期等所有可能和</w:t>
      </w:r>
      <w:r>
        <w:rPr>
          <w:highlight w:val="none"/>
        </w:rPr>
        <w:t>/或已造成甲方工程障碍和损失的，一经发现，甲方有权单方立即终止合同，乙方赔偿由此造成的所有甲方损失，并承担相应的法律责任</w:t>
      </w:r>
      <w:r>
        <w:rPr>
          <w:rFonts w:hint="eastAsia" w:ascii="微软雅黑" w:hAnsi="微软雅黑" w:eastAsia="微软雅黑" w:cs="微软雅黑"/>
          <w:highlight w:val="none"/>
        </w:rPr>
        <w:t>｡</w:t>
      </w:r>
    </w:p>
    <w:p w14:paraId="61D4F3D8">
      <w:pPr>
        <w:pStyle w:val="44"/>
        <w:rPr>
          <w:rFonts w:hint="eastAsia"/>
          <w:highlight w:val="none"/>
        </w:rPr>
      </w:pPr>
      <w:r>
        <w:rPr>
          <w:highlight w:val="none"/>
        </w:rPr>
        <w:t>合同设备及工程的整体质量保证期是指</w:t>
      </w:r>
      <w:r>
        <w:rPr>
          <w:rFonts w:hint="eastAsia"/>
          <w:highlight w:val="none"/>
          <w:lang w:val="en-US" w:eastAsia="zh-CN"/>
        </w:rPr>
        <w:t>甲方</w:t>
      </w:r>
      <w:r>
        <w:rPr>
          <w:rFonts w:hint="eastAsia"/>
          <w:highlight w:val="none"/>
        </w:rPr>
        <w:t>最终验收合格签收</w:t>
      </w:r>
      <w:r>
        <w:rPr>
          <w:highlight w:val="none"/>
        </w:rPr>
        <w:t>之日起</w:t>
      </w:r>
      <w:r>
        <w:rPr>
          <w:rFonts w:hint="eastAsia"/>
          <w:highlight w:val="none"/>
        </w:rPr>
        <w:t>贰</w:t>
      </w:r>
      <w:r>
        <w:rPr>
          <w:highlight w:val="none"/>
        </w:rPr>
        <w:t>年</w:t>
      </w:r>
      <w:r>
        <w:rPr>
          <w:rFonts w:hint="eastAsia" w:ascii="微软雅黑" w:hAnsi="微软雅黑" w:eastAsia="微软雅黑" w:cs="微软雅黑"/>
          <w:highlight w:val="none"/>
        </w:rPr>
        <w:t>｡</w:t>
      </w:r>
      <w:r>
        <w:rPr>
          <w:rFonts w:hint="eastAsia" w:cs="宋体"/>
          <w:highlight w:val="none"/>
        </w:rPr>
        <w:t>该保证期是</w:t>
      </w:r>
      <w:r>
        <w:rPr>
          <w:highlight w:val="none"/>
        </w:rPr>
        <w:t>乙方对合同设备及工程的整体质量保证期，对双方《</w:t>
      </w:r>
      <w:r>
        <w:rPr>
          <w:rFonts w:hint="eastAsia"/>
          <w:highlight w:val="none"/>
          <w:lang w:eastAsia="zh-CN"/>
        </w:rPr>
        <w:t>东莞市海心沙资源综合利用中心环保热电厂循环水膜处理系统采购项目技术需求书</w:t>
      </w:r>
      <w:r>
        <w:rPr>
          <w:highlight w:val="none"/>
        </w:rPr>
        <w:t>》中列明的具体合同设备和材料，在乙方的承诺使用寿命期内，乙方承担本合同质量保证期条款相同的责任和义务</w:t>
      </w:r>
      <w:r>
        <w:rPr>
          <w:rFonts w:hint="eastAsia" w:ascii="微软雅黑" w:hAnsi="微软雅黑" w:eastAsia="微软雅黑" w:cs="微软雅黑"/>
          <w:highlight w:val="none"/>
        </w:rPr>
        <w:t>｡</w:t>
      </w:r>
    </w:p>
    <w:p w14:paraId="419B9783">
      <w:pPr>
        <w:pStyle w:val="44"/>
        <w:rPr>
          <w:rFonts w:hint="eastAsia"/>
          <w:highlight w:val="none"/>
        </w:rPr>
      </w:pPr>
      <w:r>
        <w:rPr>
          <w:highlight w:val="none"/>
        </w:rPr>
        <w:t>乙方保证其供应的本合同设备是全新的，技术水平是先进的</w:t>
      </w:r>
      <w:r>
        <w:rPr>
          <w:rFonts w:hint="eastAsia" w:ascii="微软雅黑" w:hAnsi="微软雅黑" w:eastAsia="微软雅黑" w:cs="微软雅黑"/>
          <w:highlight w:val="none"/>
        </w:rPr>
        <w:t>､</w:t>
      </w:r>
      <w:r>
        <w:rPr>
          <w:rFonts w:hint="eastAsia" w:cs="宋体"/>
          <w:highlight w:val="none"/>
        </w:rPr>
        <w:t>成熟的</w:t>
      </w:r>
      <w:r>
        <w:rPr>
          <w:rFonts w:hint="eastAsia" w:ascii="微软雅黑" w:hAnsi="微软雅黑" w:eastAsia="微软雅黑" w:cs="微软雅黑"/>
          <w:highlight w:val="none"/>
        </w:rPr>
        <w:t>､</w:t>
      </w:r>
      <w:r>
        <w:rPr>
          <w:rFonts w:hint="eastAsia" w:cs="宋体"/>
          <w:highlight w:val="none"/>
        </w:rPr>
        <w:t>质量优良的</w:t>
      </w:r>
      <w:r>
        <w:rPr>
          <w:highlight w:val="none"/>
        </w:rPr>
        <w:t>，设备的造型均符合安全可靠</w:t>
      </w:r>
      <w:r>
        <w:rPr>
          <w:rFonts w:hint="eastAsia" w:ascii="微软雅黑" w:hAnsi="微软雅黑" w:eastAsia="微软雅黑" w:cs="微软雅黑"/>
          <w:highlight w:val="none"/>
        </w:rPr>
        <w:t>､</w:t>
      </w:r>
      <w:r>
        <w:rPr>
          <w:rFonts w:hint="eastAsia" w:cs="宋体"/>
          <w:highlight w:val="none"/>
        </w:rPr>
        <w:t>经济运行和易于维护的要求</w:t>
      </w:r>
      <w:r>
        <w:rPr>
          <w:rFonts w:hint="eastAsia" w:ascii="微软雅黑" w:hAnsi="微软雅黑" w:eastAsia="微软雅黑" w:cs="微软雅黑"/>
          <w:highlight w:val="none"/>
        </w:rPr>
        <w:t>｡</w:t>
      </w:r>
      <w:r>
        <w:rPr>
          <w:highlight w:val="none"/>
        </w:rPr>
        <w:t>乙方保证根据本合同《</w:t>
      </w:r>
      <w:r>
        <w:rPr>
          <w:rFonts w:hint="eastAsia"/>
          <w:highlight w:val="none"/>
          <w:lang w:eastAsia="zh-CN"/>
        </w:rPr>
        <w:t>东莞市海心沙资源综合利用中心环保热电厂循环水膜处理系统采购项目技术需求书</w:t>
      </w:r>
      <w:r>
        <w:rPr>
          <w:highlight w:val="none"/>
        </w:rPr>
        <w:t>》要求所交付的技术服务(含技术资料</w:t>
      </w:r>
      <w:r>
        <w:rPr>
          <w:rFonts w:hint="eastAsia" w:ascii="微软雅黑" w:hAnsi="微软雅黑" w:eastAsia="微软雅黑" w:cs="微软雅黑"/>
          <w:highlight w:val="none"/>
        </w:rPr>
        <w:t>､</w:t>
      </w:r>
      <w:r>
        <w:rPr>
          <w:rFonts w:hint="eastAsia" w:cs="宋体"/>
          <w:highlight w:val="none"/>
        </w:rPr>
        <w:t>技术培训和运行</w:t>
      </w:r>
      <w:r>
        <w:rPr>
          <w:rFonts w:hint="eastAsia" w:ascii="微软雅黑" w:hAnsi="微软雅黑" w:eastAsia="微软雅黑" w:cs="微软雅黑"/>
          <w:highlight w:val="none"/>
        </w:rPr>
        <w:t>､</w:t>
      </w:r>
      <w:r>
        <w:rPr>
          <w:rFonts w:hint="eastAsia" w:cs="宋体"/>
          <w:highlight w:val="none"/>
        </w:rPr>
        <w:t>检</w:t>
      </w:r>
      <w:r>
        <w:rPr>
          <w:highlight w:val="none"/>
        </w:rPr>
        <w:t>修指导等)完整统一和内容正确</w:t>
      </w:r>
      <w:r>
        <w:rPr>
          <w:rFonts w:hint="eastAsia" w:ascii="微软雅黑" w:hAnsi="微软雅黑" w:eastAsia="微软雅黑" w:cs="微软雅黑"/>
          <w:highlight w:val="none"/>
        </w:rPr>
        <w:t>､</w:t>
      </w:r>
      <w:r>
        <w:rPr>
          <w:rFonts w:hint="eastAsia" w:cs="宋体"/>
          <w:highlight w:val="none"/>
        </w:rPr>
        <w:t>准确的</w:t>
      </w:r>
      <w:r>
        <w:rPr>
          <w:highlight w:val="none"/>
        </w:rPr>
        <w:t>并能满足合同设备的设计</w:t>
      </w:r>
      <w:r>
        <w:rPr>
          <w:rFonts w:hint="eastAsia" w:ascii="微软雅黑" w:hAnsi="微软雅黑" w:eastAsia="微软雅黑" w:cs="微软雅黑"/>
          <w:highlight w:val="none"/>
        </w:rPr>
        <w:t>､</w:t>
      </w:r>
      <w:r>
        <w:rPr>
          <w:rFonts w:hint="eastAsia" w:cs="宋体"/>
          <w:highlight w:val="none"/>
        </w:rPr>
        <w:t>安装</w:t>
      </w:r>
      <w:r>
        <w:rPr>
          <w:rFonts w:hint="eastAsia" w:ascii="微软雅黑" w:hAnsi="微软雅黑" w:eastAsia="微软雅黑" w:cs="微软雅黑"/>
          <w:highlight w:val="none"/>
        </w:rPr>
        <w:t>､</w:t>
      </w:r>
      <w:r>
        <w:rPr>
          <w:rFonts w:hint="eastAsia" w:cs="宋体"/>
          <w:highlight w:val="none"/>
        </w:rPr>
        <w:t>调试</w:t>
      </w:r>
      <w:r>
        <w:rPr>
          <w:rFonts w:hint="eastAsia" w:ascii="微软雅黑" w:hAnsi="微软雅黑" w:eastAsia="微软雅黑" w:cs="微软雅黑"/>
          <w:highlight w:val="none"/>
        </w:rPr>
        <w:t>､</w:t>
      </w:r>
      <w:r>
        <w:rPr>
          <w:rFonts w:hint="eastAsia" w:cs="宋体"/>
          <w:highlight w:val="none"/>
        </w:rPr>
        <w:t>运行和维修的要求</w:t>
      </w:r>
      <w:r>
        <w:rPr>
          <w:rFonts w:hint="eastAsia" w:ascii="微软雅黑" w:hAnsi="微软雅黑" w:eastAsia="微软雅黑" w:cs="微软雅黑"/>
          <w:highlight w:val="none"/>
        </w:rPr>
        <w:t>｡</w:t>
      </w:r>
      <w:r>
        <w:rPr>
          <w:highlight w:val="none"/>
        </w:rPr>
        <w:t>乙方保证其所负责的安装调试工程满足国家</w:t>
      </w:r>
      <w:r>
        <w:rPr>
          <w:rFonts w:hint="eastAsia" w:ascii="微软雅黑" w:hAnsi="微软雅黑" w:eastAsia="微软雅黑" w:cs="微软雅黑"/>
          <w:highlight w:val="none"/>
        </w:rPr>
        <w:t>､</w:t>
      </w:r>
      <w:r>
        <w:rPr>
          <w:rFonts w:hint="eastAsia" w:cs="宋体"/>
          <w:highlight w:val="none"/>
        </w:rPr>
        <w:t>行业和地方的相关安全标准和技术标准</w:t>
      </w:r>
      <w:r>
        <w:rPr>
          <w:highlight w:val="none"/>
        </w:rPr>
        <w:t>，满足本合同附件《</w:t>
      </w:r>
      <w:r>
        <w:rPr>
          <w:rFonts w:hint="eastAsia"/>
          <w:highlight w:val="none"/>
          <w:lang w:eastAsia="zh-CN"/>
        </w:rPr>
        <w:t>东莞市海心沙资源综合利用中心环保热电厂循环水膜处理系统采购项目技术需求书</w:t>
      </w:r>
      <w:r>
        <w:rPr>
          <w:highlight w:val="none"/>
        </w:rPr>
        <w:t>》的相关要求</w:t>
      </w:r>
      <w:r>
        <w:rPr>
          <w:rFonts w:hint="eastAsia" w:ascii="微软雅黑" w:hAnsi="微软雅黑" w:eastAsia="微软雅黑" w:cs="微软雅黑"/>
          <w:highlight w:val="none"/>
        </w:rPr>
        <w:t>｡</w:t>
      </w:r>
    </w:p>
    <w:p w14:paraId="09104D11">
      <w:pPr>
        <w:pStyle w:val="44"/>
        <w:rPr>
          <w:rFonts w:hint="eastAsia"/>
          <w:highlight w:val="none"/>
        </w:rPr>
      </w:pPr>
      <w:r>
        <w:rPr>
          <w:highlight w:val="none"/>
        </w:rPr>
        <w:t>本合同执行期间，因乙方设备缺陷</w:t>
      </w:r>
      <w:r>
        <w:rPr>
          <w:rFonts w:hint="eastAsia" w:ascii="微软雅黑" w:hAnsi="微软雅黑" w:eastAsia="微软雅黑" w:cs="微软雅黑"/>
          <w:highlight w:val="none"/>
        </w:rPr>
        <w:t>､</w:t>
      </w:r>
      <w:r>
        <w:rPr>
          <w:rFonts w:hint="eastAsia" w:cs="宋体"/>
          <w:highlight w:val="none"/>
        </w:rPr>
        <w:t>工程缺陷和技术资料错误</w:t>
      </w:r>
      <w:r>
        <w:rPr>
          <w:highlight w:val="none"/>
        </w:rPr>
        <w:t>，或者由于乙方技术人员指导错误和疏忽，造成的甲方损失，一经查实由乙方无条件全额赔偿甲方</w:t>
      </w:r>
      <w:r>
        <w:rPr>
          <w:rFonts w:hint="eastAsia" w:ascii="微软雅黑" w:hAnsi="微软雅黑" w:eastAsia="微软雅黑" w:cs="微软雅黑"/>
          <w:highlight w:val="none"/>
        </w:rPr>
        <w:t>｡</w:t>
      </w:r>
    </w:p>
    <w:p w14:paraId="51693BCC">
      <w:pPr>
        <w:pStyle w:val="44"/>
        <w:rPr>
          <w:rFonts w:hint="eastAsia"/>
          <w:highlight w:val="none"/>
        </w:rPr>
      </w:pPr>
      <w:r>
        <w:rPr>
          <w:highlight w:val="none"/>
        </w:rPr>
        <w:t>由于甲方未按乙方所提供的技术资料</w:t>
      </w:r>
      <w:r>
        <w:rPr>
          <w:rFonts w:hint="eastAsia" w:ascii="微软雅黑" w:hAnsi="微软雅黑" w:eastAsia="微软雅黑" w:cs="微软雅黑"/>
          <w:highlight w:val="none"/>
        </w:rPr>
        <w:t>､</w:t>
      </w:r>
      <w:r>
        <w:rPr>
          <w:rFonts w:hint="eastAsia" w:cs="宋体"/>
          <w:highlight w:val="none"/>
        </w:rPr>
        <w:t>图纸</w:t>
      </w:r>
      <w:r>
        <w:rPr>
          <w:rFonts w:hint="eastAsia" w:ascii="微软雅黑" w:hAnsi="微软雅黑" w:eastAsia="微软雅黑" w:cs="微软雅黑"/>
          <w:highlight w:val="none"/>
        </w:rPr>
        <w:t>､</w:t>
      </w:r>
      <w:r>
        <w:rPr>
          <w:rFonts w:hint="eastAsia" w:cs="宋体"/>
          <w:highlight w:val="none"/>
        </w:rPr>
        <w:t>说明书</w:t>
      </w:r>
      <w:r>
        <w:rPr>
          <w:rFonts w:hint="eastAsia" w:ascii="微软雅黑" w:hAnsi="微软雅黑" w:eastAsia="微软雅黑" w:cs="微软雅黑"/>
          <w:highlight w:val="none"/>
        </w:rPr>
        <w:t>､</w:t>
      </w:r>
      <w:r>
        <w:rPr>
          <w:rFonts w:hint="eastAsia" w:cs="宋体"/>
          <w:highlight w:val="none"/>
        </w:rPr>
        <w:t>指导书和</w:t>
      </w:r>
      <w:r>
        <w:rPr>
          <w:highlight w:val="none"/>
        </w:rPr>
        <w:t>乙方现场技术服务人员的指导而生产运行造成的设备损坏，由甲方负责修理，更换，但乙方有义务尽快提供所需更换的部件，对于甲方要求的紧急部件，乙方应安排最快的方式运输到甲方施工工地，所有费用均由甲方负担</w:t>
      </w:r>
      <w:r>
        <w:rPr>
          <w:rFonts w:hint="eastAsia" w:ascii="微软雅黑" w:hAnsi="微软雅黑" w:eastAsia="微软雅黑" w:cs="微软雅黑"/>
          <w:highlight w:val="none"/>
        </w:rPr>
        <w:t>｡</w:t>
      </w:r>
    </w:p>
    <w:p w14:paraId="4D27EAE8">
      <w:pPr>
        <w:pStyle w:val="44"/>
        <w:rPr>
          <w:rFonts w:hint="eastAsia"/>
          <w:highlight w:val="none"/>
        </w:rPr>
      </w:pPr>
      <w:r>
        <w:rPr>
          <w:highlight w:val="none"/>
        </w:rPr>
        <w:t>合同规定的保证期满后</w:t>
      </w:r>
      <w:r>
        <w:rPr>
          <w:rFonts w:hint="eastAsia"/>
          <w:highlight w:val="none"/>
          <w:lang w:val="en-US" w:eastAsia="zh-CN"/>
        </w:rPr>
        <w:t>且满足</w:t>
      </w:r>
      <w:r>
        <w:rPr>
          <w:highlight w:val="none"/>
        </w:rPr>
        <w:t>最终验收通过</w:t>
      </w:r>
      <w:r>
        <w:rPr>
          <w:rFonts w:hint="eastAsia" w:ascii="微软雅黑" w:hAnsi="微软雅黑" w:eastAsia="微软雅黑" w:cs="微软雅黑"/>
          <w:highlight w:val="none"/>
        </w:rPr>
        <w:t>､</w:t>
      </w:r>
      <w:r>
        <w:rPr>
          <w:rFonts w:hint="eastAsia" w:cs="宋体"/>
          <w:highlight w:val="none"/>
        </w:rPr>
        <w:t>质保期间设备运行正常</w:t>
      </w:r>
      <w:r>
        <w:rPr>
          <w:rFonts w:hint="eastAsia" w:ascii="微软雅黑" w:hAnsi="微软雅黑" w:eastAsia="微软雅黑" w:cs="微软雅黑"/>
          <w:highlight w:val="none"/>
        </w:rPr>
        <w:t>､</w:t>
      </w:r>
      <w:r>
        <w:rPr>
          <w:highlight w:val="none"/>
        </w:rPr>
        <w:t>乙方已赔偿甲方提出的索赔(如有)，双方合同无争议和遗留问题</w:t>
      </w:r>
      <w:r>
        <w:rPr>
          <w:rFonts w:hint="default" w:ascii="宋体" w:hAnsi="宋体" w:eastAsia="宋体" w:cstheme="minorBidi"/>
          <w:highlight w:val="none"/>
          <w:lang w:val="en-US" w:eastAsia="zh-CN"/>
        </w:rPr>
        <w:t>的条件时</w:t>
      </w:r>
      <w:r>
        <w:rPr>
          <w:rFonts w:hint="eastAsia" w:ascii="微软雅黑" w:hAnsi="微软雅黑" w:eastAsia="微软雅黑" w:cs="微软雅黑"/>
          <w:highlight w:val="none"/>
          <w:lang w:val="en-US" w:eastAsia="zh-CN"/>
        </w:rPr>
        <w:t>，</w:t>
      </w:r>
      <w:r>
        <w:rPr>
          <w:highlight w:val="none"/>
        </w:rPr>
        <w:t>由甲方在15天内出具合同设备保证期满最终验收证书交给乙方</w:t>
      </w:r>
      <w:r>
        <w:rPr>
          <w:rFonts w:hint="eastAsia" w:ascii="微软雅黑" w:hAnsi="微软雅黑" w:eastAsia="微软雅黑" w:cs="微软雅黑"/>
          <w:highlight w:val="none"/>
        </w:rPr>
        <w:t>｡</w:t>
      </w:r>
    </w:p>
    <w:p w14:paraId="0F6BB268">
      <w:pPr>
        <w:pStyle w:val="44"/>
        <w:rPr>
          <w:rFonts w:hint="eastAsia"/>
          <w:highlight w:val="none"/>
        </w:rPr>
      </w:pPr>
      <w:r>
        <w:rPr>
          <w:highlight w:val="none"/>
        </w:rPr>
        <w:t>在保证期内，如发现设备和工程有缺陷，不符合本合同规定时，如属乙方责任，则甲方有权向乙方以书面形式提出索赔</w:t>
      </w:r>
      <w:r>
        <w:rPr>
          <w:rFonts w:hint="eastAsia" w:ascii="微软雅黑" w:hAnsi="微软雅黑" w:eastAsia="微软雅黑" w:cs="微软雅黑"/>
          <w:highlight w:val="none"/>
        </w:rPr>
        <w:t>｡</w:t>
      </w:r>
      <w:r>
        <w:rPr>
          <w:highlight w:val="none"/>
        </w:rPr>
        <w:t>乙方应承担由此产生的设备</w:t>
      </w:r>
      <w:r>
        <w:rPr>
          <w:rFonts w:hint="eastAsia"/>
          <w:highlight w:val="none"/>
          <w:lang w:eastAsia="zh-CN"/>
        </w:rPr>
        <w:t>及配件配品</w:t>
      </w:r>
      <w:r>
        <w:rPr>
          <w:highlight w:val="none"/>
        </w:rPr>
        <w:t>费</w:t>
      </w:r>
      <w:r>
        <w:rPr>
          <w:rFonts w:hint="eastAsia"/>
          <w:highlight w:val="none"/>
          <w:lang w:eastAsia="zh-CN"/>
        </w:rPr>
        <w:t>用</w:t>
      </w:r>
      <w:r>
        <w:rPr>
          <w:rFonts w:hint="eastAsia" w:ascii="微软雅黑" w:hAnsi="微软雅黑" w:eastAsia="微软雅黑" w:cs="微软雅黑"/>
          <w:highlight w:val="none"/>
        </w:rPr>
        <w:t>､</w:t>
      </w:r>
      <w:r>
        <w:rPr>
          <w:rFonts w:hint="eastAsia" w:cs="宋体"/>
          <w:highlight w:val="none"/>
        </w:rPr>
        <w:t>运输费</w:t>
      </w:r>
      <w:r>
        <w:rPr>
          <w:rFonts w:hint="eastAsia" w:ascii="微软雅黑" w:hAnsi="微软雅黑" w:eastAsia="微软雅黑" w:cs="微软雅黑"/>
          <w:highlight w:val="none"/>
        </w:rPr>
        <w:t>､</w:t>
      </w:r>
      <w:r>
        <w:rPr>
          <w:rFonts w:hint="eastAsia" w:cs="宋体"/>
          <w:highlight w:val="none"/>
        </w:rPr>
        <w:t>检修费</w:t>
      </w:r>
      <w:r>
        <w:rPr>
          <w:rFonts w:hint="eastAsia" w:ascii="微软雅黑" w:hAnsi="微软雅黑" w:eastAsia="微软雅黑" w:cs="微软雅黑"/>
          <w:highlight w:val="none"/>
        </w:rPr>
        <w:t>､</w:t>
      </w:r>
      <w:r>
        <w:rPr>
          <w:rFonts w:hint="eastAsia" w:cs="宋体"/>
          <w:highlight w:val="none"/>
        </w:rPr>
        <w:t>保险费及</w:t>
      </w:r>
      <w:r>
        <w:rPr>
          <w:highlight w:val="none"/>
        </w:rPr>
        <w:t>甲方损失等所有费用</w:t>
      </w:r>
      <w:r>
        <w:rPr>
          <w:rFonts w:hint="eastAsia" w:ascii="微软雅黑" w:hAnsi="微软雅黑" w:eastAsia="微软雅黑" w:cs="微软雅黑"/>
          <w:highlight w:val="none"/>
        </w:rPr>
        <w:t>｡</w:t>
      </w:r>
    </w:p>
    <w:p w14:paraId="31A7F761">
      <w:pPr>
        <w:pStyle w:val="44"/>
        <w:rPr>
          <w:rFonts w:hint="eastAsia"/>
          <w:highlight w:val="none"/>
        </w:rPr>
      </w:pPr>
      <w:r>
        <w:rPr>
          <w:highlight w:val="none"/>
        </w:rPr>
        <w:t>如由于乙方责任需要更换</w:t>
      </w:r>
      <w:r>
        <w:rPr>
          <w:rFonts w:hint="eastAsia" w:ascii="微软雅黑" w:hAnsi="微软雅黑" w:eastAsia="微软雅黑" w:cs="微软雅黑"/>
          <w:highlight w:val="none"/>
        </w:rPr>
        <w:t>､</w:t>
      </w:r>
      <w:r>
        <w:rPr>
          <w:rFonts w:hint="eastAsia" w:cs="宋体"/>
          <w:highlight w:val="none"/>
        </w:rPr>
        <w:t>修理有缺陷的设备或工程整改</w:t>
      </w:r>
      <w:r>
        <w:rPr>
          <w:highlight w:val="none"/>
        </w:rPr>
        <w:t>，合同设备和工程整体交货期不得延长；质保期间，因此导致合同设备停运，则保证期应按实际修理或更换所延误的时间做相应的延长</w:t>
      </w:r>
      <w:r>
        <w:rPr>
          <w:rFonts w:hint="eastAsia" w:ascii="微软雅黑" w:hAnsi="微软雅黑" w:eastAsia="微软雅黑" w:cs="微软雅黑"/>
          <w:highlight w:val="none"/>
        </w:rPr>
        <w:t>｡</w:t>
      </w:r>
    </w:p>
    <w:p w14:paraId="13CA158A">
      <w:pPr>
        <w:pStyle w:val="44"/>
        <w:rPr>
          <w:rFonts w:hint="eastAsia"/>
          <w:highlight w:val="none"/>
        </w:rPr>
      </w:pPr>
      <w:r>
        <w:rPr>
          <w:highlight w:val="none"/>
        </w:rPr>
        <w:t>不论对于初步验收还是最终验收，由于乙方责任，在</w:t>
      </w:r>
      <w:r>
        <w:rPr>
          <w:rFonts w:hint="eastAsia"/>
          <w:highlight w:val="none"/>
          <w:lang w:val="en-US" w:eastAsia="zh-CN"/>
        </w:rPr>
        <w:t>合同</w:t>
      </w:r>
      <w:r>
        <w:rPr>
          <w:highlight w:val="none"/>
        </w:rPr>
        <w:t>规定的性能验收试验后，如经第二次验收试验(由于乙方原因)仍不能达到《</w:t>
      </w:r>
      <w:r>
        <w:rPr>
          <w:rFonts w:hint="eastAsia"/>
          <w:highlight w:val="none"/>
          <w:lang w:eastAsia="zh-CN"/>
        </w:rPr>
        <w:t>东莞市海心沙资源综合利用中心环保热电厂循环水膜处理系统采购项目技术需求书</w:t>
      </w:r>
      <w:r>
        <w:rPr>
          <w:highlight w:val="none"/>
        </w:rPr>
        <w:t>》所规定的一项或多项保证指标时：</w:t>
      </w:r>
    </w:p>
    <w:p w14:paraId="4AA905AE">
      <w:pPr>
        <w:pStyle w:val="48"/>
        <w:rPr>
          <w:rFonts w:hint="eastAsia"/>
          <w:highlight w:val="none"/>
        </w:rPr>
      </w:pPr>
      <w:r>
        <w:rPr>
          <w:highlight w:val="none"/>
        </w:rPr>
        <w:t>经双方协商，如甲方同意，乙方无偿进行设备完善，至所有指标满足双方合同要求，期间由此引起的甲方损失由乙方赔偿甲方；</w:t>
      </w:r>
    </w:p>
    <w:p w14:paraId="514BC70A">
      <w:pPr>
        <w:pStyle w:val="48"/>
        <w:rPr>
          <w:rFonts w:hint="eastAsia"/>
          <w:highlight w:val="none"/>
        </w:rPr>
      </w:pPr>
      <w:r>
        <w:rPr>
          <w:highlight w:val="none"/>
        </w:rPr>
        <w:t>经双方协商，如甲方同意继续使用有缺陷的合同设备，视具体情况，乙方应赔付甲方违约金，违约金不低于双方合同金额的</w:t>
      </w:r>
      <w:r>
        <w:rPr>
          <w:rFonts w:hint="eastAsia"/>
          <w:highlight w:val="none"/>
        </w:rPr>
        <w:t>1</w:t>
      </w:r>
      <w:r>
        <w:rPr>
          <w:highlight w:val="none"/>
        </w:rPr>
        <w:t>0%，具体金额由双方协商，违约金</w:t>
      </w:r>
      <w:r>
        <w:rPr>
          <w:rFonts w:hint="eastAsia"/>
          <w:highlight w:val="none"/>
          <w:lang w:val="en-US" w:eastAsia="zh-CN"/>
        </w:rPr>
        <w:t>可</w:t>
      </w:r>
      <w:r>
        <w:rPr>
          <w:highlight w:val="none"/>
        </w:rPr>
        <w:t>由甲方在下次合同应付款中扣除；</w:t>
      </w:r>
    </w:p>
    <w:p w14:paraId="631FBAE0">
      <w:pPr>
        <w:pStyle w:val="48"/>
        <w:rPr>
          <w:rFonts w:hint="eastAsia"/>
          <w:highlight w:val="none"/>
        </w:rPr>
      </w:pPr>
      <w:r>
        <w:rPr>
          <w:highlight w:val="none"/>
        </w:rPr>
        <w:t>经双方协商，如甲方不同意乙方整改设备和/或甲方不同意继续使用有缺陷的合同设备，甲方有权单方终止合同，乙方无条件接受：自甲方单方终止合同日起，按甲方确定的时间，乙方退回甲方全部已支付合同款，赔付甲方所有损失，并按合同总金额的30%赔付甲方违约金，之后乙方自费拆除全部已安装的设备，自费回运全部设备及未使用消耗的备品备件和材料；乙方拆除设备和外运设备，不得影响甲方工程的建设或运行，如发生此种情况，甲方有权自行拆除，</w:t>
      </w:r>
      <w:r>
        <w:rPr>
          <w:rFonts w:hint="eastAsia"/>
          <w:highlight w:val="none"/>
          <w:lang w:val="en-US" w:eastAsia="zh-CN"/>
        </w:rPr>
        <w:t>因此产生的全部费用</w:t>
      </w:r>
      <w:r>
        <w:rPr>
          <w:highlight w:val="none"/>
        </w:rPr>
        <w:t>由乙方支付</w:t>
      </w:r>
      <w:r>
        <w:rPr>
          <w:rFonts w:hint="eastAsia" w:ascii="微软雅黑" w:hAnsi="微软雅黑" w:eastAsia="微软雅黑" w:cs="微软雅黑"/>
          <w:highlight w:val="none"/>
        </w:rPr>
        <w:t>｡</w:t>
      </w:r>
    </w:p>
    <w:p w14:paraId="535100F6">
      <w:pPr>
        <w:pStyle w:val="48"/>
        <w:rPr>
          <w:rFonts w:hint="eastAsia"/>
          <w:highlight w:val="none"/>
        </w:rPr>
      </w:pPr>
      <w:r>
        <w:rPr>
          <w:highlight w:val="none"/>
        </w:rPr>
        <w:t>乙方提交违约金后，仍有义务向甲方提供技术帮助，采取各种措施以便设备达到各项经济指标</w:t>
      </w:r>
      <w:r>
        <w:rPr>
          <w:rFonts w:hint="eastAsia" w:ascii="微软雅黑" w:hAnsi="微软雅黑" w:eastAsia="微软雅黑" w:cs="微软雅黑"/>
          <w:highlight w:val="none"/>
        </w:rPr>
        <w:t>｡</w:t>
      </w:r>
    </w:p>
    <w:p w14:paraId="659EB22F">
      <w:pPr>
        <w:pStyle w:val="48"/>
        <w:rPr>
          <w:rFonts w:hint="eastAsia"/>
          <w:highlight w:val="none"/>
        </w:rPr>
      </w:pPr>
      <w:r>
        <w:rPr>
          <w:rFonts w:hint="eastAsia"/>
          <w:highlight w:val="none"/>
        </w:rPr>
        <w:t>如甲方同意乙方整改设备</w:t>
      </w:r>
      <w:r>
        <w:rPr>
          <w:rFonts w:hint="eastAsia"/>
          <w:highlight w:val="none"/>
          <w:lang w:val="en-US" w:eastAsia="zh-CN"/>
        </w:rPr>
        <w:t>的，在</w:t>
      </w:r>
      <w:r>
        <w:rPr>
          <w:highlight w:val="none"/>
        </w:rPr>
        <w:t>乙方支付全部违约金或者乙方提供的满意的替换件被甲方接受</w:t>
      </w:r>
      <w:r>
        <w:rPr>
          <w:rFonts w:hint="eastAsia"/>
          <w:highlight w:val="none"/>
          <w:lang w:val="en-US" w:eastAsia="zh-CN"/>
        </w:rPr>
        <w:t>后，在合同</w:t>
      </w:r>
      <w:r>
        <w:rPr>
          <w:rFonts w:hint="eastAsia"/>
          <w:highlight w:val="none"/>
        </w:rPr>
        <w:t>设备</w:t>
      </w:r>
      <w:r>
        <w:rPr>
          <w:rFonts w:hint="eastAsia"/>
          <w:highlight w:val="none"/>
          <w:lang w:val="en-US" w:eastAsia="zh-CN"/>
        </w:rPr>
        <w:t>达到</w:t>
      </w:r>
      <w:r>
        <w:rPr>
          <w:rFonts w:hint="eastAsia"/>
          <w:highlight w:val="none"/>
        </w:rPr>
        <w:t>《东莞市海心沙资源综合利用中心环保热电厂循环水膜处理系统采购项目技术需求书》所规定的一项或多项保证指标</w:t>
      </w:r>
      <w:r>
        <w:rPr>
          <w:highlight w:val="none"/>
        </w:rPr>
        <w:t>之日，即为甲方承认设备可以验收并出具验收证书之日</w:t>
      </w:r>
      <w:r>
        <w:rPr>
          <w:rFonts w:hint="eastAsia" w:ascii="微软雅黑" w:hAnsi="微软雅黑" w:eastAsia="微软雅黑" w:cs="微软雅黑"/>
          <w:highlight w:val="none"/>
        </w:rPr>
        <w:t>｡</w:t>
      </w:r>
    </w:p>
    <w:p w14:paraId="1426A698">
      <w:pPr>
        <w:pStyle w:val="44"/>
        <w:rPr>
          <w:rFonts w:hint="eastAsia"/>
          <w:highlight w:val="none"/>
        </w:rPr>
      </w:pPr>
      <w:r>
        <w:rPr>
          <w:highlight w:val="none"/>
        </w:rPr>
        <w:t>如合同设备和工程在保证期内发现属乙方责任的十分严重的缺陷，如乙方供货范围内主要零部件损坏</w:t>
      </w:r>
      <w:r>
        <w:rPr>
          <w:rFonts w:hint="eastAsia"/>
          <w:highlight w:val="none"/>
        </w:rPr>
        <w:t>或该缺陷导致</w:t>
      </w:r>
      <w:r>
        <w:rPr>
          <w:highlight w:val="none"/>
        </w:rPr>
        <w:t>系统不能达到整体性能要求，则其保证期将自该缺陷修正</w:t>
      </w:r>
      <w:r>
        <w:rPr>
          <w:rFonts w:hint="eastAsia"/>
          <w:highlight w:val="none"/>
          <w:lang w:val="en-US" w:eastAsia="zh-CN"/>
        </w:rPr>
        <w:t>并经甲方验收</w:t>
      </w:r>
      <w:r>
        <w:rPr>
          <w:highlight w:val="none"/>
        </w:rPr>
        <w:t>后开始重新计算</w:t>
      </w:r>
      <w:r>
        <w:rPr>
          <w:rFonts w:hint="eastAsia"/>
          <w:highlight w:val="none"/>
          <w:lang w:eastAsia="zh-CN"/>
        </w:rPr>
        <w:t>贰</w:t>
      </w:r>
      <w:r>
        <w:rPr>
          <w:highlight w:val="none"/>
        </w:rPr>
        <w:t>年</w:t>
      </w:r>
      <w:r>
        <w:rPr>
          <w:rFonts w:hint="eastAsia" w:ascii="微软雅黑" w:hAnsi="微软雅黑" w:eastAsia="微软雅黑" w:cs="微软雅黑"/>
          <w:highlight w:val="none"/>
        </w:rPr>
        <w:t>｡</w:t>
      </w:r>
    </w:p>
    <w:p w14:paraId="29D1CFD0">
      <w:pPr>
        <w:pStyle w:val="44"/>
        <w:rPr>
          <w:rFonts w:hint="eastAsia"/>
          <w:highlight w:val="none"/>
        </w:rPr>
      </w:pPr>
      <w:r>
        <w:rPr>
          <w:highlight w:val="none"/>
        </w:rPr>
        <w:t>如果不是由于甲方原因或甲方要求推迟交货而乙方未能按本合同规定的交货期交货时(不可抗力除外)，实际交货日期按本合同</w:t>
      </w:r>
      <w:r>
        <w:rPr>
          <w:rFonts w:hint="eastAsia"/>
          <w:highlight w:val="none"/>
        </w:rPr>
        <w:t>第</w:t>
      </w:r>
      <w:r>
        <w:rPr>
          <w:highlight w:val="none"/>
        </w:rPr>
        <w:t>6款规定计算，甲方有权按下列比例向乙方收取违约金：</w:t>
      </w:r>
    </w:p>
    <w:p w14:paraId="711E3A0C">
      <w:pPr>
        <w:pStyle w:val="48"/>
        <w:rPr>
          <w:rFonts w:hint="eastAsia"/>
          <w:highlight w:val="none"/>
        </w:rPr>
      </w:pPr>
      <w:r>
        <w:rPr>
          <w:highlight w:val="none"/>
        </w:rPr>
        <w:t>迟交1~4周，每周违约金金额为迟交货物金额的0.5%；</w:t>
      </w:r>
    </w:p>
    <w:p w14:paraId="2FA5D63F">
      <w:pPr>
        <w:pStyle w:val="48"/>
        <w:rPr>
          <w:rFonts w:hint="eastAsia"/>
          <w:highlight w:val="none"/>
        </w:rPr>
      </w:pPr>
      <w:r>
        <w:rPr>
          <w:highlight w:val="none"/>
        </w:rPr>
        <w:t>迟交5~8周，每周违约金余额为迟交货物金额的1%；</w:t>
      </w:r>
    </w:p>
    <w:p w14:paraId="0818FA58">
      <w:pPr>
        <w:pStyle w:val="48"/>
        <w:rPr>
          <w:rFonts w:hint="eastAsia"/>
          <w:highlight w:val="none"/>
        </w:rPr>
      </w:pPr>
      <w:r>
        <w:rPr>
          <w:highlight w:val="none"/>
        </w:rPr>
        <w:t>迟交9周以上，每周违约金金额为迟交货物金额的1.5%；</w:t>
      </w:r>
    </w:p>
    <w:p w14:paraId="4148B213">
      <w:pPr>
        <w:pStyle w:val="48"/>
        <w:rPr>
          <w:rFonts w:hint="eastAsia"/>
          <w:highlight w:val="none"/>
        </w:rPr>
      </w:pPr>
      <w:r>
        <w:rPr>
          <w:highlight w:val="none"/>
        </w:rPr>
        <w:t>不满一周按一周计算</w:t>
      </w:r>
      <w:r>
        <w:rPr>
          <w:rFonts w:hint="eastAsia" w:ascii="微软雅黑" w:hAnsi="微软雅黑" w:eastAsia="微软雅黑" w:cs="微软雅黑"/>
          <w:highlight w:val="none"/>
        </w:rPr>
        <w:t>｡</w:t>
      </w:r>
    </w:p>
    <w:p w14:paraId="1CE44DE8">
      <w:pPr>
        <w:pStyle w:val="48"/>
        <w:rPr>
          <w:rFonts w:hint="eastAsia"/>
          <w:highlight w:val="none"/>
        </w:rPr>
      </w:pPr>
      <w:r>
        <w:rPr>
          <w:highlight w:val="none"/>
        </w:rPr>
        <w:t>在不影响甲方整体垃圾焚烧发电厂工程进度的情况下，合同设备及工程迟交货物的违约金总金额不超过合同设备总价的10%</w:t>
      </w:r>
      <w:r>
        <w:rPr>
          <w:rFonts w:hint="eastAsia" w:ascii="微软雅黑" w:hAnsi="微软雅黑" w:eastAsia="微软雅黑" w:cs="微软雅黑"/>
          <w:highlight w:val="none"/>
        </w:rPr>
        <w:t>｡</w:t>
      </w:r>
    </w:p>
    <w:p w14:paraId="7D8D904C">
      <w:pPr>
        <w:pStyle w:val="48"/>
        <w:rPr>
          <w:rFonts w:hint="eastAsia"/>
          <w:highlight w:val="none"/>
        </w:rPr>
      </w:pPr>
      <w:r>
        <w:rPr>
          <w:highlight w:val="none"/>
        </w:rPr>
        <w:t>乙方支付迟交违约金，并不解除乙方按照合同继续交货的义务</w:t>
      </w:r>
      <w:r>
        <w:rPr>
          <w:rFonts w:hint="eastAsia" w:ascii="微软雅黑" w:hAnsi="微软雅黑" w:eastAsia="微软雅黑" w:cs="微软雅黑"/>
          <w:highlight w:val="none"/>
        </w:rPr>
        <w:t>｡</w:t>
      </w:r>
    </w:p>
    <w:p w14:paraId="3AE5BDB4">
      <w:pPr>
        <w:pStyle w:val="48"/>
        <w:rPr>
          <w:rFonts w:hint="eastAsia"/>
          <w:highlight w:val="none"/>
        </w:rPr>
      </w:pPr>
      <w:r>
        <w:rPr>
          <w:highlight w:val="none"/>
        </w:rPr>
        <w:t>合同设备及工程迟交8周以上，并已影响甲方整体垃圾焚烧发电厂工程的，甲方有权单方终止全部或部分合同：甲方终止全部合同的，乙方退回甲方全部已支付合同款，并赔付合同金额的30%违约金；甲方终止部分合同的，自合同终止日起，对未交货部分，三个月内，乙方退回对应未交货部分的甲方已支付合同款，并赔付未交货部分合同金额的30%违约金</w:t>
      </w:r>
      <w:r>
        <w:rPr>
          <w:rFonts w:hint="eastAsia" w:ascii="微软雅黑" w:hAnsi="微软雅黑" w:eastAsia="微软雅黑" w:cs="微软雅黑"/>
          <w:highlight w:val="none"/>
        </w:rPr>
        <w:t>｡</w:t>
      </w:r>
    </w:p>
    <w:p w14:paraId="1AAB733E">
      <w:pPr>
        <w:pStyle w:val="44"/>
        <w:rPr>
          <w:rFonts w:hint="eastAsia"/>
          <w:highlight w:val="none"/>
        </w:rPr>
      </w:pPr>
      <w:r>
        <w:rPr>
          <w:highlight w:val="none"/>
        </w:rPr>
        <w:t>如由于确属乙方责任未能按《</w:t>
      </w:r>
      <w:r>
        <w:rPr>
          <w:rFonts w:hint="eastAsia"/>
          <w:highlight w:val="none"/>
          <w:lang w:eastAsia="zh-CN"/>
        </w:rPr>
        <w:t>东莞市海心沙资源综合利用中心环保热电厂循环水膜处理系统采购项目技术需求书</w:t>
      </w:r>
      <w:r>
        <w:rPr>
          <w:highlight w:val="none"/>
        </w:rPr>
        <w:t>》的规定按时交付，经双方确认属严重影响施工的关键技术资料时，则每迟交一周，乙方支付合同金额的0.5%的违约金/件，迟交时间的计算以本合同相关条款的规定为准</w:t>
      </w:r>
      <w:r>
        <w:rPr>
          <w:rFonts w:hint="eastAsia" w:ascii="微软雅黑" w:hAnsi="微软雅黑" w:eastAsia="微软雅黑" w:cs="微软雅黑"/>
          <w:highlight w:val="none"/>
        </w:rPr>
        <w:t>｡</w:t>
      </w:r>
    </w:p>
    <w:p w14:paraId="3E70C4A0">
      <w:pPr>
        <w:pStyle w:val="44"/>
        <w:rPr>
          <w:rFonts w:hint="eastAsia"/>
          <w:highlight w:val="none"/>
        </w:rPr>
      </w:pPr>
      <w:r>
        <w:rPr>
          <w:highlight w:val="none"/>
        </w:rPr>
        <w:t>如果由于乙方技术服务的延误</w:t>
      </w:r>
      <w:r>
        <w:rPr>
          <w:rFonts w:hint="eastAsia" w:ascii="微软雅黑" w:hAnsi="微软雅黑" w:eastAsia="微软雅黑" w:cs="微软雅黑"/>
          <w:highlight w:val="none"/>
        </w:rPr>
        <w:t>､</w:t>
      </w:r>
      <w:r>
        <w:rPr>
          <w:rFonts w:hint="eastAsia" w:cs="宋体"/>
          <w:highlight w:val="none"/>
        </w:rPr>
        <w:t>疏忽和</w:t>
      </w:r>
      <w:r>
        <w:rPr>
          <w:highlight w:val="none"/>
        </w:rPr>
        <w:t>/或错误，在执行合同中造成延误，每延误工期一周乙方将向甲方支付合同设备总价的0.5%违约赔偿金，合同设备这部分赔偿金最多不超过合同设备总价的10%</w:t>
      </w:r>
      <w:r>
        <w:rPr>
          <w:rFonts w:hint="eastAsia" w:ascii="微软雅黑" w:hAnsi="微软雅黑" w:eastAsia="微软雅黑" w:cs="微软雅黑"/>
          <w:highlight w:val="none"/>
        </w:rPr>
        <w:t>｡</w:t>
      </w:r>
      <w:r>
        <w:rPr>
          <w:rFonts w:hint="eastAsia" w:cs="宋体"/>
          <w:highlight w:val="none"/>
        </w:rPr>
        <w:t>且</w:t>
      </w:r>
      <w:r>
        <w:rPr>
          <w:highlight w:val="none"/>
        </w:rPr>
        <w:t>乙方需支付由于乙方技术服务错误或违约造成甲方的</w:t>
      </w:r>
      <w:r>
        <w:rPr>
          <w:rFonts w:hint="eastAsia"/>
          <w:highlight w:val="none"/>
          <w:lang w:val="en-US" w:eastAsia="zh-CN"/>
        </w:rPr>
        <w:t>全部</w:t>
      </w:r>
      <w:r>
        <w:rPr>
          <w:highlight w:val="none"/>
        </w:rPr>
        <w:t>损失</w:t>
      </w:r>
      <w:r>
        <w:rPr>
          <w:rFonts w:hint="eastAsia" w:ascii="微软雅黑" w:hAnsi="微软雅黑" w:eastAsia="微软雅黑" w:cs="微软雅黑"/>
          <w:highlight w:val="none"/>
        </w:rPr>
        <w:t>｡</w:t>
      </w:r>
    </w:p>
    <w:p w14:paraId="07340352">
      <w:pPr>
        <w:pStyle w:val="44"/>
        <w:rPr>
          <w:rFonts w:hint="eastAsia"/>
          <w:highlight w:val="none"/>
        </w:rPr>
      </w:pPr>
      <w:r>
        <w:rPr>
          <w:highlight w:val="none"/>
        </w:rPr>
        <w:t>乙方支付迟交违约金并不解除按合同所规定的相应义务</w:t>
      </w:r>
      <w:r>
        <w:rPr>
          <w:rFonts w:hint="eastAsia" w:ascii="微软雅黑" w:hAnsi="微软雅黑" w:eastAsia="微软雅黑" w:cs="微软雅黑"/>
          <w:highlight w:val="none"/>
        </w:rPr>
        <w:t>｡</w:t>
      </w:r>
    </w:p>
    <w:p w14:paraId="7170286B">
      <w:pPr>
        <w:pStyle w:val="44"/>
        <w:rPr>
          <w:rFonts w:hint="eastAsia"/>
          <w:highlight w:val="none"/>
        </w:rPr>
      </w:pPr>
      <w:r>
        <w:rPr>
          <w:highlight w:val="none"/>
        </w:rPr>
        <w:t>如果由于甲方原因，迟付货款，甲方须按下列方式支付违约金：</w:t>
      </w:r>
    </w:p>
    <w:p w14:paraId="76CB8395">
      <w:pPr>
        <w:pStyle w:val="48"/>
        <w:rPr>
          <w:rFonts w:hint="eastAsia"/>
          <w:highlight w:val="none"/>
        </w:rPr>
      </w:pPr>
      <w:r>
        <w:rPr>
          <w:highlight w:val="none"/>
        </w:rPr>
        <w:t>迟付1~4周，每周违约金金额为迟付金额的0.5%；</w:t>
      </w:r>
    </w:p>
    <w:p w14:paraId="7883EEED">
      <w:pPr>
        <w:pStyle w:val="48"/>
        <w:rPr>
          <w:rFonts w:hint="eastAsia"/>
          <w:highlight w:val="none"/>
        </w:rPr>
      </w:pPr>
      <w:r>
        <w:rPr>
          <w:highlight w:val="none"/>
        </w:rPr>
        <w:t>迟付5~8周，每周违约金金额为迟付金额的1.0%；</w:t>
      </w:r>
    </w:p>
    <w:p w14:paraId="7871E76A">
      <w:pPr>
        <w:pStyle w:val="48"/>
        <w:rPr>
          <w:rFonts w:hint="eastAsia"/>
          <w:highlight w:val="none"/>
        </w:rPr>
      </w:pPr>
      <w:r>
        <w:rPr>
          <w:highlight w:val="none"/>
        </w:rPr>
        <w:t>迟付9周以上，每周违约金金额为迟付金额的l.5%；</w:t>
      </w:r>
    </w:p>
    <w:p w14:paraId="44C7CE4F">
      <w:pPr>
        <w:pStyle w:val="48"/>
        <w:rPr>
          <w:rFonts w:hint="eastAsia"/>
          <w:highlight w:val="none"/>
        </w:rPr>
      </w:pPr>
      <w:r>
        <w:rPr>
          <w:highlight w:val="none"/>
        </w:rPr>
        <w:t>不满一周按一周计算</w:t>
      </w:r>
      <w:r>
        <w:rPr>
          <w:rFonts w:hint="eastAsia" w:ascii="微软雅黑" w:hAnsi="微软雅黑" w:eastAsia="微软雅黑" w:cs="微软雅黑"/>
          <w:highlight w:val="none"/>
        </w:rPr>
        <w:t>｡</w:t>
      </w:r>
    </w:p>
    <w:p w14:paraId="40428FD4">
      <w:pPr>
        <w:pStyle w:val="48"/>
        <w:rPr>
          <w:rFonts w:hint="eastAsia"/>
          <w:highlight w:val="none"/>
        </w:rPr>
      </w:pPr>
      <w:r>
        <w:rPr>
          <w:highlight w:val="none"/>
        </w:rPr>
        <w:t>合同设备迟付款违约金总额不超过合同设备总价的10%</w:t>
      </w:r>
      <w:r>
        <w:rPr>
          <w:rFonts w:hint="eastAsia" w:ascii="微软雅黑" w:hAnsi="微软雅黑" w:eastAsia="微软雅黑" w:cs="微软雅黑"/>
          <w:highlight w:val="none"/>
        </w:rPr>
        <w:t>｡</w:t>
      </w:r>
    </w:p>
    <w:p w14:paraId="40CE928E">
      <w:pPr>
        <w:pStyle w:val="48"/>
        <w:numPr>
          <w:ilvl w:val="-1"/>
          <w:numId w:val="0"/>
        </w:numPr>
        <w:ind w:left="1200" w:leftChars="200" w:hanging="720" w:hangingChars="300"/>
        <w:rPr>
          <w:rFonts w:hint="default" w:eastAsia="宋体"/>
          <w:highlight w:val="none"/>
          <w:lang w:val="en-US" w:eastAsia="zh-CN"/>
        </w:rPr>
      </w:pPr>
      <w:r>
        <w:rPr>
          <w:rFonts w:hint="eastAsia"/>
          <w:highlight w:val="none"/>
          <w:lang w:val="en-US" w:eastAsia="zh-CN"/>
        </w:rPr>
        <w:t>11.16</w:t>
      </w:r>
      <w:r>
        <w:rPr>
          <w:rFonts w:hint="eastAsia"/>
          <w:highlight w:val="none"/>
        </w:rPr>
        <w:t xml:space="preserve"> 任一方</w:t>
      </w:r>
      <w:r>
        <w:rPr>
          <w:rFonts w:hint="eastAsia"/>
          <w:highlight w:val="none"/>
          <w:lang w:val="en-US" w:eastAsia="zh-CN"/>
        </w:rPr>
        <w:t>违反本合同的其他约定</w:t>
      </w:r>
      <w:r>
        <w:rPr>
          <w:rFonts w:hint="eastAsia"/>
          <w:highlight w:val="none"/>
        </w:rPr>
        <w:t>，违约方应向对方承担违约责任，并赔偿守约方全部损失。本合同中的全部损失包括直接损失（包括但不限于对守约方所造成的直接损失、可得利益损失、守约方支付给第三方的赔偿费用/违约金/罚款、调查取证费用/公证费、诉讼费用、律师费用、担保费用、维权费用以及其他合理费用）和间接损失。</w:t>
      </w:r>
    </w:p>
    <w:p w14:paraId="54949DC4">
      <w:pPr>
        <w:pStyle w:val="42"/>
        <w:spacing w:before="163"/>
        <w:ind w:hanging="482"/>
        <w:rPr>
          <w:rFonts w:hint="eastAsia"/>
          <w:highlight w:val="none"/>
        </w:rPr>
      </w:pPr>
      <w:bookmarkStart w:id="33" w:name="_Toc475094758"/>
      <w:bookmarkStart w:id="34" w:name="_Toc149585880"/>
      <w:bookmarkStart w:id="35" w:name="_Toc475095469"/>
      <w:r>
        <w:rPr>
          <w:highlight w:val="none"/>
        </w:rPr>
        <w:t>保险</w:t>
      </w:r>
      <w:bookmarkEnd w:id="33"/>
      <w:bookmarkEnd w:id="34"/>
      <w:bookmarkEnd w:id="35"/>
    </w:p>
    <w:p w14:paraId="64755BAA">
      <w:pPr>
        <w:pStyle w:val="44"/>
        <w:rPr>
          <w:rFonts w:hint="eastAsia"/>
          <w:highlight w:val="none"/>
        </w:rPr>
      </w:pPr>
      <w:r>
        <w:rPr>
          <w:highlight w:val="none"/>
        </w:rPr>
        <w:t>乙方须对合同设备和工程，向保险公司以乙方为受益人投保合同总价格110%的一切险，保险区段至</w:t>
      </w:r>
      <w:r>
        <w:rPr>
          <w:rFonts w:hint="eastAsia"/>
          <w:highlight w:val="none"/>
          <w:lang w:val="en-US" w:eastAsia="zh-CN"/>
        </w:rPr>
        <w:t>保证期届满之</w:t>
      </w:r>
      <w:r>
        <w:rPr>
          <w:highlight w:val="none"/>
        </w:rPr>
        <w:t>日止</w:t>
      </w:r>
      <w:r>
        <w:rPr>
          <w:rFonts w:hint="eastAsia" w:ascii="微软雅黑" w:hAnsi="微软雅黑" w:eastAsia="微软雅黑" w:cs="微软雅黑"/>
          <w:highlight w:val="none"/>
        </w:rPr>
        <w:t>｡</w:t>
      </w:r>
    </w:p>
    <w:p w14:paraId="054A8571">
      <w:pPr>
        <w:pStyle w:val="44"/>
        <w:rPr>
          <w:rFonts w:hint="eastAsia"/>
          <w:highlight w:val="none"/>
        </w:rPr>
      </w:pPr>
      <w:r>
        <w:rPr>
          <w:highlight w:val="none"/>
        </w:rPr>
        <w:t>乙方须对合同设备的关键部件的加工制造过程向保险公司投保合同设备关键部件价格110%的以乙方为受益人的设备制造质量险，投保范围为制造过程中合同设备发生制造质量问题和/或车间内搬运等损坏和现场安装</w:t>
      </w:r>
      <w:r>
        <w:rPr>
          <w:rFonts w:hint="eastAsia" w:ascii="微软雅黑" w:hAnsi="微软雅黑" w:eastAsia="微软雅黑" w:cs="微软雅黑"/>
          <w:highlight w:val="none"/>
        </w:rPr>
        <w:t>､</w:t>
      </w:r>
      <w:r>
        <w:rPr>
          <w:rFonts w:hint="eastAsia" w:cs="宋体"/>
          <w:highlight w:val="none"/>
        </w:rPr>
        <w:t>调试</w:t>
      </w:r>
      <w:r>
        <w:rPr>
          <w:rFonts w:hint="eastAsia" w:ascii="微软雅黑" w:hAnsi="微软雅黑" w:eastAsia="微软雅黑" w:cs="微软雅黑"/>
          <w:highlight w:val="none"/>
        </w:rPr>
        <w:t>､</w:t>
      </w:r>
      <w:r>
        <w:rPr>
          <w:rFonts w:hint="eastAsia" w:cs="宋体"/>
          <w:highlight w:val="none"/>
        </w:rPr>
        <w:t>运行直至保证期内出现的设备质量问题</w:t>
      </w:r>
      <w:r>
        <w:rPr>
          <w:rFonts w:hint="eastAsia" w:ascii="微软雅黑" w:hAnsi="微软雅黑" w:eastAsia="微软雅黑" w:cs="微软雅黑"/>
          <w:highlight w:val="none"/>
        </w:rPr>
        <w:t>｡</w:t>
      </w:r>
    </w:p>
    <w:p w14:paraId="16EDFD1F">
      <w:pPr>
        <w:pStyle w:val="42"/>
        <w:spacing w:before="163"/>
        <w:ind w:hanging="482"/>
        <w:rPr>
          <w:rFonts w:hint="eastAsia"/>
          <w:highlight w:val="none"/>
        </w:rPr>
      </w:pPr>
      <w:bookmarkStart w:id="36" w:name="_Toc149585881"/>
      <w:bookmarkStart w:id="37" w:name="_Toc475094759"/>
      <w:bookmarkStart w:id="38" w:name="_Toc475095470"/>
      <w:r>
        <w:rPr>
          <w:highlight w:val="none"/>
        </w:rPr>
        <w:t>税费</w:t>
      </w:r>
      <w:bookmarkEnd w:id="36"/>
      <w:bookmarkEnd w:id="37"/>
      <w:bookmarkEnd w:id="38"/>
    </w:p>
    <w:p w14:paraId="43144329">
      <w:pPr>
        <w:pStyle w:val="44"/>
        <w:rPr>
          <w:rFonts w:hint="eastAsia"/>
          <w:highlight w:val="none"/>
        </w:rPr>
      </w:pPr>
      <w:r>
        <w:rPr>
          <w:highlight w:val="none"/>
        </w:rPr>
        <w:t>根据国家有关税务的法律</w:t>
      </w:r>
      <w:r>
        <w:rPr>
          <w:rFonts w:hint="eastAsia" w:ascii="微软雅黑" w:hAnsi="微软雅黑" w:eastAsia="微软雅黑" w:cs="微软雅黑"/>
          <w:highlight w:val="none"/>
        </w:rPr>
        <w:t>､</w:t>
      </w:r>
      <w:r>
        <w:rPr>
          <w:rFonts w:hint="eastAsia" w:cs="宋体"/>
          <w:highlight w:val="none"/>
        </w:rPr>
        <w:t>法规和规定</w:t>
      </w:r>
      <w:r>
        <w:rPr>
          <w:highlight w:val="none"/>
        </w:rPr>
        <w:t>，乙方应该交纳的与本合同有关的税费，由乙方承担</w:t>
      </w:r>
      <w:r>
        <w:rPr>
          <w:rFonts w:hint="eastAsia" w:ascii="微软雅黑" w:hAnsi="微软雅黑" w:eastAsia="微软雅黑" w:cs="微软雅黑"/>
          <w:highlight w:val="none"/>
        </w:rPr>
        <w:t>｡</w:t>
      </w:r>
    </w:p>
    <w:p w14:paraId="7B615EDF">
      <w:pPr>
        <w:pStyle w:val="44"/>
        <w:rPr>
          <w:rFonts w:hint="eastAsia"/>
          <w:highlight w:val="none"/>
        </w:rPr>
      </w:pPr>
      <w:r>
        <w:rPr>
          <w:highlight w:val="none"/>
        </w:rPr>
        <w:t>本合同价格为含税价</w:t>
      </w:r>
      <w:r>
        <w:rPr>
          <w:rFonts w:hint="eastAsia" w:ascii="微软雅黑" w:hAnsi="微软雅黑" w:eastAsia="微软雅黑" w:cs="微软雅黑"/>
          <w:highlight w:val="none"/>
        </w:rPr>
        <w:t>｡</w:t>
      </w:r>
    </w:p>
    <w:p w14:paraId="61818F30">
      <w:pPr>
        <w:pStyle w:val="42"/>
        <w:spacing w:before="163"/>
        <w:ind w:hanging="482"/>
        <w:rPr>
          <w:rFonts w:hint="eastAsia"/>
          <w:highlight w:val="none"/>
        </w:rPr>
      </w:pPr>
      <w:bookmarkStart w:id="39" w:name="_Toc475095471"/>
      <w:bookmarkStart w:id="40" w:name="_Toc475094760"/>
      <w:bookmarkStart w:id="41" w:name="_Toc149585882"/>
      <w:r>
        <w:rPr>
          <w:highlight w:val="none"/>
        </w:rPr>
        <w:t>分包与外购</w:t>
      </w:r>
      <w:bookmarkEnd w:id="39"/>
      <w:bookmarkEnd w:id="40"/>
      <w:bookmarkEnd w:id="41"/>
    </w:p>
    <w:p w14:paraId="425F2025">
      <w:pPr>
        <w:pStyle w:val="44"/>
        <w:rPr>
          <w:rFonts w:hint="eastAsia"/>
          <w:highlight w:val="none"/>
        </w:rPr>
      </w:pPr>
      <w:r>
        <w:rPr>
          <w:highlight w:val="none"/>
        </w:rPr>
        <w:t>乙方未经甲方同意不得将本合同范围内的设备/部件进行分包</w:t>
      </w:r>
      <w:r>
        <w:rPr>
          <w:rFonts w:hint="eastAsia"/>
          <w:highlight w:val="none"/>
          <w:lang w:val="en-US" w:eastAsia="zh-CN"/>
        </w:rPr>
        <w:t>或转包</w:t>
      </w:r>
      <w:r>
        <w:rPr>
          <w:highlight w:val="none"/>
        </w:rPr>
        <w:t>(包括主要部件外购)</w:t>
      </w:r>
      <w:r>
        <w:rPr>
          <w:rFonts w:hint="eastAsia" w:ascii="微软雅黑" w:hAnsi="微软雅黑" w:eastAsia="微软雅黑" w:cs="微软雅黑"/>
          <w:highlight w:val="none"/>
        </w:rPr>
        <w:t>。</w:t>
      </w:r>
      <w:r>
        <w:rPr>
          <w:rFonts w:hint="eastAsia" w:cs="宋体"/>
          <w:highlight w:val="none"/>
        </w:rPr>
        <w:t>个别部件如在</w:t>
      </w:r>
      <w:r>
        <w:rPr>
          <w:highlight w:val="none"/>
        </w:rPr>
        <w:t>乙方的联营单位生产也应征得甲方</w:t>
      </w:r>
      <w:r>
        <w:rPr>
          <w:rFonts w:hint="eastAsia"/>
          <w:highlight w:val="none"/>
          <w:lang w:val="en-US" w:eastAsia="zh-CN"/>
        </w:rPr>
        <w:t>书面</w:t>
      </w:r>
      <w:r>
        <w:rPr>
          <w:highlight w:val="none"/>
        </w:rPr>
        <w:t>同意，否则不许可</w:t>
      </w:r>
      <w:r>
        <w:rPr>
          <w:rFonts w:hint="eastAsia" w:ascii="微软雅黑" w:hAnsi="微软雅黑" w:eastAsia="微软雅黑" w:cs="微软雅黑"/>
          <w:highlight w:val="none"/>
        </w:rPr>
        <w:t>｡</w:t>
      </w:r>
    </w:p>
    <w:p w14:paraId="56610102">
      <w:pPr>
        <w:pStyle w:val="44"/>
        <w:rPr>
          <w:rFonts w:hint="eastAsia"/>
          <w:highlight w:val="none"/>
        </w:rPr>
      </w:pPr>
      <w:r>
        <w:rPr>
          <w:highlight w:val="none"/>
        </w:rPr>
        <w:t>乙方将本合同范围内需由联营单位生产的设备/部件的内容和比例提交甲方同意后，在本合同生效一个月内，将此部分设备/部件的联营单位预选名单</w:t>
      </w:r>
      <w:r>
        <w:rPr>
          <w:rFonts w:hint="eastAsia" w:ascii="微软雅黑" w:hAnsi="微软雅黑" w:eastAsia="微软雅黑" w:cs="微软雅黑"/>
          <w:highlight w:val="none"/>
        </w:rPr>
        <w:t>､</w:t>
      </w:r>
      <w:r>
        <w:rPr>
          <w:rFonts w:hint="eastAsia" w:cs="宋体"/>
          <w:highlight w:val="none"/>
        </w:rPr>
        <w:t>联营单位资质</w:t>
      </w:r>
      <w:r>
        <w:rPr>
          <w:rFonts w:hint="eastAsia" w:ascii="微软雅黑" w:hAnsi="微软雅黑" w:eastAsia="微软雅黑" w:cs="微软雅黑"/>
          <w:highlight w:val="none"/>
        </w:rPr>
        <w:t>､</w:t>
      </w:r>
      <w:r>
        <w:rPr>
          <w:rFonts w:hint="eastAsia" w:cs="宋体"/>
          <w:highlight w:val="none"/>
        </w:rPr>
        <w:t>生产能力等材料</w:t>
      </w:r>
      <w:r>
        <w:rPr>
          <w:highlight w:val="none"/>
        </w:rPr>
        <w:t>，提交给甲方</w:t>
      </w:r>
      <w:r>
        <w:rPr>
          <w:rFonts w:hint="eastAsia" w:ascii="微软雅黑" w:hAnsi="微软雅黑" w:eastAsia="微软雅黑" w:cs="微软雅黑"/>
          <w:highlight w:val="none"/>
        </w:rPr>
        <w:t>｡</w:t>
      </w:r>
      <w:r>
        <w:rPr>
          <w:highlight w:val="none"/>
        </w:rPr>
        <w:t>甲方收到乙方提交的联营单位文件后壹个月内进行审查，审查同意后，以书面形式予以答复</w:t>
      </w:r>
      <w:r>
        <w:rPr>
          <w:rFonts w:hint="eastAsia" w:ascii="微软雅黑" w:hAnsi="微软雅黑" w:eastAsia="微软雅黑" w:cs="微软雅黑"/>
          <w:highlight w:val="none"/>
        </w:rPr>
        <w:t>｡</w:t>
      </w:r>
      <w:r>
        <w:rPr>
          <w:highlight w:val="none"/>
        </w:rPr>
        <w:t>乙方须在甲方同意的联营单位名单中选定联营单位，并以书面形式正式通知甲方</w:t>
      </w:r>
      <w:r>
        <w:rPr>
          <w:rFonts w:hint="eastAsia" w:ascii="微软雅黑" w:hAnsi="微软雅黑" w:eastAsia="微软雅黑" w:cs="微软雅黑"/>
          <w:highlight w:val="none"/>
        </w:rPr>
        <w:t>｡</w:t>
      </w:r>
    </w:p>
    <w:p w14:paraId="62709433">
      <w:pPr>
        <w:pStyle w:val="44"/>
        <w:rPr>
          <w:rFonts w:hint="eastAsia"/>
          <w:highlight w:val="none"/>
        </w:rPr>
      </w:pPr>
      <w:r>
        <w:rPr>
          <w:highlight w:val="none"/>
        </w:rPr>
        <w:t>分包(外购)设备/部件的技术服务</w:t>
      </w:r>
      <w:r>
        <w:rPr>
          <w:rFonts w:hint="eastAsia" w:ascii="微软雅黑" w:hAnsi="微软雅黑" w:eastAsia="微软雅黑" w:cs="微软雅黑"/>
          <w:highlight w:val="none"/>
        </w:rPr>
        <w:t>､</w:t>
      </w:r>
      <w:r>
        <w:rPr>
          <w:rFonts w:hint="eastAsia" w:cs="宋体"/>
          <w:highlight w:val="none"/>
        </w:rPr>
        <w:t>技术配合按本合同第</w:t>
      </w:r>
      <w:r>
        <w:rPr>
          <w:highlight w:val="none"/>
        </w:rPr>
        <w:t>8款的相关规定办理</w:t>
      </w:r>
      <w:r>
        <w:rPr>
          <w:rFonts w:hint="eastAsia" w:ascii="微软雅黑" w:hAnsi="微软雅黑" w:eastAsia="微软雅黑" w:cs="微软雅黑"/>
          <w:highlight w:val="none"/>
        </w:rPr>
        <w:t>｡</w:t>
      </w:r>
    </w:p>
    <w:p w14:paraId="13F246A4">
      <w:pPr>
        <w:pStyle w:val="44"/>
        <w:rPr>
          <w:rFonts w:hint="eastAsia"/>
          <w:highlight w:val="none"/>
        </w:rPr>
      </w:pPr>
      <w:r>
        <w:rPr>
          <w:highlight w:val="none"/>
        </w:rPr>
        <w:t>乙方对所有分包设备</w:t>
      </w:r>
      <w:r>
        <w:rPr>
          <w:rFonts w:hint="eastAsia" w:ascii="微软雅黑" w:hAnsi="微软雅黑" w:eastAsia="微软雅黑" w:cs="微软雅黑"/>
          <w:highlight w:val="none"/>
        </w:rPr>
        <w:t>､</w:t>
      </w:r>
      <w:r>
        <w:rPr>
          <w:rFonts w:hint="eastAsia"/>
          <w:highlight w:val="none"/>
        </w:rPr>
        <w:t>部件和工程承担本合同项下的全部责任</w:t>
      </w:r>
      <w:r>
        <w:rPr>
          <w:rFonts w:hint="eastAsia" w:ascii="微软雅黑" w:hAnsi="微软雅黑" w:eastAsia="微软雅黑" w:cs="微软雅黑"/>
          <w:highlight w:val="none"/>
        </w:rPr>
        <w:t>｡</w:t>
      </w:r>
    </w:p>
    <w:p w14:paraId="508CBA73">
      <w:pPr>
        <w:pStyle w:val="42"/>
        <w:spacing w:before="163"/>
        <w:ind w:hanging="482"/>
        <w:rPr>
          <w:rFonts w:hint="eastAsia"/>
          <w:highlight w:val="none"/>
        </w:rPr>
      </w:pPr>
      <w:bookmarkStart w:id="42" w:name="_Toc149585883"/>
      <w:bookmarkStart w:id="43" w:name="_Toc475094761"/>
      <w:bookmarkStart w:id="44" w:name="_Toc475095472"/>
      <w:r>
        <w:rPr>
          <w:highlight w:val="none"/>
        </w:rPr>
        <w:t>合同的变更</w:t>
      </w:r>
      <w:r>
        <w:rPr>
          <w:rFonts w:hint="eastAsia" w:ascii="微软雅黑" w:hAnsi="微软雅黑" w:eastAsia="微软雅黑" w:cs="微软雅黑"/>
          <w:highlight w:val="none"/>
        </w:rPr>
        <w:t>､</w:t>
      </w:r>
      <w:r>
        <w:rPr>
          <w:rFonts w:hint="eastAsia" w:cs="宋体"/>
          <w:highlight w:val="none"/>
        </w:rPr>
        <w:t>修改和终止</w:t>
      </w:r>
      <w:bookmarkEnd w:id="42"/>
      <w:bookmarkEnd w:id="43"/>
      <w:bookmarkEnd w:id="44"/>
    </w:p>
    <w:p w14:paraId="41D9A272">
      <w:pPr>
        <w:pStyle w:val="44"/>
        <w:rPr>
          <w:rFonts w:hint="eastAsia"/>
          <w:highlight w:val="none"/>
        </w:rPr>
      </w:pPr>
      <w:r>
        <w:rPr>
          <w:highlight w:val="none"/>
        </w:rPr>
        <w:t>本合同一经生效，合同双方均不得擅自对本合同的内容(包括附件)作任何单方的修改</w:t>
      </w:r>
      <w:r>
        <w:rPr>
          <w:rFonts w:hint="eastAsia" w:ascii="微软雅黑" w:hAnsi="微软雅黑" w:eastAsia="微软雅黑" w:cs="微软雅黑"/>
          <w:highlight w:val="none"/>
        </w:rPr>
        <w:t>｡</w:t>
      </w:r>
      <w:r>
        <w:rPr>
          <w:rFonts w:hint="eastAsia"/>
          <w:highlight w:val="none"/>
        </w:rPr>
        <w:t>但任何一方均可以对合同内容以书面形式提出变更</w:t>
      </w:r>
      <w:r>
        <w:rPr>
          <w:rFonts w:hint="eastAsia" w:ascii="微软雅黑" w:hAnsi="微软雅黑" w:eastAsia="微软雅黑" w:cs="微软雅黑"/>
          <w:highlight w:val="none"/>
        </w:rPr>
        <w:t>､</w:t>
      </w:r>
      <w:r>
        <w:rPr>
          <w:rFonts w:hint="eastAsia"/>
          <w:highlight w:val="none"/>
        </w:rPr>
        <w:t>修改</w:t>
      </w:r>
      <w:r>
        <w:rPr>
          <w:rFonts w:hint="eastAsia" w:ascii="微软雅黑" w:hAnsi="微软雅黑" w:eastAsia="微软雅黑" w:cs="微软雅黑"/>
          <w:highlight w:val="none"/>
        </w:rPr>
        <w:t>､</w:t>
      </w:r>
      <w:r>
        <w:rPr>
          <w:rFonts w:hint="eastAsia"/>
          <w:highlight w:val="none"/>
        </w:rPr>
        <w:t>取消或补充的建议</w:t>
      </w:r>
      <w:r>
        <w:rPr>
          <w:rFonts w:hint="eastAsia" w:ascii="微软雅黑" w:hAnsi="微软雅黑" w:eastAsia="微软雅黑" w:cs="微软雅黑"/>
          <w:highlight w:val="none"/>
        </w:rPr>
        <w:t>｡</w:t>
      </w:r>
      <w:r>
        <w:rPr>
          <w:rFonts w:hint="eastAsia"/>
          <w:highlight w:val="none"/>
        </w:rPr>
        <w:t>该项建议应以书面形式通知对方并经双方签字</w:t>
      </w:r>
      <w:r>
        <w:rPr>
          <w:rFonts w:hint="eastAsia"/>
          <w:highlight w:val="none"/>
          <w:lang w:eastAsia="zh-CN"/>
        </w:rPr>
        <w:t>、</w:t>
      </w:r>
      <w:r>
        <w:rPr>
          <w:rFonts w:hint="eastAsia"/>
          <w:highlight w:val="none"/>
          <w:lang w:val="en-US" w:eastAsia="zh-CN"/>
        </w:rPr>
        <w:t>盖章</w:t>
      </w:r>
      <w:r>
        <w:rPr>
          <w:rFonts w:hint="eastAsia"/>
          <w:highlight w:val="none"/>
        </w:rPr>
        <w:t>确认</w:t>
      </w:r>
      <w:r>
        <w:rPr>
          <w:rFonts w:hint="eastAsia" w:ascii="微软雅黑" w:hAnsi="微软雅黑" w:eastAsia="微软雅黑" w:cs="微软雅黑"/>
          <w:highlight w:val="none"/>
        </w:rPr>
        <w:t>｡</w:t>
      </w:r>
    </w:p>
    <w:p w14:paraId="5539D2FE">
      <w:pPr>
        <w:pStyle w:val="44"/>
        <w:rPr>
          <w:rFonts w:hint="eastAsia"/>
          <w:highlight w:val="none"/>
        </w:rPr>
      </w:pPr>
      <w:r>
        <w:rPr>
          <w:highlight w:val="none"/>
        </w:rPr>
        <w:t>如果乙方有违反或拒绝执行本合同规定的行为时，甲方将用书面通知乙方，乙方在接到通知后3天内作出修正，如果认为在3天内来不及纠正时，应提出修正计划</w:t>
      </w:r>
      <w:r>
        <w:rPr>
          <w:rFonts w:hint="eastAsia" w:ascii="微软雅黑" w:hAnsi="微软雅黑" w:eastAsia="微软雅黑" w:cs="微软雅黑"/>
          <w:highlight w:val="none"/>
        </w:rPr>
        <w:t>｡</w:t>
      </w:r>
      <w:r>
        <w:rPr>
          <w:rFonts w:hint="eastAsia" w:cs="宋体"/>
          <w:highlight w:val="none"/>
        </w:rPr>
        <w:t>如果</w:t>
      </w:r>
      <w:r>
        <w:rPr>
          <w:rFonts w:hint="eastAsia" w:cs="宋体"/>
          <w:highlight w:val="none"/>
          <w:lang w:eastAsia="zh-CN"/>
        </w:rPr>
        <w:t>乙方未</w:t>
      </w:r>
      <w:r>
        <w:rPr>
          <w:rFonts w:hint="eastAsia" w:cs="宋体"/>
          <w:highlight w:val="none"/>
        </w:rPr>
        <w:t>纠正或</w:t>
      </w:r>
      <w:r>
        <w:rPr>
          <w:rFonts w:hint="eastAsia" w:cs="宋体"/>
          <w:highlight w:val="none"/>
          <w:lang w:eastAsia="zh-CN"/>
        </w:rPr>
        <w:t>未提出</w:t>
      </w:r>
      <w:r>
        <w:rPr>
          <w:rFonts w:hint="eastAsia" w:cs="宋体"/>
          <w:highlight w:val="none"/>
        </w:rPr>
        <w:t>修正计划</w:t>
      </w:r>
      <w:r>
        <w:rPr>
          <w:highlight w:val="none"/>
        </w:rPr>
        <w:t>，甲方</w:t>
      </w:r>
      <w:r>
        <w:rPr>
          <w:rFonts w:hint="eastAsia"/>
          <w:highlight w:val="none"/>
          <w:lang w:eastAsia="zh-CN"/>
        </w:rPr>
        <w:t>有权</w:t>
      </w:r>
      <w:r>
        <w:rPr>
          <w:highlight w:val="none"/>
        </w:rPr>
        <w:t>单方终止全部或部分合同</w:t>
      </w:r>
      <w:r>
        <w:rPr>
          <w:rFonts w:hint="eastAsia" w:ascii="微软雅黑" w:hAnsi="微软雅黑" w:eastAsia="微软雅黑" w:cs="微软雅黑"/>
          <w:highlight w:val="none"/>
        </w:rPr>
        <w:t>｡</w:t>
      </w:r>
      <w:r>
        <w:rPr>
          <w:highlight w:val="none"/>
        </w:rPr>
        <w:t>由此而发生的一切费用</w:t>
      </w:r>
      <w:r>
        <w:rPr>
          <w:rFonts w:hint="eastAsia" w:ascii="微软雅黑" w:hAnsi="微软雅黑" w:eastAsia="微软雅黑" w:cs="微软雅黑"/>
          <w:highlight w:val="none"/>
        </w:rPr>
        <w:t>､</w:t>
      </w:r>
      <w:r>
        <w:rPr>
          <w:rFonts w:hint="eastAsia" w:cs="宋体"/>
          <w:highlight w:val="none"/>
        </w:rPr>
        <w:t>损失和索赔将由</w:t>
      </w:r>
      <w:r>
        <w:rPr>
          <w:highlight w:val="none"/>
        </w:rPr>
        <w:t>乙方负担</w:t>
      </w:r>
      <w:r>
        <w:rPr>
          <w:rFonts w:hint="eastAsia" w:ascii="微软雅黑" w:hAnsi="微软雅黑" w:eastAsia="微软雅黑" w:cs="微软雅黑"/>
          <w:highlight w:val="none"/>
        </w:rPr>
        <w:t>｡</w:t>
      </w:r>
      <w:r>
        <w:rPr>
          <w:rFonts w:hint="eastAsia" w:cs="宋体"/>
          <w:highlight w:val="none"/>
        </w:rPr>
        <w:t>如果</w:t>
      </w:r>
      <w:r>
        <w:rPr>
          <w:highlight w:val="none"/>
        </w:rPr>
        <w:t>乙方的违约行为在本合同其它条款有明确规定，则按有关条款处理</w:t>
      </w:r>
      <w:r>
        <w:rPr>
          <w:rFonts w:hint="eastAsia" w:ascii="微软雅黑" w:hAnsi="微软雅黑" w:eastAsia="微软雅黑" w:cs="微软雅黑"/>
          <w:highlight w:val="none"/>
        </w:rPr>
        <w:t>｡</w:t>
      </w:r>
    </w:p>
    <w:p w14:paraId="2660437A">
      <w:pPr>
        <w:pStyle w:val="44"/>
        <w:rPr>
          <w:rFonts w:hint="eastAsia"/>
          <w:highlight w:val="none"/>
        </w:rPr>
      </w:pPr>
      <w:r>
        <w:rPr>
          <w:highlight w:val="none"/>
        </w:rPr>
        <w:t>如果甲方行使终止权利，甲方有权停付到期应向乙方支付终止部分的款项，并有权索回在执行合同中预付给乙方的终止部分款项</w:t>
      </w:r>
      <w:r>
        <w:rPr>
          <w:rFonts w:hint="eastAsia" w:ascii="微软雅黑" w:hAnsi="微软雅黑" w:eastAsia="微软雅黑" w:cs="微软雅黑"/>
          <w:highlight w:val="none"/>
        </w:rPr>
        <w:t>｡</w:t>
      </w:r>
    </w:p>
    <w:p w14:paraId="560953B2">
      <w:pPr>
        <w:pStyle w:val="44"/>
        <w:rPr>
          <w:rFonts w:hint="eastAsia"/>
          <w:highlight w:val="none"/>
        </w:rPr>
      </w:pPr>
      <w:r>
        <w:rPr>
          <w:highlight w:val="none"/>
        </w:rPr>
        <w:t>在合同执行过程中，若因国家计划调整或其他不可抗力而引起本合同无法正常执行时，乙方和/或甲方可以向对方提出终止执行合同或修改合同有关条款的建议，与之有关的事宜双方协商办理</w:t>
      </w:r>
      <w:r>
        <w:rPr>
          <w:rFonts w:hint="eastAsia" w:ascii="微软雅黑" w:hAnsi="微软雅黑" w:eastAsia="微软雅黑" w:cs="微软雅黑"/>
          <w:highlight w:val="none"/>
        </w:rPr>
        <w:t>｡</w:t>
      </w:r>
    </w:p>
    <w:p w14:paraId="32C821BC">
      <w:pPr>
        <w:pStyle w:val="44"/>
        <w:rPr>
          <w:rFonts w:hint="eastAsia"/>
          <w:highlight w:val="none"/>
        </w:rPr>
      </w:pPr>
      <w:r>
        <w:rPr>
          <w:highlight w:val="none"/>
        </w:rPr>
        <w:t>如果乙方破产</w:t>
      </w:r>
      <w:r>
        <w:rPr>
          <w:rFonts w:hint="eastAsia" w:ascii="微软雅黑" w:hAnsi="微软雅黑" w:eastAsia="微软雅黑" w:cs="微软雅黑"/>
          <w:highlight w:val="none"/>
        </w:rPr>
        <w:t>､</w:t>
      </w:r>
      <w:r>
        <w:rPr>
          <w:rFonts w:hint="eastAsia" w:cs="宋体"/>
          <w:highlight w:val="none"/>
        </w:rPr>
        <w:t>产权变更</w:t>
      </w:r>
      <w:r>
        <w:rPr>
          <w:highlight w:val="none"/>
        </w:rPr>
        <w:t>(被兼并</w:t>
      </w:r>
      <w:r>
        <w:rPr>
          <w:rFonts w:hint="eastAsia" w:ascii="微软雅黑" w:hAnsi="微软雅黑" w:eastAsia="微软雅黑" w:cs="微软雅黑"/>
          <w:highlight w:val="none"/>
        </w:rPr>
        <w:t>､</w:t>
      </w:r>
      <w:r>
        <w:rPr>
          <w:rFonts w:hint="eastAsia" w:cs="宋体"/>
          <w:highlight w:val="none"/>
        </w:rPr>
        <w:t>合并</w:t>
      </w:r>
      <w:r>
        <w:rPr>
          <w:rFonts w:hint="eastAsia" w:ascii="微软雅黑" w:hAnsi="微软雅黑" w:eastAsia="微软雅黑" w:cs="微软雅黑"/>
          <w:highlight w:val="none"/>
        </w:rPr>
        <w:t>､</w:t>
      </w:r>
      <w:r>
        <w:rPr>
          <w:rFonts w:hint="eastAsia" w:cs="宋体"/>
          <w:highlight w:val="none"/>
        </w:rPr>
        <w:t>解体</w:t>
      </w:r>
      <w:r>
        <w:rPr>
          <w:rFonts w:hint="eastAsia" w:ascii="微软雅黑" w:hAnsi="微软雅黑" w:eastAsia="微软雅黑" w:cs="微软雅黑"/>
          <w:highlight w:val="none"/>
        </w:rPr>
        <w:t>､</w:t>
      </w:r>
      <w:r>
        <w:rPr>
          <w:rFonts w:hint="eastAsia" w:cs="宋体"/>
          <w:highlight w:val="none"/>
        </w:rPr>
        <w:t>注销</w:t>
      </w:r>
      <w:r>
        <w:rPr>
          <w:highlight w:val="none"/>
        </w:rPr>
        <w:t>)或无偿还能力，或为了债权人的利益在破产管理下经营其业务，甲方有权立即书面通知乙方或破产清算管理人或合同归属人终止合同，或向该破产管理人</w:t>
      </w:r>
      <w:r>
        <w:rPr>
          <w:rFonts w:hint="eastAsia" w:ascii="微软雅黑" w:hAnsi="微软雅黑" w:eastAsia="微软雅黑" w:cs="微软雅黑"/>
          <w:highlight w:val="none"/>
        </w:rPr>
        <w:t>､</w:t>
      </w:r>
      <w:r>
        <w:rPr>
          <w:rFonts w:hint="eastAsia" w:cs="宋体"/>
          <w:highlight w:val="none"/>
        </w:rPr>
        <w:t>清算人或该合同归属人提供选择</w:t>
      </w:r>
      <w:r>
        <w:rPr>
          <w:highlight w:val="none"/>
        </w:rPr>
        <w:t>，视其给出合理忠实履行合同的保证情况，执行经过甲方同意的一部分合同</w:t>
      </w:r>
      <w:r>
        <w:rPr>
          <w:rFonts w:hint="eastAsia" w:ascii="微软雅黑" w:hAnsi="微软雅黑" w:eastAsia="微软雅黑" w:cs="微软雅黑"/>
          <w:highlight w:val="none"/>
        </w:rPr>
        <w:t>｡</w:t>
      </w:r>
    </w:p>
    <w:p w14:paraId="42C2FC05">
      <w:pPr>
        <w:pStyle w:val="44"/>
        <w:rPr>
          <w:rFonts w:hint="eastAsia"/>
          <w:highlight w:val="none"/>
        </w:rPr>
      </w:pPr>
      <w:r>
        <w:rPr>
          <w:highlight w:val="none"/>
        </w:rPr>
        <w:t>若15.</w:t>
      </w:r>
      <w:r>
        <w:rPr>
          <w:rFonts w:hint="eastAsia"/>
          <w:highlight w:val="none"/>
          <w:lang w:val="en-US" w:eastAsia="zh-CN"/>
        </w:rPr>
        <w:t>5</w:t>
      </w:r>
      <w:r>
        <w:rPr>
          <w:highlight w:val="none"/>
        </w:rPr>
        <w:t>款考虑的情况确实发生，甲方有权从乙方手中将与本合同设备有关的工作接管并收归己有，并在合理期限内从乙方的现场房屋中迁出所有与本合同设备有关的设计</w:t>
      </w:r>
      <w:r>
        <w:rPr>
          <w:rFonts w:hint="eastAsia" w:ascii="微软雅黑" w:hAnsi="微软雅黑" w:eastAsia="微软雅黑" w:cs="微软雅黑"/>
          <w:highlight w:val="none"/>
        </w:rPr>
        <w:t>､</w:t>
      </w:r>
      <w:r>
        <w:rPr>
          <w:rFonts w:hint="eastAsia" w:cs="宋体"/>
          <w:highlight w:val="none"/>
        </w:rPr>
        <w:t>图纸</w:t>
      </w:r>
      <w:r>
        <w:rPr>
          <w:rFonts w:hint="eastAsia" w:ascii="微软雅黑" w:hAnsi="微软雅黑" w:eastAsia="微软雅黑" w:cs="微软雅黑"/>
          <w:highlight w:val="none"/>
        </w:rPr>
        <w:t>､</w:t>
      </w:r>
      <w:r>
        <w:rPr>
          <w:rFonts w:hint="eastAsia" w:cs="宋体"/>
          <w:highlight w:val="none"/>
        </w:rPr>
        <w:t>说明和材料</w:t>
      </w:r>
      <w:r>
        <w:rPr>
          <w:highlight w:val="none"/>
        </w:rPr>
        <w:t>，这些东西的所有权已属甲方，乙方应给甲方提供全权处理并提供一切合理的方便，使其能搬走上述这类设计</w:t>
      </w:r>
      <w:r>
        <w:rPr>
          <w:rFonts w:hint="eastAsia" w:ascii="微软雅黑" w:hAnsi="微软雅黑" w:eastAsia="微软雅黑" w:cs="微软雅黑"/>
          <w:highlight w:val="none"/>
        </w:rPr>
        <w:t>､</w:t>
      </w:r>
      <w:r>
        <w:rPr>
          <w:rFonts w:hint="eastAsia" w:cs="宋体"/>
          <w:highlight w:val="none"/>
        </w:rPr>
        <w:t>图纸</w:t>
      </w:r>
      <w:r>
        <w:rPr>
          <w:rFonts w:hint="eastAsia" w:ascii="微软雅黑" w:hAnsi="微软雅黑" w:eastAsia="微软雅黑" w:cs="微软雅黑"/>
          <w:highlight w:val="none"/>
        </w:rPr>
        <w:t>､</w:t>
      </w:r>
      <w:r>
        <w:rPr>
          <w:rFonts w:hint="eastAsia" w:cs="宋体"/>
          <w:highlight w:val="none"/>
        </w:rPr>
        <w:t>说</w:t>
      </w:r>
      <w:r>
        <w:rPr>
          <w:rFonts w:hint="eastAsia"/>
          <w:highlight w:val="none"/>
        </w:rPr>
        <w:t>明和材料</w:t>
      </w:r>
      <w:r>
        <w:rPr>
          <w:highlight w:val="none"/>
        </w:rPr>
        <w:t>，甲方对这种终止合同直接或间接引起的对乙方的任何索赔不承担责任</w:t>
      </w:r>
      <w:r>
        <w:rPr>
          <w:rFonts w:hint="eastAsia" w:ascii="微软雅黑" w:hAnsi="微软雅黑" w:eastAsia="微软雅黑" w:cs="微软雅黑"/>
          <w:highlight w:val="none"/>
        </w:rPr>
        <w:t>｡</w:t>
      </w:r>
      <w:r>
        <w:rPr>
          <w:rFonts w:hint="eastAsia" w:cs="宋体"/>
          <w:highlight w:val="none"/>
        </w:rPr>
        <w:t>此外</w:t>
      </w:r>
      <w:r>
        <w:rPr>
          <w:highlight w:val="none"/>
        </w:rPr>
        <w:t>，双方应对乙方已经实际履行的合同部分评价达成协议，并处理合同提前结束的一切后果</w:t>
      </w:r>
      <w:r>
        <w:rPr>
          <w:rFonts w:hint="eastAsia" w:ascii="微软雅黑" w:hAnsi="微软雅黑" w:eastAsia="微软雅黑" w:cs="微软雅黑"/>
          <w:highlight w:val="none"/>
        </w:rPr>
        <w:t>｡</w:t>
      </w:r>
    </w:p>
    <w:p w14:paraId="4D4B13AC">
      <w:pPr>
        <w:pStyle w:val="42"/>
        <w:spacing w:before="163"/>
        <w:ind w:hanging="482"/>
        <w:rPr>
          <w:rFonts w:hint="eastAsia"/>
          <w:highlight w:val="none"/>
        </w:rPr>
      </w:pPr>
      <w:bookmarkStart w:id="45" w:name="_Toc475094762"/>
      <w:bookmarkStart w:id="46" w:name="_Toc475095473"/>
      <w:bookmarkStart w:id="47" w:name="_Toc149585884"/>
      <w:r>
        <w:rPr>
          <w:highlight w:val="none"/>
        </w:rPr>
        <w:t>不可抗力</w:t>
      </w:r>
      <w:bookmarkEnd w:id="45"/>
      <w:bookmarkEnd w:id="46"/>
      <w:bookmarkEnd w:id="47"/>
    </w:p>
    <w:p w14:paraId="543E8EBE">
      <w:pPr>
        <w:pStyle w:val="44"/>
        <w:rPr>
          <w:rFonts w:hint="eastAsia"/>
          <w:highlight w:val="none"/>
        </w:rPr>
      </w:pPr>
      <w:r>
        <w:rPr>
          <w:highlight w:val="none"/>
        </w:rPr>
        <w:t>不可抗力是指：严重的自然灾害和灾难(如台风</w:t>
      </w:r>
      <w:r>
        <w:rPr>
          <w:rFonts w:hint="eastAsia" w:ascii="微软雅黑" w:hAnsi="微软雅黑" w:eastAsia="微软雅黑" w:cs="微软雅黑"/>
          <w:highlight w:val="none"/>
        </w:rPr>
        <w:t>､</w:t>
      </w:r>
      <w:r>
        <w:rPr>
          <w:rFonts w:hint="eastAsia" w:cs="宋体"/>
          <w:highlight w:val="none"/>
        </w:rPr>
        <w:t>洪水</w:t>
      </w:r>
      <w:r>
        <w:rPr>
          <w:rFonts w:hint="eastAsia" w:ascii="微软雅黑" w:hAnsi="微软雅黑" w:eastAsia="微软雅黑" w:cs="微软雅黑"/>
          <w:highlight w:val="none"/>
        </w:rPr>
        <w:t>､</w:t>
      </w:r>
      <w:r>
        <w:rPr>
          <w:rFonts w:hint="eastAsia" w:cs="宋体"/>
          <w:highlight w:val="none"/>
        </w:rPr>
        <w:t>地震</w:t>
      </w:r>
      <w:r>
        <w:rPr>
          <w:rFonts w:hint="eastAsia" w:ascii="微软雅黑" w:hAnsi="微软雅黑" w:eastAsia="微软雅黑" w:cs="微软雅黑"/>
          <w:highlight w:val="none"/>
        </w:rPr>
        <w:t>､</w:t>
      </w:r>
      <w:r>
        <w:rPr>
          <w:rFonts w:hint="eastAsia" w:cs="宋体"/>
          <w:highlight w:val="none"/>
        </w:rPr>
        <w:t>火灾和爆炸等</w:t>
      </w:r>
      <w:r>
        <w:rPr>
          <w:highlight w:val="none"/>
        </w:rPr>
        <w:t>)</w:t>
      </w:r>
      <w:r>
        <w:rPr>
          <w:rFonts w:hint="eastAsia" w:ascii="微软雅黑" w:hAnsi="微软雅黑" w:eastAsia="微软雅黑" w:cs="微软雅黑"/>
          <w:highlight w:val="none"/>
        </w:rPr>
        <w:t>､</w:t>
      </w:r>
      <w:r>
        <w:rPr>
          <w:rFonts w:hint="eastAsia" w:cs="宋体"/>
          <w:highlight w:val="none"/>
        </w:rPr>
        <w:t>战争</w:t>
      </w:r>
      <w:r>
        <w:rPr>
          <w:highlight w:val="none"/>
        </w:rPr>
        <w:t>(不论是否宣战)</w:t>
      </w:r>
      <w:r>
        <w:rPr>
          <w:rFonts w:hint="eastAsia" w:ascii="微软雅黑" w:hAnsi="微软雅黑" w:eastAsia="微软雅黑" w:cs="微软雅黑"/>
          <w:highlight w:val="none"/>
        </w:rPr>
        <w:t>､</w:t>
      </w:r>
      <w:r>
        <w:rPr>
          <w:rFonts w:hint="eastAsia" w:cs="宋体"/>
          <w:highlight w:val="none"/>
        </w:rPr>
        <w:t>叛乱</w:t>
      </w:r>
      <w:r>
        <w:rPr>
          <w:rFonts w:hint="eastAsia" w:ascii="微软雅黑" w:hAnsi="微软雅黑" w:eastAsia="微软雅黑" w:cs="微软雅黑"/>
          <w:highlight w:val="none"/>
        </w:rPr>
        <w:t>､</w:t>
      </w:r>
      <w:r>
        <w:rPr>
          <w:rFonts w:hint="eastAsia" w:cs="宋体"/>
          <w:highlight w:val="none"/>
        </w:rPr>
        <w:t>动乱等等</w:t>
      </w:r>
      <w:r>
        <w:rPr>
          <w:rFonts w:hint="eastAsia" w:ascii="微软雅黑" w:hAnsi="微软雅黑" w:eastAsia="微软雅黑" w:cs="微软雅黑"/>
          <w:highlight w:val="none"/>
        </w:rPr>
        <w:t>｡</w:t>
      </w:r>
      <w:r>
        <w:rPr>
          <w:rFonts w:hint="eastAsia" w:cs="宋体"/>
          <w:highlight w:val="none"/>
        </w:rPr>
        <w:t>合同双方中的任何一方</w:t>
      </w:r>
      <w:r>
        <w:rPr>
          <w:highlight w:val="none"/>
        </w:rPr>
        <w:t>，由于不可抗力事件而影响合同义务的执行时，则延迟履行合同义务的期限相当于不可抗力事件影响的时间，但是不能因为不可抗力的延迟而调整合同价格</w:t>
      </w:r>
      <w:r>
        <w:rPr>
          <w:rFonts w:hint="eastAsia" w:ascii="微软雅黑" w:hAnsi="微软雅黑" w:eastAsia="微软雅黑" w:cs="微软雅黑"/>
          <w:highlight w:val="none"/>
        </w:rPr>
        <w:t>｡</w:t>
      </w:r>
    </w:p>
    <w:p w14:paraId="7EF6E004">
      <w:pPr>
        <w:pStyle w:val="44"/>
        <w:rPr>
          <w:rFonts w:hint="eastAsia"/>
          <w:highlight w:val="none"/>
        </w:rPr>
      </w:pPr>
      <w:r>
        <w:rPr>
          <w:highlight w:val="none"/>
        </w:rPr>
        <w:t>受到不可抗力影响的一方应在不可抗力事故发生后，尽快将所发生的不可抗力事件的情况以传真或电报通知另一方，并在15天内将有关当局出具的证明文件提交给另一方审阅确认，受影响的一方同时应尽量设法缩小这种影响和由此而引起的延误，一旦不可抗力的影响消除后，应将此情况立即通知对方</w:t>
      </w:r>
      <w:r>
        <w:rPr>
          <w:rFonts w:hint="eastAsia" w:ascii="微软雅黑" w:hAnsi="微软雅黑" w:eastAsia="微软雅黑" w:cs="微软雅黑"/>
          <w:highlight w:val="none"/>
        </w:rPr>
        <w:t>｡</w:t>
      </w:r>
    </w:p>
    <w:p w14:paraId="5FFD0737">
      <w:pPr>
        <w:pStyle w:val="44"/>
        <w:rPr>
          <w:rFonts w:hint="eastAsia"/>
          <w:highlight w:val="none"/>
        </w:rPr>
      </w:pPr>
      <w:r>
        <w:rPr>
          <w:highlight w:val="none"/>
        </w:rPr>
        <w:t>如双方对不可抗力事件的影响估计将延续到120天以上时，双方应通过友好协商解决本合同的执行问题(包括交货</w:t>
      </w:r>
      <w:r>
        <w:rPr>
          <w:rFonts w:hint="eastAsia" w:ascii="微软雅黑" w:hAnsi="微软雅黑" w:eastAsia="微软雅黑" w:cs="微软雅黑"/>
          <w:highlight w:val="none"/>
        </w:rPr>
        <w:t>､</w:t>
      </w:r>
      <w:r>
        <w:rPr>
          <w:rFonts w:hint="eastAsia" w:cs="宋体"/>
          <w:highlight w:val="none"/>
        </w:rPr>
        <w:t>安装</w:t>
      </w:r>
      <w:r>
        <w:rPr>
          <w:rFonts w:hint="eastAsia" w:ascii="微软雅黑" w:hAnsi="微软雅黑" w:eastAsia="微软雅黑" w:cs="微软雅黑"/>
          <w:highlight w:val="none"/>
        </w:rPr>
        <w:t>､</w:t>
      </w:r>
      <w:r>
        <w:rPr>
          <w:rFonts w:hint="eastAsia" w:cs="宋体"/>
          <w:highlight w:val="none"/>
        </w:rPr>
        <w:t>试运行和验收等问题</w:t>
      </w:r>
      <w:r>
        <w:rPr>
          <w:highlight w:val="none"/>
        </w:rPr>
        <w:t>)</w:t>
      </w:r>
      <w:r>
        <w:rPr>
          <w:rFonts w:hint="eastAsia" w:ascii="微软雅黑" w:hAnsi="微软雅黑" w:eastAsia="微软雅黑" w:cs="微软雅黑"/>
          <w:highlight w:val="none"/>
        </w:rPr>
        <w:t>｡</w:t>
      </w:r>
    </w:p>
    <w:p w14:paraId="090ABC4C">
      <w:pPr>
        <w:pStyle w:val="42"/>
        <w:spacing w:before="163"/>
        <w:ind w:hanging="482"/>
        <w:rPr>
          <w:rFonts w:hint="eastAsia"/>
          <w:highlight w:val="none"/>
        </w:rPr>
      </w:pPr>
      <w:bookmarkStart w:id="48" w:name="_Toc475094763"/>
      <w:bookmarkStart w:id="49" w:name="_Toc149585885"/>
      <w:bookmarkStart w:id="50" w:name="_Toc475095474"/>
      <w:r>
        <w:rPr>
          <w:highlight w:val="none"/>
        </w:rPr>
        <w:t>合同争议的解决</w:t>
      </w:r>
      <w:bookmarkEnd w:id="48"/>
      <w:bookmarkEnd w:id="49"/>
      <w:bookmarkEnd w:id="50"/>
    </w:p>
    <w:p w14:paraId="7BE677FD">
      <w:pPr>
        <w:pStyle w:val="44"/>
        <w:rPr>
          <w:rFonts w:hint="eastAsia"/>
          <w:highlight w:val="none"/>
        </w:rPr>
      </w:pPr>
      <w:r>
        <w:rPr>
          <w:highlight w:val="none"/>
        </w:rPr>
        <w:t>凡与本合同有关而引起的一切争议，双方应首先通过协商解决，如经协商后仍不能达成协议时，则提交双方上级主管部门调解</w:t>
      </w:r>
      <w:r>
        <w:rPr>
          <w:rFonts w:hint="eastAsia" w:ascii="微软雅黑" w:hAnsi="微软雅黑" w:eastAsia="微软雅黑" w:cs="微软雅黑"/>
          <w:highlight w:val="none"/>
        </w:rPr>
        <w:t>｡</w:t>
      </w:r>
      <w:r>
        <w:rPr>
          <w:rFonts w:hint="eastAsia" w:cs="宋体"/>
          <w:highlight w:val="none"/>
        </w:rPr>
        <w:t>如仍不能解决</w:t>
      </w:r>
      <w:r>
        <w:rPr>
          <w:highlight w:val="none"/>
        </w:rPr>
        <w:t>，双方同意任何一方可以向</w:t>
      </w:r>
      <w:r>
        <w:rPr>
          <w:rFonts w:hint="eastAsia"/>
          <w:highlight w:val="none"/>
        </w:rPr>
        <w:t>甲方项目所</w:t>
      </w:r>
      <w:r>
        <w:rPr>
          <w:highlight w:val="none"/>
        </w:rPr>
        <w:t>在地有管辖权的人民法院提出诉讼</w:t>
      </w:r>
      <w:r>
        <w:rPr>
          <w:rFonts w:hint="eastAsia" w:ascii="微软雅黑" w:hAnsi="微软雅黑" w:eastAsia="微软雅黑" w:cs="微软雅黑"/>
          <w:highlight w:val="none"/>
        </w:rPr>
        <w:t>｡</w:t>
      </w:r>
    </w:p>
    <w:p w14:paraId="53961095">
      <w:pPr>
        <w:pStyle w:val="44"/>
        <w:rPr>
          <w:rFonts w:hint="eastAsia"/>
          <w:highlight w:val="none"/>
        </w:rPr>
      </w:pPr>
      <w:r>
        <w:rPr>
          <w:highlight w:val="none"/>
        </w:rPr>
        <w:t>法院判决对双方都有约束力</w:t>
      </w:r>
      <w:r>
        <w:rPr>
          <w:rFonts w:hint="eastAsia" w:ascii="微软雅黑" w:hAnsi="微软雅黑" w:eastAsia="微软雅黑" w:cs="微软雅黑"/>
          <w:highlight w:val="none"/>
        </w:rPr>
        <w:t>｡</w:t>
      </w:r>
    </w:p>
    <w:p w14:paraId="3F06FEB8">
      <w:pPr>
        <w:pStyle w:val="44"/>
        <w:rPr>
          <w:rFonts w:hint="eastAsia"/>
          <w:highlight w:val="none"/>
        </w:rPr>
      </w:pPr>
      <w:r>
        <w:rPr>
          <w:highlight w:val="none"/>
        </w:rPr>
        <w:t>由上述过程发生的费用除上述法院判决另有规定外，应由败诉方承担</w:t>
      </w:r>
      <w:r>
        <w:rPr>
          <w:rFonts w:hint="eastAsia" w:ascii="微软雅黑" w:hAnsi="微软雅黑" w:eastAsia="微软雅黑" w:cs="微软雅黑"/>
          <w:highlight w:val="none"/>
        </w:rPr>
        <w:t>｡</w:t>
      </w:r>
    </w:p>
    <w:p w14:paraId="0A66A37A">
      <w:pPr>
        <w:pStyle w:val="44"/>
        <w:rPr>
          <w:rFonts w:hint="eastAsia"/>
          <w:highlight w:val="none"/>
        </w:rPr>
      </w:pPr>
      <w:r>
        <w:rPr>
          <w:highlight w:val="none"/>
        </w:rPr>
        <w:t>在进行法院审理期间，除提交法院审理的事项外，合同仍应继续履行</w:t>
      </w:r>
      <w:r>
        <w:rPr>
          <w:rFonts w:hint="eastAsia" w:ascii="微软雅黑" w:hAnsi="微软雅黑" w:eastAsia="微软雅黑" w:cs="微软雅黑"/>
          <w:highlight w:val="none"/>
        </w:rPr>
        <w:t>。</w:t>
      </w:r>
    </w:p>
    <w:p w14:paraId="1E9A2F80">
      <w:pPr>
        <w:pStyle w:val="42"/>
        <w:spacing w:before="163"/>
        <w:ind w:hanging="482"/>
        <w:rPr>
          <w:rFonts w:hint="eastAsia"/>
          <w:highlight w:val="none"/>
        </w:rPr>
      </w:pPr>
      <w:bookmarkStart w:id="51" w:name="_Toc475094764"/>
      <w:bookmarkStart w:id="52" w:name="_Toc149585886"/>
      <w:bookmarkStart w:id="53" w:name="_Toc475095475"/>
      <w:r>
        <w:rPr>
          <w:highlight w:val="none"/>
        </w:rPr>
        <w:t>合同生效</w:t>
      </w:r>
      <w:bookmarkEnd w:id="51"/>
      <w:bookmarkEnd w:id="52"/>
      <w:bookmarkEnd w:id="53"/>
    </w:p>
    <w:p w14:paraId="1C1D1379">
      <w:pPr>
        <w:pStyle w:val="44"/>
        <w:rPr>
          <w:rFonts w:hint="eastAsia"/>
          <w:highlight w:val="none"/>
        </w:rPr>
      </w:pPr>
      <w:r>
        <w:rPr>
          <w:highlight w:val="none"/>
        </w:rPr>
        <w:t>本合同经双方法定代表人</w:t>
      </w:r>
      <w:r>
        <w:rPr>
          <w:rFonts w:hint="eastAsia"/>
          <w:highlight w:val="none"/>
        </w:rPr>
        <w:t>或授权代表签字并加盖合同专用章后方可生效</w:t>
      </w:r>
      <w:r>
        <w:rPr>
          <w:highlight w:val="none"/>
        </w:rPr>
        <w:t>，</w:t>
      </w:r>
      <w:r>
        <w:rPr>
          <w:rFonts w:hint="eastAsia"/>
          <w:highlight w:val="none"/>
        </w:rPr>
        <w:t>合同生效日期以最后签字盖章日为准</w:t>
      </w:r>
      <w:r>
        <w:rPr>
          <w:rFonts w:hint="eastAsia" w:ascii="微软雅黑" w:hAnsi="微软雅黑" w:eastAsia="微软雅黑" w:cs="微软雅黑"/>
          <w:highlight w:val="none"/>
        </w:rPr>
        <w:t>｡</w:t>
      </w:r>
    </w:p>
    <w:p w14:paraId="2280D7DC">
      <w:pPr>
        <w:pStyle w:val="44"/>
        <w:rPr>
          <w:rFonts w:hint="eastAsia"/>
          <w:highlight w:val="none"/>
        </w:rPr>
      </w:pPr>
      <w:r>
        <w:rPr>
          <w:highlight w:val="none"/>
        </w:rPr>
        <w:t>本合同有效期：从合同生效之日起到甲乙双方完成合同责任义务之日止</w:t>
      </w:r>
      <w:r>
        <w:rPr>
          <w:rFonts w:hint="eastAsia" w:ascii="微软雅黑" w:hAnsi="微软雅黑" w:eastAsia="微软雅黑" w:cs="微软雅黑"/>
          <w:highlight w:val="none"/>
        </w:rPr>
        <w:t>｡</w:t>
      </w:r>
    </w:p>
    <w:p w14:paraId="43E5D0AA">
      <w:pPr>
        <w:pStyle w:val="42"/>
        <w:spacing w:before="163"/>
        <w:ind w:hanging="482"/>
        <w:rPr>
          <w:rFonts w:hint="eastAsia"/>
          <w:highlight w:val="none"/>
        </w:rPr>
      </w:pPr>
      <w:bookmarkStart w:id="54" w:name="_Toc149585887"/>
      <w:bookmarkStart w:id="55" w:name="_Toc475095476"/>
      <w:bookmarkStart w:id="56" w:name="_Toc475094765"/>
      <w:r>
        <w:rPr>
          <w:highlight w:val="none"/>
        </w:rPr>
        <w:t>其它</w:t>
      </w:r>
      <w:bookmarkEnd w:id="54"/>
      <w:bookmarkEnd w:id="55"/>
      <w:bookmarkEnd w:id="56"/>
    </w:p>
    <w:p w14:paraId="6282D702">
      <w:pPr>
        <w:pStyle w:val="44"/>
        <w:rPr>
          <w:rFonts w:hint="eastAsia"/>
          <w:highlight w:val="none"/>
        </w:rPr>
      </w:pPr>
      <w:r>
        <w:rPr>
          <w:highlight w:val="none"/>
        </w:rPr>
        <w:t>本合同适用法律为中华人民共和国法律</w:t>
      </w:r>
      <w:r>
        <w:rPr>
          <w:rFonts w:hint="eastAsia" w:ascii="微软雅黑" w:hAnsi="微软雅黑" w:eastAsia="微软雅黑" w:cs="微软雅黑"/>
          <w:highlight w:val="none"/>
        </w:rPr>
        <w:t>｡</w:t>
      </w:r>
    </w:p>
    <w:p w14:paraId="507F4BFB">
      <w:pPr>
        <w:pStyle w:val="44"/>
        <w:rPr>
          <w:rFonts w:hint="eastAsia"/>
          <w:highlight w:val="none"/>
        </w:rPr>
      </w:pPr>
      <w:r>
        <w:rPr>
          <w:rFonts w:hint="eastAsia"/>
          <w:highlight w:val="none"/>
        </w:rPr>
        <w:t>除本合同外，以下文件均为本合同的构成部分，与本合同相互补充，如合同文件有含糊不清</w:t>
      </w:r>
      <w:r>
        <w:rPr>
          <w:rFonts w:hint="eastAsia" w:ascii="微软雅黑" w:hAnsi="微软雅黑" w:eastAsia="微软雅黑" w:cs="微软雅黑"/>
          <w:highlight w:val="none"/>
        </w:rPr>
        <w:t>､</w:t>
      </w:r>
      <w:r>
        <w:rPr>
          <w:rFonts w:hint="eastAsia"/>
          <w:highlight w:val="none"/>
        </w:rPr>
        <w:t>不相一致甚至冲突时，优先以以下合同文件顺序解释，其次以时间顺序在后的文件的优先前期的文件解释</w:t>
      </w:r>
      <w:r>
        <w:rPr>
          <w:rFonts w:hint="eastAsia" w:ascii="微软雅黑" w:hAnsi="微软雅黑" w:eastAsia="微软雅黑" w:cs="微软雅黑"/>
          <w:highlight w:val="none"/>
        </w:rPr>
        <w:t>｡</w:t>
      </w:r>
    </w:p>
    <w:p w14:paraId="3E92B75F">
      <w:pPr>
        <w:pStyle w:val="48"/>
        <w:rPr>
          <w:rFonts w:hint="eastAsia"/>
          <w:highlight w:val="none"/>
        </w:rPr>
      </w:pPr>
      <w:r>
        <w:rPr>
          <w:rFonts w:hint="eastAsia"/>
          <w:highlight w:val="none"/>
        </w:rPr>
        <w:t>补充协议(如果有)；</w:t>
      </w:r>
    </w:p>
    <w:p w14:paraId="1D919387">
      <w:pPr>
        <w:pStyle w:val="48"/>
        <w:rPr>
          <w:rFonts w:hint="eastAsia"/>
          <w:highlight w:val="none"/>
        </w:rPr>
      </w:pPr>
      <w:r>
        <w:rPr>
          <w:rFonts w:hint="eastAsia"/>
          <w:highlight w:val="none"/>
        </w:rPr>
        <w:t>甲乙双方在合同执行过程中产生的经双方商务</w:t>
      </w:r>
      <w:r>
        <w:rPr>
          <w:rFonts w:hint="eastAsia" w:ascii="微软雅黑" w:hAnsi="微软雅黑" w:eastAsia="微软雅黑" w:cs="微软雅黑"/>
          <w:highlight w:val="none"/>
        </w:rPr>
        <w:t>､</w:t>
      </w:r>
      <w:r>
        <w:rPr>
          <w:rFonts w:hint="eastAsia"/>
          <w:highlight w:val="none"/>
        </w:rPr>
        <w:t>技术负责人签署的并加盖双方合同章的各种商务和技术文件；</w:t>
      </w:r>
    </w:p>
    <w:p w14:paraId="74D5579D">
      <w:pPr>
        <w:pStyle w:val="48"/>
        <w:rPr>
          <w:rFonts w:hint="eastAsia"/>
          <w:highlight w:val="none"/>
        </w:rPr>
      </w:pPr>
      <w:r>
        <w:rPr>
          <w:rFonts w:hint="eastAsia"/>
          <w:highlight w:val="none"/>
        </w:rPr>
        <w:t>本合同；</w:t>
      </w:r>
    </w:p>
    <w:p w14:paraId="378F1D5E">
      <w:pPr>
        <w:pStyle w:val="48"/>
        <w:rPr>
          <w:rFonts w:hint="eastAsia"/>
          <w:highlight w:val="none"/>
        </w:rPr>
      </w:pPr>
      <w:r>
        <w:rPr>
          <w:rFonts w:hint="eastAsia"/>
          <w:highlight w:val="none"/>
        </w:rPr>
        <w:t>本合同附件《</w:t>
      </w:r>
      <w:r>
        <w:rPr>
          <w:rFonts w:hint="eastAsia"/>
          <w:highlight w:val="none"/>
          <w:lang w:eastAsia="zh-CN"/>
        </w:rPr>
        <w:t>东莞市海心沙资源综合利用中心环保热电厂循环水膜处理系统采购项目技术需求书</w:t>
      </w:r>
      <w:r>
        <w:rPr>
          <w:rFonts w:hint="eastAsia"/>
          <w:highlight w:val="none"/>
        </w:rPr>
        <w:t>》；</w:t>
      </w:r>
    </w:p>
    <w:p w14:paraId="08667864">
      <w:pPr>
        <w:pStyle w:val="48"/>
        <w:rPr>
          <w:rFonts w:hint="eastAsia"/>
          <w:highlight w:val="none"/>
        </w:rPr>
      </w:pPr>
      <w:r>
        <w:rPr>
          <w:rFonts w:hint="eastAsia"/>
          <w:highlight w:val="none"/>
        </w:rPr>
        <w:t>甲方</w:t>
      </w:r>
      <w:r>
        <w:rPr>
          <w:rFonts w:hint="eastAsia"/>
          <w:highlight w:val="none"/>
          <w:lang w:eastAsia="zh-CN"/>
        </w:rPr>
        <w:t>采购文件</w:t>
      </w:r>
      <w:r>
        <w:rPr>
          <w:rFonts w:hint="eastAsia"/>
          <w:highlight w:val="none"/>
        </w:rPr>
        <w:t>(如果有)；</w:t>
      </w:r>
    </w:p>
    <w:p w14:paraId="5E25549D">
      <w:pPr>
        <w:pStyle w:val="48"/>
        <w:rPr>
          <w:rFonts w:hint="eastAsia"/>
          <w:highlight w:val="none"/>
        </w:rPr>
      </w:pPr>
      <w:r>
        <w:rPr>
          <w:rFonts w:hint="eastAsia"/>
          <w:highlight w:val="none"/>
        </w:rPr>
        <w:t>乙方</w:t>
      </w:r>
      <w:r>
        <w:rPr>
          <w:rFonts w:hint="eastAsia"/>
          <w:highlight w:val="none"/>
          <w:lang w:eastAsia="zh-CN"/>
        </w:rPr>
        <w:t>响应文件</w:t>
      </w:r>
      <w:r>
        <w:rPr>
          <w:rFonts w:hint="eastAsia"/>
          <w:highlight w:val="none"/>
        </w:rPr>
        <w:t>(如果有)。</w:t>
      </w:r>
    </w:p>
    <w:p w14:paraId="592C0564">
      <w:pPr>
        <w:pStyle w:val="44"/>
        <w:rPr>
          <w:rFonts w:hint="eastAsia"/>
          <w:highlight w:val="none"/>
        </w:rPr>
      </w:pPr>
      <w:r>
        <w:rPr>
          <w:rFonts w:hint="eastAsia"/>
          <w:highlight w:val="none"/>
        </w:rPr>
        <w:t>合同双方承担的合同义务都不得超过合同的规定，合同任何一方也不得对另一方作出有约束力的声明，陈述，许诺或行动</w:t>
      </w:r>
      <w:r>
        <w:rPr>
          <w:rFonts w:hint="eastAsia" w:ascii="微软雅黑" w:hAnsi="微软雅黑" w:eastAsia="微软雅黑" w:cs="微软雅黑"/>
          <w:highlight w:val="none"/>
        </w:rPr>
        <w:t>｡</w:t>
      </w:r>
    </w:p>
    <w:p w14:paraId="08D7BEEC">
      <w:pPr>
        <w:pStyle w:val="44"/>
        <w:rPr>
          <w:rFonts w:hint="eastAsia"/>
          <w:highlight w:val="none"/>
        </w:rPr>
      </w:pPr>
      <w:r>
        <w:rPr>
          <w:rFonts w:hint="eastAsia"/>
          <w:highlight w:val="none"/>
        </w:rPr>
        <w:t>本合同列明了双方的责任</w:t>
      </w:r>
      <w:r>
        <w:rPr>
          <w:rFonts w:hint="eastAsia" w:ascii="微软雅黑" w:hAnsi="微软雅黑" w:eastAsia="微软雅黑" w:cs="微软雅黑"/>
          <w:highlight w:val="none"/>
        </w:rPr>
        <w:t>､</w:t>
      </w:r>
      <w:r>
        <w:rPr>
          <w:rFonts w:hint="eastAsia"/>
          <w:highlight w:val="none"/>
        </w:rPr>
        <w:t>义务</w:t>
      </w:r>
      <w:r>
        <w:rPr>
          <w:rFonts w:hint="eastAsia" w:ascii="微软雅黑" w:hAnsi="微软雅黑" w:eastAsia="微软雅黑" w:cs="微软雅黑"/>
          <w:highlight w:val="none"/>
        </w:rPr>
        <w:t>､</w:t>
      </w:r>
      <w:r>
        <w:rPr>
          <w:rFonts w:hint="eastAsia"/>
          <w:highlight w:val="none"/>
        </w:rPr>
        <w:t>补偿和补救条款</w:t>
      </w:r>
      <w:r>
        <w:rPr>
          <w:rFonts w:hint="eastAsia" w:ascii="微软雅黑" w:hAnsi="微软雅黑" w:eastAsia="微软雅黑" w:cs="微软雅黑"/>
          <w:highlight w:val="none"/>
        </w:rPr>
        <w:t>｡</w:t>
      </w:r>
      <w:r>
        <w:rPr>
          <w:rFonts w:hint="eastAsia"/>
          <w:highlight w:val="none"/>
        </w:rPr>
        <w:t>任何一方不承担本合同规定以外的责任</w:t>
      </w:r>
      <w:r>
        <w:rPr>
          <w:rFonts w:hint="eastAsia" w:ascii="微软雅黑" w:hAnsi="微软雅黑" w:eastAsia="微软雅黑" w:cs="微软雅黑"/>
          <w:highlight w:val="none"/>
        </w:rPr>
        <w:t>､</w:t>
      </w:r>
      <w:r>
        <w:rPr>
          <w:rFonts w:hint="eastAsia"/>
          <w:highlight w:val="none"/>
        </w:rPr>
        <w:t>义务</w:t>
      </w:r>
      <w:r>
        <w:rPr>
          <w:rFonts w:hint="eastAsia" w:ascii="微软雅黑" w:hAnsi="微软雅黑" w:eastAsia="微软雅黑" w:cs="微软雅黑"/>
          <w:highlight w:val="none"/>
        </w:rPr>
        <w:t>､</w:t>
      </w:r>
      <w:r>
        <w:rPr>
          <w:rFonts w:hint="eastAsia"/>
          <w:highlight w:val="none"/>
        </w:rPr>
        <w:t>补偿和补救</w:t>
      </w:r>
      <w:r>
        <w:rPr>
          <w:rFonts w:hint="eastAsia" w:ascii="微软雅黑" w:hAnsi="微软雅黑" w:eastAsia="微软雅黑" w:cs="微软雅黑"/>
          <w:highlight w:val="none"/>
        </w:rPr>
        <w:t>｡</w:t>
      </w:r>
    </w:p>
    <w:p w14:paraId="57C4254C">
      <w:pPr>
        <w:pStyle w:val="44"/>
        <w:rPr>
          <w:rFonts w:hint="eastAsia"/>
          <w:highlight w:val="none"/>
        </w:rPr>
      </w:pPr>
      <w:r>
        <w:rPr>
          <w:rFonts w:hint="eastAsia"/>
          <w:highlight w:val="none"/>
        </w:rPr>
        <w:t>双方任何一方未取得另一方事先同意前，不得将本合同项下的部分或全部权利或义务转让给第三方</w:t>
      </w:r>
      <w:r>
        <w:rPr>
          <w:rFonts w:hint="eastAsia" w:ascii="微软雅黑" w:hAnsi="微软雅黑" w:eastAsia="微软雅黑" w:cs="微软雅黑"/>
          <w:highlight w:val="none"/>
        </w:rPr>
        <w:t>｡</w:t>
      </w:r>
    </w:p>
    <w:p w14:paraId="1AD7ABFA">
      <w:pPr>
        <w:pStyle w:val="44"/>
        <w:rPr>
          <w:rFonts w:hint="eastAsia"/>
          <w:highlight w:val="none"/>
        </w:rPr>
      </w:pPr>
      <w:r>
        <w:rPr>
          <w:rFonts w:hint="eastAsia"/>
          <w:highlight w:val="none"/>
        </w:rPr>
        <w:t>本合同项下双方相互提供的文件</w:t>
      </w:r>
      <w:r>
        <w:rPr>
          <w:rFonts w:hint="eastAsia" w:ascii="微软雅黑" w:hAnsi="微软雅黑" w:eastAsia="微软雅黑" w:cs="微软雅黑"/>
          <w:highlight w:val="none"/>
        </w:rPr>
        <w:t>､</w:t>
      </w:r>
      <w:r>
        <w:rPr>
          <w:rFonts w:hint="eastAsia"/>
          <w:highlight w:val="none"/>
        </w:rPr>
        <w:t>资料，双方除为履行合同的目的外，均不得提供给与本合同设备及相关工程无关的第三方</w:t>
      </w:r>
      <w:r>
        <w:rPr>
          <w:rFonts w:hint="eastAsia"/>
          <w:highlight w:val="none"/>
          <w:lang w:eastAsia="zh-CN"/>
        </w:rPr>
        <w:t>，</w:t>
      </w:r>
      <w:r>
        <w:rPr>
          <w:rFonts w:hint="eastAsia"/>
          <w:highlight w:val="none"/>
        </w:rPr>
        <w:t>但接收信息的一方根据适用的法律和法规的规定有义务进行披露的情形除外</w:t>
      </w:r>
      <w:r>
        <w:rPr>
          <w:rFonts w:hint="eastAsia"/>
          <w:highlight w:val="none"/>
          <w:lang w:eastAsia="zh-CN"/>
        </w:rPr>
        <w:t>。</w:t>
      </w:r>
      <w:r>
        <w:rPr>
          <w:rFonts w:hint="eastAsia"/>
          <w:highlight w:val="none"/>
        </w:rPr>
        <w:t>保密义务为永久，如</w:t>
      </w:r>
      <w:r>
        <w:rPr>
          <w:rFonts w:hint="eastAsia"/>
          <w:highlight w:val="none"/>
          <w:lang w:val="en-US" w:eastAsia="zh-CN"/>
        </w:rPr>
        <w:t>任一方</w:t>
      </w:r>
      <w:r>
        <w:rPr>
          <w:rFonts w:hint="eastAsia"/>
          <w:highlight w:val="none"/>
        </w:rPr>
        <w:t>违反保密义务的，应按照本合同约定承担相应的违约责任</w:t>
      </w:r>
      <w:r>
        <w:rPr>
          <w:rFonts w:hint="eastAsia" w:ascii="微软雅黑" w:hAnsi="微软雅黑" w:eastAsia="微软雅黑" w:cs="微软雅黑"/>
          <w:highlight w:val="none"/>
        </w:rPr>
        <w:t>｡</w:t>
      </w:r>
    </w:p>
    <w:p w14:paraId="5EED67B7">
      <w:pPr>
        <w:pStyle w:val="44"/>
        <w:rPr>
          <w:rFonts w:hint="eastAsia"/>
          <w:highlight w:val="none"/>
        </w:rPr>
      </w:pPr>
      <w:r>
        <w:rPr>
          <w:rFonts w:hint="eastAsia"/>
          <w:highlight w:val="none"/>
        </w:rPr>
        <w:t>合同双方应指定二名授权代表，分别负责直接处理本合同设备及合同工程的技术和商务问题</w:t>
      </w:r>
      <w:r>
        <w:rPr>
          <w:rFonts w:hint="eastAsia" w:ascii="微软雅黑" w:hAnsi="微软雅黑" w:eastAsia="微软雅黑" w:cs="微软雅黑"/>
          <w:highlight w:val="none"/>
        </w:rPr>
        <w:t>｡</w:t>
      </w:r>
      <w:r>
        <w:rPr>
          <w:rFonts w:hint="eastAsia" w:cs="宋体"/>
          <w:highlight w:val="none"/>
        </w:rPr>
        <w:t>双方授权代表的名称和通讯地址在合同生效的同时通知对方</w:t>
      </w:r>
      <w:r>
        <w:rPr>
          <w:rFonts w:hint="eastAsia" w:ascii="微软雅黑" w:hAnsi="微软雅黑" w:eastAsia="微软雅黑" w:cs="微软雅黑"/>
          <w:highlight w:val="none"/>
        </w:rPr>
        <w:t>｡</w:t>
      </w:r>
    </w:p>
    <w:p w14:paraId="54B0C5C6">
      <w:pPr>
        <w:pStyle w:val="44"/>
        <w:rPr>
          <w:rFonts w:hint="eastAsia"/>
          <w:highlight w:val="none"/>
        </w:rPr>
      </w:pPr>
      <w:r>
        <w:rPr>
          <w:rFonts w:hint="eastAsia"/>
          <w:highlight w:val="none"/>
        </w:rPr>
        <w:t>任何一方向对方提出的函电通知或要求，如系正式书写并按对方下述地址派员递送或挂号</w:t>
      </w:r>
      <w:r>
        <w:rPr>
          <w:rFonts w:hint="eastAsia" w:ascii="微软雅黑" w:hAnsi="微软雅黑" w:eastAsia="微软雅黑" w:cs="微软雅黑"/>
          <w:highlight w:val="none"/>
        </w:rPr>
        <w:t>､</w:t>
      </w:r>
      <w:r>
        <w:rPr>
          <w:rFonts w:hint="eastAsia" w:cs="宋体"/>
          <w:highlight w:val="none"/>
        </w:rPr>
        <w:t>航空邮寄</w:t>
      </w:r>
      <w:r>
        <w:rPr>
          <w:rFonts w:hint="eastAsia" w:ascii="微软雅黑" w:hAnsi="微软雅黑" w:eastAsia="微软雅黑" w:cs="微软雅黑"/>
          <w:highlight w:val="none"/>
        </w:rPr>
        <w:t>､</w:t>
      </w:r>
      <w:r>
        <w:rPr>
          <w:rFonts w:hint="eastAsia" w:cs="宋体"/>
          <w:highlight w:val="none"/>
        </w:rPr>
        <w:t>电报</w:t>
      </w:r>
      <w:r>
        <w:rPr>
          <w:rFonts w:hint="eastAsia" w:ascii="微软雅黑" w:hAnsi="微软雅黑" w:eastAsia="微软雅黑" w:cs="微软雅黑"/>
          <w:highlight w:val="none"/>
        </w:rPr>
        <w:t>､</w:t>
      </w:r>
      <w:r>
        <w:rPr>
          <w:rFonts w:hint="eastAsia" w:cs="宋体"/>
          <w:highlight w:val="none"/>
        </w:rPr>
        <w:t>传真或电传发送的，在取得对方人员和</w:t>
      </w:r>
      <w:r>
        <w:rPr>
          <w:highlight w:val="none"/>
        </w:rPr>
        <w:t>/</w:t>
      </w:r>
      <w:r>
        <w:rPr>
          <w:rFonts w:hint="eastAsia"/>
          <w:highlight w:val="none"/>
        </w:rPr>
        <w:t>或通讯设施接收确认后，即被认为已经被对方正式接收</w:t>
      </w:r>
      <w:r>
        <w:rPr>
          <w:rFonts w:hint="eastAsia" w:ascii="微软雅黑" w:hAnsi="微软雅黑" w:eastAsia="微软雅黑" w:cs="微软雅黑"/>
          <w:highlight w:val="none"/>
        </w:rPr>
        <w:t>｡</w:t>
      </w:r>
    </w:p>
    <w:p w14:paraId="1CA02528">
      <w:pPr>
        <w:pStyle w:val="44"/>
        <w:rPr>
          <w:rFonts w:hint="eastAsia"/>
          <w:highlight w:val="none"/>
        </w:rPr>
      </w:pPr>
      <w:r>
        <w:rPr>
          <w:rFonts w:hint="eastAsia"/>
          <w:highlight w:val="none"/>
        </w:rPr>
        <w:t>本合同</w:t>
      </w:r>
      <w:r>
        <w:rPr>
          <w:rFonts w:hint="eastAsia"/>
          <w:highlight w:val="none"/>
          <w:lang w:val="en-US" w:eastAsia="zh-CN"/>
        </w:rPr>
        <w:t>一</w:t>
      </w:r>
      <w:r>
        <w:rPr>
          <w:rFonts w:hint="eastAsia"/>
          <w:highlight w:val="none"/>
        </w:rPr>
        <w:t>式伍份，甲方执叁份，乙方执贰份，均具同等法律效力</w:t>
      </w:r>
      <w:r>
        <w:rPr>
          <w:rFonts w:hint="eastAsia" w:ascii="微软雅黑" w:hAnsi="微软雅黑" w:eastAsia="微软雅黑" w:cs="微软雅黑"/>
          <w:highlight w:val="none"/>
        </w:rPr>
        <w:t>｡</w:t>
      </w:r>
    </w:p>
    <w:p w14:paraId="46BE3C68">
      <w:pPr>
        <w:pStyle w:val="44"/>
        <w:rPr>
          <w:rFonts w:hint="eastAsia"/>
          <w:highlight w:val="none"/>
        </w:rPr>
      </w:pPr>
      <w:r>
        <w:rPr>
          <w:rFonts w:hint="eastAsia"/>
          <w:highlight w:val="none"/>
        </w:rPr>
        <w:t>本合同签约地点：【东莞市】</w:t>
      </w:r>
    </w:p>
    <w:p w14:paraId="56624355">
      <w:pPr>
        <w:pStyle w:val="44"/>
        <w:numPr>
          <w:numId w:val="0"/>
        </w:numPr>
        <w:ind w:left="482" w:leftChars="0"/>
        <w:rPr>
          <w:rFonts w:hint="eastAsia"/>
          <w:highlight w:val="none"/>
          <w:lang w:val="en-US" w:eastAsia="zh-CN"/>
        </w:rPr>
      </w:pPr>
      <w:r>
        <w:rPr>
          <w:rFonts w:hint="eastAsia"/>
          <w:highlight w:val="none"/>
          <w:lang w:val="en-US" w:eastAsia="zh-CN"/>
        </w:rPr>
        <w:t>合同附件：</w:t>
      </w:r>
    </w:p>
    <w:p w14:paraId="34BC8163">
      <w:pPr>
        <w:pStyle w:val="44"/>
        <w:numPr>
          <w:numId w:val="0"/>
        </w:numPr>
        <w:ind w:left="482" w:leftChars="0"/>
        <w:rPr>
          <w:rFonts w:hint="eastAsia"/>
          <w:highlight w:val="none"/>
          <w:lang w:val="en-US" w:eastAsia="zh-CN"/>
        </w:rPr>
      </w:pPr>
      <w:r>
        <w:rPr>
          <w:rFonts w:hint="eastAsia"/>
          <w:highlight w:val="none"/>
          <w:lang w:val="en-US" w:eastAsia="zh-CN"/>
        </w:rPr>
        <w:t>1、主要供货明细清单</w:t>
      </w:r>
    </w:p>
    <w:p w14:paraId="1C37EE7C">
      <w:pPr>
        <w:pStyle w:val="44"/>
        <w:numPr>
          <w:numId w:val="0"/>
        </w:numPr>
        <w:ind w:left="482" w:leftChars="0"/>
        <w:rPr>
          <w:rFonts w:hint="eastAsia"/>
          <w:highlight w:val="none"/>
          <w:lang w:val="en-US" w:eastAsia="zh-CN"/>
        </w:rPr>
      </w:pPr>
      <w:r>
        <w:rPr>
          <w:rFonts w:hint="eastAsia"/>
          <w:highlight w:val="none"/>
          <w:lang w:val="en-US" w:eastAsia="zh-CN"/>
        </w:rPr>
        <w:t>2、</w:t>
      </w:r>
      <w:r>
        <w:rPr>
          <w:rFonts w:hint="eastAsia" w:ascii="Times New Roman" w:hAnsi="Times New Roman"/>
          <w:b w:val="0"/>
          <w:kern w:val="2"/>
          <w:sz w:val="24"/>
          <w:highlight w:val="none"/>
          <w:lang w:val="en-US" w:eastAsia="zh-CN"/>
        </w:rPr>
        <w:t>东莞市海心沙资源综合利用中心环保热电厂循环水膜处理系统采购项目技术需求书</w:t>
      </w:r>
    </w:p>
    <w:p w14:paraId="684D4D67">
      <w:pPr>
        <w:pStyle w:val="44"/>
        <w:numPr>
          <w:numId w:val="0"/>
        </w:numPr>
        <w:ind w:left="482" w:leftChars="0"/>
        <w:rPr>
          <w:rFonts w:hint="eastAsia"/>
          <w:highlight w:val="none"/>
          <w:lang w:val="en-US" w:eastAsia="zh-CN"/>
        </w:rPr>
      </w:pPr>
      <w:r>
        <w:rPr>
          <w:rFonts w:hint="eastAsia"/>
          <w:highlight w:val="none"/>
          <w:lang w:val="en-US" w:eastAsia="zh-CN"/>
        </w:rPr>
        <w:t>3、安全协议</w:t>
      </w:r>
    </w:p>
    <w:p w14:paraId="74E75706">
      <w:pPr>
        <w:pStyle w:val="44"/>
        <w:numPr>
          <w:numId w:val="0"/>
        </w:numPr>
        <w:ind w:left="482" w:leftChars="0"/>
        <w:rPr>
          <w:rFonts w:hint="default"/>
          <w:highlight w:val="none"/>
          <w:lang w:val="en-US" w:eastAsia="zh-CN"/>
        </w:rPr>
      </w:pPr>
      <w:r>
        <w:rPr>
          <w:rFonts w:hint="eastAsia"/>
          <w:highlight w:val="none"/>
          <w:lang w:val="en-US" w:eastAsia="zh-CN"/>
        </w:rPr>
        <w:t>4、阳光合作协议</w:t>
      </w:r>
    </w:p>
    <w:p w14:paraId="13F1AF61">
      <w:pPr>
        <w:jc w:val="center"/>
        <w:rPr>
          <w:highlight w:val="none"/>
        </w:rPr>
      </w:pPr>
      <w:r>
        <w:rPr>
          <w:highlight w:val="none"/>
        </w:rPr>
        <w:t>(以下无正文</w:t>
      </w:r>
      <w:r>
        <w:rPr>
          <w:rFonts w:hint="eastAsia"/>
          <w:highlight w:val="none"/>
        </w:rPr>
        <w:t>，下转签署页</w:t>
      </w:r>
      <w:r>
        <w:rPr>
          <w:highlight w:val="none"/>
        </w:rPr>
        <w:t>)</w:t>
      </w:r>
    </w:p>
    <w:p w14:paraId="39E1E37F">
      <w:pPr>
        <w:pStyle w:val="52"/>
        <w:spacing w:after="326"/>
        <w:rPr>
          <w:highlight w:val="none"/>
        </w:rPr>
      </w:pPr>
      <w:r>
        <w:rPr>
          <w:rFonts w:hint="eastAsia"/>
          <w:highlight w:val="none"/>
        </w:rPr>
        <w:t>【签署页】</w:t>
      </w:r>
    </w:p>
    <w:tbl>
      <w:tblPr>
        <w:tblStyle w:val="27"/>
        <w:tblW w:w="10348" w:type="dxa"/>
        <w:tblInd w:w="240" w:type="dxa"/>
        <w:tblLayout w:type="fixed"/>
        <w:tblCellMar>
          <w:top w:w="0" w:type="dxa"/>
          <w:left w:w="108" w:type="dxa"/>
          <w:bottom w:w="0" w:type="dxa"/>
          <w:right w:w="108" w:type="dxa"/>
        </w:tblCellMar>
      </w:tblPr>
      <w:tblGrid>
        <w:gridCol w:w="5103"/>
        <w:gridCol w:w="5245"/>
      </w:tblGrid>
      <w:tr w14:paraId="51D2C07A">
        <w:tblPrEx>
          <w:tblCellMar>
            <w:top w:w="0" w:type="dxa"/>
            <w:left w:w="108" w:type="dxa"/>
            <w:bottom w:w="0" w:type="dxa"/>
            <w:right w:w="108" w:type="dxa"/>
          </w:tblCellMar>
        </w:tblPrEx>
        <w:tc>
          <w:tcPr>
            <w:tcW w:w="5103" w:type="dxa"/>
          </w:tcPr>
          <w:p w14:paraId="43A0F1B1">
            <w:pPr>
              <w:rPr>
                <w:highlight w:val="none"/>
              </w:rPr>
            </w:pPr>
            <w:r>
              <w:rPr>
                <w:highlight w:val="none"/>
              </w:rPr>
              <w:t>甲方</w:t>
            </w:r>
          </w:p>
          <w:p w14:paraId="1064F7B5">
            <w:pPr>
              <w:rPr>
                <w:highlight w:val="none"/>
              </w:rPr>
            </w:pPr>
          </w:p>
          <w:p w14:paraId="0C7F9D85">
            <w:pPr>
              <w:rPr>
                <w:highlight w:val="none"/>
              </w:rPr>
            </w:pPr>
            <w:r>
              <w:rPr>
                <w:highlight w:val="none"/>
              </w:rPr>
              <w:t>单位名称：</w:t>
            </w:r>
          </w:p>
          <w:p w14:paraId="16CAA4BA">
            <w:pPr>
              <w:rPr>
                <w:highlight w:val="none"/>
              </w:rPr>
            </w:pPr>
            <w:r>
              <w:rPr>
                <w:rFonts w:hint="eastAsia"/>
                <w:highlight w:val="none"/>
              </w:rPr>
              <w:t>东莞市新东元环保投资有限公司</w:t>
            </w:r>
          </w:p>
          <w:p w14:paraId="771E29E4">
            <w:pPr>
              <w:rPr>
                <w:highlight w:val="none"/>
              </w:rPr>
            </w:pPr>
            <w:r>
              <w:rPr>
                <w:rFonts w:hint="eastAsia"/>
                <w:highlight w:val="none"/>
              </w:rPr>
              <w:t xml:space="preserve">开户银行： </w:t>
            </w:r>
          </w:p>
          <w:p w14:paraId="5B3A041E">
            <w:pPr>
              <w:pStyle w:val="6"/>
              <w:ind w:firstLine="480"/>
              <w:rPr>
                <w:highlight w:val="none"/>
              </w:rPr>
            </w:pPr>
          </w:p>
          <w:p w14:paraId="5BBCC924">
            <w:pPr>
              <w:rPr>
                <w:highlight w:val="none"/>
              </w:rPr>
            </w:pPr>
            <w:r>
              <w:rPr>
                <w:rFonts w:hint="eastAsia"/>
                <w:highlight w:val="none"/>
              </w:rPr>
              <w:t>银行账号：</w:t>
            </w:r>
          </w:p>
          <w:p w14:paraId="747D4689">
            <w:pPr>
              <w:rPr>
                <w:highlight w:val="none"/>
              </w:rPr>
            </w:pPr>
            <w:r>
              <w:rPr>
                <w:rFonts w:hint="eastAsia"/>
                <w:highlight w:val="none"/>
              </w:rPr>
              <w:t>纳税人登记号：</w:t>
            </w:r>
          </w:p>
          <w:p w14:paraId="0507FB85">
            <w:pPr>
              <w:pStyle w:val="6"/>
              <w:ind w:firstLine="0" w:firstLineChars="0"/>
              <w:rPr>
                <w:highlight w:val="none"/>
              </w:rPr>
            </w:pPr>
            <w:r>
              <w:rPr>
                <w:rFonts w:hint="eastAsia"/>
                <w:highlight w:val="none"/>
              </w:rPr>
              <w:t xml:space="preserve">地址： </w:t>
            </w:r>
          </w:p>
          <w:p w14:paraId="1E48D9A3">
            <w:pPr>
              <w:rPr>
                <w:highlight w:val="none"/>
              </w:rPr>
            </w:pPr>
            <w:r>
              <w:rPr>
                <w:highlight w:val="none"/>
              </w:rPr>
              <w:t>签约代表：</w:t>
            </w:r>
          </w:p>
          <w:p w14:paraId="6BD1FE28">
            <w:pPr>
              <w:rPr>
                <w:highlight w:val="none"/>
              </w:rPr>
            </w:pPr>
          </w:p>
          <w:p w14:paraId="72102A5B">
            <w:pPr>
              <w:rPr>
                <w:highlight w:val="none"/>
              </w:rPr>
            </w:pPr>
            <w:r>
              <w:rPr>
                <w:highlight w:val="none"/>
              </w:rPr>
              <w:t>签约日期：</w:t>
            </w:r>
          </w:p>
        </w:tc>
        <w:tc>
          <w:tcPr>
            <w:tcW w:w="5245" w:type="dxa"/>
          </w:tcPr>
          <w:p w14:paraId="7135DF90">
            <w:pPr>
              <w:rPr>
                <w:highlight w:val="none"/>
              </w:rPr>
            </w:pPr>
            <w:r>
              <w:rPr>
                <w:highlight w:val="none"/>
              </w:rPr>
              <w:t>乙方</w:t>
            </w:r>
          </w:p>
          <w:p w14:paraId="3ACE96EB">
            <w:pPr>
              <w:rPr>
                <w:highlight w:val="none"/>
              </w:rPr>
            </w:pPr>
          </w:p>
          <w:p w14:paraId="228075BD">
            <w:pPr>
              <w:rPr>
                <w:highlight w:val="none"/>
              </w:rPr>
            </w:pPr>
            <w:r>
              <w:rPr>
                <w:highlight w:val="none"/>
              </w:rPr>
              <w:t>单位名称：</w:t>
            </w:r>
          </w:p>
          <w:p w14:paraId="35318843">
            <w:pPr>
              <w:pStyle w:val="6"/>
              <w:ind w:firstLine="0" w:firstLineChars="0"/>
              <w:rPr>
                <w:highlight w:val="none"/>
              </w:rPr>
            </w:pPr>
            <w:r>
              <w:rPr>
                <w:rFonts w:hint="eastAsia"/>
                <w:highlight w:val="none"/>
              </w:rPr>
              <w:t xml:space="preserve">  </w:t>
            </w:r>
          </w:p>
          <w:p w14:paraId="48453972">
            <w:pPr>
              <w:pStyle w:val="6"/>
              <w:ind w:firstLine="0" w:firstLineChars="0"/>
              <w:rPr>
                <w:highlight w:val="none"/>
              </w:rPr>
            </w:pPr>
            <w:r>
              <w:rPr>
                <w:rFonts w:hint="eastAsia"/>
                <w:highlight w:val="none"/>
              </w:rPr>
              <w:t>开 户 行：</w:t>
            </w:r>
          </w:p>
          <w:p w14:paraId="22B9B2B7">
            <w:pPr>
              <w:pStyle w:val="6"/>
              <w:ind w:firstLine="0" w:firstLineChars="0"/>
              <w:rPr>
                <w:highlight w:val="none"/>
              </w:rPr>
            </w:pPr>
            <w:r>
              <w:rPr>
                <w:rFonts w:hint="eastAsia"/>
                <w:highlight w:val="none"/>
              </w:rPr>
              <w:t>银行账号：</w:t>
            </w:r>
          </w:p>
          <w:p w14:paraId="4909EA53">
            <w:pPr>
              <w:pStyle w:val="6"/>
              <w:ind w:firstLine="0" w:firstLineChars="0"/>
              <w:rPr>
                <w:highlight w:val="none"/>
              </w:rPr>
            </w:pPr>
            <w:r>
              <w:rPr>
                <w:highlight w:val="none"/>
              </w:rPr>
              <w:t>纳税人登记号</w:t>
            </w:r>
            <w:r>
              <w:rPr>
                <w:rFonts w:hint="eastAsia"/>
                <w:highlight w:val="none"/>
              </w:rPr>
              <w:t>：</w:t>
            </w:r>
          </w:p>
          <w:p w14:paraId="1C6F55CF">
            <w:pPr>
              <w:pStyle w:val="6"/>
              <w:ind w:firstLine="0" w:firstLineChars="0"/>
              <w:rPr>
                <w:highlight w:val="none"/>
              </w:rPr>
            </w:pPr>
            <w:r>
              <w:rPr>
                <w:rFonts w:hint="eastAsia"/>
                <w:highlight w:val="none"/>
              </w:rPr>
              <w:t xml:space="preserve">地    址： </w:t>
            </w:r>
          </w:p>
          <w:p w14:paraId="763BB000">
            <w:pPr>
              <w:rPr>
                <w:highlight w:val="none"/>
              </w:rPr>
            </w:pPr>
            <w:r>
              <w:rPr>
                <w:rFonts w:hint="eastAsia"/>
                <w:highlight w:val="none"/>
              </w:rPr>
              <w:t>签约代表：</w:t>
            </w:r>
            <w:r>
              <w:rPr>
                <w:highlight w:val="none"/>
              </w:rPr>
              <w:t xml:space="preserve"> </w:t>
            </w:r>
          </w:p>
          <w:p w14:paraId="6ADBECFA">
            <w:pPr>
              <w:rPr>
                <w:highlight w:val="none"/>
              </w:rPr>
            </w:pPr>
          </w:p>
          <w:p w14:paraId="121F3220">
            <w:pPr>
              <w:rPr>
                <w:highlight w:val="none"/>
              </w:rPr>
            </w:pPr>
            <w:r>
              <w:rPr>
                <w:rFonts w:hint="eastAsia"/>
                <w:highlight w:val="none"/>
              </w:rPr>
              <w:t>签约日期：</w:t>
            </w:r>
          </w:p>
        </w:tc>
      </w:tr>
    </w:tbl>
    <w:p w14:paraId="24A5CC0D">
      <w:pPr>
        <w:pStyle w:val="48"/>
        <w:numPr>
          <w:ilvl w:val="-1"/>
          <w:numId w:val="0"/>
        </w:numPr>
        <w:ind w:left="480" w:leftChars="200" w:firstLine="0" w:firstLineChars="0"/>
        <w:rPr>
          <w:rFonts w:ascii="宋体" w:hAnsi="宋体"/>
          <w:b w:val="0"/>
          <w:kern w:val="2"/>
          <w:sz w:val="24"/>
          <w:highlight w:val="none"/>
        </w:rPr>
      </w:pPr>
    </w:p>
    <w:p w14:paraId="6A89D950">
      <w:pPr>
        <w:rPr>
          <w:rFonts w:hint="default" w:ascii="宋体" w:hAnsi="宋体"/>
          <w:b w:val="0"/>
          <w:kern w:val="2"/>
          <w:sz w:val="24"/>
          <w:highlight w:val="none"/>
        </w:rPr>
      </w:pPr>
      <w:r>
        <w:rPr>
          <w:rFonts w:hint="default" w:ascii="宋体" w:hAnsi="宋体"/>
          <w:b w:val="0"/>
          <w:kern w:val="2"/>
          <w:sz w:val="24"/>
          <w:highlight w:val="none"/>
        </w:rPr>
        <w:br w:type="page"/>
      </w:r>
    </w:p>
    <w:p w14:paraId="0791DE86">
      <w:pPr>
        <w:pStyle w:val="48"/>
        <w:numPr>
          <w:ilvl w:val="-1"/>
          <w:numId w:val="0"/>
        </w:numPr>
        <w:ind w:left="480" w:leftChars="200" w:firstLine="0" w:firstLineChars="0"/>
        <w:rPr>
          <w:rFonts w:ascii="宋体" w:hAnsi="宋体"/>
          <w:b w:val="0"/>
          <w:kern w:val="2"/>
          <w:sz w:val="24"/>
          <w:highlight w:val="none"/>
        </w:rPr>
      </w:pPr>
      <w:r>
        <w:rPr>
          <w:rFonts w:hint="default" w:ascii="宋体" w:hAnsi="宋体"/>
          <w:b w:val="0"/>
          <w:kern w:val="2"/>
          <w:sz w:val="24"/>
          <w:highlight w:val="none"/>
        </w:rPr>
        <w:t>附件</w:t>
      </w:r>
      <w:r>
        <w:rPr>
          <w:rFonts w:hint="default" w:ascii="宋体" w:hAnsi="宋体"/>
          <w:b w:val="0"/>
          <w:kern w:val="2"/>
          <w:sz w:val="24"/>
          <w:highlight w:val="none"/>
          <w:lang w:val="en-US" w:eastAsia="zh-CN"/>
        </w:rPr>
        <w:t>1</w:t>
      </w:r>
      <w:r>
        <w:rPr>
          <w:rFonts w:hint="default" w:ascii="宋体" w:hAnsi="宋体"/>
          <w:b w:val="0"/>
          <w:kern w:val="2"/>
          <w:sz w:val="24"/>
          <w:highlight w:val="none"/>
        </w:rPr>
        <w:t>：</w:t>
      </w:r>
      <w:r>
        <w:rPr>
          <w:rFonts w:hint="default" w:ascii="宋体" w:hAnsi="宋体"/>
          <w:b w:val="0"/>
          <w:kern w:val="2"/>
          <w:sz w:val="24"/>
          <w:highlight w:val="none"/>
          <w:lang w:val="en-US" w:eastAsia="zh-CN"/>
        </w:rPr>
        <w:t>主要</w:t>
      </w:r>
      <w:r>
        <w:rPr>
          <w:rFonts w:hint="default" w:ascii="宋体" w:hAnsi="宋体"/>
          <w:b w:val="0"/>
          <w:kern w:val="2"/>
          <w:sz w:val="24"/>
          <w:highlight w:val="none"/>
        </w:rPr>
        <w:t>供货明细清单</w:t>
      </w:r>
    </w:p>
    <w:tbl>
      <w:tblPr>
        <w:tblStyle w:val="27"/>
        <w:tblpPr w:leftFromText="180" w:rightFromText="180" w:vertAnchor="text" w:horzAnchor="margin" w:tblpY="232"/>
        <w:tblW w:w="9312" w:type="dxa"/>
        <w:tblInd w:w="0" w:type="dxa"/>
        <w:tblLayout w:type="autofit"/>
        <w:tblCellMar>
          <w:top w:w="0" w:type="dxa"/>
          <w:left w:w="108" w:type="dxa"/>
          <w:bottom w:w="0" w:type="dxa"/>
          <w:right w:w="108" w:type="dxa"/>
        </w:tblCellMar>
      </w:tblPr>
      <w:tblGrid>
        <w:gridCol w:w="800"/>
        <w:gridCol w:w="1296"/>
        <w:gridCol w:w="2616"/>
        <w:gridCol w:w="753"/>
        <w:gridCol w:w="850"/>
        <w:gridCol w:w="851"/>
        <w:gridCol w:w="850"/>
        <w:gridCol w:w="1296"/>
      </w:tblGrid>
      <w:tr w14:paraId="0A379791">
        <w:tblPrEx>
          <w:tblCellMar>
            <w:top w:w="0" w:type="dxa"/>
            <w:left w:w="108" w:type="dxa"/>
            <w:bottom w:w="0" w:type="dxa"/>
            <w:right w:w="108" w:type="dxa"/>
          </w:tblCellMar>
        </w:tblPrEx>
        <w:trPr>
          <w:trHeight w:val="570" w:hRule="atLeast"/>
        </w:trPr>
        <w:tc>
          <w:tcPr>
            <w:tcW w:w="800" w:type="dxa"/>
            <w:tcBorders>
              <w:top w:val="single" w:color="auto" w:sz="4" w:space="0"/>
              <w:left w:val="single" w:color="auto" w:sz="4" w:space="0"/>
              <w:bottom w:val="single" w:color="auto" w:sz="4" w:space="0"/>
              <w:right w:val="single" w:color="auto" w:sz="4" w:space="0"/>
            </w:tcBorders>
            <w:shd w:val="clear" w:color="000000" w:fill="FFFFFF"/>
            <w:vAlign w:val="center"/>
          </w:tcPr>
          <w:p w14:paraId="02127F51">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序号</w:t>
            </w:r>
          </w:p>
        </w:tc>
        <w:tc>
          <w:tcPr>
            <w:tcW w:w="1296" w:type="dxa"/>
            <w:tcBorders>
              <w:top w:val="single" w:color="auto" w:sz="4" w:space="0"/>
              <w:left w:val="nil"/>
              <w:bottom w:val="single" w:color="auto" w:sz="4" w:space="0"/>
              <w:right w:val="single" w:color="auto" w:sz="4" w:space="0"/>
            </w:tcBorders>
            <w:shd w:val="clear" w:color="000000" w:fill="FFFFFF"/>
            <w:vAlign w:val="center"/>
          </w:tcPr>
          <w:p w14:paraId="1AAB0897">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名称</w:t>
            </w:r>
          </w:p>
        </w:tc>
        <w:tc>
          <w:tcPr>
            <w:tcW w:w="2616" w:type="dxa"/>
            <w:tcBorders>
              <w:top w:val="single" w:color="auto" w:sz="4" w:space="0"/>
              <w:left w:val="nil"/>
              <w:bottom w:val="single" w:color="auto" w:sz="4" w:space="0"/>
              <w:right w:val="single" w:color="auto" w:sz="4" w:space="0"/>
            </w:tcBorders>
            <w:shd w:val="clear" w:color="000000" w:fill="FFFFFF"/>
            <w:vAlign w:val="center"/>
          </w:tcPr>
          <w:p w14:paraId="2E754B3F">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规格型号</w:t>
            </w:r>
          </w:p>
        </w:tc>
        <w:tc>
          <w:tcPr>
            <w:tcW w:w="753" w:type="dxa"/>
            <w:tcBorders>
              <w:top w:val="single" w:color="auto" w:sz="4" w:space="0"/>
              <w:left w:val="nil"/>
              <w:bottom w:val="single" w:color="auto" w:sz="4" w:space="0"/>
              <w:right w:val="single" w:color="auto" w:sz="4" w:space="0"/>
            </w:tcBorders>
            <w:shd w:val="clear" w:color="000000" w:fill="FFFFFF"/>
            <w:vAlign w:val="center"/>
          </w:tcPr>
          <w:p w14:paraId="64D477D1">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单位</w:t>
            </w:r>
          </w:p>
        </w:tc>
        <w:tc>
          <w:tcPr>
            <w:tcW w:w="850" w:type="dxa"/>
            <w:tcBorders>
              <w:top w:val="single" w:color="auto" w:sz="4" w:space="0"/>
              <w:left w:val="nil"/>
              <w:bottom w:val="single" w:color="auto" w:sz="4" w:space="0"/>
              <w:right w:val="single" w:color="auto" w:sz="4" w:space="0"/>
            </w:tcBorders>
            <w:shd w:val="clear" w:color="000000" w:fill="FFFFFF"/>
            <w:vAlign w:val="center"/>
          </w:tcPr>
          <w:p w14:paraId="46057527">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数量</w:t>
            </w:r>
          </w:p>
        </w:tc>
        <w:tc>
          <w:tcPr>
            <w:tcW w:w="851" w:type="dxa"/>
            <w:tcBorders>
              <w:top w:val="single" w:color="auto" w:sz="4" w:space="0"/>
              <w:left w:val="nil"/>
              <w:bottom w:val="single" w:color="auto" w:sz="4" w:space="0"/>
              <w:right w:val="single" w:color="auto" w:sz="4" w:space="0"/>
            </w:tcBorders>
            <w:shd w:val="clear" w:color="000000" w:fill="FFFFFF"/>
            <w:vAlign w:val="center"/>
          </w:tcPr>
          <w:p w14:paraId="5A6C260B">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产地</w:t>
            </w:r>
          </w:p>
        </w:tc>
        <w:tc>
          <w:tcPr>
            <w:tcW w:w="850" w:type="dxa"/>
            <w:tcBorders>
              <w:top w:val="single" w:color="auto" w:sz="4" w:space="0"/>
              <w:left w:val="nil"/>
              <w:bottom w:val="single" w:color="auto" w:sz="4" w:space="0"/>
              <w:right w:val="single" w:color="auto" w:sz="4" w:space="0"/>
            </w:tcBorders>
            <w:shd w:val="clear" w:color="000000" w:fill="FFFFFF"/>
            <w:vAlign w:val="center"/>
          </w:tcPr>
          <w:p w14:paraId="01FC5BC7">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生产厂家</w:t>
            </w:r>
          </w:p>
        </w:tc>
        <w:tc>
          <w:tcPr>
            <w:tcW w:w="1296" w:type="dxa"/>
            <w:tcBorders>
              <w:top w:val="single" w:color="auto" w:sz="4" w:space="0"/>
              <w:left w:val="nil"/>
              <w:bottom w:val="single" w:color="auto" w:sz="4" w:space="0"/>
              <w:right w:val="single" w:color="auto" w:sz="4" w:space="0"/>
            </w:tcBorders>
            <w:shd w:val="clear" w:color="000000" w:fill="FFFFFF"/>
            <w:vAlign w:val="center"/>
          </w:tcPr>
          <w:p w14:paraId="4959845C">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备注</w:t>
            </w:r>
          </w:p>
        </w:tc>
      </w:tr>
      <w:tr w14:paraId="510ABE60">
        <w:tblPrEx>
          <w:tblCellMar>
            <w:top w:w="0" w:type="dxa"/>
            <w:left w:w="108" w:type="dxa"/>
            <w:bottom w:w="0" w:type="dxa"/>
            <w:right w:w="108" w:type="dxa"/>
          </w:tblCellMar>
        </w:tblPrEx>
        <w:trPr>
          <w:trHeight w:val="798"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11BE4D80">
            <w:pPr>
              <w:widowControl/>
              <w:jc w:val="center"/>
              <w:rPr>
                <w:rFonts w:hint="eastAsia" w:ascii="宋体" w:hAnsi="宋体" w:cs="宋体"/>
                <w:b/>
                <w:bCs/>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4CAFE757">
            <w:pPr>
              <w:widowControl/>
              <w:jc w:val="center"/>
              <w:rPr>
                <w:rFonts w:hint="eastAsia" w:ascii="宋体" w:hAnsi="宋体" w:cs="宋体"/>
                <w:b/>
                <w:bCs/>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134AC528">
            <w:pPr>
              <w:widowControl/>
              <w:jc w:val="center"/>
              <w:rPr>
                <w:rFonts w:hint="eastAsia" w:ascii="宋体" w:hAnsi="宋体" w:cs="宋体"/>
                <w:b/>
                <w:bCs/>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367A4D20">
            <w:pPr>
              <w:widowControl/>
              <w:jc w:val="center"/>
              <w:rPr>
                <w:rFonts w:hint="eastAsia" w:ascii="宋体" w:hAnsi="宋体" w:cs="宋体"/>
                <w:b/>
                <w:bCs/>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0CED83F1">
            <w:pPr>
              <w:widowControl/>
              <w:jc w:val="center"/>
              <w:rPr>
                <w:rFonts w:hint="eastAsia" w:ascii="宋体" w:hAnsi="宋体" w:cs="宋体"/>
                <w:b/>
                <w:bCs/>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0EEB7AB0">
            <w:pPr>
              <w:widowControl/>
              <w:jc w:val="center"/>
              <w:rPr>
                <w:rFonts w:hint="eastAsia" w:ascii="宋体" w:hAnsi="宋体" w:cs="宋体"/>
                <w:b/>
                <w:bCs/>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ACE6602">
            <w:pPr>
              <w:widowControl/>
              <w:jc w:val="center"/>
              <w:rPr>
                <w:rFonts w:hint="eastAsia" w:ascii="宋体" w:hAnsi="宋体" w:cs="宋体"/>
                <w:b/>
                <w:bCs/>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5B2C6425">
            <w:pPr>
              <w:widowControl/>
              <w:jc w:val="center"/>
              <w:rPr>
                <w:rFonts w:hint="eastAsia" w:ascii="宋体" w:hAnsi="宋体" w:cs="宋体"/>
                <w:b/>
                <w:bCs/>
                <w:kern w:val="0"/>
                <w:szCs w:val="21"/>
                <w:highlight w:val="none"/>
              </w:rPr>
            </w:pPr>
          </w:p>
        </w:tc>
      </w:tr>
      <w:tr w14:paraId="18D7DD3D">
        <w:tblPrEx>
          <w:tblCellMar>
            <w:top w:w="0" w:type="dxa"/>
            <w:left w:w="108" w:type="dxa"/>
            <w:bottom w:w="0" w:type="dxa"/>
            <w:right w:w="108" w:type="dxa"/>
          </w:tblCellMar>
        </w:tblPrEx>
        <w:trPr>
          <w:trHeight w:val="1263"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24364809">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51764EF8">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42C067CB">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6A5ABF92">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3674224D">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2054AAC8">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6B288715">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0CD314F6">
            <w:pPr>
              <w:widowControl/>
              <w:jc w:val="center"/>
              <w:rPr>
                <w:rFonts w:hint="eastAsia" w:ascii="宋体" w:hAnsi="宋体" w:cs="宋体"/>
                <w:kern w:val="0"/>
                <w:szCs w:val="21"/>
                <w:highlight w:val="none"/>
              </w:rPr>
            </w:pPr>
          </w:p>
        </w:tc>
      </w:tr>
      <w:tr w14:paraId="0F4035F8">
        <w:tblPrEx>
          <w:tblCellMar>
            <w:top w:w="0" w:type="dxa"/>
            <w:left w:w="108" w:type="dxa"/>
            <w:bottom w:w="0" w:type="dxa"/>
            <w:right w:w="108" w:type="dxa"/>
          </w:tblCellMar>
        </w:tblPrEx>
        <w:trPr>
          <w:trHeight w:val="28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2C4F25A8">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73647638">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70183A87">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6C8A345E">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0D07E693">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03254297">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47783C46">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6AAD23B8">
            <w:pPr>
              <w:widowControl/>
              <w:jc w:val="center"/>
              <w:rPr>
                <w:rFonts w:hint="eastAsia" w:ascii="宋体" w:hAnsi="宋体" w:cs="宋体"/>
                <w:kern w:val="0"/>
                <w:szCs w:val="21"/>
                <w:highlight w:val="none"/>
              </w:rPr>
            </w:pPr>
          </w:p>
        </w:tc>
      </w:tr>
      <w:tr w14:paraId="1F1FB40F">
        <w:tblPrEx>
          <w:tblCellMar>
            <w:top w:w="0" w:type="dxa"/>
            <w:left w:w="108" w:type="dxa"/>
            <w:bottom w:w="0" w:type="dxa"/>
            <w:right w:w="108" w:type="dxa"/>
          </w:tblCellMar>
        </w:tblPrEx>
        <w:trPr>
          <w:trHeight w:val="946"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2D6322B1">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4F36B199">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0048177F">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68BA1F9A">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475B4730">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13C6E86A">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50CED42B">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29AE4F29">
            <w:pPr>
              <w:widowControl/>
              <w:jc w:val="center"/>
              <w:rPr>
                <w:rFonts w:hint="eastAsia" w:ascii="宋体" w:hAnsi="宋体" w:cs="宋体"/>
                <w:kern w:val="0"/>
                <w:szCs w:val="21"/>
                <w:highlight w:val="none"/>
              </w:rPr>
            </w:pPr>
          </w:p>
        </w:tc>
      </w:tr>
      <w:tr w14:paraId="55D18036">
        <w:tblPrEx>
          <w:tblCellMar>
            <w:top w:w="0" w:type="dxa"/>
            <w:left w:w="108" w:type="dxa"/>
            <w:bottom w:w="0" w:type="dxa"/>
            <w:right w:w="108" w:type="dxa"/>
          </w:tblCellMar>
        </w:tblPrEx>
        <w:trPr>
          <w:trHeight w:val="28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1E4B66F6">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4DB9B818">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68D84A8E">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4CB1219F">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4263AA27">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04836866">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4048B672">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408BFF64">
            <w:pPr>
              <w:widowControl/>
              <w:jc w:val="center"/>
              <w:rPr>
                <w:rFonts w:hint="eastAsia" w:ascii="宋体" w:hAnsi="宋体" w:cs="宋体"/>
                <w:kern w:val="0"/>
                <w:szCs w:val="21"/>
                <w:highlight w:val="none"/>
              </w:rPr>
            </w:pPr>
          </w:p>
        </w:tc>
      </w:tr>
      <w:tr w14:paraId="49DF5782">
        <w:tblPrEx>
          <w:tblCellMar>
            <w:top w:w="0" w:type="dxa"/>
            <w:left w:w="108" w:type="dxa"/>
            <w:bottom w:w="0" w:type="dxa"/>
            <w:right w:w="108" w:type="dxa"/>
          </w:tblCellMar>
        </w:tblPrEx>
        <w:trPr>
          <w:trHeight w:val="28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61306C22">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19B1505C">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4264A480">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2A079C7E">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010B4706">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28B05BF7">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10C4E1B6">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6C13ACF6">
            <w:pPr>
              <w:widowControl/>
              <w:jc w:val="center"/>
              <w:rPr>
                <w:rFonts w:hint="eastAsia" w:ascii="宋体" w:hAnsi="宋体" w:cs="宋体"/>
                <w:kern w:val="0"/>
                <w:szCs w:val="21"/>
                <w:highlight w:val="none"/>
              </w:rPr>
            </w:pPr>
          </w:p>
        </w:tc>
      </w:tr>
      <w:tr w14:paraId="04EB2345">
        <w:tblPrEx>
          <w:tblCellMar>
            <w:top w:w="0" w:type="dxa"/>
            <w:left w:w="108" w:type="dxa"/>
            <w:bottom w:w="0" w:type="dxa"/>
            <w:right w:w="108" w:type="dxa"/>
          </w:tblCellMar>
        </w:tblPrEx>
        <w:trPr>
          <w:trHeight w:val="570"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182CFB4F">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10B1BA74">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0D4AA2D3">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0355325A">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67954EC">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27BBE4B7">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6E41F826">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73D9C86E">
            <w:pPr>
              <w:widowControl/>
              <w:jc w:val="center"/>
              <w:rPr>
                <w:rFonts w:hint="eastAsia" w:ascii="宋体" w:hAnsi="宋体" w:cs="宋体"/>
                <w:kern w:val="0"/>
                <w:szCs w:val="21"/>
                <w:highlight w:val="none"/>
              </w:rPr>
            </w:pPr>
          </w:p>
        </w:tc>
      </w:tr>
      <w:tr w14:paraId="5A71EA13">
        <w:tblPrEx>
          <w:tblCellMar>
            <w:top w:w="0" w:type="dxa"/>
            <w:left w:w="108" w:type="dxa"/>
            <w:bottom w:w="0" w:type="dxa"/>
            <w:right w:w="108" w:type="dxa"/>
          </w:tblCellMar>
        </w:tblPrEx>
        <w:trPr>
          <w:trHeight w:val="570"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4BB4B28E">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6E32DD08">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305667E1">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7DDBF2D5">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9FFDC3F">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67B15B4A">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1A081035">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4262916D">
            <w:pPr>
              <w:widowControl/>
              <w:jc w:val="center"/>
              <w:rPr>
                <w:rFonts w:hint="eastAsia" w:ascii="宋体" w:hAnsi="宋体" w:cs="宋体"/>
                <w:kern w:val="0"/>
                <w:szCs w:val="21"/>
                <w:highlight w:val="none"/>
              </w:rPr>
            </w:pPr>
          </w:p>
        </w:tc>
      </w:tr>
      <w:tr w14:paraId="2CBFC598">
        <w:tblPrEx>
          <w:tblCellMar>
            <w:top w:w="0" w:type="dxa"/>
            <w:left w:w="108" w:type="dxa"/>
            <w:bottom w:w="0" w:type="dxa"/>
            <w:right w:w="108" w:type="dxa"/>
          </w:tblCellMar>
        </w:tblPrEx>
        <w:trPr>
          <w:trHeight w:val="85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5F2DAED2">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769898E9">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572F0EB1">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43537371">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3809967">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2789FF14">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40B6313">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73E4D4AC">
            <w:pPr>
              <w:widowControl/>
              <w:jc w:val="center"/>
              <w:rPr>
                <w:rFonts w:hint="eastAsia" w:ascii="宋体" w:hAnsi="宋体" w:cs="宋体"/>
                <w:kern w:val="0"/>
                <w:szCs w:val="21"/>
                <w:highlight w:val="none"/>
              </w:rPr>
            </w:pPr>
          </w:p>
        </w:tc>
      </w:tr>
      <w:tr w14:paraId="2C1364BC">
        <w:tblPrEx>
          <w:tblCellMar>
            <w:top w:w="0" w:type="dxa"/>
            <w:left w:w="108" w:type="dxa"/>
            <w:bottom w:w="0" w:type="dxa"/>
            <w:right w:w="108" w:type="dxa"/>
          </w:tblCellMar>
        </w:tblPrEx>
        <w:trPr>
          <w:trHeight w:val="85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540C1C7A">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6FAD605D">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6956CD23">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4208B392">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62DDCB8B">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71D675B9">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4B6F3F6E">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05E1374E">
            <w:pPr>
              <w:widowControl/>
              <w:jc w:val="center"/>
              <w:rPr>
                <w:rFonts w:hint="eastAsia" w:ascii="宋体" w:hAnsi="宋体" w:cs="宋体"/>
                <w:kern w:val="0"/>
                <w:szCs w:val="21"/>
                <w:highlight w:val="none"/>
              </w:rPr>
            </w:pPr>
          </w:p>
        </w:tc>
      </w:tr>
      <w:tr w14:paraId="43A339CC">
        <w:tblPrEx>
          <w:tblCellMar>
            <w:top w:w="0" w:type="dxa"/>
            <w:left w:w="108" w:type="dxa"/>
            <w:bottom w:w="0" w:type="dxa"/>
            <w:right w:w="108" w:type="dxa"/>
          </w:tblCellMar>
        </w:tblPrEx>
        <w:trPr>
          <w:trHeight w:val="85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7F0C3904">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12F43B8D">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3E9D55AE">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34ECDCA9">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DDA212C">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343796C3">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539F8165">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2933CF44">
            <w:pPr>
              <w:widowControl/>
              <w:jc w:val="center"/>
              <w:rPr>
                <w:rFonts w:hint="eastAsia" w:ascii="宋体" w:hAnsi="宋体" w:cs="宋体"/>
                <w:kern w:val="0"/>
                <w:szCs w:val="21"/>
                <w:highlight w:val="none"/>
              </w:rPr>
            </w:pPr>
          </w:p>
        </w:tc>
      </w:tr>
      <w:tr w14:paraId="60A8F9C6">
        <w:tblPrEx>
          <w:tblCellMar>
            <w:top w:w="0" w:type="dxa"/>
            <w:left w:w="108" w:type="dxa"/>
            <w:bottom w:w="0" w:type="dxa"/>
            <w:right w:w="108" w:type="dxa"/>
          </w:tblCellMar>
        </w:tblPrEx>
        <w:trPr>
          <w:trHeight w:val="85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67ED15A2">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0D63CF7B">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491B5D2D">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39D269BB">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582EF15D">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1BEE7319">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25C258A8">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2BCFDEF4">
            <w:pPr>
              <w:widowControl/>
              <w:jc w:val="center"/>
              <w:rPr>
                <w:rFonts w:hint="eastAsia" w:ascii="宋体" w:hAnsi="宋体" w:cs="宋体"/>
                <w:kern w:val="0"/>
                <w:szCs w:val="21"/>
                <w:highlight w:val="none"/>
              </w:rPr>
            </w:pPr>
          </w:p>
        </w:tc>
      </w:tr>
      <w:tr w14:paraId="45D664AF">
        <w:tblPrEx>
          <w:tblCellMar>
            <w:top w:w="0" w:type="dxa"/>
            <w:left w:w="108" w:type="dxa"/>
            <w:bottom w:w="0" w:type="dxa"/>
            <w:right w:w="108" w:type="dxa"/>
          </w:tblCellMar>
        </w:tblPrEx>
        <w:trPr>
          <w:trHeight w:val="855"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4D83178A">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392AF794">
            <w:pPr>
              <w:widowControl/>
              <w:jc w:val="center"/>
              <w:rPr>
                <w:rFonts w:hint="eastAsia" w:ascii="宋体" w:hAnsi="宋体" w:cs="宋体"/>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4068B891">
            <w:pPr>
              <w:widowControl/>
              <w:jc w:val="center"/>
              <w:rPr>
                <w:rFonts w:hint="eastAsia" w:ascii="宋体" w:hAnsi="宋体" w:cs="宋体"/>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0C7D5750">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3F8B5A39">
            <w:pPr>
              <w:widowControl/>
              <w:jc w:val="center"/>
              <w:rPr>
                <w:rFonts w:hint="eastAsia" w:ascii="宋体" w:hAnsi="宋体" w:cs="宋体"/>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60112575">
            <w:pPr>
              <w:widowControl/>
              <w:jc w:val="center"/>
              <w:rPr>
                <w:rFonts w:hint="eastAsia" w:ascii="宋体" w:hAnsi="宋体" w:cs="宋体"/>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0CD6D0CC">
            <w:pPr>
              <w:widowControl/>
              <w:jc w:val="center"/>
              <w:rPr>
                <w:rFonts w:hint="eastAsia" w:ascii="宋体" w:hAnsi="宋体" w:cs="宋体"/>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2814ED0A">
            <w:pPr>
              <w:widowControl/>
              <w:jc w:val="center"/>
              <w:rPr>
                <w:rFonts w:hint="eastAsia" w:ascii="宋体" w:hAnsi="宋体" w:cs="宋体"/>
                <w:kern w:val="0"/>
                <w:szCs w:val="21"/>
                <w:highlight w:val="none"/>
              </w:rPr>
            </w:pPr>
          </w:p>
        </w:tc>
      </w:tr>
      <w:tr w14:paraId="73AC0B04">
        <w:tblPrEx>
          <w:tblCellMar>
            <w:top w:w="0" w:type="dxa"/>
            <w:left w:w="108" w:type="dxa"/>
            <w:bottom w:w="0" w:type="dxa"/>
            <w:right w:w="108" w:type="dxa"/>
          </w:tblCellMar>
        </w:tblPrEx>
        <w:trPr>
          <w:trHeight w:val="688" w:hRule="atLeast"/>
        </w:trPr>
        <w:tc>
          <w:tcPr>
            <w:tcW w:w="800" w:type="dxa"/>
            <w:tcBorders>
              <w:top w:val="nil"/>
              <w:left w:val="single" w:color="auto" w:sz="4" w:space="0"/>
              <w:bottom w:val="single" w:color="auto" w:sz="4" w:space="0"/>
              <w:right w:val="single" w:color="auto" w:sz="4" w:space="0"/>
            </w:tcBorders>
            <w:shd w:val="clear" w:color="000000" w:fill="FFFFFF"/>
            <w:vAlign w:val="center"/>
          </w:tcPr>
          <w:p w14:paraId="4CE1756D">
            <w:pPr>
              <w:widowControl/>
              <w:jc w:val="center"/>
              <w:rPr>
                <w:rFonts w:hint="eastAsia" w:ascii="宋体" w:hAnsi="宋体" w:cs="宋体"/>
                <w:b/>
                <w:bCs/>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0062A700">
            <w:pPr>
              <w:widowControl/>
              <w:jc w:val="center"/>
              <w:rPr>
                <w:rFonts w:hint="eastAsia" w:ascii="宋体" w:hAnsi="宋体" w:cs="宋体"/>
                <w:b/>
                <w:bCs/>
                <w:kern w:val="0"/>
                <w:szCs w:val="21"/>
                <w:highlight w:val="none"/>
              </w:rPr>
            </w:pPr>
          </w:p>
        </w:tc>
        <w:tc>
          <w:tcPr>
            <w:tcW w:w="2616" w:type="dxa"/>
            <w:tcBorders>
              <w:top w:val="nil"/>
              <w:left w:val="nil"/>
              <w:bottom w:val="single" w:color="auto" w:sz="4" w:space="0"/>
              <w:right w:val="single" w:color="auto" w:sz="4" w:space="0"/>
            </w:tcBorders>
            <w:shd w:val="clear" w:color="000000" w:fill="FFFFFF"/>
            <w:vAlign w:val="center"/>
          </w:tcPr>
          <w:p w14:paraId="63AD5AA7">
            <w:pPr>
              <w:widowControl/>
              <w:jc w:val="center"/>
              <w:rPr>
                <w:rFonts w:hint="eastAsia" w:ascii="宋体" w:hAnsi="宋体" w:cs="宋体"/>
                <w:b/>
                <w:bCs/>
                <w:kern w:val="0"/>
                <w:szCs w:val="21"/>
                <w:highlight w:val="none"/>
              </w:rPr>
            </w:pPr>
          </w:p>
        </w:tc>
        <w:tc>
          <w:tcPr>
            <w:tcW w:w="753" w:type="dxa"/>
            <w:tcBorders>
              <w:top w:val="nil"/>
              <w:left w:val="nil"/>
              <w:bottom w:val="single" w:color="auto" w:sz="4" w:space="0"/>
              <w:right w:val="single" w:color="auto" w:sz="4" w:space="0"/>
            </w:tcBorders>
            <w:shd w:val="clear" w:color="000000" w:fill="FFFFFF"/>
            <w:vAlign w:val="center"/>
          </w:tcPr>
          <w:p w14:paraId="0C7BA698">
            <w:pPr>
              <w:widowControl/>
              <w:jc w:val="center"/>
              <w:rPr>
                <w:rFonts w:hint="eastAsia" w:ascii="宋体" w:hAnsi="宋体" w:cs="宋体"/>
                <w:b/>
                <w:bCs/>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7EB2C29F">
            <w:pPr>
              <w:widowControl/>
              <w:jc w:val="center"/>
              <w:rPr>
                <w:rFonts w:hint="eastAsia" w:ascii="宋体" w:hAnsi="宋体" w:cs="宋体"/>
                <w:b/>
                <w:bCs/>
                <w:kern w:val="0"/>
                <w:szCs w:val="21"/>
                <w:highlight w:val="none"/>
              </w:rPr>
            </w:pPr>
          </w:p>
        </w:tc>
        <w:tc>
          <w:tcPr>
            <w:tcW w:w="851" w:type="dxa"/>
            <w:tcBorders>
              <w:top w:val="nil"/>
              <w:left w:val="nil"/>
              <w:bottom w:val="single" w:color="auto" w:sz="4" w:space="0"/>
              <w:right w:val="single" w:color="auto" w:sz="4" w:space="0"/>
            </w:tcBorders>
            <w:shd w:val="clear" w:color="000000" w:fill="FFFFFF"/>
            <w:vAlign w:val="center"/>
          </w:tcPr>
          <w:p w14:paraId="2AE150D0">
            <w:pPr>
              <w:widowControl/>
              <w:jc w:val="center"/>
              <w:rPr>
                <w:rFonts w:hint="eastAsia" w:ascii="宋体" w:hAnsi="宋体" w:cs="宋体"/>
                <w:b/>
                <w:bCs/>
                <w:kern w:val="0"/>
                <w:szCs w:val="21"/>
                <w:highlight w:val="none"/>
              </w:rPr>
            </w:pPr>
          </w:p>
        </w:tc>
        <w:tc>
          <w:tcPr>
            <w:tcW w:w="850" w:type="dxa"/>
            <w:tcBorders>
              <w:top w:val="nil"/>
              <w:left w:val="nil"/>
              <w:bottom w:val="single" w:color="auto" w:sz="4" w:space="0"/>
              <w:right w:val="single" w:color="auto" w:sz="4" w:space="0"/>
            </w:tcBorders>
            <w:shd w:val="clear" w:color="000000" w:fill="FFFFFF"/>
            <w:vAlign w:val="center"/>
          </w:tcPr>
          <w:p w14:paraId="20E60991">
            <w:pPr>
              <w:widowControl/>
              <w:jc w:val="center"/>
              <w:rPr>
                <w:rFonts w:hint="eastAsia" w:ascii="宋体" w:hAnsi="宋体" w:cs="宋体"/>
                <w:b/>
                <w:bCs/>
                <w:kern w:val="0"/>
                <w:szCs w:val="21"/>
                <w:highlight w:val="none"/>
              </w:rPr>
            </w:pPr>
          </w:p>
        </w:tc>
        <w:tc>
          <w:tcPr>
            <w:tcW w:w="1296" w:type="dxa"/>
            <w:tcBorders>
              <w:top w:val="nil"/>
              <w:left w:val="nil"/>
              <w:bottom w:val="single" w:color="auto" w:sz="4" w:space="0"/>
              <w:right w:val="single" w:color="auto" w:sz="4" w:space="0"/>
            </w:tcBorders>
            <w:shd w:val="clear" w:color="000000" w:fill="FFFFFF"/>
            <w:vAlign w:val="center"/>
          </w:tcPr>
          <w:p w14:paraId="3409B686">
            <w:pPr>
              <w:widowControl/>
              <w:jc w:val="center"/>
              <w:rPr>
                <w:rFonts w:hint="eastAsia" w:ascii="宋体" w:hAnsi="宋体" w:cs="宋体"/>
                <w:b/>
                <w:bCs/>
                <w:kern w:val="0"/>
                <w:szCs w:val="21"/>
                <w:highlight w:val="none"/>
              </w:rPr>
            </w:pPr>
          </w:p>
        </w:tc>
      </w:tr>
    </w:tbl>
    <w:p w14:paraId="68A4AA51">
      <w:pPr>
        <w:spacing w:line="240" w:lineRule="auto"/>
        <w:outlineLvl w:val="9"/>
        <w:rPr>
          <w:highlight w:val="none"/>
        </w:rPr>
      </w:pPr>
      <w:r>
        <w:rPr>
          <w:highlight w:val="none"/>
        </w:rPr>
        <w:br w:type="page"/>
      </w:r>
    </w:p>
    <w:p w14:paraId="2DF6D286">
      <w:pPr>
        <w:pStyle w:val="13"/>
        <w:rPr>
          <w:rFonts w:hint="eastAsia" w:ascii="Times New Roman" w:hAnsi="Times New Roman"/>
          <w:b w:val="0"/>
          <w:kern w:val="2"/>
          <w:sz w:val="24"/>
          <w:highlight w:val="none"/>
          <w:lang w:val="en-US" w:eastAsia="zh-CN"/>
        </w:rPr>
      </w:pPr>
      <w:r>
        <w:rPr>
          <w:rFonts w:hint="eastAsia" w:ascii="Times New Roman" w:hAnsi="Times New Roman"/>
          <w:b w:val="0"/>
          <w:kern w:val="2"/>
          <w:sz w:val="24"/>
          <w:highlight w:val="none"/>
          <w:lang w:val="en-US" w:eastAsia="zh-CN"/>
        </w:rPr>
        <w:t>附件2：《东莞市海心沙资源综合利用中心环保热电厂循环水膜处理系统采购项目技术需求书》</w:t>
      </w:r>
    </w:p>
    <w:p w14:paraId="76FFC80A">
      <w:pPr>
        <w:pStyle w:val="13"/>
        <w:rPr>
          <w:rFonts w:hint="eastAsia" w:ascii="仿宋" w:hAnsi="仿宋" w:eastAsia="仿宋" w:cs="仿宋"/>
          <w:b w:val="0"/>
          <w:kern w:val="2"/>
          <w:sz w:val="24"/>
          <w:highlight w:val="none"/>
          <w:lang w:val="en-US" w:eastAsia="zh-CN"/>
        </w:rPr>
      </w:pPr>
    </w:p>
    <w:p w14:paraId="1BAC2B80">
      <w:pPr>
        <w:rPr>
          <w:rFonts w:hint="eastAsia" w:ascii="Times New Roman" w:hAnsi="Times New Roman" w:eastAsia="宋体"/>
          <w:b w:val="0"/>
          <w:kern w:val="2"/>
          <w:sz w:val="24"/>
          <w:highlight w:val="none"/>
          <w:lang w:val="en-US" w:eastAsia="zh-CN"/>
        </w:rPr>
      </w:pPr>
      <w:r>
        <w:rPr>
          <w:rFonts w:hint="eastAsia" w:ascii="Times New Roman" w:hAnsi="Times New Roman" w:eastAsia="宋体"/>
          <w:b w:val="0"/>
          <w:kern w:val="2"/>
          <w:sz w:val="24"/>
          <w:highlight w:val="none"/>
          <w:lang w:val="en-US" w:eastAsia="zh-CN"/>
        </w:rPr>
        <w:br w:type="page"/>
      </w:r>
    </w:p>
    <w:p w14:paraId="744E7A73">
      <w:pPr>
        <w:pStyle w:val="13"/>
        <w:jc w:val="left"/>
        <w:rPr>
          <w:rFonts w:hint="default" w:ascii="Times New Roman" w:hAnsi="Times New Roman" w:cs="仿宋"/>
          <w:b w:val="0"/>
          <w:kern w:val="2"/>
          <w:sz w:val="24"/>
          <w:highlight w:val="none"/>
          <w:lang w:val="en-US" w:eastAsia="zh-CN"/>
        </w:rPr>
      </w:pPr>
      <w:r>
        <w:rPr>
          <w:rFonts w:hint="eastAsia" w:ascii="Times New Roman" w:hAnsi="Times New Roman" w:cs="仿宋"/>
          <w:b w:val="0"/>
          <w:kern w:val="2"/>
          <w:sz w:val="24"/>
          <w:highlight w:val="none"/>
          <w:lang w:val="en-US" w:eastAsia="zh-CN"/>
        </w:rPr>
        <w:t>附件3：安全协议</w:t>
      </w:r>
    </w:p>
    <w:p w14:paraId="522C1AD6">
      <w:pPr>
        <w:jc w:val="center"/>
        <w:rPr>
          <w:rFonts w:ascii="宋体" w:hAnsi="宋体" w:eastAsia="宋体"/>
          <w:b/>
          <w:bCs/>
          <w:sz w:val="30"/>
          <w:szCs w:val="30"/>
        </w:rPr>
      </w:pPr>
      <w:r>
        <w:rPr>
          <w:rFonts w:hint="eastAsia" w:ascii="宋体" w:hAnsi="宋体" w:eastAsia="宋体"/>
          <w:b/>
          <w:bCs/>
          <w:sz w:val="30"/>
          <w:szCs w:val="30"/>
          <w:lang w:val="zh-CN"/>
        </w:rPr>
        <w:t>安全协议</w:t>
      </w:r>
    </w:p>
    <w:p w14:paraId="3A899B7F">
      <w:pPr>
        <w:spacing w:line="560" w:lineRule="exact"/>
        <w:rPr>
          <w:rFonts w:ascii="宋体" w:hAnsi="宋体" w:eastAsia="宋体"/>
          <w:bCs/>
          <w:spacing w:val="-10"/>
          <w:sz w:val="24"/>
        </w:rPr>
      </w:pPr>
      <w:r>
        <w:rPr>
          <w:rFonts w:hint="eastAsia" w:ascii="宋体" w:hAnsi="宋体" w:eastAsia="宋体"/>
          <w:bCs/>
          <w:spacing w:val="-10"/>
          <w:sz w:val="24"/>
        </w:rPr>
        <w:t>发包单位：</w:t>
      </w:r>
      <w:r>
        <w:rPr>
          <w:rFonts w:hint="eastAsia" w:ascii="宋体" w:hAnsi="宋体" w:eastAsia="宋体"/>
          <w:bCs/>
          <w:spacing w:val="-10"/>
          <w:sz w:val="24"/>
          <w:u w:val="single"/>
        </w:rPr>
        <w:t xml:space="preserve"> 东莞市新东元环保投资有限公司 </w:t>
      </w:r>
      <w:r>
        <w:rPr>
          <w:rFonts w:hint="eastAsia" w:ascii="宋体" w:hAnsi="宋体" w:eastAsia="宋体"/>
          <w:bCs/>
          <w:spacing w:val="-10"/>
          <w:sz w:val="24"/>
        </w:rPr>
        <w:t xml:space="preserve">   （以下简称甲方）</w:t>
      </w:r>
    </w:p>
    <w:p w14:paraId="4B5D62DD">
      <w:pPr>
        <w:spacing w:line="560" w:lineRule="exact"/>
        <w:rPr>
          <w:rFonts w:ascii="宋体" w:hAnsi="宋体" w:eastAsia="宋体"/>
          <w:bCs/>
          <w:spacing w:val="-10"/>
          <w:sz w:val="24"/>
        </w:rPr>
      </w:pPr>
      <w:r>
        <w:rPr>
          <w:rFonts w:hint="eastAsia" w:ascii="宋体" w:hAnsi="宋体" w:eastAsia="宋体"/>
          <w:bCs/>
          <w:spacing w:val="-10"/>
          <w:sz w:val="24"/>
        </w:rPr>
        <w:t>承包单位：</w:t>
      </w:r>
      <w:r>
        <w:rPr>
          <w:rFonts w:hint="eastAsia" w:ascii="宋体" w:hAnsi="宋体" w:eastAsia="宋体"/>
          <w:bCs/>
          <w:spacing w:val="-10"/>
          <w:sz w:val="24"/>
          <w:u w:val="single"/>
        </w:rPr>
        <w:t xml:space="preserve"> </w:t>
      </w:r>
      <w:r>
        <w:rPr>
          <w:rFonts w:ascii="宋体" w:hAnsi="宋体" w:eastAsia="宋体"/>
          <w:bCs/>
          <w:spacing w:val="-10"/>
          <w:sz w:val="24"/>
          <w:u w:val="single"/>
        </w:rPr>
        <w:t xml:space="preserve">                              </w:t>
      </w:r>
      <w:r>
        <w:rPr>
          <w:rFonts w:hint="eastAsia" w:ascii="宋体" w:hAnsi="宋体" w:eastAsia="宋体"/>
          <w:bCs/>
          <w:spacing w:val="-10"/>
          <w:sz w:val="24"/>
          <w:u w:val="single"/>
        </w:rPr>
        <w:t xml:space="preserve"> </w:t>
      </w:r>
      <w:r>
        <w:rPr>
          <w:rFonts w:hint="eastAsia" w:ascii="宋体" w:hAnsi="宋体" w:eastAsia="宋体"/>
          <w:bCs/>
          <w:spacing w:val="-10"/>
          <w:sz w:val="24"/>
        </w:rPr>
        <w:t xml:space="preserve">   （以下简称乙方）</w:t>
      </w:r>
    </w:p>
    <w:p w14:paraId="0DC79446">
      <w:pPr>
        <w:spacing w:line="560" w:lineRule="exact"/>
        <w:jc w:val="left"/>
        <w:rPr>
          <w:rFonts w:ascii="宋体" w:hAnsi="宋体" w:eastAsia="宋体"/>
          <w:snapToGrid w:val="0"/>
          <w:color w:val="000000"/>
          <w:sz w:val="24"/>
          <w:szCs w:val="24"/>
        </w:rPr>
      </w:pPr>
      <w:r>
        <w:rPr>
          <w:rFonts w:hint="eastAsia" w:ascii="仿宋_GB2312" w:hAnsi="宋体" w:eastAsia="仿宋_GB2312" w:cs="宋体"/>
          <w:sz w:val="24"/>
        </w:rPr>
        <w:t xml:space="preserve">    </w:t>
      </w:r>
      <w:r>
        <w:rPr>
          <w:rFonts w:hint="eastAsia" w:ascii="宋体" w:hAnsi="宋体" w:eastAsia="宋体" w:cs="宋体"/>
          <w:sz w:val="24"/>
        </w:rPr>
        <w:t>根据甲方工作需要，</w:t>
      </w:r>
      <w:r>
        <w:rPr>
          <w:rFonts w:hint="eastAsia" w:ascii="宋体" w:hAnsi="宋体" w:eastAsia="宋体" w:cs="宋体"/>
          <w:sz w:val="24"/>
          <w:u w:val="single"/>
        </w:rPr>
        <w:t xml:space="preserve">现将    </w:t>
      </w:r>
      <w:r>
        <w:rPr>
          <w:rFonts w:ascii="宋体" w:hAnsi="宋体" w:eastAsia="宋体" w:cs="宋体"/>
          <w:sz w:val="24"/>
          <w:u w:val="single"/>
        </w:rPr>
        <w:t xml:space="preserve">        </w:t>
      </w:r>
      <w:r>
        <w:rPr>
          <w:rFonts w:hint="eastAsia" w:ascii="宋体" w:hAnsi="宋体" w:eastAsia="宋体" w:cs="宋体"/>
          <w:sz w:val="24"/>
          <w:u w:val="single"/>
        </w:rPr>
        <w:t xml:space="preserve">       项目（合同编号：          ）发包乙方</w:t>
      </w:r>
      <w:r>
        <w:rPr>
          <w:rFonts w:hint="eastAsia" w:ascii="宋体" w:hAnsi="宋体" w:eastAsia="宋体" w:cs="宋体"/>
          <w:sz w:val="24"/>
        </w:rPr>
        <w:t>，</w:t>
      </w:r>
      <w:r>
        <w:rPr>
          <w:rFonts w:hint="eastAsia" w:ascii="宋体" w:hAnsi="宋体" w:eastAsia="宋体"/>
          <w:snapToGrid w:val="0"/>
          <w:color w:val="000000"/>
          <w:sz w:val="24"/>
          <w:szCs w:val="24"/>
        </w:rPr>
        <w:t>为了确保实现甲方的安全生产目标，进一步明确双方的安全管理责任，加强安全生产管理工作的协调、管理力度，甲方与乙方依据国家安全生产相关的法律、法规、条例、标准、行业标准，双方同意签订该协议作为正式合同安全管理方面的补充规定，并承诺本协议具有与合同相同的法律效力。具体条款如下：</w:t>
      </w:r>
    </w:p>
    <w:p w14:paraId="2694F74B">
      <w:pPr>
        <w:pStyle w:val="25"/>
        <w:spacing w:before="0" w:after="0" w:line="560" w:lineRule="exact"/>
        <w:jc w:val="left"/>
        <w:rPr>
          <w:rFonts w:ascii="宋体" w:hAnsi="宋体" w:eastAsia="宋体"/>
          <w:sz w:val="24"/>
          <w:szCs w:val="24"/>
        </w:rPr>
      </w:pPr>
      <w:r>
        <w:rPr>
          <w:rFonts w:hint="eastAsia" w:ascii="宋体" w:hAnsi="宋体" w:eastAsia="宋体"/>
          <w:sz w:val="24"/>
          <w:szCs w:val="24"/>
        </w:rPr>
        <w:t>一、协议有效期限</w:t>
      </w:r>
    </w:p>
    <w:p w14:paraId="54966699">
      <w:pPr>
        <w:spacing w:line="560" w:lineRule="exact"/>
        <w:ind w:firstLine="480" w:firstLineChars="200"/>
        <w:rPr>
          <w:rFonts w:ascii="宋体" w:hAnsi="宋体" w:eastAsia="宋体"/>
          <w:snapToGrid w:val="0"/>
          <w:color w:val="000000"/>
          <w:sz w:val="24"/>
          <w:szCs w:val="24"/>
        </w:rPr>
      </w:pPr>
      <w:r>
        <w:rPr>
          <w:rFonts w:hint="eastAsia" w:ascii="宋体" w:hAnsi="宋体" w:eastAsia="宋体"/>
          <w:snapToGrid w:val="0"/>
          <w:color w:val="000000"/>
          <w:sz w:val="24"/>
          <w:szCs w:val="24"/>
        </w:rPr>
        <w:t>本协议中所涉及的安全管理责任自合同签订之日起开始生效，至合同终止之日。</w:t>
      </w:r>
    </w:p>
    <w:p w14:paraId="6FEE7135">
      <w:pPr>
        <w:pStyle w:val="25"/>
        <w:spacing w:before="0" w:after="0" w:line="560" w:lineRule="exact"/>
        <w:jc w:val="left"/>
        <w:rPr>
          <w:rFonts w:ascii="宋体" w:hAnsi="宋体" w:eastAsia="宋体"/>
          <w:sz w:val="24"/>
          <w:szCs w:val="24"/>
        </w:rPr>
      </w:pPr>
      <w:r>
        <w:rPr>
          <w:rFonts w:hint="eastAsia" w:ascii="宋体" w:hAnsi="宋体" w:eastAsia="宋体"/>
          <w:sz w:val="24"/>
          <w:szCs w:val="24"/>
        </w:rPr>
        <w:t>二、安全管理目标</w:t>
      </w:r>
    </w:p>
    <w:p w14:paraId="2EE8949D">
      <w:pPr>
        <w:snapToGrid w:val="0"/>
        <w:spacing w:line="56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(一)乙方承诺履行和承担合同和甲方程序所规定的安全责任，并完成如下控制目标：</w:t>
      </w:r>
    </w:p>
    <w:p w14:paraId="21FFD4FC">
      <w:pPr>
        <w:pStyle w:val="71"/>
        <w:numPr>
          <w:ilvl w:val="0"/>
          <w:numId w:val="12"/>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不发生重伤及以上人身伤亡事故；</w:t>
      </w:r>
    </w:p>
    <w:p w14:paraId="259B6076">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cs="宋体"/>
          <w:sz w:val="24"/>
          <w:szCs w:val="24"/>
        </w:rPr>
        <w:t>不发生单项直接损失超过20万元以上的经济损失事故；</w:t>
      </w:r>
    </w:p>
    <w:p w14:paraId="10C705F4">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cs="宋体"/>
          <w:sz w:val="24"/>
          <w:szCs w:val="24"/>
        </w:rPr>
        <w:t>不发生造成20万元以上直接经济损失或致人重伤的火灾事故；</w:t>
      </w:r>
    </w:p>
    <w:p w14:paraId="38A25F1E">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cs="宋体"/>
          <w:sz w:val="24"/>
          <w:szCs w:val="24"/>
        </w:rPr>
        <w:t>不发生负同等及同等以上责任的且导致重伤1人或轻伤3人及以上，或财产损失3万元以上的交通事故；</w:t>
      </w:r>
    </w:p>
    <w:p w14:paraId="3BB55317">
      <w:pPr>
        <w:pStyle w:val="71"/>
        <w:numPr>
          <w:ilvl w:val="0"/>
          <w:numId w:val="12"/>
        </w:numPr>
        <w:snapToGrid w:val="0"/>
        <w:spacing w:line="560" w:lineRule="exact"/>
        <w:ind w:firstLineChars="0"/>
        <w:rPr>
          <w:rFonts w:ascii="宋体" w:hAnsi="宋体" w:eastAsia="宋体"/>
          <w:snapToGrid w:val="0"/>
          <w:color w:val="000000"/>
          <w:sz w:val="24"/>
          <w:szCs w:val="24"/>
        </w:rPr>
      </w:pPr>
      <w:r>
        <w:rPr>
          <w:rFonts w:hint="eastAsia" w:ascii="宋体" w:hAnsi="宋体" w:eastAsia="宋体" w:cs="宋体"/>
          <w:sz w:val="24"/>
          <w:szCs w:val="24"/>
        </w:rPr>
        <w:t>不发生被生态环境部门挂网通报或行政处罚的环保事件；</w:t>
      </w:r>
    </w:p>
    <w:p w14:paraId="5C232B65">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snapToGrid w:val="0"/>
          <w:color w:val="000000"/>
          <w:sz w:val="24"/>
          <w:szCs w:val="24"/>
        </w:rPr>
        <w:t>不发生职业病病例；</w:t>
      </w:r>
    </w:p>
    <w:p w14:paraId="42BB0B6E">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snapToGrid w:val="0"/>
          <w:color w:val="000000"/>
          <w:sz w:val="24"/>
          <w:szCs w:val="24"/>
        </w:rPr>
        <w:t>不发生乙方管理责任导致的治安案件、群体事件；</w:t>
      </w:r>
    </w:p>
    <w:p w14:paraId="7B99F014">
      <w:pPr>
        <w:pStyle w:val="71"/>
        <w:numPr>
          <w:ilvl w:val="0"/>
          <w:numId w:val="12"/>
        </w:numPr>
        <w:snapToGrid w:val="0"/>
        <w:spacing w:line="560" w:lineRule="exact"/>
        <w:ind w:firstLineChars="0"/>
        <w:rPr>
          <w:rFonts w:ascii="宋体" w:hAnsi="宋体" w:eastAsia="宋体" w:cs="宋体"/>
          <w:sz w:val="24"/>
          <w:szCs w:val="24"/>
        </w:rPr>
      </w:pPr>
      <w:r>
        <w:rPr>
          <w:rFonts w:hint="eastAsia" w:ascii="宋体" w:hAnsi="宋体" w:eastAsia="宋体" w:cs="宋体"/>
          <w:sz w:val="24"/>
          <w:szCs w:val="24"/>
        </w:rPr>
        <w:t>不发生</w:t>
      </w:r>
      <w:r>
        <w:rPr>
          <w:rFonts w:hint="eastAsia" w:ascii="宋体" w:hAnsi="宋体" w:eastAsia="宋体" w:cs="宋体"/>
          <w:color w:val="000000"/>
          <w:sz w:val="24"/>
          <w:szCs w:val="24"/>
          <w:shd w:val="clear" w:color="auto" w:fill="FFFFFF"/>
        </w:rPr>
        <w:t>安全事故隐瞒不报、谎报或严重迟报（指超过24h）行为。</w:t>
      </w:r>
    </w:p>
    <w:p w14:paraId="0C24007C">
      <w:pPr>
        <w:snapToGrid w:val="0"/>
        <w:spacing w:line="56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（二）乙方承诺在作业中控制以下安全事件（行为）的发生：</w:t>
      </w:r>
    </w:p>
    <w:p w14:paraId="11FB1B55">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人员轻伤事故；</w:t>
      </w:r>
    </w:p>
    <w:p w14:paraId="4B4FAD80">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未遂事故；</w:t>
      </w:r>
    </w:p>
    <w:p w14:paraId="3E57804B">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恶性误操作；</w:t>
      </w:r>
    </w:p>
    <w:p w14:paraId="7A1CEDFF">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无票作业；</w:t>
      </w:r>
    </w:p>
    <w:p w14:paraId="091E54B6">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严重违章、群体违章；</w:t>
      </w:r>
    </w:p>
    <w:p w14:paraId="76FB383E">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未经培训或培训不合格人员上岗；</w:t>
      </w:r>
    </w:p>
    <w:p w14:paraId="2A3BB42D">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特种作业人员无证上岗；</w:t>
      </w:r>
    </w:p>
    <w:p w14:paraId="2F6B07FD">
      <w:pPr>
        <w:pStyle w:val="71"/>
        <w:numPr>
          <w:ilvl w:val="0"/>
          <w:numId w:val="13"/>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重大安全隐患。</w:t>
      </w:r>
    </w:p>
    <w:p w14:paraId="24D17B02">
      <w:pPr>
        <w:pStyle w:val="25"/>
        <w:spacing w:before="0" w:after="0" w:line="560" w:lineRule="exact"/>
        <w:jc w:val="left"/>
        <w:rPr>
          <w:rFonts w:ascii="宋体" w:hAnsi="宋体" w:eastAsia="宋体"/>
          <w:sz w:val="24"/>
          <w:szCs w:val="24"/>
        </w:rPr>
      </w:pPr>
      <w:r>
        <w:rPr>
          <w:rFonts w:hint="eastAsia" w:ascii="宋体" w:hAnsi="宋体" w:eastAsia="宋体"/>
          <w:sz w:val="24"/>
          <w:szCs w:val="24"/>
        </w:rPr>
        <w:t>三、安全责任</w:t>
      </w:r>
    </w:p>
    <w:p w14:paraId="1C868A55">
      <w:pPr>
        <w:pStyle w:val="25"/>
        <w:spacing w:before="0" w:after="0" w:line="560" w:lineRule="exact"/>
        <w:jc w:val="left"/>
        <w:rPr>
          <w:rFonts w:ascii="宋体" w:hAnsi="宋体" w:eastAsia="宋体"/>
          <w:sz w:val="24"/>
          <w:szCs w:val="24"/>
        </w:rPr>
      </w:pPr>
      <w:r>
        <w:rPr>
          <w:rFonts w:hint="eastAsia" w:ascii="宋体" w:hAnsi="宋体" w:eastAsia="宋体"/>
          <w:sz w:val="24"/>
          <w:szCs w:val="24"/>
        </w:rPr>
        <w:t>（一）甲方安全责任</w:t>
      </w:r>
    </w:p>
    <w:p w14:paraId="1A8B6E4E">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对乙方的资质、条件进行审查，符合安全生产相关规定的要求。</w:t>
      </w:r>
    </w:p>
    <w:p w14:paraId="139C279B">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开工前，对乙方提供的人员名单进行入厂安全教育培训、考试。</w:t>
      </w:r>
    </w:p>
    <w:p w14:paraId="3A1BC18A">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开工前甲方对乙方进行施工安全技术交底，并应有书面记录或资料。</w:t>
      </w:r>
    </w:p>
    <w:p w14:paraId="7E4FF591">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甲方有权检查督促乙方执行有关安全生产方面的工作规定，对乙方不符合安全文明施工标准的行为进行制止、纠正并发出安全整改通知书。</w:t>
      </w:r>
    </w:p>
    <w:p w14:paraId="4560628A">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甲方指派负责与乙方联系安全生产、质量控制、进度协调等方面的工作。</w:t>
      </w:r>
    </w:p>
    <w:p w14:paraId="6A5E17C5">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甲方有权对工作票所填写的安全措施是否正确完备进行监督。</w:t>
      </w:r>
    </w:p>
    <w:p w14:paraId="19EE2116">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甲方有权要求乙方制定确保施工安全的组织措施、安全措施和技术措施，并监督执行。</w:t>
      </w:r>
    </w:p>
    <w:p w14:paraId="7ED6289D">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甲方有权对乙方参与施工的人员进行安全技术知识和安全工作规程的抽考。</w:t>
      </w:r>
    </w:p>
    <w:p w14:paraId="1822E747">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发生如上第二项第（二）条所列不安全事件（或行为）的，甲方有权按照本协议考核条款进行考核；发生如上第二项第（一）条控制目标事故的，除依照本协议考核条款进行考核外，还要遵从地方政府对事故的处理决定；因乙方责任原因造成甲方重大损失或重大影响的，甲方保留追诉权。</w:t>
      </w:r>
    </w:p>
    <w:p w14:paraId="23E27086">
      <w:pPr>
        <w:pStyle w:val="71"/>
        <w:numPr>
          <w:ilvl w:val="0"/>
          <w:numId w:val="14"/>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在有可能造成火灾、爆炸、中毒、窒息、坍塌、高空坠落、触电等容易引起人身伤害和设备事故的高风险区域内的作业，甲方要求乙方制定安全技术措施，经甲方审查后，监督实施。</w:t>
      </w:r>
    </w:p>
    <w:p w14:paraId="66C8505D">
      <w:pPr>
        <w:pStyle w:val="25"/>
        <w:spacing w:before="0" w:after="0" w:line="560" w:lineRule="exact"/>
        <w:jc w:val="left"/>
        <w:rPr>
          <w:rFonts w:ascii="宋体" w:hAnsi="宋体" w:eastAsia="宋体"/>
          <w:sz w:val="24"/>
          <w:szCs w:val="24"/>
        </w:rPr>
      </w:pPr>
      <w:r>
        <w:rPr>
          <w:rFonts w:hint="eastAsia" w:ascii="宋体" w:hAnsi="宋体" w:eastAsia="宋体"/>
          <w:sz w:val="24"/>
          <w:szCs w:val="24"/>
        </w:rPr>
        <w:t>（二）乙方安全责任</w:t>
      </w:r>
    </w:p>
    <w:p w14:paraId="1AE604A8">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乙方的法定代表人对本合同内容的安全管理负有全面领导责任。</w:t>
      </w:r>
    </w:p>
    <w:p w14:paraId="66A78004">
      <w:pPr>
        <w:pStyle w:val="71"/>
        <w:numPr>
          <w:ilvl w:val="0"/>
          <w:numId w:val="15"/>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乙方项目经理对作业现场的安全工作负有直接领导责任。</w:t>
      </w:r>
    </w:p>
    <w:p w14:paraId="3CB1CBA1">
      <w:pPr>
        <w:pStyle w:val="71"/>
        <w:numPr>
          <w:ilvl w:val="0"/>
          <w:numId w:val="15"/>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保证服从甲方对安全工作的统一协调和监管，遵守甲方安全管理相关规定，接受甲方安全监督人员的指导和监督。在所有的现场工作中，乙方人员必须严格遵守甲方职业健康、安全、环保相关的管理规定，并接受甲方的监督、落实甲方提出的整改要求。</w:t>
      </w:r>
    </w:p>
    <w:p w14:paraId="47BD56DB">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乙方保证对本项目安全生产条件及其管理资源的投入，保证安全资金的专款专用，并建立适用于本项目的《项目生产安全费用明细一览表》，如实填报，作为项目安全投入的技术性依据。</w:t>
      </w:r>
    </w:p>
    <w:p w14:paraId="472DF0CE">
      <w:pPr>
        <w:pStyle w:val="71"/>
        <w:numPr>
          <w:ilvl w:val="0"/>
          <w:numId w:val="15"/>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乙方保证建立本项目的安全管理体系，项目安全管理大纲/手册报甲方审查批准后发布实施，安全奖惩制度等安全管理性的程序/制度文件须报甲方备案，相关文件如有升版，应及时分发甲方。</w:t>
      </w:r>
    </w:p>
    <w:p w14:paraId="30DA548A">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乙方保证现场的项目经理、安全管理专职人员、特种作业人员必须持有符合规定的安全生产培训考核合格证书。</w:t>
      </w:r>
    </w:p>
    <w:p w14:paraId="1AD82A67">
      <w:pPr>
        <w:pStyle w:val="71"/>
        <w:numPr>
          <w:ilvl w:val="0"/>
          <w:numId w:val="15"/>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乙方保证为现场所有工作人员配备符合国家标准的个人劳动保护用品。</w:t>
      </w:r>
    </w:p>
    <w:p w14:paraId="77CCADB5">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乙方保证按照国家法律规定为所有从业人员办理意外伤害保险、工伤保险，保额不低于当地赔付标准。</w:t>
      </w:r>
    </w:p>
    <w:p w14:paraId="055DE091">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乙方保证生活营地（包括自建的和租用的营地）满足消防、环保、安全用电、卫生防疫、防暴雨、防雷击、防台风等方面的安全标准。</w:t>
      </w:r>
    </w:p>
    <w:p w14:paraId="1CCED2F6">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乙方保证对入场大型施工机械、特种设备、工器具、大宗材料按照国家法规和标准进行检测、试验，并按规定持有法定部门出具的检验合格证书。</w:t>
      </w:r>
    </w:p>
    <w:p w14:paraId="3C6956FF">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开工前，乙方应组织人员对作业区域、作业环境及使用甲方提供的设施设备、工器具等进行检查，熟悉并确认符合安全要求。一经开工，就表示乙方已确认作业现场、作业环境、设施设备、工器具符合安全要求并处于安全状态。</w:t>
      </w:r>
    </w:p>
    <w:p w14:paraId="0E48A469">
      <w:pPr>
        <w:pStyle w:val="71"/>
        <w:numPr>
          <w:ilvl w:val="0"/>
          <w:numId w:val="1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保证作业现场符合甲方现场安全要求规范，保持作业现场的良好秩序和整洁的作业环境，作业现场的物料堆放要摆放整齐，安全标志和宣传标志要清楚醒目，废料、废物要按规定分类收集处置，安全通道要畅通。</w:t>
      </w:r>
    </w:p>
    <w:p w14:paraId="42DAA9FD">
      <w:pPr>
        <w:pStyle w:val="25"/>
        <w:spacing w:before="0" w:after="0" w:line="560" w:lineRule="exact"/>
        <w:jc w:val="left"/>
        <w:rPr>
          <w:rFonts w:ascii="宋体" w:hAnsi="宋体" w:eastAsia="宋体"/>
          <w:color w:val="000000"/>
          <w:sz w:val="24"/>
          <w:szCs w:val="24"/>
        </w:rPr>
      </w:pPr>
      <w:r>
        <w:rPr>
          <w:rFonts w:hint="eastAsia" w:ascii="宋体" w:hAnsi="宋体" w:eastAsia="宋体"/>
          <w:sz w:val="24"/>
          <w:szCs w:val="24"/>
        </w:rPr>
        <w:t>四、安全投入</w:t>
      </w:r>
    </w:p>
    <w:p w14:paraId="69B56656">
      <w:pPr>
        <w:pStyle w:val="71"/>
        <w:numPr>
          <w:ilvl w:val="0"/>
          <w:numId w:val="16"/>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乙方应按照法规要求对项目的安全投入做出合理、及时、足量的安排，保证有足够的资金用于建立、维护、改善作业安全环境条件和安全作业条件。</w:t>
      </w:r>
    </w:p>
    <w:p w14:paraId="4CC3F38C">
      <w:pPr>
        <w:pStyle w:val="71"/>
        <w:numPr>
          <w:ilvl w:val="0"/>
          <w:numId w:val="16"/>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必须建立专项资金管理机制，保证安全投入专款专用，及时投入，满足现场的安全需求，禁止挪用安全资金。若甲方发现乙方挪用安全资金，则甲方有权在合同支付中扣除，并返作安全投入资金，同时对乙方实施考核。</w:t>
      </w:r>
    </w:p>
    <w:p w14:paraId="44FF223A">
      <w:pPr>
        <w:pStyle w:val="71"/>
        <w:numPr>
          <w:ilvl w:val="0"/>
          <w:numId w:val="16"/>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乙方的安全投入项目清单如有遗漏，导致合同规定的安全投入专项资金不能满足“安全投入项目”资金需求时，乙方应从其他渠道安排资金，满足现场安全资金的需求。</w:t>
      </w:r>
    </w:p>
    <w:p w14:paraId="315BAB16">
      <w:pPr>
        <w:pStyle w:val="71"/>
        <w:numPr>
          <w:ilvl w:val="0"/>
          <w:numId w:val="16"/>
        </w:numPr>
        <w:snapToGrid w:val="0"/>
        <w:spacing w:line="560" w:lineRule="exact"/>
        <w:ind w:firstLineChars="0"/>
        <w:rPr>
          <w:rFonts w:ascii="宋体" w:hAnsi="宋体" w:eastAsia="宋体"/>
          <w:sz w:val="24"/>
          <w:szCs w:val="24"/>
        </w:rPr>
      </w:pPr>
      <w:r>
        <w:rPr>
          <w:rFonts w:hint="eastAsia" w:ascii="宋体" w:hAnsi="宋体" w:eastAsia="宋体"/>
          <w:snapToGrid w:val="0"/>
          <w:color w:val="000000"/>
          <w:sz w:val="24"/>
          <w:szCs w:val="24"/>
        </w:rPr>
        <w:t>甲方有权对安全投入的使用情况进行检查，乙方应予以配合。</w:t>
      </w:r>
    </w:p>
    <w:p w14:paraId="47EB73F3">
      <w:pPr>
        <w:pStyle w:val="25"/>
        <w:spacing w:before="0" w:after="0" w:line="560" w:lineRule="exact"/>
        <w:jc w:val="left"/>
        <w:rPr>
          <w:rFonts w:ascii="宋体" w:hAnsi="宋体" w:eastAsia="宋体"/>
          <w:sz w:val="24"/>
          <w:szCs w:val="24"/>
        </w:rPr>
      </w:pPr>
      <w:r>
        <w:rPr>
          <w:rFonts w:hint="eastAsia" w:ascii="宋体" w:hAnsi="宋体" w:eastAsia="宋体"/>
          <w:sz w:val="24"/>
          <w:szCs w:val="24"/>
        </w:rPr>
        <w:t>五、接口及协调</w:t>
      </w:r>
    </w:p>
    <w:p w14:paraId="0980A385">
      <w:pPr>
        <w:pStyle w:val="71"/>
        <w:numPr>
          <w:ilvl w:val="0"/>
          <w:numId w:val="17"/>
        </w:numPr>
        <w:spacing w:line="560" w:lineRule="exact"/>
        <w:ind w:right="199" w:rightChars="83" w:firstLineChars="0"/>
        <w:rPr>
          <w:rFonts w:ascii="宋体" w:hAnsi="宋体" w:eastAsia="宋体"/>
          <w:b/>
          <w:color w:val="000000"/>
          <w:sz w:val="24"/>
          <w:szCs w:val="24"/>
        </w:rPr>
      </w:pPr>
      <w:r>
        <w:rPr>
          <w:rFonts w:hint="eastAsia" w:ascii="宋体" w:hAnsi="宋体" w:eastAsia="宋体"/>
          <w:snapToGrid w:val="0"/>
          <w:color w:val="000000"/>
          <w:sz w:val="24"/>
          <w:szCs w:val="24"/>
        </w:rPr>
        <w:t>乙方必须符合甲方的安全规范，人员、车辆的出入，带入现场的设备、机具、材料，在现场使用的或直接管理的办公、生活、生产性设施的安全管理须满足甲方现场管理的基本要求。</w:t>
      </w:r>
    </w:p>
    <w:p w14:paraId="6210CECF">
      <w:pPr>
        <w:pStyle w:val="71"/>
        <w:numPr>
          <w:ilvl w:val="0"/>
          <w:numId w:val="1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乙方应指定专职（或兼职）安全管理人员与甲方接口，在业务上接受甲方的协调和指导，参与安全协调和管理。</w:t>
      </w:r>
    </w:p>
    <w:p w14:paraId="2754D6D4">
      <w:pPr>
        <w:pStyle w:val="71"/>
        <w:numPr>
          <w:ilvl w:val="0"/>
          <w:numId w:val="17"/>
        </w:numPr>
        <w:spacing w:line="560" w:lineRule="exact"/>
        <w:ind w:right="199" w:rightChars="83" w:firstLineChars="0"/>
        <w:rPr>
          <w:rFonts w:ascii="宋体" w:hAnsi="宋体" w:eastAsia="宋体"/>
          <w:b/>
          <w:color w:val="000000"/>
          <w:sz w:val="24"/>
          <w:szCs w:val="24"/>
        </w:rPr>
      </w:pPr>
      <w:r>
        <w:rPr>
          <w:rFonts w:hint="eastAsia" w:ascii="宋体" w:hAnsi="宋体" w:eastAsia="宋体"/>
          <w:snapToGrid w:val="0"/>
          <w:color w:val="000000"/>
          <w:sz w:val="24"/>
          <w:szCs w:val="24"/>
        </w:rPr>
        <w:t>乙方的安全管理人员应具备协调安全工作的能力和授权。甲方有权对安全管理人员的能力和权力做出评价，对于不能胜任的安全管理人员，甲方有权要求乙方换人。</w:t>
      </w:r>
    </w:p>
    <w:p w14:paraId="02E4A9D8">
      <w:pPr>
        <w:pStyle w:val="71"/>
        <w:numPr>
          <w:ilvl w:val="0"/>
          <w:numId w:val="17"/>
        </w:numPr>
        <w:spacing w:line="560" w:lineRule="exact"/>
        <w:ind w:right="199" w:rightChars="83" w:firstLineChars="0"/>
        <w:rPr>
          <w:rFonts w:ascii="宋体" w:hAnsi="宋体" w:eastAsia="宋体"/>
          <w:b/>
          <w:color w:val="000000"/>
          <w:sz w:val="24"/>
          <w:szCs w:val="24"/>
        </w:rPr>
      </w:pPr>
      <w:r>
        <w:rPr>
          <w:rFonts w:hint="eastAsia" w:ascii="宋体" w:hAnsi="宋体" w:eastAsia="宋体"/>
          <w:snapToGrid w:val="0"/>
          <w:color w:val="000000"/>
          <w:sz w:val="24"/>
          <w:szCs w:val="24"/>
        </w:rPr>
        <w:t>如合同内容出现较大变更，本协议的有关条款也应做出相应的修改。</w:t>
      </w:r>
    </w:p>
    <w:p w14:paraId="3ED85740">
      <w:pPr>
        <w:pStyle w:val="25"/>
        <w:spacing w:before="0" w:after="0" w:line="560" w:lineRule="exact"/>
        <w:jc w:val="left"/>
        <w:rPr>
          <w:rFonts w:ascii="宋体" w:hAnsi="宋体" w:eastAsia="宋体"/>
          <w:sz w:val="24"/>
          <w:szCs w:val="24"/>
        </w:rPr>
      </w:pPr>
      <w:r>
        <w:rPr>
          <w:rFonts w:hint="eastAsia" w:ascii="宋体" w:hAnsi="宋体" w:eastAsia="宋体"/>
          <w:sz w:val="24"/>
          <w:szCs w:val="24"/>
        </w:rPr>
        <w:t>六、安全资质审查</w:t>
      </w:r>
    </w:p>
    <w:p w14:paraId="1A295342">
      <w:pPr>
        <w:snapToGrid w:val="0"/>
        <w:spacing w:line="56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乙方在项目开工前5个工作日向甲方提供以下安全资质供审查和存档：</w:t>
      </w:r>
    </w:p>
    <w:p w14:paraId="622719EE">
      <w:pPr>
        <w:pStyle w:val="71"/>
        <w:numPr>
          <w:ilvl w:val="0"/>
          <w:numId w:val="18"/>
        </w:numPr>
        <w:spacing w:line="560" w:lineRule="exact"/>
        <w:ind w:right="199" w:rightChars="83"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项目经理及安全管理人员资质；</w:t>
      </w:r>
    </w:p>
    <w:p w14:paraId="1519B27D">
      <w:pPr>
        <w:pStyle w:val="71"/>
        <w:numPr>
          <w:ilvl w:val="0"/>
          <w:numId w:val="18"/>
        </w:numPr>
        <w:spacing w:line="560" w:lineRule="exact"/>
        <w:ind w:right="199" w:rightChars="83"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特种作业人员资格证书；</w:t>
      </w:r>
    </w:p>
    <w:p w14:paraId="45054F90">
      <w:pPr>
        <w:pStyle w:val="71"/>
        <w:numPr>
          <w:ilvl w:val="0"/>
          <w:numId w:val="18"/>
        </w:numPr>
        <w:spacing w:line="560" w:lineRule="exact"/>
        <w:ind w:right="199" w:rightChars="83"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适用于本项目的安全管理体系文件；</w:t>
      </w:r>
    </w:p>
    <w:p w14:paraId="783E68B3">
      <w:pPr>
        <w:pStyle w:val="71"/>
        <w:numPr>
          <w:ilvl w:val="0"/>
          <w:numId w:val="18"/>
        </w:numPr>
        <w:spacing w:line="560" w:lineRule="exact"/>
        <w:ind w:right="199" w:rightChars="83"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适用于本项目的《项目生产安全费用明细一览表》；</w:t>
      </w:r>
    </w:p>
    <w:p w14:paraId="257B4973">
      <w:pPr>
        <w:pStyle w:val="71"/>
        <w:numPr>
          <w:ilvl w:val="0"/>
          <w:numId w:val="18"/>
        </w:numPr>
        <w:spacing w:line="560" w:lineRule="exact"/>
        <w:ind w:right="199" w:rightChars="83"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近三年的安全无事故证明（针对建设施工单位）。</w:t>
      </w:r>
    </w:p>
    <w:p w14:paraId="13F469D5">
      <w:pPr>
        <w:pStyle w:val="25"/>
        <w:spacing w:before="0" w:after="0" w:line="560" w:lineRule="exact"/>
        <w:jc w:val="left"/>
        <w:rPr>
          <w:rFonts w:ascii="宋体" w:hAnsi="宋体" w:eastAsia="宋体"/>
          <w:sz w:val="24"/>
          <w:szCs w:val="24"/>
        </w:rPr>
      </w:pPr>
      <w:r>
        <w:rPr>
          <w:rFonts w:hint="eastAsia" w:ascii="宋体" w:hAnsi="宋体" w:eastAsia="宋体"/>
          <w:sz w:val="24"/>
          <w:szCs w:val="24"/>
        </w:rPr>
        <w:t>七、人员基本素质</w:t>
      </w:r>
    </w:p>
    <w:p w14:paraId="63B4BBB2">
      <w:pPr>
        <w:snapToGrid w:val="0"/>
        <w:spacing w:line="56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乙方提供的人员必须满足下列要求:</w:t>
      </w:r>
    </w:p>
    <w:p w14:paraId="6D93704C">
      <w:pPr>
        <w:pStyle w:val="71"/>
        <w:numPr>
          <w:ilvl w:val="0"/>
          <w:numId w:val="1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身体健康，无影响工作的高血压、心脏病、低血糖，无精神疾病、无传染病和其他重大疾病，年龄在</w:t>
      </w:r>
      <w:r>
        <w:rPr>
          <w:rFonts w:hint="eastAsia" w:ascii="宋体" w:hAnsi="宋体" w:eastAsia="宋体"/>
          <w:snapToGrid w:val="0"/>
          <w:color w:val="000000"/>
          <w:sz w:val="24"/>
          <w:szCs w:val="24"/>
          <w:u w:val="single"/>
        </w:rPr>
        <w:t>55</w:t>
      </w:r>
      <w:r>
        <w:rPr>
          <w:rFonts w:hint="eastAsia" w:ascii="宋体" w:hAnsi="宋体" w:eastAsia="宋体"/>
          <w:snapToGrid w:val="0"/>
          <w:color w:val="000000"/>
          <w:sz w:val="24"/>
          <w:szCs w:val="24"/>
        </w:rPr>
        <w:t>岁以下；在上岗前应提供符合甲方要求的体检报告以供审核评价，作为人员办理相应入场授权证件的必备材料；</w:t>
      </w:r>
    </w:p>
    <w:p w14:paraId="5395B44A">
      <w:pPr>
        <w:pStyle w:val="71"/>
        <w:numPr>
          <w:ilvl w:val="0"/>
          <w:numId w:val="1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无刑事案件牵连；</w:t>
      </w:r>
    </w:p>
    <w:p w14:paraId="40E8D51C">
      <w:pPr>
        <w:pStyle w:val="71"/>
        <w:numPr>
          <w:ilvl w:val="0"/>
          <w:numId w:val="1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无吸毒、酗酒、赌博、嫖娼等恶习及违法行为；</w:t>
      </w:r>
    </w:p>
    <w:p w14:paraId="1AA6F2BB">
      <w:pPr>
        <w:pStyle w:val="71"/>
        <w:numPr>
          <w:ilvl w:val="0"/>
          <w:numId w:val="1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甲方有权对乙方员工的基本素质情况进行检查，对不能满足要求的人员有权进行清理，对乙方则予以考核。</w:t>
      </w:r>
    </w:p>
    <w:p w14:paraId="206827FF">
      <w:pPr>
        <w:pStyle w:val="25"/>
        <w:spacing w:before="0" w:after="0" w:line="560" w:lineRule="exact"/>
        <w:jc w:val="left"/>
        <w:rPr>
          <w:rFonts w:ascii="宋体" w:hAnsi="宋体" w:eastAsia="宋体"/>
          <w:color w:val="000000"/>
          <w:sz w:val="24"/>
          <w:szCs w:val="24"/>
        </w:rPr>
      </w:pPr>
      <w:r>
        <w:rPr>
          <w:rFonts w:hint="eastAsia" w:ascii="宋体" w:hAnsi="宋体" w:eastAsia="宋体"/>
          <w:sz w:val="24"/>
          <w:szCs w:val="24"/>
        </w:rPr>
        <w:t>八、劳动保护</w:t>
      </w:r>
    </w:p>
    <w:p w14:paraId="69B611DA">
      <w:pPr>
        <w:pStyle w:val="71"/>
        <w:numPr>
          <w:ilvl w:val="0"/>
          <w:numId w:val="20"/>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乙方须为其从业人员提供符合国家标准的劳动保护用品，包括安全鞋、工作服和安全帽、安全带、防酸碱服和防酸碱手套、呼吸保护器、口罩、护目镜等。</w:t>
      </w:r>
    </w:p>
    <w:p w14:paraId="4804E830">
      <w:pPr>
        <w:pStyle w:val="71"/>
        <w:numPr>
          <w:ilvl w:val="0"/>
          <w:numId w:val="20"/>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乙方入场前将个人劳动保护用品配用标准交甲方审核。</w:t>
      </w:r>
    </w:p>
    <w:p w14:paraId="1C5A3BBD">
      <w:pPr>
        <w:pStyle w:val="71"/>
        <w:numPr>
          <w:ilvl w:val="0"/>
          <w:numId w:val="20"/>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乙方应为其从事射线探伤人员配备个人剂量计。</w:t>
      </w:r>
    </w:p>
    <w:p w14:paraId="1DE3B6BD">
      <w:pPr>
        <w:pStyle w:val="71"/>
        <w:numPr>
          <w:ilvl w:val="0"/>
          <w:numId w:val="20"/>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乙方的劳动保护必须满足甲方的劳动保护要求；甲方对乙方安全实施的情况进行检查，乙方应予以配合,不满足安全条件的，甲方有权中止现场活动，由此产生的工期和成本的影响,由乙方自行负责。</w:t>
      </w:r>
    </w:p>
    <w:p w14:paraId="2A5C399C">
      <w:pPr>
        <w:pStyle w:val="71"/>
        <w:numPr>
          <w:ilvl w:val="0"/>
          <w:numId w:val="20"/>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开工前应组织全体施工人员认真学习《中华人民共和国安全生产法》、《电力安全工作规程》、《电力建设安全工作规程》、甲方安健环管理规章制度等规定中的相关部分，经考试合格方可进行工作，并将考试成绩书面报甲方项目公司审核备案。若发生人员变更，在进入现场前，保证遵照以上程序办理报备。</w:t>
      </w:r>
    </w:p>
    <w:p w14:paraId="79195C8D">
      <w:pPr>
        <w:pStyle w:val="71"/>
        <w:numPr>
          <w:ilvl w:val="0"/>
          <w:numId w:val="20"/>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乙方负责所属工作人员着装整齐，符合《电力安全工作规程》着装规定，佩戴《出入证》和反光马甲。乙方保证不使用未成年工和不适应现场安全施工的老、弱、病、残等人员进行施工。</w:t>
      </w:r>
    </w:p>
    <w:p w14:paraId="018E5117">
      <w:pPr>
        <w:pStyle w:val="25"/>
        <w:spacing w:before="0" w:after="0" w:line="560" w:lineRule="exact"/>
        <w:jc w:val="left"/>
        <w:rPr>
          <w:rFonts w:ascii="宋体" w:hAnsi="宋体" w:eastAsia="宋体"/>
          <w:sz w:val="24"/>
          <w:szCs w:val="24"/>
        </w:rPr>
      </w:pPr>
      <w:r>
        <w:rPr>
          <w:rFonts w:hint="eastAsia" w:ascii="宋体" w:hAnsi="宋体" w:eastAsia="宋体"/>
          <w:sz w:val="24"/>
          <w:szCs w:val="24"/>
        </w:rPr>
        <w:t>九、作业机具与材料</w:t>
      </w:r>
    </w:p>
    <w:p w14:paraId="353754D3">
      <w:pPr>
        <w:pStyle w:val="71"/>
        <w:numPr>
          <w:ilvl w:val="0"/>
          <w:numId w:val="21"/>
        </w:numPr>
        <w:spacing w:line="560" w:lineRule="exact"/>
        <w:ind w:firstLineChars="0"/>
        <w:rPr>
          <w:rFonts w:ascii="宋体" w:hAnsi="宋体" w:eastAsia="宋体"/>
          <w:b/>
          <w:color w:val="000000"/>
          <w:sz w:val="24"/>
          <w:szCs w:val="24"/>
        </w:rPr>
      </w:pPr>
      <w:r>
        <w:rPr>
          <w:rFonts w:hint="eastAsia" w:ascii="宋体" w:hAnsi="宋体" w:eastAsia="宋体"/>
          <w:snapToGrid w:val="0"/>
          <w:color w:val="000000"/>
          <w:sz w:val="24"/>
          <w:szCs w:val="24"/>
        </w:rPr>
        <w:t>乙方对带入现场的作业机械和工器具的安全可靠性负责。</w:t>
      </w:r>
    </w:p>
    <w:p w14:paraId="646925FF">
      <w:pPr>
        <w:pStyle w:val="71"/>
        <w:numPr>
          <w:ilvl w:val="0"/>
          <w:numId w:val="21"/>
        </w:numPr>
        <w:spacing w:line="560" w:lineRule="exact"/>
        <w:ind w:firstLineChars="0"/>
        <w:rPr>
          <w:rFonts w:ascii="宋体" w:hAnsi="宋体" w:eastAsia="宋体"/>
          <w:b/>
          <w:color w:val="000000"/>
          <w:sz w:val="24"/>
          <w:szCs w:val="24"/>
        </w:rPr>
      </w:pPr>
      <w:r>
        <w:rPr>
          <w:rFonts w:hint="eastAsia" w:ascii="宋体" w:hAnsi="宋体" w:eastAsia="宋体"/>
          <w:snapToGrid w:val="0"/>
          <w:color w:val="000000"/>
          <w:sz w:val="24"/>
          <w:szCs w:val="24"/>
        </w:rPr>
        <w:t>对于乙方带入现场的特殊工器具、设备，如起重设备、索具、机动车辆、压缩气瓶等，乙方必须按国家法规和标准进行检测、试验，并按规定持有法定部门出具的检验合格证书。</w:t>
      </w:r>
    </w:p>
    <w:p w14:paraId="77CCD353">
      <w:pPr>
        <w:pStyle w:val="71"/>
        <w:numPr>
          <w:ilvl w:val="0"/>
          <w:numId w:val="21"/>
        </w:numPr>
        <w:spacing w:line="560" w:lineRule="exact"/>
        <w:ind w:firstLineChars="0"/>
        <w:rPr>
          <w:rFonts w:ascii="宋体" w:hAnsi="宋体" w:eastAsia="宋体"/>
          <w:b/>
          <w:color w:val="000000"/>
          <w:sz w:val="24"/>
          <w:szCs w:val="24"/>
        </w:rPr>
      </w:pPr>
      <w:r>
        <w:rPr>
          <w:rFonts w:hint="eastAsia" w:ascii="宋体" w:hAnsi="宋体" w:eastAsia="宋体"/>
          <w:snapToGrid w:val="0"/>
          <w:color w:val="000000"/>
          <w:sz w:val="24"/>
          <w:szCs w:val="24"/>
        </w:rPr>
        <w:t>对于不属于法定检测的工器具，乙方也必须建立相应的管理、检测制度。</w:t>
      </w:r>
    </w:p>
    <w:p w14:paraId="6DE0A3FA">
      <w:pPr>
        <w:pStyle w:val="25"/>
        <w:spacing w:before="0" w:after="0" w:line="560" w:lineRule="exact"/>
        <w:jc w:val="left"/>
        <w:rPr>
          <w:rFonts w:ascii="宋体" w:hAnsi="宋体" w:eastAsia="宋体"/>
          <w:sz w:val="24"/>
          <w:szCs w:val="24"/>
        </w:rPr>
      </w:pPr>
      <w:r>
        <w:rPr>
          <w:rFonts w:hint="eastAsia" w:ascii="宋体" w:hAnsi="宋体" w:eastAsia="宋体"/>
          <w:sz w:val="24"/>
          <w:szCs w:val="24"/>
        </w:rPr>
        <w:t>十、安全监督</w:t>
      </w:r>
    </w:p>
    <w:p w14:paraId="2F5BBAD2">
      <w:pPr>
        <w:pStyle w:val="71"/>
        <w:numPr>
          <w:ilvl w:val="0"/>
          <w:numId w:val="22"/>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乙方应设安全监督机构，建立、健全安全、消防、应急、环保、职业健康等管理体系。配备有满足项目安全管理需要的安全管理人员，并持证上岗。</w:t>
      </w:r>
    </w:p>
    <w:p w14:paraId="64078B6F">
      <w:pPr>
        <w:pStyle w:val="71"/>
        <w:numPr>
          <w:ilvl w:val="0"/>
          <w:numId w:val="22"/>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乙方的安全管理专职人员必须经过甲方考核，且常驻现场；乙方的专职安全监督人员在业务上接受甲方的协调和指导。</w:t>
      </w:r>
    </w:p>
    <w:p w14:paraId="592D95EA">
      <w:pPr>
        <w:pStyle w:val="71"/>
        <w:numPr>
          <w:ilvl w:val="0"/>
          <w:numId w:val="22"/>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乙方应定期开展安全生产自我评估，开展经验反馈活动和日常安全宣传教育，传达甲方的安全要求和信息、对本单位的风险和安全指标趋势进行分析和预测，提出安全工作重点，并向甲方提供评估报告。</w:t>
      </w:r>
    </w:p>
    <w:p w14:paraId="3F643234">
      <w:pPr>
        <w:pStyle w:val="71"/>
        <w:numPr>
          <w:ilvl w:val="0"/>
          <w:numId w:val="22"/>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乙方应接受和配合甲方的监督与安全评估。</w:t>
      </w:r>
    </w:p>
    <w:p w14:paraId="4740BAC8">
      <w:pPr>
        <w:pStyle w:val="71"/>
        <w:numPr>
          <w:ilvl w:val="0"/>
          <w:numId w:val="22"/>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甲方有权对乙方履行安全条款的情况进行监督，并有权对违章行为进行考核。</w:t>
      </w:r>
    </w:p>
    <w:p w14:paraId="030BA551">
      <w:pPr>
        <w:pStyle w:val="25"/>
        <w:spacing w:before="0" w:after="0" w:line="560" w:lineRule="exact"/>
        <w:jc w:val="left"/>
        <w:rPr>
          <w:rFonts w:ascii="宋体" w:hAnsi="宋体" w:eastAsia="宋体"/>
          <w:sz w:val="24"/>
          <w:szCs w:val="24"/>
        </w:rPr>
      </w:pPr>
      <w:r>
        <w:rPr>
          <w:rFonts w:hint="eastAsia" w:ascii="宋体" w:hAnsi="宋体" w:eastAsia="宋体"/>
          <w:sz w:val="24"/>
          <w:szCs w:val="24"/>
        </w:rPr>
        <w:t>十一、安全培训与授权</w:t>
      </w:r>
    </w:p>
    <w:p w14:paraId="04034DF6">
      <w:pPr>
        <w:pStyle w:val="71"/>
        <w:numPr>
          <w:ilvl w:val="0"/>
          <w:numId w:val="23"/>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乙方所有特种作业人员必须持证上岗，甲方有权对其进行抽查。乙方要建立特种作业定期培训和检查计划，这些工种包括但不限于：高压焊工、起重工、电工、架子工等。</w:t>
      </w:r>
    </w:p>
    <w:p w14:paraId="0CA6A4CD">
      <w:pPr>
        <w:pStyle w:val="71"/>
        <w:numPr>
          <w:ilvl w:val="0"/>
          <w:numId w:val="23"/>
        </w:numPr>
        <w:spacing w:line="560" w:lineRule="exact"/>
        <w:ind w:firstLineChars="0"/>
        <w:rPr>
          <w:rFonts w:ascii="宋体" w:hAnsi="宋体" w:eastAsia="宋体"/>
          <w:b/>
          <w:color w:val="000000"/>
          <w:sz w:val="24"/>
          <w:szCs w:val="24"/>
        </w:rPr>
      </w:pPr>
      <w:r>
        <w:rPr>
          <w:rFonts w:hint="eastAsia" w:ascii="宋体" w:hAnsi="宋体" w:eastAsia="宋体"/>
          <w:snapToGrid w:val="0"/>
          <w:color w:val="000000"/>
          <w:sz w:val="24"/>
          <w:szCs w:val="24"/>
        </w:rPr>
        <w:t>由乙方负责其员工安全、消防、应急、环保、职业健康培训和授权的，其培训大纲、教材内容、教员资格等提交甲方审核。甲方有权对乙方培训质量进行检查，对不符合要求的人员，将不能进入现场工作。</w:t>
      </w:r>
    </w:p>
    <w:p w14:paraId="21838CD0">
      <w:pPr>
        <w:pStyle w:val="25"/>
        <w:spacing w:before="0" w:after="0" w:line="560" w:lineRule="exact"/>
        <w:jc w:val="left"/>
        <w:rPr>
          <w:rFonts w:ascii="宋体" w:hAnsi="宋体" w:eastAsia="宋体"/>
          <w:sz w:val="24"/>
          <w:szCs w:val="24"/>
        </w:rPr>
      </w:pPr>
      <w:r>
        <w:rPr>
          <w:rFonts w:hint="eastAsia" w:ascii="宋体" w:hAnsi="宋体" w:eastAsia="宋体"/>
          <w:sz w:val="24"/>
          <w:szCs w:val="24"/>
        </w:rPr>
        <w:t>十二、入场控制</w:t>
      </w:r>
    </w:p>
    <w:p w14:paraId="7DE8C33D">
      <w:pPr>
        <w:pStyle w:val="71"/>
        <w:numPr>
          <w:ilvl w:val="0"/>
          <w:numId w:val="24"/>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甲方对乙方安全准备的情况进行检查。不满足开工安全条件的，乙方不得入场，由此产生的工期和成本的影响，由乙方自行负责。</w:t>
      </w:r>
    </w:p>
    <w:p w14:paraId="4C0600F8">
      <w:pPr>
        <w:pStyle w:val="71"/>
        <w:numPr>
          <w:ilvl w:val="0"/>
          <w:numId w:val="24"/>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入场前安全检查的基本内容包括：安全责任制建设、安全投入、危险源识别和风险分析、施工机械的安全状况、安全工器具和材料、安全培训教材和教员、专职安全人员的到岗情况、培训的有效性、流动人员控制、个人劳动保护用品的发放等内容。</w:t>
      </w:r>
    </w:p>
    <w:p w14:paraId="34128886">
      <w:pPr>
        <w:pStyle w:val="25"/>
        <w:spacing w:before="0" w:after="0" w:line="560" w:lineRule="exact"/>
        <w:jc w:val="both"/>
        <w:rPr>
          <w:rFonts w:ascii="宋体" w:hAnsi="宋体" w:eastAsia="宋体"/>
          <w:sz w:val="24"/>
          <w:szCs w:val="24"/>
        </w:rPr>
      </w:pPr>
      <w:r>
        <w:rPr>
          <w:rFonts w:hint="eastAsia" w:ascii="宋体" w:hAnsi="宋体" w:eastAsia="宋体"/>
          <w:sz w:val="24"/>
          <w:szCs w:val="24"/>
        </w:rPr>
        <w:t>十三、职业健康与卫生防疫</w:t>
      </w:r>
    </w:p>
    <w:p w14:paraId="756CB6CE">
      <w:pPr>
        <w:pStyle w:val="71"/>
        <w:numPr>
          <w:ilvl w:val="0"/>
          <w:numId w:val="25"/>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乙方应有特殊健康检查制度，预防有禁忌症患者从事有关职业，如恐高症患者不得从事高空作业，特种作业人员的体检应符合国家的规定。杜绝体检不合格或犯职业禁忌症人员上岗。</w:t>
      </w:r>
    </w:p>
    <w:p w14:paraId="7C21C848">
      <w:pPr>
        <w:pStyle w:val="71"/>
        <w:numPr>
          <w:ilvl w:val="0"/>
          <w:numId w:val="2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乙方应保证卫生防疫基本设施的投入，以满足医疗、急救的要求。</w:t>
      </w:r>
    </w:p>
    <w:p w14:paraId="61BBEDA3">
      <w:pPr>
        <w:pStyle w:val="71"/>
        <w:numPr>
          <w:ilvl w:val="0"/>
          <w:numId w:val="25"/>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建立卫生防疫措施计划，做好生活区和作业区的卫生防疫工作；制定和执行保证饮水卫生、饮食卫生、环境卫生和预防集体食物中毒的措施；有灭蚊、灭鼠和消毒的专项工作计划；有针对性地制订预防SARS、冠状病毒肺炎、禽流感、疟疾、霍乱、肠道传染病、肝炎等疾病的措施。</w:t>
      </w:r>
    </w:p>
    <w:p w14:paraId="65122B7E">
      <w:pPr>
        <w:pStyle w:val="25"/>
        <w:spacing w:before="0" w:after="0" w:line="560" w:lineRule="exact"/>
        <w:jc w:val="left"/>
        <w:rPr>
          <w:rFonts w:ascii="宋体" w:hAnsi="宋体" w:eastAsia="宋体"/>
          <w:sz w:val="24"/>
          <w:szCs w:val="24"/>
        </w:rPr>
      </w:pPr>
      <w:r>
        <w:rPr>
          <w:rFonts w:hint="eastAsia" w:ascii="宋体" w:hAnsi="宋体" w:eastAsia="宋体"/>
          <w:sz w:val="24"/>
          <w:szCs w:val="24"/>
        </w:rPr>
        <w:t>十四、项目风险管理与事故预防</w:t>
      </w:r>
    </w:p>
    <w:p w14:paraId="19EF1912">
      <w:pPr>
        <w:pStyle w:val="71"/>
        <w:numPr>
          <w:ilvl w:val="0"/>
          <w:numId w:val="26"/>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乙方应对作业过程进行全面、深入的危险源识别和风险分析。在作业安全组织设计中提供危险源及重要危险源清单、作业风险分析报告，该报告应包括（但不限于）如下信息：</w:t>
      </w:r>
    </w:p>
    <w:p w14:paraId="4A55DE6B">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高风险作业和工种清单：作业名称、这些作业工种的类别和数量、主要事故风险。</w:t>
      </w:r>
    </w:p>
    <w:p w14:paraId="043923AD">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作业机械的种类、数量和主要事故风险。</w:t>
      </w:r>
    </w:p>
    <w:p w14:paraId="5F5B5313">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作业条件的类型和主要事故风险。</w:t>
      </w:r>
    </w:p>
    <w:p w14:paraId="580A145B">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主要工艺过程（或作业活动）的类别及其相关的事故风险。</w:t>
      </w:r>
    </w:p>
    <w:p w14:paraId="1322EFD6">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主要火灾危险（可燃物、点火源）。</w:t>
      </w:r>
    </w:p>
    <w:p w14:paraId="6E155C23">
      <w:pPr>
        <w:pStyle w:val="71"/>
        <w:numPr>
          <w:ilvl w:val="0"/>
          <w:numId w:val="27"/>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其他。</w:t>
      </w:r>
    </w:p>
    <w:p w14:paraId="76E48D2B">
      <w:pPr>
        <w:pStyle w:val="71"/>
        <w:numPr>
          <w:ilvl w:val="0"/>
          <w:numId w:val="26"/>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乙方应针对识别出的危险源制定有针对性的事故预防措施并确保在作业中得到有效落实。</w:t>
      </w:r>
    </w:p>
    <w:p w14:paraId="3F9DD3D7">
      <w:pPr>
        <w:pStyle w:val="71"/>
        <w:numPr>
          <w:ilvl w:val="0"/>
          <w:numId w:val="26"/>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乙方应建立日常作业活动的动态作业风险分析和安全交底制度。该制度应明确规定风险分析的方法、责任和交底的内容、时间及记录。</w:t>
      </w:r>
    </w:p>
    <w:p w14:paraId="67230BBB">
      <w:pPr>
        <w:pStyle w:val="71"/>
        <w:numPr>
          <w:ilvl w:val="0"/>
          <w:numId w:val="26"/>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对于危险性较大的施工、维修作业，乙方必须专门制定施工安全方案，并报甲方备案。甲方认为不合格的方案，有权要求乙方重新进行制定，新方案批准前不得开工。开工前，对作业组成员开展安全技术交底。</w:t>
      </w:r>
    </w:p>
    <w:p w14:paraId="15EC1843">
      <w:pPr>
        <w:pStyle w:val="25"/>
        <w:spacing w:before="0" w:after="0" w:line="560" w:lineRule="exact"/>
        <w:jc w:val="left"/>
        <w:rPr>
          <w:rFonts w:ascii="宋体" w:hAnsi="宋体" w:eastAsia="宋体"/>
          <w:sz w:val="24"/>
          <w:szCs w:val="24"/>
        </w:rPr>
      </w:pPr>
      <w:r>
        <w:rPr>
          <w:rFonts w:hint="eastAsia" w:ascii="宋体" w:hAnsi="宋体" w:eastAsia="宋体"/>
          <w:sz w:val="24"/>
          <w:szCs w:val="24"/>
        </w:rPr>
        <w:t>十五、事故报告与应急救援</w:t>
      </w:r>
    </w:p>
    <w:p w14:paraId="08F5B7F9">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乙方应建立安全事故统计记录、医学处置事件统计记录、未遂事件统计记录、违章统计记录，并根据统计情况进行分析，并就分析结果制定相应的预防措施。</w:t>
      </w:r>
    </w:p>
    <w:p w14:paraId="42B69B24">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乙方应根据《电力安全隐患监督管理暂行规定》等规定要求建立安全隐患统计记录，并根据统计情况进行分析，并就分析结果制定相应的预防措施。</w:t>
      </w:r>
    </w:p>
    <w:p w14:paraId="0E214D00">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建立生产安全事件报告准则；对于未遂事件及以上级别的安全事件和事故，应建立事故快速报告制度，即在事件、事故发生后，立即口头报告甲方。在事件发生后的24小时以内，向甲方发出书面安全事件通告。</w:t>
      </w:r>
    </w:p>
    <w:p w14:paraId="42B8E71C">
      <w:pPr>
        <w:pStyle w:val="71"/>
        <w:numPr>
          <w:ilvl w:val="0"/>
          <w:numId w:val="28"/>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乙方应制定安全生产事故/事件管理程序，发生事故/事件后要及时向甲方报告，不得瞒报、漏报、谎报和迟报。</w:t>
      </w:r>
    </w:p>
    <w:p w14:paraId="3DB56E91">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应根据国家相关法规、文件规定和甲方相关管理程序要求，建立应急管理体系和应急救援机制，制定本单位突发事件应急预案和核事故应急撤离计划，准备并保障相应的应急物资，严格按照甲方的要求及时报送应急值班信息和本单位人员、资源等信息，在事故情况下及时启动应急响应机制，及时报告相关信息，并采取措施限制事故扩大,必要时接受甲方的统一协调和指挥。</w:t>
      </w:r>
    </w:p>
    <w:p w14:paraId="5823E736">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在现场其他单位发生重大事故时，乙方应无条件立即配合、支持事故抢险。</w:t>
      </w:r>
    </w:p>
    <w:p w14:paraId="00813FE7">
      <w:pPr>
        <w:pStyle w:val="71"/>
        <w:numPr>
          <w:ilvl w:val="0"/>
          <w:numId w:val="28"/>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乙方必须为事故处置支付各项费用，包括受伤者的抚恤、补偿等费用，对甲方造成损失的，造价赔偿。</w:t>
      </w:r>
    </w:p>
    <w:p w14:paraId="19A21735">
      <w:pPr>
        <w:pStyle w:val="71"/>
        <w:numPr>
          <w:ilvl w:val="0"/>
          <w:numId w:val="28"/>
        </w:numPr>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涉及乙方员工的伤害事故，乙方除要报告甲方外，还应负责按照国家、行业和本单位上级公司的要求，上报事故。</w:t>
      </w:r>
    </w:p>
    <w:p w14:paraId="5C3485D0">
      <w:pPr>
        <w:pStyle w:val="71"/>
        <w:numPr>
          <w:ilvl w:val="0"/>
          <w:numId w:val="28"/>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乙方负责组织事件调查的，甲方有权参与。</w:t>
      </w:r>
    </w:p>
    <w:p w14:paraId="0FE9D694">
      <w:pPr>
        <w:pStyle w:val="25"/>
        <w:spacing w:before="0" w:after="0" w:line="560" w:lineRule="exact"/>
        <w:jc w:val="left"/>
        <w:rPr>
          <w:rFonts w:ascii="宋体" w:hAnsi="宋体" w:eastAsia="宋体"/>
          <w:sz w:val="24"/>
          <w:szCs w:val="24"/>
        </w:rPr>
      </w:pPr>
      <w:r>
        <w:rPr>
          <w:rFonts w:hint="eastAsia" w:ascii="宋体" w:hAnsi="宋体" w:eastAsia="宋体"/>
          <w:sz w:val="24"/>
          <w:szCs w:val="24"/>
        </w:rPr>
        <w:t>十六、协议条款的修订</w:t>
      </w:r>
    </w:p>
    <w:p w14:paraId="20CDACD4">
      <w:pPr>
        <w:pStyle w:val="71"/>
        <w:numPr>
          <w:ilvl w:val="0"/>
          <w:numId w:val="2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在项目实施过程中，经双方友好协商，本协议的有关条款也可做出相应的修改。</w:t>
      </w:r>
    </w:p>
    <w:p w14:paraId="2F383DB5">
      <w:pPr>
        <w:pStyle w:val="71"/>
        <w:numPr>
          <w:ilvl w:val="0"/>
          <w:numId w:val="29"/>
        </w:numPr>
        <w:snapToGrid w:val="0"/>
        <w:spacing w:line="56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本协议自合同生效日起实施，甲方保留最终解释权。</w:t>
      </w:r>
    </w:p>
    <w:p w14:paraId="5BE85A5A">
      <w:pPr>
        <w:pStyle w:val="25"/>
        <w:spacing w:before="0" w:after="0" w:line="560" w:lineRule="exact"/>
        <w:jc w:val="left"/>
        <w:rPr>
          <w:rFonts w:ascii="宋体" w:hAnsi="宋体" w:eastAsia="宋体"/>
          <w:sz w:val="24"/>
          <w:szCs w:val="24"/>
        </w:rPr>
      </w:pPr>
      <w:r>
        <w:rPr>
          <w:rFonts w:hint="eastAsia" w:ascii="宋体" w:hAnsi="宋体" w:eastAsia="宋体"/>
          <w:sz w:val="24"/>
          <w:szCs w:val="24"/>
        </w:rPr>
        <w:t>十七、附件</w:t>
      </w:r>
    </w:p>
    <w:p w14:paraId="01236A3D">
      <w:pPr>
        <w:pStyle w:val="25"/>
        <w:spacing w:before="0" w:after="0" w:line="560" w:lineRule="exact"/>
        <w:jc w:val="left"/>
        <w:rPr>
          <w:rFonts w:ascii="宋体" w:hAnsi="宋体" w:eastAsia="宋体"/>
          <w:b w:val="0"/>
          <w:bCs w:val="0"/>
          <w:sz w:val="24"/>
          <w:szCs w:val="24"/>
        </w:rPr>
      </w:pPr>
      <w:r>
        <w:rPr>
          <w:rFonts w:hint="eastAsia" w:ascii="宋体" w:hAnsi="宋体" w:eastAsia="宋体"/>
          <w:b w:val="0"/>
          <w:bCs w:val="0"/>
          <w:sz w:val="24"/>
          <w:szCs w:val="24"/>
        </w:rPr>
        <w:t>附件1：考核指标定义</w:t>
      </w:r>
    </w:p>
    <w:p w14:paraId="758C00FB">
      <w:pPr>
        <w:pStyle w:val="25"/>
        <w:spacing w:before="0" w:after="0" w:line="560" w:lineRule="exact"/>
        <w:jc w:val="left"/>
        <w:rPr>
          <w:rFonts w:ascii="宋体" w:hAnsi="宋体" w:eastAsia="宋体"/>
          <w:b w:val="0"/>
          <w:bCs w:val="0"/>
          <w:sz w:val="24"/>
          <w:szCs w:val="24"/>
        </w:rPr>
      </w:pPr>
      <w:r>
        <w:rPr>
          <w:rFonts w:hint="eastAsia" w:ascii="宋体" w:hAnsi="宋体" w:eastAsia="宋体"/>
          <w:b w:val="0"/>
          <w:bCs w:val="0"/>
          <w:sz w:val="24"/>
          <w:szCs w:val="24"/>
        </w:rPr>
        <w:t>附件2：考核条款</w:t>
      </w:r>
    </w:p>
    <w:p w14:paraId="46CA1B86">
      <w:pPr>
        <w:tabs>
          <w:tab w:val="center" w:pos="4433"/>
        </w:tabs>
        <w:spacing w:line="560" w:lineRule="exact"/>
        <w:ind w:firstLine="480" w:firstLineChars="200"/>
        <w:rPr>
          <w:rFonts w:ascii="宋体" w:hAnsi="宋体" w:eastAsia="宋体" w:cs="宋体"/>
          <w:sz w:val="24"/>
        </w:rPr>
      </w:pPr>
      <w:r>
        <w:rPr>
          <w:rFonts w:hint="eastAsia" w:ascii="宋体" w:hAnsi="宋体" w:eastAsia="宋体" w:cs="宋体"/>
          <w:sz w:val="24"/>
        </w:rPr>
        <w:t>本协议一式</w:t>
      </w:r>
      <w:r>
        <w:rPr>
          <w:rFonts w:hint="eastAsia" w:ascii="宋体" w:hAnsi="宋体" w:eastAsia="宋体" w:cs="宋体"/>
          <w:sz w:val="24"/>
          <w:lang w:val="en-US" w:eastAsia="zh-CN"/>
        </w:rPr>
        <w:t>伍</w:t>
      </w:r>
      <w:r>
        <w:rPr>
          <w:rFonts w:hint="eastAsia" w:ascii="宋体" w:hAnsi="宋体" w:eastAsia="宋体" w:cs="宋体"/>
          <w:sz w:val="24"/>
        </w:rPr>
        <w:t>份，经双方法定代表人或委托代理人签字、盖章后生效，与合同（合同编号：        ）具有同等法律效率。本协议一式</w:t>
      </w:r>
      <w:r>
        <w:rPr>
          <w:rFonts w:hint="eastAsia" w:ascii="宋体" w:hAnsi="宋体" w:eastAsia="宋体" w:cs="宋体"/>
          <w:sz w:val="24"/>
          <w:lang w:val="en-US" w:eastAsia="zh-CN"/>
        </w:rPr>
        <w:t>伍</w:t>
      </w:r>
      <w:r>
        <w:rPr>
          <w:rFonts w:hint="eastAsia" w:ascii="宋体" w:hAnsi="宋体" w:eastAsia="宋体" w:cs="宋体"/>
          <w:sz w:val="24"/>
        </w:rPr>
        <w:t>份，甲</w:t>
      </w:r>
      <w:r>
        <w:rPr>
          <w:rFonts w:hint="eastAsia" w:ascii="宋体" w:hAnsi="宋体" w:eastAsia="宋体" w:cs="宋体"/>
          <w:sz w:val="24"/>
          <w:lang w:val="en-US" w:eastAsia="zh-CN"/>
        </w:rPr>
        <w:t>方执三份</w:t>
      </w:r>
      <w:r>
        <w:rPr>
          <w:rFonts w:hint="eastAsia" w:ascii="宋体" w:hAnsi="宋体" w:eastAsia="宋体" w:cs="宋体"/>
          <w:sz w:val="24"/>
        </w:rPr>
        <w:t>、乙</w:t>
      </w:r>
      <w:r>
        <w:rPr>
          <w:rFonts w:hint="eastAsia" w:ascii="宋体" w:hAnsi="宋体" w:eastAsia="宋体" w:cs="宋体"/>
          <w:sz w:val="24"/>
          <w:lang w:val="en-US" w:eastAsia="zh-CN"/>
        </w:rPr>
        <w:t>方贰</w:t>
      </w:r>
      <w:r>
        <w:rPr>
          <w:rFonts w:hint="eastAsia" w:ascii="宋体" w:hAnsi="宋体" w:eastAsia="宋体" w:cs="宋体"/>
          <w:sz w:val="24"/>
        </w:rPr>
        <w:t>份。</w:t>
      </w:r>
    </w:p>
    <w:p w14:paraId="6FED26BC">
      <w:pPr>
        <w:tabs>
          <w:tab w:val="center" w:pos="4433"/>
        </w:tabs>
        <w:spacing w:line="560" w:lineRule="exact"/>
        <w:rPr>
          <w:rFonts w:ascii="仿宋_GB2312" w:eastAsia="仿宋_GB2312"/>
          <w:sz w:val="24"/>
        </w:rPr>
      </w:pPr>
    </w:p>
    <w:p w14:paraId="34B42A76">
      <w:pPr>
        <w:spacing w:line="560" w:lineRule="exact"/>
        <w:rPr>
          <w:rFonts w:ascii="宋体" w:hAnsi="宋体" w:eastAsia="宋体" w:cs="宋体"/>
          <w:bCs/>
          <w:color w:val="FFFFFF"/>
          <w:sz w:val="24"/>
        </w:rPr>
      </w:pPr>
      <w:r>
        <w:rPr>
          <w:rFonts w:hint="eastAsia" w:ascii="宋体" w:hAnsi="宋体" w:eastAsia="宋体" w:cs="宋体"/>
          <w:bCs/>
          <w:sz w:val="24"/>
        </w:rPr>
        <w:t>发包单位：</w:t>
      </w:r>
      <w:r>
        <w:rPr>
          <w:rFonts w:hint="eastAsia" w:ascii="宋体" w:hAnsi="宋体" w:eastAsia="宋体"/>
          <w:bCs/>
          <w:spacing w:val="-10"/>
          <w:sz w:val="24"/>
          <w:u w:val="single"/>
        </w:rPr>
        <w:t>东莞市新东元环保投资有限公司</w:t>
      </w:r>
      <w:r>
        <w:rPr>
          <w:rFonts w:hint="eastAsia" w:ascii="宋体" w:hAnsi="宋体" w:eastAsia="宋体" w:cs="宋体"/>
          <w:bCs/>
          <w:spacing w:val="-10"/>
          <w:sz w:val="24"/>
        </w:rPr>
        <w:t xml:space="preserve">  </w:t>
      </w:r>
      <w:r>
        <w:rPr>
          <w:rFonts w:hint="eastAsia" w:ascii="宋体" w:hAnsi="宋体" w:eastAsia="宋体" w:cs="宋体"/>
          <w:bCs/>
          <w:sz w:val="24"/>
        </w:rPr>
        <w:t xml:space="preserve">  承包单位：</w:t>
      </w:r>
      <w:r>
        <w:rPr>
          <w:rFonts w:hint="eastAsia" w:ascii="宋体" w:hAnsi="宋体" w:eastAsia="宋体" w:cs="宋体"/>
          <w:bCs/>
          <w:color w:val="FFFFFF"/>
          <w:sz w:val="24"/>
        </w:rPr>
        <w:t xml:space="preserve"> </w:t>
      </w:r>
    </w:p>
    <w:p w14:paraId="382A8F60">
      <w:pPr>
        <w:spacing w:line="560" w:lineRule="exact"/>
        <w:rPr>
          <w:rFonts w:ascii="宋体" w:hAnsi="宋体" w:eastAsia="宋体" w:cs="宋体"/>
          <w:bCs/>
          <w:sz w:val="24"/>
        </w:rPr>
      </w:pPr>
      <w:bookmarkStart w:id="60" w:name="_GoBack"/>
      <w:bookmarkEnd w:id="60"/>
      <w:r>
        <w:rPr>
          <w:rFonts w:hint="eastAsia" w:ascii="宋体" w:hAnsi="宋体" w:eastAsia="宋体" w:cs="宋体"/>
          <w:bCs/>
          <w:sz w:val="24"/>
        </w:rPr>
        <w:t>（盖章）                              （盖章）</w:t>
      </w:r>
    </w:p>
    <w:p w14:paraId="1230715E">
      <w:pPr>
        <w:spacing w:line="560" w:lineRule="exact"/>
        <w:rPr>
          <w:rFonts w:ascii="宋体" w:hAnsi="宋体" w:eastAsia="宋体" w:cs="宋体"/>
          <w:bCs/>
          <w:sz w:val="24"/>
        </w:rPr>
      </w:pPr>
      <w:r>
        <w:rPr>
          <w:rFonts w:hint="eastAsia" w:ascii="宋体" w:hAnsi="宋体" w:eastAsia="宋体" w:cs="宋体"/>
          <w:bCs/>
          <w:sz w:val="24"/>
        </w:rPr>
        <w:t>法定代表人或                           法定代表人或</w:t>
      </w:r>
    </w:p>
    <w:p w14:paraId="2E54E44A">
      <w:pPr>
        <w:spacing w:line="560" w:lineRule="exact"/>
        <w:rPr>
          <w:rFonts w:ascii="宋体" w:hAnsi="宋体" w:eastAsia="宋体" w:cs="宋体"/>
          <w:bCs/>
          <w:sz w:val="24"/>
        </w:rPr>
      </w:pPr>
      <w:r>
        <w:rPr>
          <w:rFonts w:hint="eastAsia" w:ascii="宋体" w:hAnsi="宋体" w:eastAsia="宋体" w:cs="宋体"/>
          <w:bCs/>
          <w:sz w:val="24"/>
        </w:rPr>
        <w:t>代表人：                               代表人：</w:t>
      </w:r>
    </w:p>
    <w:p w14:paraId="46BF22C8">
      <w:pPr>
        <w:spacing w:line="560" w:lineRule="exact"/>
        <w:rPr>
          <w:rFonts w:ascii="宋体" w:hAnsi="宋体" w:eastAsia="宋体" w:cs="宋体"/>
          <w:snapToGrid w:val="0"/>
          <w:color w:val="000000"/>
          <w:sz w:val="24"/>
          <w:szCs w:val="24"/>
        </w:rPr>
      </w:pPr>
      <w:r>
        <w:rPr>
          <w:rFonts w:hint="eastAsia" w:ascii="宋体" w:hAnsi="宋体" w:eastAsia="宋体" w:cs="宋体"/>
          <w:bCs/>
          <w:sz w:val="24"/>
        </w:rPr>
        <w:t>日  期：  年  月   日                  日  期：  年    月   日</w:t>
      </w:r>
    </w:p>
    <w:p w14:paraId="7F1148C7">
      <w:pPr>
        <w:snapToGrid w:val="0"/>
        <w:spacing w:line="560" w:lineRule="exact"/>
        <w:rPr>
          <w:rFonts w:ascii="宋体" w:hAnsi="宋体" w:eastAsia="宋体" w:cs="宋体"/>
          <w:snapToGrid w:val="0"/>
          <w:color w:val="000000"/>
          <w:sz w:val="24"/>
          <w:szCs w:val="24"/>
        </w:rPr>
        <w:sectPr>
          <w:pgSz w:w="11906" w:h="16838"/>
          <w:pgMar w:top="2098" w:right="1474" w:bottom="1985" w:left="1588" w:header="851" w:footer="992" w:gutter="0"/>
          <w:cols w:space="425" w:num="1"/>
          <w:docGrid w:type="lines" w:linePitch="579" w:charSpace="17613"/>
        </w:sectPr>
      </w:pPr>
    </w:p>
    <w:p w14:paraId="0A62929B">
      <w:pPr>
        <w:spacing w:line="560" w:lineRule="exact"/>
        <w:jc w:val="left"/>
        <w:rPr>
          <w:rFonts w:ascii="宋体" w:hAnsi="宋体" w:eastAsia="宋体"/>
          <w:bCs/>
          <w:snapToGrid w:val="0"/>
          <w:color w:val="000000"/>
          <w:sz w:val="24"/>
          <w:szCs w:val="24"/>
        </w:rPr>
      </w:pPr>
      <w:r>
        <w:rPr>
          <w:rFonts w:hint="eastAsia" w:ascii="宋体" w:hAnsi="宋体" w:eastAsia="宋体"/>
          <w:bCs/>
          <w:snapToGrid w:val="0"/>
          <w:color w:val="000000"/>
          <w:sz w:val="24"/>
          <w:szCs w:val="24"/>
        </w:rPr>
        <w:t>附件1 考核指标定义</w:t>
      </w:r>
    </w:p>
    <w:p w14:paraId="7306B904">
      <w:pPr>
        <w:spacing w:line="560" w:lineRule="exact"/>
        <w:jc w:val="center"/>
        <w:rPr>
          <w:rFonts w:ascii="宋体" w:hAnsi="宋体" w:eastAsia="宋体"/>
          <w:b/>
          <w:snapToGrid w:val="0"/>
          <w:color w:val="000000"/>
          <w:sz w:val="24"/>
          <w:szCs w:val="24"/>
        </w:rPr>
      </w:pPr>
      <w:r>
        <w:rPr>
          <w:rFonts w:hint="eastAsia" w:ascii="宋体" w:hAnsi="宋体" w:eastAsia="宋体"/>
          <w:b/>
          <w:snapToGrid w:val="0"/>
          <w:color w:val="000000"/>
          <w:sz w:val="24"/>
          <w:szCs w:val="24"/>
        </w:rPr>
        <w:t>考核指标定义</w:t>
      </w:r>
    </w:p>
    <w:p w14:paraId="53DD2522">
      <w:pPr>
        <w:pStyle w:val="71"/>
        <w:numPr>
          <w:ilvl w:val="0"/>
          <w:numId w:val="30"/>
        </w:numPr>
        <w:spacing w:line="540" w:lineRule="exact"/>
        <w:ind w:firstLineChars="0"/>
        <w:rPr>
          <w:rStyle w:val="31"/>
          <w:rFonts w:ascii="新宋体" w:hAnsi="新宋体" w:eastAsia="新宋体" w:cs="新宋体"/>
          <w:b w:val="0"/>
          <w:bCs w:val="0"/>
          <w:sz w:val="24"/>
          <w:szCs w:val="24"/>
        </w:rPr>
      </w:pPr>
      <w:r>
        <w:rPr>
          <w:rFonts w:hint="eastAsia" w:ascii="新宋体" w:hAnsi="新宋体" w:eastAsia="新宋体" w:cs="新宋体"/>
          <w:snapToGrid w:val="0"/>
          <w:color w:val="000000"/>
          <w:sz w:val="24"/>
          <w:szCs w:val="24"/>
        </w:rPr>
        <w:t>死亡及以上事故：见</w:t>
      </w:r>
      <w:r>
        <w:rPr>
          <w:rFonts w:hint="eastAsia" w:ascii="新宋体" w:hAnsi="新宋体" w:eastAsia="新宋体" w:cs="新宋体"/>
          <w:sz w:val="24"/>
          <w:szCs w:val="24"/>
        </w:rPr>
        <w:t>中华人民共和国《生产安全事故报告和调查处理条例》（国务院令第493号）事故标准。</w:t>
      </w:r>
    </w:p>
    <w:p w14:paraId="065F0365">
      <w:pPr>
        <w:pStyle w:val="71"/>
        <w:numPr>
          <w:ilvl w:val="0"/>
          <w:numId w:val="30"/>
        </w:numPr>
        <w:spacing w:line="540" w:lineRule="exact"/>
        <w:ind w:firstLineChars="0"/>
        <w:rPr>
          <w:rFonts w:ascii="新宋体" w:hAnsi="新宋体" w:eastAsia="新宋体" w:cs="新宋体"/>
          <w:snapToGrid w:val="0"/>
          <w:color w:val="000000"/>
          <w:sz w:val="24"/>
          <w:szCs w:val="24"/>
        </w:rPr>
      </w:pPr>
      <w:r>
        <w:rPr>
          <w:rFonts w:hint="eastAsia" w:ascii="新宋体" w:hAnsi="新宋体" w:eastAsia="新宋体" w:cs="新宋体"/>
          <w:sz w:val="24"/>
          <w:szCs w:val="24"/>
        </w:rPr>
        <w:t>重伤事故：（1）</w:t>
      </w:r>
      <w:r>
        <w:rPr>
          <w:rStyle w:val="31"/>
          <w:rFonts w:hint="eastAsia" w:ascii="新宋体" w:hAnsi="新宋体" w:eastAsia="新宋体" w:cs="新宋体"/>
          <w:b w:val="0"/>
          <w:bCs w:val="0"/>
          <w:sz w:val="24"/>
          <w:szCs w:val="24"/>
        </w:rPr>
        <w:t>指造成人员肢体残废、毁人容貌、丧失听觉、丧失视觉、丧失其他器官功能或者其他对于人身健康有重大伤害的事故，包括重伤一级和重伤二级，具体以劳动能力鉴定委员会的最终评定结果为准。（2）</w:t>
      </w:r>
      <w:r>
        <w:rPr>
          <w:rStyle w:val="31"/>
          <w:rFonts w:hint="eastAsia" w:ascii="新宋体" w:hAnsi="新宋体" w:eastAsia="新宋体" w:cs="新宋体"/>
          <w:b w:val="0"/>
          <w:sz w:val="24"/>
          <w:szCs w:val="24"/>
        </w:rPr>
        <w:t>造成20万元以上100万元以下直接经济损失的，与重伤事故同等级别认定。</w:t>
      </w:r>
    </w:p>
    <w:p w14:paraId="4D36A955">
      <w:pPr>
        <w:pStyle w:val="71"/>
        <w:numPr>
          <w:ilvl w:val="0"/>
          <w:numId w:val="30"/>
        </w:numPr>
        <w:spacing w:line="540" w:lineRule="exact"/>
        <w:ind w:firstLineChars="0"/>
        <w:rPr>
          <w:rFonts w:ascii="宋体" w:hAnsi="宋体" w:eastAsia="宋体"/>
          <w:snapToGrid w:val="0"/>
          <w:color w:val="000000"/>
          <w:sz w:val="24"/>
          <w:szCs w:val="24"/>
        </w:rPr>
      </w:pPr>
      <w:r>
        <w:rPr>
          <w:rStyle w:val="31"/>
          <w:rFonts w:hint="eastAsia" w:ascii="新宋体" w:hAnsi="新宋体" w:eastAsia="新宋体" w:cs="新宋体"/>
          <w:b w:val="0"/>
          <w:sz w:val="24"/>
          <w:szCs w:val="24"/>
        </w:rPr>
        <w:t>轻伤事故：（1）造成1人肢体或者容貌损害，听觉、视觉或者其他器官功能部分障碍或者其他对于人身健康有中度伤害的事故，</w:t>
      </w:r>
      <w:r>
        <w:rPr>
          <w:rStyle w:val="31"/>
          <w:rFonts w:hint="eastAsia" w:ascii="新宋体" w:hAnsi="新宋体" w:eastAsia="新宋体" w:cs="新宋体"/>
          <w:b w:val="0"/>
          <w:bCs w:val="0"/>
          <w:sz w:val="24"/>
          <w:szCs w:val="24"/>
        </w:rPr>
        <w:t>包括轻伤一级和轻伤二级，具体</w:t>
      </w:r>
      <w:r>
        <w:rPr>
          <w:rStyle w:val="31"/>
          <w:rFonts w:hint="eastAsia" w:ascii="新宋体" w:hAnsi="新宋体" w:eastAsia="新宋体" w:cs="新宋体"/>
          <w:b w:val="0"/>
          <w:sz w:val="24"/>
          <w:szCs w:val="24"/>
        </w:rPr>
        <w:t>以劳动能力鉴定委员会的最终评定结果为准。（2）造成3万元以上20万元以下直接经济损失的，与重伤事故同等级别认定。</w:t>
      </w:r>
    </w:p>
    <w:p w14:paraId="76554034">
      <w:pPr>
        <w:pStyle w:val="71"/>
        <w:numPr>
          <w:ilvl w:val="0"/>
          <w:numId w:val="30"/>
        </w:numPr>
        <w:spacing w:line="54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损失工时事故（LWC）：造成员工离开工作岗位一天或一天以上（不含事故当天）；</w:t>
      </w:r>
    </w:p>
    <w:p w14:paraId="15001811">
      <w:pPr>
        <w:pStyle w:val="71"/>
        <w:numPr>
          <w:ilvl w:val="0"/>
          <w:numId w:val="30"/>
        </w:numPr>
        <w:spacing w:line="54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限制工时事故（RWC）：造成员工工作受限制一天或一天以上（不含事故当天）；限制性工业事故由职业医疗根据员工的实际情况和医疗部门给出的休息建议确定；</w:t>
      </w:r>
    </w:p>
    <w:p w14:paraId="3AF7D223">
      <w:pPr>
        <w:pStyle w:val="71"/>
        <w:numPr>
          <w:ilvl w:val="0"/>
          <w:numId w:val="30"/>
        </w:numPr>
        <w:spacing w:line="54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医学处置事件（MTC）：该事故需要医疗处置但又没有LWC和RWC的后果；医疗处置事件分为医护处置事件、急救箱处置事件；</w:t>
      </w:r>
    </w:p>
    <w:p w14:paraId="34C0A8B2">
      <w:pPr>
        <w:pStyle w:val="71"/>
        <w:numPr>
          <w:ilvl w:val="0"/>
          <w:numId w:val="30"/>
        </w:numPr>
        <w:spacing w:line="54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医护处置事件：需要专业医护人员进行一般医学处理的事件。</w:t>
      </w:r>
    </w:p>
    <w:p w14:paraId="55D9EA3C">
      <w:pPr>
        <w:pStyle w:val="71"/>
        <w:numPr>
          <w:ilvl w:val="0"/>
          <w:numId w:val="30"/>
        </w:numPr>
        <w:spacing w:line="540" w:lineRule="exact"/>
        <w:ind w:firstLineChars="0"/>
        <w:rPr>
          <w:rFonts w:ascii="宋体" w:hAnsi="宋体" w:eastAsia="宋体"/>
          <w:snapToGrid w:val="0"/>
          <w:color w:val="000000"/>
          <w:sz w:val="24"/>
          <w:szCs w:val="24"/>
        </w:rPr>
      </w:pPr>
      <w:r>
        <w:rPr>
          <w:rFonts w:hint="eastAsia" w:ascii="宋体" w:hAnsi="宋体" w:eastAsia="宋体"/>
          <w:snapToGrid w:val="0"/>
          <w:color w:val="000000"/>
          <w:sz w:val="24"/>
          <w:szCs w:val="24"/>
        </w:rPr>
        <w:t>急救箱处置事件：需要专业医护人员进行简单医学处理的事件，或可自行处理的伤害事件，例如：</w:t>
      </w:r>
    </w:p>
    <w:p w14:paraId="64438FAD">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使用创可贴、纱布及绷带对伤口包扎，不影响工作活动；</w:t>
      </w:r>
    </w:p>
    <w:p w14:paraId="47DBEFD4">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轻微挫伤，皮肤没有破损，只需冷敷或理疗处理；</w:t>
      </w:r>
    </w:p>
    <w:p w14:paraId="6768C1D6">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推拿治疗；</w:t>
      </w:r>
    </w:p>
    <w:p w14:paraId="6CE24805">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只使用冲洗或棉签来清除眼中的异物；</w:t>
      </w:r>
    </w:p>
    <w:p w14:paraId="4AB0E8D7">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使用非刚性的方法进行支撑，例如弹性绷带、护套、非刚性的腰背带等；</w:t>
      </w:r>
    </w:p>
    <w:p w14:paraId="11C7AF72">
      <w:pPr>
        <w:numPr>
          <w:ilvl w:val="3"/>
          <w:numId w:val="31"/>
        </w:numPr>
        <w:tabs>
          <w:tab w:val="clear" w:pos="226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使用手指防护装置等。</w:t>
      </w:r>
    </w:p>
    <w:p w14:paraId="255A8A2D">
      <w:pPr>
        <w:numPr>
          <w:ilvl w:val="0"/>
          <w:numId w:val="32"/>
        </w:numPr>
        <w:tabs>
          <w:tab w:val="left" w:pos="36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未遂事件：</w:t>
      </w:r>
    </w:p>
    <w:p w14:paraId="2A4AA1DF">
      <w:pPr>
        <w:spacing w:line="540" w:lineRule="exact"/>
        <w:ind w:firstLine="540" w:firstLineChars="225"/>
        <w:rPr>
          <w:rFonts w:ascii="宋体" w:hAnsi="宋体" w:eastAsia="宋体"/>
          <w:snapToGrid w:val="0"/>
          <w:sz w:val="24"/>
          <w:szCs w:val="24"/>
        </w:rPr>
      </w:pPr>
      <w:r>
        <w:rPr>
          <w:rFonts w:hint="eastAsia" w:ascii="宋体" w:hAnsi="宋体" w:eastAsia="宋体"/>
          <w:snapToGrid w:val="0"/>
          <w:sz w:val="24"/>
          <w:szCs w:val="24"/>
        </w:rPr>
        <w:t>未造成人员伤害但是可能会导致工业事故的事件，未遂事件分为严重未遂事件、普通未遂事件。</w:t>
      </w:r>
    </w:p>
    <w:p w14:paraId="7B8F176E">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严重未遂事件：指已经发生，未构成事故，潜在后果严重，可能导致人员死亡、重伤的意外事件。满足下列条件的可确定为严重未遂（举例）：</w:t>
      </w:r>
    </w:p>
    <w:p w14:paraId="39729296">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脚手架坍塌时人员及时撤离、躲避或不在现场；</w:t>
      </w:r>
    </w:p>
    <w:p w14:paraId="00C0A5D5">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吊运物品过程中挂碰周围设备（施），造成周围设备（施）划痕、变形、不可用但未造成人员受伤的；</w:t>
      </w:r>
    </w:p>
    <w:p w14:paraId="6657FF35">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车辆倾翻但未造成人员受伤的；</w:t>
      </w:r>
    </w:p>
    <w:p w14:paraId="73876F95">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物品运输、装卸过程中坠落倾翻，但未造成人员受伤的；</w:t>
      </w:r>
    </w:p>
    <w:p w14:paraId="5C78C826">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较重物体从高处落下或突然弹射出，未砸到人，或人员不在场但落在人行通道上；</w:t>
      </w:r>
    </w:p>
    <w:p w14:paraId="7B407A9F">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无证作业、作业中发现隔离边界不完整，误操作（如误合刀闸、误开或误关重要阀门）或操作严重漏项，且有较大人身伤害或主要设备损坏风险；</w:t>
      </w:r>
    </w:p>
    <w:p w14:paraId="53512FC3">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人员高处坠落（2m及以上），但因保护设施起作用或缓冲等因素避免人员受伤的；</w:t>
      </w:r>
    </w:p>
    <w:p w14:paraId="6AA276E1">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作业过程中安全防护装置发生故障（如起重机电梯限位、紧急制动失效）；</w:t>
      </w:r>
    </w:p>
    <w:p w14:paraId="0EB7509B">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高温（</w:t>
      </w:r>
      <w:r>
        <w:rPr>
          <w:rFonts w:ascii="宋体" w:hAnsi="宋体" w:eastAsia="宋体"/>
          <w:snapToGrid w:val="0"/>
          <w:color w:val="000000"/>
          <w:sz w:val="24"/>
          <w:szCs w:val="24"/>
        </w:rPr>
        <w:t>≥</w:t>
      </w:r>
      <w:r>
        <w:rPr>
          <w:rFonts w:hint="eastAsia" w:ascii="宋体" w:hAnsi="宋体" w:eastAsia="宋体"/>
          <w:snapToGrid w:val="0"/>
          <w:color w:val="000000"/>
          <w:sz w:val="24"/>
          <w:szCs w:val="24"/>
        </w:rPr>
        <w:t>70</w:t>
      </w:r>
      <w:r>
        <w:rPr>
          <w:rFonts w:ascii="宋体" w:hAnsi="宋体" w:eastAsia="宋体"/>
          <w:snapToGrid w:val="0"/>
          <w:color w:val="000000"/>
          <w:sz w:val="24"/>
          <w:szCs w:val="24"/>
        </w:rPr>
        <w:t>℃</w:t>
      </w:r>
      <w:r>
        <w:rPr>
          <w:rFonts w:hint="eastAsia" w:ascii="宋体" w:hAnsi="宋体" w:eastAsia="宋体"/>
          <w:snapToGrid w:val="0"/>
          <w:color w:val="000000"/>
          <w:sz w:val="24"/>
          <w:szCs w:val="24"/>
        </w:rPr>
        <w:t>）、高压水（水蒸气、绝对压力＞1bar）、低温液体（液N2）等危险品突然泄漏喷射，没有造成在场人员的受伤的；</w:t>
      </w:r>
    </w:p>
    <w:p w14:paraId="1C9C7F31">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设备、设施的专设安全保护装置在非控情况下被拆除，如格栅、盖板、围栏、转动机械防护装置，给人员带来较大伤害风险；</w:t>
      </w:r>
    </w:p>
    <w:p w14:paraId="442A5E19">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可导致人员窒息、中毒、触电、淹溺的作业，未采取有效措施且已出现较大伤害风险；</w:t>
      </w:r>
    </w:p>
    <w:p w14:paraId="2423930B">
      <w:pPr>
        <w:numPr>
          <w:ilvl w:val="0"/>
          <w:numId w:val="33"/>
        </w:numPr>
        <w:tabs>
          <w:tab w:val="clear" w:pos="1848"/>
        </w:tabs>
        <w:spacing w:line="540" w:lineRule="exact"/>
        <w:ind w:left="420"/>
        <w:rPr>
          <w:rFonts w:ascii="宋体" w:hAnsi="宋体" w:eastAsia="宋体"/>
          <w:snapToGrid w:val="0"/>
          <w:color w:val="000000"/>
          <w:sz w:val="24"/>
          <w:szCs w:val="24"/>
        </w:rPr>
      </w:pPr>
      <w:r>
        <w:rPr>
          <w:rFonts w:hint="eastAsia" w:ascii="宋体" w:hAnsi="宋体" w:eastAsia="宋体"/>
          <w:snapToGrid w:val="0"/>
          <w:color w:val="000000"/>
          <w:sz w:val="24"/>
          <w:szCs w:val="24"/>
        </w:rPr>
        <w:t>经甲方认定的对人身有重大伤害风险的事件。</w:t>
      </w:r>
    </w:p>
    <w:p w14:paraId="5966C822">
      <w:pPr>
        <w:numPr>
          <w:ilvl w:val="0"/>
          <w:numId w:val="34"/>
        </w:numPr>
        <w:tabs>
          <w:tab w:val="left" w:pos="90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普通未遂事件：指已经发生未构成事件，潜在后果一般的意外事件。满足下列条件的可确定为普通未遂（举例）：</w:t>
      </w:r>
    </w:p>
    <w:p w14:paraId="532C12F2">
      <w:pPr>
        <w:numPr>
          <w:ilvl w:val="0"/>
          <w:numId w:val="35"/>
        </w:numPr>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较轻物体（如手电、小工具）高处坠落未砸（击）到人；</w:t>
      </w:r>
    </w:p>
    <w:p w14:paraId="0FBB98C5">
      <w:pPr>
        <w:numPr>
          <w:ilvl w:val="0"/>
          <w:numId w:val="35"/>
        </w:numPr>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走错间隔，有人身伤害风险，但未造成后果；</w:t>
      </w:r>
    </w:p>
    <w:p w14:paraId="6928D0EA">
      <w:pPr>
        <w:numPr>
          <w:ilvl w:val="0"/>
          <w:numId w:val="35"/>
        </w:numPr>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错用工作票作业，工作开始前被发现且潜在后果存在人身伤害风险；</w:t>
      </w:r>
    </w:p>
    <w:p w14:paraId="4A7F7D37">
      <w:pPr>
        <w:numPr>
          <w:ilvl w:val="0"/>
          <w:numId w:val="35"/>
        </w:numPr>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造成人员失足、失手、身体不适的作业条件（如孔洞、照明、通风），并已给人员带来普通风险。</w:t>
      </w:r>
    </w:p>
    <w:p w14:paraId="3F5B585F">
      <w:pPr>
        <w:numPr>
          <w:ilvl w:val="0"/>
          <w:numId w:val="36"/>
        </w:numPr>
        <w:tabs>
          <w:tab w:val="left" w:pos="36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 xml:space="preserve"> 异常事件：任何未构成未遂事故的不安全的条件、设备/设施缺陷违章行为、不良工作习惯等不构成未遂事故的事件；或</w:t>
      </w:r>
      <w:r>
        <w:rPr>
          <w:rStyle w:val="31"/>
          <w:rFonts w:hint="eastAsia" w:ascii="新宋体" w:hAnsi="新宋体" w:eastAsia="新宋体" w:cs="新宋体"/>
          <w:b w:val="0"/>
          <w:bCs w:val="0"/>
          <w:sz w:val="24"/>
          <w:szCs w:val="24"/>
        </w:rPr>
        <w:t>主设备被迫停运12h以内、火灾一次损失0.2万以下等生产安全事件。</w:t>
      </w:r>
    </w:p>
    <w:p w14:paraId="02413881">
      <w:pPr>
        <w:tabs>
          <w:tab w:val="left" w:pos="360"/>
        </w:tabs>
        <w:spacing w:line="540" w:lineRule="exact"/>
        <w:rPr>
          <w:rStyle w:val="31"/>
          <w:rFonts w:ascii="新宋体" w:hAnsi="新宋体" w:eastAsia="新宋体" w:cs="新宋体"/>
          <w:b w:val="0"/>
          <w:bCs w:val="0"/>
          <w:sz w:val="24"/>
          <w:szCs w:val="24"/>
        </w:rPr>
      </w:pPr>
      <w:r>
        <w:rPr>
          <w:rFonts w:hint="eastAsia" w:ascii="宋体" w:hAnsi="宋体" w:eastAsia="宋体"/>
          <w:snapToGrid w:val="0"/>
          <w:color w:val="000000"/>
          <w:sz w:val="24"/>
          <w:szCs w:val="24"/>
        </w:rPr>
        <w:t>12.一类障碍：</w:t>
      </w:r>
      <w:r>
        <w:rPr>
          <w:rFonts w:hint="eastAsia" w:ascii="新宋体" w:hAnsi="新宋体" w:eastAsia="新宋体" w:cs="新宋体"/>
          <w:sz w:val="24"/>
          <w:szCs w:val="24"/>
          <w:shd w:val="clear" w:color="auto" w:fill="FFFFFF"/>
        </w:rPr>
        <w:t>主设备被迫停运超过48h低于96小于、火灾一次损失0.5万—1万元、恶性电气误操作（如带负荷拉、合隔离刀闸等）等安全生产事件。</w:t>
      </w:r>
    </w:p>
    <w:p w14:paraId="7FD921B5">
      <w:pPr>
        <w:tabs>
          <w:tab w:val="left" w:pos="360"/>
        </w:tabs>
        <w:spacing w:line="540" w:lineRule="exact"/>
        <w:rPr>
          <w:rStyle w:val="31"/>
          <w:rFonts w:ascii="新宋体" w:hAnsi="新宋体" w:eastAsia="新宋体" w:cs="新宋体"/>
          <w:b w:val="0"/>
          <w:bCs w:val="0"/>
          <w:sz w:val="24"/>
          <w:szCs w:val="24"/>
        </w:rPr>
      </w:pPr>
      <w:r>
        <w:rPr>
          <w:rStyle w:val="31"/>
          <w:rFonts w:hint="eastAsia" w:ascii="新宋体" w:hAnsi="新宋体" w:eastAsia="新宋体" w:cs="新宋体"/>
          <w:b w:val="0"/>
          <w:bCs w:val="0"/>
          <w:sz w:val="24"/>
          <w:szCs w:val="24"/>
        </w:rPr>
        <w:t>13.二类障碍：主设备被迫停运超过12h低于48h、火灾一次损失0.2万—0.5万、误操作引起主设备被迫停运等安全生产事件。</w:t>
      </w:r>
    </w:p>
    <w:p w14:paraId="1999CAF3">
      <w:pPr>
        <w:tabs>
          <w:tab w:val="left" w:pos="36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14.一类设备缺陷：严重威胁系统主设备安全运行及人身安全的或已造成发电出力降低和影响对外输送电力的重大缺陷。</w:t>
      </w:r>
    </w:p>
    <w:p w14:paraId="48482237">
      <w:pPr>
        <w:tabs>
          <w:tab w:val="left" w:pos="36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15.二类设备缺陷：暂时不影响机组继续运行，但对设备安全经济运行和人身安全有一定的威胁，继续发展将导致设备停止运行，或损坏设备，需机组停运或降低出力才能消除的缺陷。</w:t>
      </w:r>
    </w:p>
    <w:p w14:paraId="52338E4F">
      <w:pPr>
        <w:tabs>
          <w:tab w:val="left" w:pos="360"/>
        </w:tabs>
        <w:spacing w:line="540" w:lineRule="exact"/>
        <w:rPr>
          <w:rFonts w:ascii="宋体" w:hAnsi="宋体" w:eastAsia="宋体"/>
          <w:snapToGrid w:val="0"/>
          <w:color w:val="000000"/>
          <w:sz w:val="24"/>
          <w:szCs w:val="24"/>
        </w:rPr>
      </w:pPr>
      <w:r>
        <w:rPr>
          <w:rFonts w:hint="eastAsia" w:ascii="宋体" w:hAnsi="宋体" w:eastAsia="宋体"/>
          <w:snapToGrid w:val="0"/>
          <w:color w:val="000000"/>
          <w:sz w:val="24"/>
          <w:szCs w:val="24"/>
        </w:rPr>
        <w:t>16.三类设备缺陷：不需要停用主设备或降低出力可随时消除的设备缺陷，以及不影响主设备正常运行，可结合检修或停机备用期间进行消除的缺陷。</w:t>
      </w:r>
    </w:p>
    <w:p w14:paraId="4FF698E1">
      <w:pPr>
        <w:numPr>
          <w:ilvl w:val="0"/>
          <w:numId w:val="37"/>
        </w:numPr>
        <w:spacing w:line="560" w:lineRule="exact"/>
        <w:rPr>
          <w:rFonts w:ascii="宋体" w:hAnsi="宋体" w:eastAsia="宋体"/>
          <w:snapToGrid w:val="0"/>
          <w:color w:val="000000"/>
          <w:sz w:val="24"/>
          <w:szCs w:val="24"/>
        </w:rPr>
        <w:sectPr>
          <w:pgSz w:w="11906" w:h="16838"/>
          <w:pgMar w:top="2098" w:right="1138" w:bottom="1985" w:left="1588" w:header="851" w:footer="992" w:gutter="0"/>
          <w:cols w:space="425" w:num="1"/>
          <w:docGrid w:type="lines" w:linePitch="579" w:charSpace="17613"/>
        </w:sectPr>
      </w:pPr>
    </w:p>
    <w:p w14:paraId="011EF62A">
      <w:pPr>
        <w:rPr>
          <w:rFonts w:ascii="仿宋" w:hAnsi="仿宋" w:eastAsia="仿宋"/>
          <w:snapToGrid w:val="0"/>
          <w:sz w:val="24"/>
          <w:szCs w:val="28"/>
        </w:rPr>
      </w:pPr>
      <w:r>
        <w:rPr>
          <w:rFonts w:hint="eastAsia" w:ascii="仿宋" w:hAnsi="仿宋" w:eastAsia="仿宋"/>
          <w:snapToGrid w:val="0"/>
          <w:sz w:val="24"/>
          <w:szCs w:val="28"/>
        </w:rPr>
        <w:t>附件2：考核条款</w:t>
      </w:r>
    </w:p>
    <w:p w14:paraId="3145AEFB">
      <w:pPr>
        <w:jc w:val="center"/>
        <w:rPr>
          <w:rFonts w:ascii="宋体" w:hAnsi="宋体" w:eastAsia="宋体"/>
          <w:b/>
          <w:bCs/>
          <w:snapToGrid w:val="0"/>
          <w:sz w:val="28"/>
          <w:szCs w:val="28"/>
        </w:rPr>
      </w:pPr>
      <w:r>
        <w:rPr>
          <w:rFonts w:hint="eastAsia" w:ascii="宋体" w:hAnsi="宋体" w:eastAsia="宋体"/>
          <w:b/>
          <w:bCs/>
          <w:snapToGrid w:val="0"/>
          <w:sz w:val="28"/>
          <w:szCs w:val="28"/>
        </w:rPr>
        <w:t>考核条款</w:t>
      </w:r>
    </w:p>
    <w:tbl>
      <w:tblPr>
        <w:tblStyle w:val="27"/>
        <w:tblW w:w="9466" w:type="dxa"/>
        <w:jc w:val="center"/>
        <w:tblLayout w:type="autofit"/>
        <w:tblCellMar>
          <w:top w:w="0" w:type="dxa"/>
          <w:left w:w="108" w:type="dxa"/>
          <w:bottom w:w="0" w:type="dxa"/>
          <w:right w:w="108" w:type="dxa"/>
        </w:tblCellMar>
      </w:tblPr>
      <w:tblGrid>
        <w:gridCol w:w="716"/>
        <w:gridCol w:w="5030"/>
        <w:gridCol w:w="3720"/>
      </w:tblGrid>
      <w:tr w14:paraId="1DBA1B8C">
        <w:tblPrEx>
          <w:tblCellMar>
            <w:top w:w="0" w:type="dxa"/>
            <w:left w:w="108" w:type="dxa"/>
            <w:bottom w:w="0" w:type="dxa"/>
            <w:right w:w="108" w:type="dxa"/>
          </w:tblCellMar>
        </w:tblPrEx>
        <w:trPr>
          <w:trHeight w:val="285" w:hRule="atLeast"/>
          <w:tblHeader/>
          <w:jc w:val="center"/>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14:paraId="163A8EFC">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5030" w:type="dxa"/>
            <w:tcBorders>
              <w:top w:val="single" w:color="auto" w:sz="4" w:space="0"/>
              <w:left w:val="nil"/>
              <w:bottom w:val="single" w:color="auto" w:sz="4" w:space="0"/>
              <w:right w:val="single" w:color="auto" w:sz="4" w:space="0"/>
            </w:tcBorders>
            <w:shd w:val="clear" w:color="auto" w:fill="auto"/>
            <w:vAlign w:val="center"/>
          </w:tcPr>
          <w:p w14:paraId="3894F0A2">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考核项目</w:t>
            </w:r>
          </w:p>
        </w:tc>
        <w:tc>
          <w:tcPr>
            <w:tcW w:w="3720" w:type="dxa"/>
            <w:tcBorders>
              <w:top w:val="single" w:color="auto" w:sz="4" w:space="0"/>
              <w:left w:val="nil"/>
              <w:bottom w:val="single" w:color="auto" w:sz="4" w:space="0"/>
              <w:right w:val="single" w:color="auto" w:sz="4" w:space="0"/>
            </w:tcBorders>
            <w:shd w:val="clear" w:color="auto" w:fill="auto"/>
            <w:vAlign w:val="center"/>
          </w:tcPr>
          <w:p w14:paraId="0E1D47B7">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考核标准</w:t>
            </w:r>
          </w:p>
        </w:tc>
      </w:tr>
      <w:tr w14:paraId="737D9E82">
        <w:tblPrEx>
          <w:tblCellMar>
            <w:top w:w="0" w:type="dxa"/>
            <w:left w:w="108" w:type="dxa"/>
            <w:bottom w:w="0" w:type="dxa"/>
            <w:right w:w="108" w:type="dxa"/>
          </w:tblCellMar>
        </w:tblPrEx>
        <w:trPr>
          <w:trHeight w:val="45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CABB166">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一</w:t>
            </w:r>
          </w:p>
        </w:tc>
        <w:tc>
          <w:tcPr>
            <w:tcW w:w="8750" w:type="dxa"/>
            <w:gridSpan w:val="2"/>
            <w:tcBorders>
              <w:top w:val="nil"/>
              <w:left w:val="nil"/>
              <w:bottom w:val="single" w:color="auto" w:sz="4" w:space="0"/>
              <w:right w:val="single" w:color="auto" w:sz="4" w:space="0"/>
            </w:tcBorders>
            <w:shd w:val="clear" w:color="auto" w:fill="auto"/>
            <w:vAlign w:val="center"/>
          </w:tcPr>
          <w:p w14:paraId="5326BA7C">
            <w:pPr>
              <w:widowControl/>
              <w:spacing w:line="360" w:lineRule="exact"/>
              <w:jc w:val="lef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安全目标考核</w:t>
            </w:r>
          </w:p>
        </w:tc>
      </w:tr>
      <w:tr w14:paraId="5F23B85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CF16196">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030" w:type="dxa"/>
            <w:tcBorders>
              <w:top w:val="nil"/>
              <w:left w:val="nil"/>
              <w:bottom w:val="single" w:color="auto" w:sz="4" w:space="0"/>
              <w:right w:val="single" w:color="auto" w:sz="4" w:space="0"/>
            </w:tcBorders>
            <w:shd w:val="clear" w:color="auto" w:fill="auto"/>
            <w:vAlign w:val="center"/>
          </w:tcPr>
          <w:p w14:paraId="1F5FC91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乙方发生责任性人身死亡事件</w:t>
            </w:r>
          </w:p>
        </w:tc>
        <w:tc>
          <w:tcPr>
            <w:tcW w:w="3720" w:type="dxa"/>
            <w:tcBorders>
              <w:top w:val="nil"/>
              <w:left w:val="nil"/>
              <w:bottom w:val="single" w:color="auto" w:sz="4" w:space="0"/>
              <w:right w:val="single" w:color="auto" w:sz="4" w:space="0"/>
            </w:tcBorders>
            <w:shd w:val="clear" w:color="auto" w:fill="auto"/>
            <w:vAlign w:val="center"/>
          </w:tcPr>
          <w:p w14:paraId="66CC01DB">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乙方除接受政府主管部门的处罚和承担死者善后费用外，甲方对乙方另按每死亡一人不低于</w:t>
            </w:r>
            <w:r>
              <w:rPr>
                <w:rFonts w:ascii="宋体" w:hAnsi="宋体" w:eastAsia="宋体" w:cs="宋体"/>
                <w:color w:val="000000"/>
                <w:kern w:val="0"/>
                <w:sz w:val="24"/>
                <w:szCs w:val="24"/>
              </w:rPr>
              <w:t>10</w:t>
            </w:r>
            <w:r>
              <w:rPr>
                <w:rFonts w:hint="eastAsia" w:ascii="宋体" w:hAnsi="宋体" w:eastAsia="宋体" w:cs="宋体"/>
                <w:color w:val="000000"/>
                <w:kern w:val="0"/>
                <w:sz w:val="24"/>
                <w:szCs w:val="24"/>
              </w:rPr>
              <w:t>万元的标准进行考核。</w:t>
            </w:r>
          </w:p>
        </w:tc>
      </w:tr>
      <w:tr w14:paraId="2BD9FB66">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3D08BE2">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030" w:type="dxa"/>
            <w:tcBorders>
              <w:top w:val="nil"/>
              <w:left w:val="nil"/>
              <w:bottom w:val="single" w:color="auto" w:sz="4" w:space="0"/>
              <w:right w:val="single" w:color="auto" w:sz="4" w:space="0"/>
            </w:tcBorders>
            <w:shd w:val="clear" w:color="auto" w:fill="auto"/>
            <w:vAlign w:val="center"/>
          </w:tcPr>
          <w:p w14:paraId="5A12797B">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乙方发生责任性人身重伤事件</w:t>
            </w:r>
          </w:p>
        </w:tc>
        <w:tc>
          <w:tcPr>
            <w:tcW w:w="3720" w:type="dxa"/>
            <w:tcBorders>
              <w:top w:val="nil"/>
              <w:left w:val="nil"/>
              <w:bottom w:val="single" w:color="auto" w:sz="4" w:space="0"/>
              <w:right w:val="single" w:color="auto" w:sz="4" w:space="0"/>
            </w:tcBorders>
            <w:shd w:val="clear" w:color="auto" w:fill="auto"/>
            <w:vAlign w:val="center"/>
          </w:tcPr>
          <w:p w14:paraId="7C2B6B2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考核3万-5万元/人·次</w:t>
            </w:r>
          </w:p>
        </w:tc>
      </w:tr>
      <w:tr w14:paraId="77EB848A">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EA8F806">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5030" w:type="dxa"/>
            <w:tcBorders>
              <w:top w:val="nil"/>
              <w:left w:val="nil"/>
              <w:bottom w:val="single" w:color="auto" w:sz="4" w:space="0"/>
              <w:right w:val="single" w:color="auto" w:sz="4" w:space="0"/>
            </w:tcBorders>
            <w:shd w:val="clear" w:color="auto" w:fill="auto"/>
            <w:vAlign w:val="center"/>
          </w:tcPr>
          <w:p w14:paraId="30BF90A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乙方发生责任性人身轻伤事件</w:t>
            </w:r>
          </w:p>
        </w:tc>
        <w:tc>
          <w:tcPr>
            <w:tcW w:w="3720" w:type="dxa"/>
            <w:tcBorders>
              <w:top w:val="nil"/>
              <w:left w:val="nil"/>
              <w:bottom w:val="single" w:color="auto" w:sz="4" w:space="0"/>
              <w:right w:val="single" w:color="auto" w:sz="4" w:space="0"/>
            </w:tcBorders>
            <w:shd w:val="clear" w:color="auto" w:fill="auto"/>
            <w:vAlign w:val="center"/>
          </w:tcPr>
          <w:p w14:paraId="62CFB86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考核1万-2万元/人·次</w:t>
            </w:r>
          </w:p>
        </w:tc>
      </w:tr>
      <w:tr w14:paraId="52F988B6">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10BBFA6">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5030" w:type="dxa"/>
            <w:tcBorders>
              <w:top w:val="nil"/>
              <w:left w:val="nil"/>
              <w:bottom w:val="single" w:color="auto" w:sz="4" w:space="0"/>
              <w:right w:val="single" w:color="auto" w:sz="4" w:space="0"/>
            </w:tcBorders>
            <w:shd w:val="clear" w:color="auto" w:fill="auto"/>
            <w:vAlign w:val="center"/>
          </w:tcPr>
          <w:p w14:paraId="3A2A674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乙方发生责任性人身未遂事件</w:t>
            </w:r>
          </w:p>
        </w:tc>
        <w:tc>
          <w:tcPr>
            <w:tcW w:w="3720" w:type="dxa"/>
            <w:tcBorders>
              <w:top w:val="nil"/>
              <w:left w:val="nil"/>
              <w:bottom w:val="single" w:color="auto" w:sz="4" w:space="0"/>
              <w:right w:val="single" w:color="auto" w:sz="4" w:space="0"/>
            </w:tcBorders>
            <w:shd w:val="clear" w:color="auto" w:fill="auto"/>
            <w:vAlign w:val="center"/>
          </w:tcPr>
          <w:p w14:paraId="0C1E584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3万元-0.5万元/次</w:t>
            </w:r>
          </w:p>
        </w:tc>
      </w:tr>
      <w:tr w14:paraId="3C34C561">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7523D3D">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5030" w:type="dxa"/>
            <w:tcBorders>
              <w:top w:val="nil"/>
              <w:left w:val="nil"/>
              <w:bottom w:val="single" w:color="auto" w:sz="4" w:space="0"/>
              <w:right w:val="single" w:color="auto" w:sz="4" w:space="0"/>
            </w:tcBorders>
            <w:shd w:val="clear" w:color="auto" w:fill="auto"/>
            <w:vAlign w:val="center"/>
          </w:tcPr>
          <w:p w14:paraId="25B48A7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发生乙方责任导致的经济损失事故</w:t>
            </w:r>
          </w:p>
        </w:tc>
        <w:tc>
          <w:tcPr>
            <w:tcW w:w="3720" w:type="dxa"/>
            <w:tcBorders>
              <w:top w:val="nil"/>
              <w:left w:val="nil"/>
              <w:bottom w:val="single" w:color="auto" w:sz="4" w:space="0"/>
              <w:right w:val="single" w:color="auto" w:sz="4" w:space="0"/>
            </w:tcBorders>
            <w:shd w:val="clear" w:color="auto" w:fill="auto"/>
            <w:vAlign w:val="center"/>
          </w:tcPr>
          <w:p w14:paraId="449C7E2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承担相应经济损失并按损失金额的10%进行考核。</w:t>
            </w:r>
          </w:p>
        </w:tc>
      </w:tr>
      <w:tr w14:paraId="3C6D6686">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EB907E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5030" w:type="dxa"/>
            <w:tcBorders>
              <w:top w:val="nil"/>
              <w:left w:val="nil"/>
              <w:bottom w:val="single" w:color="auto" w:sz="4" w:space="0"/>
              <w:right w:val="single" w:color="auto" w:sz="4" w:space="0"/>
            </w:tcBorders>
            <w:shd w:val="clear" w:color="auto" w:fill="auto"/>
            <w:vAlign w:val="center"/>
          </w:tcPr>
          <w:p w14:paraId="766EA83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乙方发生管辖范围内（含检修厂房、生活区域和运输车辆等）责任性火灾事故。</w:t>
            </w:r>
          </w:p>
        </w:tc>
        <w:tc>
          <w:tcPr>
            <w:tcW w:w="3720" w:type="dxa"/>
            <w:tcBorders>
              <w:top w:val="nil"/>
              <w:left w:val="nil"/>
              <w:bottom w:val="single" w:color="auto" w:sz="4" w:space="0"/>
              <w:right w:val="single" w:color="auto" w:sz="4" w:space="0"/>
            </w:tcBorders>
            <w:shd w:val="clear" w:color="auto" w:fill="auto"/>
            <w:vAlign w:val="center"/>
          </w:tcPr>
          <w:p w14:paraId="4428900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根据人员伤害及财产损失情况，参照以上标准分别考核。</w:t>
            </w:r>
          </w:p>
        </w:tc>
      </w:tr>
      <w:tr w14:paraId="554313A1">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35CFB89">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5030" w:type="dxa"/>
            <w:tcBorders>
              <w:top w:val="nil"/>
              <w:left w:val="nil"/>
              <w:bottom w:val="single" w:color="auto" w:sz="4" w:space="0"/>
              <w:right w:val="single" w:color="auto" w:sz="4" w:space="0"/>
            </w:tcBorders>
            <w:shd w:val="clear" w:color="auto" w:fill="auto"/>
            <w:vAlign w:val="center"/>
          </w:tcPr>
          <w:p w14:paraId="3BE31B3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乙方因管理疏忽、员工违章等原因导致工作期间或管辖范围内发生火灾险情。</w:t>
            </w:r>
          </w:p>
        </w:tc>
        <w:tc>
          <w:tcPr>
            <w:tcW w:w="3720" w:type="dxa"/>
            <w:tcBorders>
              <w:top w:val="nil"/>
              <w:left w:val="nil"/>
              <w:bottom w:val="single" w:color="auto" w:sz="4" w:space="0"/>
              <w:right w:val="single" w:color="auto" w:sz="4" w:space="0"/>
            </w:tcBorders>
            <w:shd w:val="clear" w:color="auto" w:fill="auto"/>
            <w:vAlign w:val="center"/>
          </w:tcPr>
          <w:p w14:paraId="6ECEA08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4万-1万元/次，并包赔甲方损失。</w:t>
            </w:r>
          </w:p>
        </w:tc>
      </w:tr>
      <w:tr w14:paraId="359D930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BC026DC">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5030" w:type="dxa"/>
            <w:tcBorders>
              <w:top w:val="nil"/>
              <w:left w:val="nil"/>
              <w:bottom w:val="single" w:color="auto" w:sz="4" w:space="0"/>
              <w:right w:val="single" w:color="auto" w:sz="4" w:space="0"/>
            </w:tcBorders>
            <w:shd w:val="clear" w:color="auto" w:fill="auto"/>
            <w:vAlign w:val="center"/>
          </w:tcPr>
          <w:p w14:paraId="634B84B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乙方在甲方范围内发生责任性交通事故</w:t>
            </w:r>
          </w:p>
        </w:tc>
        <w:tc>
          <w:tcPr>
            <w:tcW w:w="3720" w:type="dxa"/>
            <w:tcBorders>
              <w:top w:val="nil"/>
              <w:left w:val="nil"/>
              <w:bottom w:val="single" w:color="auto" w:sz="4" w:space="0"/>
              <w:right w:val="single" w:color="auto" w:sz="4" w:space="0"/>
            </w:tcBorders>
            <w:shd w:val="clear" w:color="auto" w:fill="auto"/>
            <w:vAlign w:val="center"/>
          </w:tcPr>
          <w:p w14:paraId="3B0EE33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按人身伤亡、经济损失类事故考核标准执行，并包赔甲方损失。</w:t>
            </w:r>
          </w:p>
        </w:tc>
      </w:tr>
      <w:tr w14:paraId="1741EA4A">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C1244F8">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5030" w:type="dxa"/>
            <w:tcBorders>
              <w:top w:val="nil"/>
              <w:left w:val="nil"/>
              <w:bottom w:val="single" w:color="auto" w:sz="4" w:space="0"/>
              <w:right w:val="single" w:color="auto" w:sz="4" w:space="0"/>
            </w:tcBorders>
            <w:shd w:val="clear" w:color="auto" w:fill="auto"/>
            <w:vAlign w:val="center"/>
          </w:tcPr>
          <w:p w14:paraId="389DF13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乙方管理责任导致发生、发现职业病病例。</w:t>
            </w:r>
          </w:p>
        </w:tc>
        <w:tc>
          <w:tcPr>
            <w:tcW w:w="3720" w:type="dxa"/>
            <w:tcBorders>
              <w:top w:val="nil"/>
              <w:left w:val="nil"/>
              <w:bottom w:val="single" w:color="auto" w:sz="4" w:space="0"/>
              <w:right w:val="single" w:color="auto" w:sz="4" w:space="0"/>
            </w:tcBorders>
            <w:shd w:val="clear" w:color="auto" w:fill="auto"/>
            <w:vAlign w:val="center"/>
          </w:tcPr>
          <w:p w14:paraId="7B2A8DC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参照重伤考核标准</w:t>
            </w:r>
          </w:p>
        </w:tc>
      </w:tr>
      <w:tr w14:paraId="090F7C8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B8998AD">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5030" w:type="dxa"/>
            <w:tcBorders>
              <w:top w:val="nil"/>
              <w:left w:val="nil"/>
              <w:bottom w:val="single" w:color="auto" w:sz="4" w:space="0"/>
              <w:right w:val="single" w:color="auto" w:sz="4" w:space="0"/>
            </w:tcBorders>
            <w:shd w:val="clear" w:color="auto" w:fill="auto"/>
            <w:vAlign w:val="center"/>
          </w:tcPr>
          <w:p w14:paraId="67A2466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乙方原因导致被环保主管部门通报、考核的环保事件。</w:t>
            </w:r>
          </w:p>
        </w:tc>
        <w:tc>
          <w:tcPr>
            <w:tcW w:w="3720" w:type="dxa"/>
            <w:tcBorders>
              <w:top w:val="nil"/>
              <w:left w:val="nil"/>
              <w:bottom w:val="single" w:color="auto" w:sz="4" w:space="0"/>
              <w:right w:val="single" w:color="auto" w:sz="4" w:space="0"/>
            </w:tcBorders>
            <w:shd w:val="clear" w:color="auto" w:fill="auto"/>
            <w:vAlign w:val="center"/>
          </w:tcPr>
          <w:p w14:paraId="56F7945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考核1万－5万元/次，并按责任定性承担主管部门的考核或罚款，并包赔甲方损失。</w:t>
            </w:r>
          </w:p>
        </w:tc>
      </w:tr>
      <w:tr w14:paraId="30BA6E32">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4ADC0FAE">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5030" w:type="dxa"/>
            <w:tcBorders>
              <w:top w:val="nil"/>
              <w:left w:val="nil"/>
              <w:bottom w:val="single" w:color="auto" w:sz="4" w:space="0"/>
              <w:right w:val="single" w:color="auto" w:sz="4" w:space="0"/>
            </w:tcBorders>
            <w:shd w:val="clear" w:color="auto" w:fill="auto"/>
            <w:vAlign w:val="center"/>
          </w:tcPr>
          <w:p w14:paraId="13844CB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乙方在甲方范围内发生性质恶劣的治安事件，或乙方员工组织或参与盗窃的事件。</w:t>
            </w:r>
          </w:p>
        </w:tc>
        <w:tc>
          <w:tcPr>
            <w:tcW w:w="3720" w:type="dxa"/>
            <w:tcBorders>
              <w:top w:val="nil"/>
              <w:left w:val="nil"/>
              <w:bottom w:val="single" w:color="auto" w:sz="4" w:space="0"/>
              <w:right w:val="single" w:color="auto" w:sz="4" w:space="0"/>
            </w:tcBorders>
            <w:shd w:val="clear" w:color="auto" w:fill="auto"/>
            <w:vAlign w:val="center"/>
          </w:tcPr>
          <w:p w14:paraId="3160E88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3－3万元/次，并负责赔偿损失；情节特别严重的按国家法律处理。</w:t>
            </w:r>
          </w:p>
        </w:tc>
      </w:tr>
      <w:tr w14:paraId="4FE5AB4C">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451ADAE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5030" w:type="dxa"/>
            <w:tcBorders>
              <w:top w:val="nil"/>
              <w:left w:val="nil"/>
              <w:bottom w:val="single" w:color="auto" w:sz="4" w:space="0"/>
              <w:right w:val="single" w:color="auto" w:sz="4" w:space="0"/>
            </w:tcBorders>
            <w:shd w:val="clear" w:color="auto" w:fill="auto"/>
            <w:vAlign w:val="center"/>
          </w:tcPr>
          <w:p w14:paraId="022B974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乙方3个月内重复发生同样性质的人身伤亡、治安事件、违法事件或火灾事故、环保事件、交通事故。</w:t>
            </w:r>
          </w:p>
        </w:tc>
        <w:tc>
          <w:tcPr>
            <w:tcW w:w="3720" w:type="dxa"/>
            <w:tcBorders>
              <w:top w:val="nil"/>
              <w:left w:val="nil"/>
              <w:bottom w:val="single" w:color="auto" w:sz="4" w:space="0"/>
              <w:right w:val="single" w:color="auto" w:sz="4" w:space="0"/>
            </w:tcBorders>
            <w:shd w:val="clear" w:color="auto" w:fill="auto"/>
            <w:vAlign w:val="center"/>
          </w:tcPr>
          <w:p w14:paraId="7FA618C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对应上述款项加倍处罚。</w:t>
            </w:r>
          </w:p>
        </w:tc>
      </w:tr>
      <w:tr w14:paraId="0EF3E7CD">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4BDD78B9">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5030" w:type="dxa"/>
            <w:tcBorders>
              <w:top w:val="nil"/>
              <w:left w:val="nil"/>
              <w:bottom w:val="single" w:color="auto" w:sz="4" w:space="0"/>
              <w:right w:val="single" w:color="auto" w:sz="4" w:space="0"/>
            </w:tcBorders>
            <w:shd w:val="clear" w:color="auto" w:fill="auto"/>
            <w:vAlign w:val="center"/>
          </w:tcPr>
          <w:p w14:paraId="6E957926">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发生乙方原因导致的责任性一类障碍</w:t>
            </w:r>
          </w:p>
        </w:tc>
        <w:tc>
          <w:tcPr>
            <w:tcW w:w="3720" w:type="dxa"/>
            <w:tcBorders>
              <w:top w:val="nil"/>
              <w:left w:val="nil"/>
              <w:bottom w:val="single" w:color="auto" w:sz="4" w:space="0"/>
              <w:right w:val="single" w:color="auto" w:sz="4" w:space="0"/>
            </w:tcBorders>
            <w:shd w:val="clear" w:color="auto" w:fill="auto"/>
            <w:vAlign w:val="center"/>
          </w:tcPr>
          <w:p w14:paraId="10C04D96">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考核1万-3万元/次，视具体情况追加考核同期电量损失。</w:t>
            </w:r>
          </w:p>
        </w:tc>
      </w:tr>
      <w:tr w14:paraId="7CCD2F9D">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C10D1A8">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5030" w:type="dxa"/>
            <w:tcBorders>
              <w:top w:val="nil"/>
              <w:left w:val="nil"/>
              <w:bottom w:val="single" w:color="auto" w:sz="4" w:space="0"/>
              <w:right w:val="single" w:color="auto" w:sz="4" w:space="0"/>
            </w:tcBorders>
            <w:shd w:val="clear" w:color="auto" w:fill="auto"/>
            <w:vAlign w:val="center"/>
          </w:tcPr>
          <w:p w14:paraId="7C3E3CD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发生乙方原因导致的责任性二类障碍</w:t>
            </w:r>
          </w:p>
        </w:tc>
        <w:tc>
          <w:tcPr>
            <w:tcW w:w="3720" w:type="dxa"/>
            <w:tcBorders>
              <w:top w:val="nil"/>
              <w:left w:val="nil"/>
              <w:bottom w:val="single" w:color="auto" w:sz="4" w:space="0"/>
              <w:right w:val="single" w:color="auto" w:sz="4" w:space="0"/>
            </w:tcBorders>
            <w:shd w:val="clear" w:color="auto" w:fill="auto"/>
            <w:vAlign w:val="center"/>
          </w:tcPr>
          <w:p w14:paraId="11E0CAC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4万-1万元/次，视具体情况追加考核同期电量损失。</w:t>
            </w:r>
          </w:p>
        </w:tc>
      </w:tr>
      <w:tr w14:paraId="42C2984B">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0170512">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5030" w:type="dxa"/>
            <w:tcBorders>
              <w:top w:val="nil"/>
              <w:left w:val="nil"/>
              <w:bottom w:val="single" w:color="auto" w:sz="4" w:space="0"/>
              <w:right w:val="single" w:color="auto" w:sz="4" w:space="0"/>
            </w:tcBorders>
            <w:shd w:val="clear" w:color="auto" w:fill="auto"/>
            <w:vAlign w:val="center"/>
          </w:tcPr>
          <w:p w14:paraId="69D786E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乙方发生责任性异常事件</w:t>
            </w:r>
          </w:p>
        </w:tc>
        <w:tc>
          <w:tcPr>
            <w:tcW w:w="3720" w:type="dxa"/>
            <w:tcBorders>
              <w:top w:val="nil"/>
              <w:left w:val="nil"/>
              <w:bottom w:val="single" w:color="auto" w:sz="4" w:space="0"/>
              <w:right w:val="single" w:color="auto" w:sz="4" w:space="0"/>
            </w:tcBorders>
            <w:shd w:val="clear" w:color="auto" w:fill="auto"/>
            <w:vAlign w:val="center"/>
          </w:tcPr>
          <w:p w14:paraId="19553A65">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4万元/次，视具体情况追加考核同期电量损失。</w:t>
            </w:r>
          </w:p>
        </w:tc>
      </w:tr>
      <w:tr w14:paraId="308C73CC">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AFEA0A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5030" w:type="dxa"/>
            <w:tcBorders>
              <w:top w:val="nil"/>
              <w:left w:val="nil"/>
              <w:bottom w:val="single" w:color="auto" w:sz="4" w:space="0"/>
              <w:right w:val="single" w:color="auto" w:sz="4" w:space="0"/>
            </w:tcBorders>
            <w:shd w:val="clear" w:color="auto" w:fill="auto"/>
            <w:vAlign w:val="center"/>
          </w:tcPr>
          <w:p w14:paraId="56E097CB">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乙方发生误操作事件</w:t>
            </w:r>
          </w:p>
        </w:tc>
        <w:tc>
          <w:tcPr>
            <w:tcW w:w="3720" w:type="dxa"/>
            <w:tcBorders>
              <w:top w:val="nil"/>
              <w:left w:val="nil"/>
              <w:bottom w:val="single" w:color="auto" w:sz="4" w:space="0"/>
              <w:right w:val="single" w:color="auto" w:sz="4" w:space="0"/>
            </w:tcBorders>
            <w:shd w:val="clear" w:color="auto" w:fill="auto"/>
            <w:vAlign w:val="center"/>
          </w:tcPr>
          <w:p w14:paraId="58C8BB5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一般误操作考核0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4万－1万元/次，恶性误操作按一类障碍考核，造成后果的按责任定性另外考核。</w:t>
            </w:r>
          </w:p>
        </w:tc>
      </w:tr>
      <w:tr w14:paraId="0344C8C0">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60B35C8">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5030" w:type="dxa"/>
            <w:tcBorders>
              <w:top w:val="nil"/>
              <w:left w:val="nil"/>
              <w:bottom w:val="single" w:color="auto" w:sz="4" w:space="0"/>
              <w:right w:val="single" w:color="auto" w:sz="4" w:space="0"/>
            </w:tcBorders>
            <w:shd w:val="clear" w:color="auto" w:fill="auto"/>
            <w:vAlign w:val="center"/>
          </w:tcPr>
          <w:p w14:paraId="4562810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乙方发生安全事故不及时汇报（超过24h），或谎报、瞒报，逃避责任等行为。</w:t>
            </w:r>
          </w:p>
        </w:tc>
        <w:tc>
          <w:tcPr>
            <w:tcW w:w="3720" w:type="dxa"/>
            <w:tcBorders>
              <w:top w:val="nil"/>
              <w:left w:val="nil"/>
              <w:bottom w:val="single" w:color="auto" w:sz="4" w:space="0"/>
              <w:right w:val="single" w:color="auto" w:sz="4" w:space="0"/>
            </w:tcBorders>
            <w:shd w:val="clear" w:color="auto" w:fill="auto"/>
            <w:vAlign w:val="center"/>
          </w:tcPr>
          <w:p w14:paraId="649D8D4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按事故事件的级别给予不超过2万元/次的考核（事故责任另计）</w:t>
            </w:r>
          </w:p>
        </w:tc>
      </w:tr>
      <w:tr w14:paraId="32AEB6D1">
        <w:tblPrEx>
          <w:tblCellMar>
            <w:top w:w="0" w:type="dxa"/>
            <w:left w:w="108" w:type="dxa"/>
            <w:bottom w:w="0" w:type="dxa"/>
            <w:right w:w="108" w:type="dxa"/>
          </w:tblCellMar>
        </w:tblPrEx>
        <w:trPr>
          <w:trHeight w:val="372"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9B94B9A">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二</w:t>
            </w:r>
          </w:p>
        </w:tc>
        <w:tc>
          <w:tcPr>
            <w:tcW w:w="5030" w:type="dxa"/>
            <w:tcBorders>
              <w:top w:val="nil"/>
              <w:left w:val="nil"/>
              <w:bottom w:val="single" w:color="auto" w:sz="4" w:space="0"/>
              <w:right w:val="single" w:color="auto" w:sz="4" w:space="0"/>
            </w:tcBorders>
            <w:shd w:val="clear" w:color="auto" w:fill="auto"/>
            <w:vAlign w:val="center"/>
          </w:tcPr>
          <w:p w14:paraId="4FD26147">
            <w:pPr>
              <w:widowControl/>
              <w:spacing w:line="360" w:lineRule="exact"/>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安全管理考核</w:t>
            </w:r>
          </w:p>
        </w:tc>
        <w:tc>
          <w:tcPr>
            <w:tcW w:w="3720" w:type="dxa"/>
            <w:tcBorders>
              <w:top w:val="nil"/>
              <w:left w:val="nil"/>
              <w:bottom w:val="single" w:color="auto" w:sz="4" w:space="0"/>
              <w:right w:val="single" w:color="auto" w:sz="4" w:space="0"/>
            </w:tcBorders>
            <w:shd w:val="clear" w:color="auto" w:fill="auto"/>
            <w:vAlign w:val="center"/>
          </w:tcPr>
          <w:p w14:paraId="3379777F">
            <w:pPr>
              <w:widowControl/>
              <w:spacing w:line="360" w:lineRule="exact"/>
              <w:jc w:val="left"/>
              <w:rPr>
                <w:rFonts w:ascii="宋体" w:hAnsi="宋体" w:eastAsia="宋体" w:cs="宋体"/>
                <w:color w:val="000000"/>
                <w:kern w:val="0"/>
                <w:sz w:val="24"/>
                <w:szCs w:val="24"/>
              </w:rPr>
            </w:pPr>
          </w:p>
        </w:tc>
      </w:tr>
      <w:tr w14:paraId="79CC797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E577A5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5030" w:type="dxa"/>
            <w:tcBorders>
              <w:top w:val="nil"/>
              <w:left w:val="nil"/>
              <w:bottom w:val="single" w:color="auto" w:sz="4" w:space="0"/>
              <w:right w:val="single" w:color="auto" w:sz="4" w:space="0"/>
            </w:tcBorders>
            <w:shd w:val="clear" w:color="auto" w:fill="auto"/>
            <w:vAlign w:val="center"/>
          </w:tcPr>
          <w:p w14:paraId="334969C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乙方不设立现场安全组织管理机构，不按要求设置安全员，项目经理或专职安全人员不具备国家要求的相应安全资格。</w:t>
            </w:r>
          </w:p>
        </w:tc>
        <w:tc>
          <w:tcPr>
            <w:tcW w:w="3720" w:type="dxa"/>
            <w:tcBorders>
              <w:top w:val="nil"/>
              <w:left w:val="nil"/>
              <w:bottom w:val="single" w:color="auto" w:sz="4" w:space="0"/>
              <w:right w:val="single" w:color="auto" w:sz="4" w:space="0"/>
            </w:tcBorders>
            <w:shd w:val="clear" w:color="auto" w:fill="auto"/>
            <w:vAlign w:val="center"/>
          </w:tcPr>
          <w:p w14:paraId="5D29096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1万－0.5万元/人·次</w:t>
            </w:r>
          </w:p>
        </w:tc>
      </w:tr>
      <w:tr w14:paraId="792E1068">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1B1E4F7">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5030" w:type="dxa"/>
            <w:tcBorders>
              <w:top w:val="nil"/>
              <w:left w:val="nil"/>
              <w:bottom w:val="single" w:color="auto" w:sz="4" w:space="0"/>
              <w:right w:val="single" w:color="auto" w:sz="4" w:space="0"/>
            </w:tcBorders>
            <w:shd w:val="clear" w:color="auto" w:fill="auto"/>
            <w:vAlign w:val="center"/>
          </w:tcPr>
          <w:p w14:paraId="74CCCB1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乙方新人员未经安全教育或考试不合格上岗</w:t>
            </w:r>
          </w:p>
        </w:tc>
        <w:tc>
          <w:tcPr>
            <w:tcW w:w="3720" w:type="dxa"/>
            <w:tcBorders>
              <w:top w:val="nil"/>
              <w:left w:val="nil"/>
              <w:bottom w:val="single" w:color="auto" w:sz="4" w:space="0"/>
              <w:right w:val="single" w:color="auto" w:sz="4" w:space="0"/>
            </w:tcBorders>
            <w:shd w:val="clear" w:color="auto" w:fill="auto"/>
            <w:vAlign w:val="center"/>
          </w:tcPr>
          <w:p w14:paraId="55A03D1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考核500－1000元/人，屡教不改或形成普遍现象的加倍考核.</w:t>
            </w:r>
          </w:p>
        </w:tc>
      </w:tr>
      <w:tr w14:paraId="3B7C7E1B">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5755E5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5030" w:type="dxa"/>
            <w:tcBorders>
              <w:top w:val="nil"/>
              <w:left w:val="nil"/>
              <w:bottom w:val="single" w:color="auto" w:sz="4" w:space="0"/>
              <w:right w:val="single" w:color="auto" w:sz="4" w:space="0"/>
            </w:tcBorders>
            <w:shd w:val="clear" w:color="auto" w:fill="auto"/>
            <w:vAlign w:val="center"/>
          </w:tcPr>
          <w:p w14:paraId="540221F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乙方人员变更未及时向甲方或监理方申报、备案的。</w:t>
            </w:r>
          </w:p>
        </w:tc>
        <w:tc>
          <w:tcPr>
            <w:tcW w:w="3720" w:type="dxa"/>
            <w:tcBorders>
              <w:top w:val="nil"/>
              <w:left w:val="nil"/>
              <w:bottom w:val="single" w:color="auto" w:sz="4" w:space="0"/>
              <w:right w:val="single" w:color="auto" w:sz="4" w:space="0"/>
            </w:tcBorders>
            <w:shd w:val="clear" w:color="auto" w:fill="auto"/>
            <w:vAlign w:val="center"/>
          </w:tcPr>
          <w:p w14:paraId="493A40E5">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考核500元－1000元/人·次</w:t>
            </w:r>
          </w:p>
        </w:tc>
      </w:tr>
      <w:tr w14:paraId="2AFA4D7B">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B186105">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5030" w:type="dxa"/>
            <w:tcBorders>
              <w:top w:val="nil"/>
              <w:left w:val="nil"/>
              <w:bottom w:val="single" w:color="auto" w:sz="4" w:space="0"/>
              <w:right w:val="single" w:color="auto" w:sz="4" w:space="0"/>
            </w:tcBorders>
            <w:shd w:val="clear" w:color="auto" w:fill="auto"/>
            <w:vAlign w:val="center"/>
          </w:tcPr>
          <w:p w14:paraId="6F3523F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乙方施工过程中特种作业人员没有特种作业证，或不随身携带特种作业证。</w:t>
            </w:r>
          </w:p>
        </w:tc>
        <w:tc>
          <w:tcPr>
            <w:tcW w:w="3720" w:type="dxa"/>
            <w:tcBorders>
              <w:top w:val="nil"/>
              <w:left w:val="nil"/>
              <w:bottom w:val="single" w:color="auto" w:sz="4" w:space="0"/>
              <w:right w:val="single" w:color="auto" w:sz="4" w:space="0"/>
            </w:tcBorders>
            <w:shd w:val="clear" w:color="auto" w:fill="auto"/>
            <w:vAlign w:val="center"/>
          </w:tcPr>
          <w:p w14:paraId="3F193BD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特种作业人员无证上岗考核0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5万元/人.次，特种作业证未随身携带考核500元/人次</w:t>
            </w:r>
          </w:p>
        </w:tc>
      </w:tr>
      <w:tr w14:paraId="66424E2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1E65909">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5030" w:type="dxa"/>
            <w:tcBorders>
              <w:top w:val="nil"/>
              <w:left w:val="nil"/>
              <w:bottom w:val="single" w:color="auto" w:sz="4" w:space="0"/>
              <w:right w:val="single" w:color="auto" w:sz="4" w:space="0"/>
            </w:tcBorders>
            <w:shd w:val="clear" w:color="auto" w:fill="auto"/>
            <w:vAlign w:val="center"/>
          </w:tcPr>
          <w:p w14:paraId="7EDEB75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乙方不按规定开展安全培训、安全交底、风险分析、隐患排查、事故应急等安全活动，或安全活动查无实据、或弄虚作假。</w:t>
            </w:r>
          </w:p>
        </w:tc>
        <w:tc>
          <w:tcPr>
            <w:tcW w:w="3720" w:type="dxa"/>
            <w:tcBorders>
              <w:top w:val="nil"/>
              <w:left w:val="nil"/>
              <w:bottom w:val="single" w:color="auto" w:sz="4" w:space="0"/>
              <w:right w:val="single" w:color="auto" w:sz="4" w:space="0"/>
            </w:tcBorders>
            <w:shd w:val="clear" w:color="auto" w:fill="auto"/>
            <w:vAlign w:val="center"/>
          </w:tcPr>
          <w:p w14:paraId="77AFF0A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w:t>
            </w:r>
            <w:r>
              <w:rPr>
                <w:rFonts w:ascii="宋体" w:hAnsi="宋体" w:eastAsia="宋体" w:cs="宋体"/>
                <w:color w:val="000000"/>
                <w:kern w:val="0"/>
                <w:sz w:val="24"/>
                <w:szCs w:val="24"/>
              </w:rPr>
              <w:t>0.3</w:t>
            </w:r>
            <w:r>
              <w:rPr>
                <w:rFonts w:hint="eastAsia" w:ascii="宋体" w:hAnsi="宋体" w:eastAsia="宋体" w:cs="宋体"/>
                <w:color w:val="000000"/>
                <w:kern w:val="0"/>
                <w:sz w:val="24"/>
                <w:szCs w:val="24"/>
              </w:rPr>
              <w:t>万元/项</w:t>
            </w:r>
          </w:p>
        </w:tc>
      </w:tr>
      <w:tr w14:paraId="65135E7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40EF77E">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5030" w:type="dxa"/>
            <w:tcBorders>
              <w:top w:val="nil"/>
              <w:left w:val="nil"/>
              <w:bottom w:val="single" w:color="auto" w:sz="4" w:space="0"/>
              <w:right w:val="single" w:color="auto" w:sz="4" w:space="0"/>
            </w:tcBorders>
            <w:shd w:val="clear" w:color="auto" w:fill="auto"/>
            <w:vAlign w:val="center"/>
          </w:tcPr>
          <w:p w14:paraId="22D3ED5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乙方不按要求落实甲方反事故措施或重大安全事故隐患整改措施。</w:t>
            </w:r>
          </w:p>
        </w:tc>
        <w:tc>
          <w:tcPr>
            <w:tcW w:w="3720" w:type="dxa"/>
            <w:tcBorders>
              <w:top w:val="nil"/>
              <w:left w:val="nil"/>
              <w:bottom w:val="single" w:color="auto" w:sz="4" w:space="0"/>
              <w:right w:val="single" w:color="auto" w:sz="4" w:space="0"/>
            </w:tcBorders>
            <w:shd w:val="clear" w:color="auto" w:fill="auto"/>
            <w:vAlign w:val="center"/>
          </w:tcPr>
          <w:p w14:paraId="298547F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5万元/项</w:t>
            </w:r>
          </w:p>
        </w:tc>
      </w:tr>
      <w:tr w14:paraId="69E12EC5">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BB19ECD">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5030" w:type="dxa"/>
            <w:tcBorders>
              <w:top w:val="nil"/>
              <w:left w:val="nil"/>
              <w:bottom w:val="single" w:color="auto" w:sz="4" w:space="0"/>
              <w:right w:val="single" w:color="auto" w:sz="4" w:space="0"/>
            </w:tcBorders>
            <w:shd w:val="clear" w:color="auto" w:fill="auto"/>
            <w:vAlign w:val="center"/>
          </w:tcPr>
          <w:p w14:paraId="31A082E6">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乙方对甲方提出的安全整改意见无特殊原因未安排整改的。</w:t>
            </w:r>
          </w:p>
        </w:tc>
        <w:tc>
          <w:tcPr>
            <w:tcW w:w="3720" w:type="dxa"/>
            <w:tcBorders>
              <w:top w:val="nil"/>
              <w:left w:val="nil"/>
              <w:bottom w:val="single" w:color="auto" w:sz="4" w:space="0"/>
              <w:right w:val="single" w:color="auto" w:sz="4" w:space="0"/>
            </w:tcBorders>
            <w:shd w:val="clear" w:color="auto" w:fill="auto"/>
            <w:vAlign w:val="center"/>
          </w:tcPr>
          <w:p w14:paraId="72D535E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每逾期1天考核500元</w:t>
            </w:r>
          </w:p>
        </w:tc>
      </w:tr>
      <w:tr w14:paraId="21ADFD43">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A22B070">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5030" w:type="dxa"/>
            <w:tcBorders>
              <w:top w:val="nil"/>
              <w:left w:val="nil"/>
              <w:bottom w:val="single" w:color="auto" w:sz="4" w:space="0"/>
              <w:right w:val="single" w:color="auto" w:sz="4" w:space="0"/>
            </w:tcBorders>
            <w:shd w:val="clear" w:color="auto" w:fill="auto"/>
            <w:vAlign w:val="center"/>
          </w:tcPr>
          <w:p w14:paraId="6B90B2C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乙方在甲方厂区内未经许可，未履行完申请报批手续，违规建设。</w:t>
            </w:r>
          </w:p>
        </w:tc>
        <w:tc>
          <w:tcPr>
            <w:tcW w:w="3720" w:type="dxa"/>
            <w:tcBorders>
              <w:top w:val="nil"/>
              <w:left w:val="nil"/>
              <w:bottom w:val="single" w:color="auto" w:sz="4" w:space="0"/>
              <w:right w:val="single" w:color="auto" w:sz="4" w:space="0"/>
            </w:tcBorders>
            <w:shd w:val="clear" w:color="auto" w:fill="auto"/>
            <w:vAlign w:val="center"/>
          </w:tcPr>
          <w:p w14:paraId="66D12DF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5万－1万元/次，并恢复原貌。</w:t>
            </w:r>
          </w:p>
        </w:tc>
      </w:tr>
      <w:tr w14:paraId="761B6C55">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B7E5338">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5030" w:type="dxa"/>
            <w:tcBorders>
              <w:top w:val="nil"/>
              <w:left w:val="nil"/>
              <w:bottom w:val="single" w:color="auto" w:sz="4" w:space="0"/>
              <w:right w:val="single" w:color="auto" w:sz="4" w:space="0"/>
            </w:tcBorders>
            <w:shd w:val="clear" w:color="auto" w:fill="auto"/>
            <w:vAlign w:val="center"/>
          </w:tcPr>
          <w:p w14:paraId="10DCDB9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乙方未落实审批程序擅自开工</w:t>
            </w:r>
          </w:p>
        </w:tc>
        <w:tc>
          <w:tcPr>
            <w:tcW w:w="3720" w:type="dxa"/>
            <w:tcBorders>
              <w:top w:val="nil"/>
              <w:left w:val="nil"/>
              <w:bottom w:val="single" w:color="auto" w:sz="4" w:space="0"/>
              <w:right w:val="single" w:color="auto" w:sz="4" w:space="0"/>
            </w:tcBorders>
            <w:shd w:val="clear" w:color="auto" w:fill="auto"/>
            <w:vAlign w:val="center"/>
          </w:tcPr>
          <w:p w14:paraId="328D5CD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2万－0.5万元/次，并立即停工整改。</w:t>
            </w:r>
          </w:p>
        </w:tc>
      </w:tr>
      <w:tr w14:paraId="6B5F0523">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0A65519">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26</w:t>
            </w:r>
          </w:p>
        </w:tc>
        <w:tc>
          <w:tcPr>
            <w:tcW w:w="5030" w:type="dxa"/>
            <w:tcBorders>
              <w:top w:val="nil"/>
              <w:left w:val="nil"/>
              <w:bottom w:val="single" w:color="auto" w:sz="4" w:space="0"/>
              <w:right w:val="single" w:color="auto" w:sz="4" w:space="0"/>
            </w:tcBorders>
            <w:shd w:val="clear" w:color="auto" w:fill="auto"/>
            <w:vAlign w:val="center"/>
          </w:tcPr>
          <w:p w14:paraId="381F84E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乙方施工现场在用的特种设备未经法定检验或未及时备案，或超检验期使用。</w:t>
            </w:r>
          </w:p>
        </w:tc>
        <w:tc>
          <w:tcPr>
            <w:tcW w:w="3720" w:type="dxa"/>
            <w:tcBorders>
              <w:top w:val="nil"/>
              <w:left w:val="nil"/>
              <w:bottom w:val="single" w:color="auto" w:sz="4" w:space="0"/>
              <w:right w:val="single" w:color="auto" w:sz="4" w:space="0"/>
            </w:tcBorders>
            <w:shd w:val="clear" w:color="auto" w:fill="auto"/>
            <w:vAlign w:val="center"/>
          </w:tcPr>
          <w:p w14:paraId="37B4420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5万－1万元/次</w:t>
            </w:r>
          </w:p>
        </w:tc>
      </w:tr>
      <w:tr w14:paraId="57DD8192">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58476C2">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5030" w:type="dxa"/>
            <w:tcBorders>
              <w:top w:val="nil"/>
              <w:left w:val="nil"/>
              <w:bottom w:val="single" w:color="auto" w:sz="4" w:space="0"/>
              <w:right w:val="single" w:color="auto" w:sz="4" w:space="0"/>
            </w:tcBorders>
            <w:shd w:val="clear" w:color="auto" w:fill="auto"/>
            <w:vAlign w:val="center"/>
          </w:tcPr>
          <w:p w14:paraId="50520FB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乙方使用未经检验或超过检验期的安全工器具</w:t>
            </w:r>
          </w:p>
        </w:tc>
        <w:tc>
          <w:tcPr>
            <w:tcW w:w="3720" w:type="dxa"/>
            <w:tcBorders>
              <w:top w:val="nil"/>
              <w:left w:val="nil"/>
              <w:bottom w:val="single" w:color="auto" w:sz="4" w:space="0"/>
              <w:right w:val="single" w:color="auto" w:sz="4" w:space="0"/>
            </w:tcBorders>
            <w:shd w:val="clear" w:color="auto" w:fill="auto"/>
            <w:vAlign w:val="center"/>
          </w:tcPr>
          <w:p w14:paraId="5F4FE39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2万元/项</w:t>
            </w:r>
          </w:p>
        </w:tc>
      </w:tr>
      <w:tr w14:paraId="21EE60B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2A2CF5E">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5030" w:type="dxa"/>
            <w:tcBorders>
              <w:top w:val="nil"/>
              <w:left w:val="nil"/>
              <w:bottom w:val="single" w:color="auto" w:sz="4" w:space="0"/>
              <w:right w:val="single" w:color="auto" w:sz="4" w:space="0"/>
            </w:tcBorders>
            <w:shd w:val="clear" w:color="auto" w:fill="auto"/>
            <w:vAlign w:val="center"/>
          </w:tcPr>
          <w:p w14:paraId="71B595F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乙方不按规定投入安全资金或虚报、瞒报安全设施投入情况。</w:t>
            </w:r>
          </w:p>
        </w:tc>
        <w:tc>
          <w:tcPr>
            <w:tcW w:w="3720" w:type="dxa"/>
            <w:tcBorders>
              <w:top w:val="nil"/>
              <w:left w:val="nil"/>
              <w:bottom w:val="single" w:color="auto" w:sz="4" w:space="0"/>
              <w:right w:val="single" w:color="auto" w:sz="4" w:space="0"/>
            </w:tcBorders>
            <w:shd w:val="clear" w:color="auto" w:fill="auto"/>
            <w:vAlign w:val="center"/>
          </w:tcPr>
          <w:p w14:paraId="6A7FFB6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5万－2万元/次，并责令按规定投入足额安全资金。</w:t>
            </w:r>
          </w:p>
        </w:tc>
      </w:tr>
      <w:tr w14:paraId="396A0D4B">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BDBEE6B">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5030" w:type="dxa"/>
            <w:tcBorders>
              <w:top w:val="nil"/>
              <w:left w:val="nil"/>
              <w:bottom w:val="single" w:color="auto" w:sz="4" w:space="0"/>
              <w:right w:val="single" w:color="auto" w:sz="4" w:space="0"/>
            </w:tcBorders>
            <w:shd w:val="clear" w:color="auto" w:fill="auto"/>
            <w:vAlign w:val="center"/>
          </w:tcPr>
          <w:p w14:paraId="722E3E9B">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乙方不服从甲方对口管理部门、管理人员指挥，且态度恶劣、拒不整改的。</w:t>
            </w:r>
          </w:p>
        </w:tc>
        <w:tc>
          <w:tcPr>
            <w:tcW w:w="3720" w:type="dxa"/>
            <w:tcBorders>
              <w:top w:val="nil"/>
              <w:left w:val="nil"/>
              <w:bottom w:val="single" w:color="auto" w:sz="4" w:space="0"/>
              <w:right w:val="single" w:color="auto" w:sz="4" w:space="0"/>
            </w:tcBorders>
            <w:shd w:val="clear" w:color="auto" w:fill="auto"/>
            <w:vAlign w:val="center"/>
          </w:tcPr>
          <w:p w14:paraId="68A3EE6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1万－0.3万元/次，情节严重者驱逐出厂。</w:t>
            </w:r>
          </w:p>
        </w:tc>
      </w:tr>
      <w:tr w14:paraId="2425A57B">
        <w:tblPrEx>
          <w:tblCellMar>
            <w:top w:w="0" w:type="dxa"/>
            <w:left w:w="108" w:type="dxa"/>
            <w:bottom w:w="0" w:type="dxa"/>
            <w:right w:w="108" w:type="dxa"/>
          </w:tblCellMar>
        </w:tblPrEx>
        <w:trPr>
          <w:trHeight w:val="457"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08E4D80">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三</w:t>
            </w:r>
          </w:p>
        </w:tc>
        <w:tc>
          <w:tcPr>
            <w:tcW w:w="5030" w:type="dxa"/>
            <w:tcBorders>
              <w:top w:val="nil"/>
              <w:left w:val="nil"/>
              <w:bottom w:val="single" w:color="auto" w:sz="4" w:space="0"/>
              <w:right w:val="single" w:color="auto" w:sz="4" w:space="0"/>
            </w:tcBorders>
            <w:shd w:val="clear" w:color="auto" w:fill="auto"/>
            <w:vAlign w:val="center"/>
          </w:tcPr>
          <w:p w14:paraId="252C0585">
            <w:pPr>
              <w:widowControl/>
              <w:spacing w:line="360" w:lineRule="exact"/>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违章考核</w:t>
            </w:r>
          </w:p>
        </w:tc>
        <w:tc>
          <w:tcPr>
            <w:tcW w:w="3720" w:type="dxa"/>
            <w:tcBorders>
              <w:top w:val="nil"/>
              <w:left w:val="nil"/>
              <w:bottom w:val="single" w:color="auto" w:sz="4" w:space="0"/>
              <w:right w:val="single" w:color="auto" w:sz="4" w:space="0"/>
            </w:tcBorders>
            <w:shd w:val="clear" w:color="auto" w:fill="auto"/>
            <w:vAlign w:val="center"/>
          </w:tcPr>
          <w:p w14:paraId="62A6E679">
            <w:pPr>
              <w:widowControl/>
              <w:spacing w:line="360" w:lineRule="exact"/>
              <w:jc w:val="left"/>
              <w:rPr>
                <w:rFonts w:ascii="宋体" w:hAnsi="宋体" w:eastAsia="宋体" w:cs="宋体"/>
                <w:color w:val="000000"/>
                <w:kern w:val="0"/>
                <w:sz w:val="24"/>
                <w:szCs w:val="24"/>
              </w:rPr>
            </w:pPr>
          </w:p>
        </w:tc>
      </w:tr>
      <w:tr w14:paraId="0F13023A">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0BB3990">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5030" w:type="dxa"/>
            <w:tcBorders>
              <w:top w:val="nil"/>
              <w:left w:val="nil"/>
              <w:bottom w:val="single" w:color="auto" w:sz="4" w:space="0"/>
              <w:right w:val="single" w:color="auto" w:sz="4" w:space="0"/>
            </w:tcBorders>
            <w:shd w:val="clear" w:color="auto" w:fill="auto"/>
            <w:vAlign w:val="center"/>
          </w:tcPr>
          <w:p w14:paraId="558933A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乙方违反甲方两票管理制度</w:t>
            </w:r>
          </w:p>
        </w:tc>
        <w:tc>
          <w:tcPr>
            <w:tcW w:w="3720" w:type="dxa"/>
            <w:tcBorders>
              <w:top w:val="nil"/>
              <w:left w:val="nil"/>
              <w:bottom w:val="single" w:color="auto" w:sz="4" w:space="0"/>
              <w:right w:val="single" w:color="auto" w:sz="4" w:space="0"/>
            </w:tcBorders>
            <w:shd w:val="clear" w:color="auto" w:fill="auto"/>
            <w:vAlign w:val="center"/>
          </w:tcPr>
          <w:p w14:paraId="51D01552">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无票作业考核0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3万－1万元/次，工作票不合格或未按安措执行的每次考核500元－0.2万元</w:t>
            </w:r>
          </w:p>
        </w:tc>
      </w:tr>
      <w:tr w14:paraId="46166B38">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24C1121">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5030" w:type="dxa"/>
            <w:tcBorders>
              <w:top w:val="nil"/>
              <w:left w:val="nil"/>
              <w:bottom w:val="single" w:color="auto" w:sz="4" w:space="0"/>
              <w:right w:val="single" w:color="auto" w:sz="4" w:space="0"/>
            </w:tcBorders>
            <w:shd w:val="clear" w:color="auto" w:fill="auto"/>
            <w:vAlign w:val="center"/>
          </w:tcPr>
          <w:p w14:paraId="01E6C56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乙方人员未经许可擅动甲方的生产设备、设施</w:t>
            </w:r>
          </w:p>
        </w:tc>
        <w:tc>
          <w:tcPr>
            <w:tcW w:w="3720" w:type="dxa"/>
            <w:tcBorders>
              <w:top w:val="nil"/>
              <w:left w:val="nil"/>
              <w:bottom w:val="single" w:color="auto" w:sz="4" w:space="0"/>
              <w:right w:val="single" w:color="auto" w:sz="4" w:space="0"/>
            </w:tcBorders>
            <w:shd w:val="clear" w:color="auto" w:fill="auto"/>
            <w:vAlign w:val="center"/>
          </w:tcPr>
          <w:p w14:paraId="01F7ED7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考核0.2万元-0.5万元/次，造成后果的视损失另行考核。</w:t>
            </w:r>
          </w:p>
        </w:tc>
      </w:tr>
      <w:tr w14:paraId="575C6EC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C7314F4">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5030" w:type="dxa"/>
            <w:tcBorders>
              <w:top w:val="nil"/>
              <w:left w:val="nil"/>
              <w:bottom w:val="single" w:color="auto" w:sz="4" w:space="0"/>
              <w:right w:val="single" w:color="auto" w:sz="4" w:space="0"/>
            </w:tcBorders>
            <w:shd w:val="clear" w:color="auto" w:fill="auto"/>
            <w:vAlign w:val="center"/>
          </w:tcPr>
          <w:p w14:paraId="4858DA3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乙方不经批准在甲方设备、结构、建筑物上开孔或焊接临时构件，变更设备设施用途。</w:t>
            </w:r>
          </w:p>
        </w:tc>
        <w:tc>
          <w:tcPr>
            <w:tcW w:w="3720" w:type="dxa"/>
            <w:tcBorders>
              <w:top w:val="nil"/>
              <w:left w:val="nil"/>
              <w:bottom w:val="single" w:color="auto" w:sz="4" w:space="0"/>
              <w:right w:val="single" w:color="auto" w:sz="4" w:space="0"/>
            </w:tcBorders>
            <w:shd w:val="clear" w:color="auto" w:fill="auto"/>
            <w:vAlign w:val="center"/>
          </w:tcPr>
          <w:p w14:paraId="5F10B78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考核0.2万元-0.5万元/次，造成后果的视损失另行考核。</w:t>
            </w:r>
          </w:p>
        </w:tc>
      </w:tr>
      <w:tr w14:paraId="24BE7A35">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FBEAFE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5030" w:type="dxa"/>
            <w:tcBorders>
              <w:top w:val="nil"/>
              <w:left w:val="nil"/>
              <w:bottom w:val="single" w:color="auto" w:sz="4" w:space="0"/>
              <w:right w:val="single" w:color="auto" w:sz="4" w:space="0"/>
            </w:tcBorders>
            <w:shd w:val="clear" w:color="auto" w:fill="auto"/>
            <w:vAlign w:val="center"/>
          </w:tcPr>
          <w:p w14:paraId="175EFA8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乙方违规搭设脚手架或无票随意搭设脚手架，脚手架未验收或无验收合格证投入使用。</w:t>
            </w:r>
          </w:p>
        </w:tc>
        <w:tc>
          <w:tcPr>
            <w:tcW w:w="3720" w:type="dxa"/>
            <w:tcBorders>
              <w:top w:val="nil"/>
              <w:left w:val="nil"/>
              <w:bottom w:val="single" w:color="auto" w:sz="4" w:space="0"/>
              <w:right w:val="single" w:color="auto" w:sz="4" w:space="0"/>
            </w:tcBorders>
            <w:shd w:val="clear" w:color="auto" w:fill="auto"/>
            <w:vAlign w:val="center"/>
          </w:tcPr>
          <w:p w14:paraId="4318152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脚手架存在较大安全隐患考核0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1万－0.5万元/项，未经验收投入使用考核0.5万元-1万元/处。</w:t>
            </w:r>
          </w:p>
        </w:tc>
      </w:tr>
      <w:tr w14:paraId="01EB8CEA">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7373AF5">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5030" w:type="dxa"/>
            <w:tcBorders>
              <w:top w:val="nil"/>
              <w:left w:val="nil"/>
              <w:bottom w:val="single" w:color="auto" w:sz="4" w:space="0"/>
              <w:right w:val="single" w:color="auto" w:sz="4" w:space="0"/>
            </w:tcBorders>
            <w:shd w:val="clear" w:color="auto" w:fill="auto"/>
            <w:vAlign w:val="center"/>
          </w:tcPr>
          <w:p w14:paraId="1E36483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乙方违反《电力安全工作规程》高处、临边、起重等作业有关规定，隔离、防护设施不到位。</w:t>
            </w:r>
          </w:p>
        </w:tc>
        <w:tc>
          <w:tcPr>
            <w:tcW w:w="3720" w:type="dxa"/>
            <w:tcBorders>
              <w:top w:val="nil"/>
              <w:left w:val="nil"/>
              <w:bottom w:val="single" w:color="auto" w:sz="4" w:space="0"/>
              <w:right w:val="single" w:color="auto" w:sz="4" w:space="0"/>
            </w:tcBorders>
            <w:shd w:val="clear" w:color="auto" w:fill="auto"/>
            <w:vAlign w:val="center"/>
          </w:tcPr>
          <w:p w14:paraId="29A94E1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w:t>
            </w:r>
            <w:r>
              <w:rPr>
                <w:rFonts w:ascii="宋体" w:hAnsi="宋体" w:eastAsia="宋体" w:cs="宋体"/>
                <w:color w:val="000000"/>
                <w:kern w:val="0"/>
                <w:sz w:val="24"/>
                <w:szCs w:val="24"/>
              </w:rPr>
              <w:t>0.5</w:t>
            </w:r>
            <w:r>
              <w:rPr>
                <w:rFonts w:hint="eastAsia" w:ascii="宋体" w:hAnsi="宋体" w:eastAsia="宋体" w:cs="宋体"/>
                <w:color w:val="000000"/>
                <w:kern w:val="0"/>
                <w:sz w:val="24"/>
                <w:szCs w:val="24"/>
              </w:rPr>
              <w:t>万元/处</w:t>
            </w:r>
          </w:p>
        </w:tc>
      </w:tr>
      <w:tr w14:paraId="2BA35F0D">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6E002B1">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5030" w:type="dxa"/>
            <w:tcBorders>
              <w:top w:val="nil"/>
              <w:left w:val="nil"/>
              <w:bottom w:val="single" w:color="auto" w:sz="4" w:space="0"/>
              <w:right w:val="single" w:color="auto" w:sz="4" w:space="0"/>
            </w:tcBorders>
            <w:shd w:val="clear" w:color="auto" w:fill="auto"/>
            <w:vAlign w:val="center"/>
          </w:tcPr>
          <w:p w14:paraId="2BDFD19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乙方在受限空间作业时，未办理许可票，未遵守通风、检测、监护、电动工具的使用、电源管理等有关规定的行为。</w:t>
            </w:r>
          </w:p>
        </w:tc>
        <w:tc>
          <w:tcPr>
            <w:tcW w:w="3720" w:type="dxa"/>
            <w:tcBorders>
              <w:top w:val="nil"/>
              <w:left w:val="nil"/>
              <w:bottom w:val="single" w:color="auto" w:sz="4" w:space="0"/>
              <w:right w:val="single" w:color="auto" w:sz="4" w:space="0"/>
            </w:tcBorders>
            <w:shd w:val="clear" w:color="auto" w:fill="auto"/>
            <w:vAlign w:val="center"/>
          </w:tcPr>
          <w:p w14:paraId="4B7A4BF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w:t>
            </w:r>
            <w:r>
              <w:rPr>
                <w:rFonts w:ascii="宋体" w:hAnsi="宋体" w:eastAsia="宋体" w:cs="宋体"/>
                <w:color w:val="000000"/>
                <w:kern w:val="0"/>
                <w:sz w:val="24"/>
                <w:szCs w:val="24"/>
              </w:rPr>
              <w:t>0.5</w:t>
            </w:r>
            <w:r>
              <w:rPr>
                <w:rFonts w:hint="eastAsia" w:ascii="宋体" w:hAnsi="宋体" w:eastAsia="宋体" w:cs="宋体"/>
                <w:color w:val="000000"/>
                <w:kern w:val="0"/>
                <w:sz w:val="24"/>
                <w:szCs w:val="24"/>
              </w:rPr>
              <w:t>万元/处</w:t>
            </w:r>
          </w:p>
        </w:tc>
      </w:tr>
      <w:tr w14:paraId="5DEC213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608972F">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5030" w:type="dxa"/>
            <w:tcBorders>
              <w:top w:val="nil"/>
              <w:left w:val="nil"/>
              <w:bottom w:val="single" w:color="auto" w:sz="4" w:space="0"/>
              <w:right w:val="single" w:color="auto" w:sz="4" w:space="0"/>
            </w:tcBorders>
            <w:shd w:val="clear" w:color="auto" w:fill="auto"/>
            <w:vAlign w:val="center"/>
          </w:tcPr>
          <w:p w14:paraId="12596F00">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乙方违反起重设备使用规定或由于使用不当造成起重设备的损坏。</w:t>
            </w:r>
          </w:p>
        </w:tc>
        <w:tc>
          <w:tcPr>
            <w:tcW w:w="3720" w:type="dxa"/>
            <w:tcBorders>
              <w:top w:val="nil"/>
              <w:left w:val="nil"/>
              <w:bottom w:val="single" w:color="auto" w:sz="4" w:space="0"/>
              <w:right w:val="single" w:color="auto" w:sz="4" w:space="0"/>
            </w:tcBorders>
            <w:shd w:val="clear" w:color="auto" w:fill="auto"/>
            <w:vAlign w:val="center"/>
          </w:tcPr>
          <w:p w14:paraId="3F75353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w:t>
            </w:r>
            <w:r>
              <w:rPr>
                <w:rFonts w:ascii="宋体" w:hAnsi="宋体" w:eastAsia="宋体" w:cs="宋体"/>
                <w:color w:val="000000"/>
                <w:kern w:val="0"/>
                <w:sz w:val="24"/>
                <w:szCs w:val="24"/>
              </w:rPr>
              <w:t>0.3</w:t>
            </w:r>
            <w:r>
              <w:rPr>
                <w:rFonts w:hint="eastAsia" w:ascii="宋体" w:hAnsi="宋体" w:eastAsia="宋体" w:cs="宋体"/>
                <w:color w:val="000000"/>
                <w:kern w:val="0"/>
                <w:sz w:val="24"/>
                <w:szCs w:val="24"/>
              </w:rPr>
              <w:t>万元/次，并负责修复。</w:t>
            </w:r>
          </w:p>
        </w:tc>
      </w:tr>
      <w:tr w14:paraId="21547534">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4EEC05F5">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5030" w:type="dxa"/>
            <w:tcBorders>
              <w:top w:val="nil"/>
              <w:left w:val="nil"/>
              <w:bottom w:val="single" w:color="auto" w:sz="4" w:space="0"/>
              <w:right w:val="single" w:color="auto" w:sz="4" w:space="0"/>
            </w:tcBorders>
            <w:shd w:val="clear" w:color="auto" w:fill="auto"/>
            <w:vAlign w:val="center"/>
          </w:tcPr>
          <w:p w14:paraId="5C8A240D">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乙方员工工作现场不穿戴或不正确穿戴劳动防护用品，使用不合格工器具。</w:t>
            </w:r>
          </w:p>
        </w:tc>
        <w:tc>
          <w:tcPr>
            <w:tcW w:w="3720" w:type="dxa"/>
            <w:tcBorders>
              <w:top w:val="nil"/>
              <w:left w:val="nil"/>
              <w:bottom w:val="single" w:color="auto" w:sz="4" w:space="0"/>
              <w:right w:val="single" w:color="auto" w:sz="4" w:space="0"/>
            </w:tcBorders>
            <w:shd w:val="clear" w:color="auto" w:fill="auto"/>
            <w:vAlign w:val="center"/>
          </w:tcPr>
          <w:p w14:paraId="57D0C94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万元/人·次</w:t>
            </w:r>
          </w:p>
        </w:tc>
      </w:tr>
      <w:tr w14:paraId="5BB51AC0">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9EDC78E">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37</w:t>
            </w:r>
          </w:p>
        </w:tc>
        <w:tc>
          <w:tcPr>
            <w:tcW w:w="5030" w:type="dxa"/>
            <w:tcBorders>
              <w:top w:val="nil"/>
              <w:left w:val="nil"/>
              <w:bottom w:val="single" w:color="auto" w:sz="4" w:space="0"/>
              <w:right w:val="single" w:color="auto" w:sz="4" w:space="0"/>
            </w:tcBorders>
            <w:shd w:val="clear" w:color="auto" w:fill="auto"/>
            <w:vAlign w:val="center"/>
          </w:tcPr>
          <w:p w14:paraId="0860BA3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乙方工作人员在甲方厂区内吸烟（规定的吸烟点除外）。</w:t>
            </w:r>
          </w:p>
        </w:tc>
        <w:tc>
          <w:tcPr>
            <w:tcW w:w="3720" w:type="dxa"/>
            <w:tcBorders>
              <w:top w:val="nil"/>
              <w:left w:val="nil"/>
              <w:bottom w:val="single" w:color="auto" w:sz="4" w:space="0"/>
              <w:right w:val="single" w:color="auto" w:sz="4" w:space="0"/>
            </w:tcBorders>
            <w:shd w:val="clear" w:color="auto" w:fill="auto"/>
            <w:vAlign w:val="center"/>
          </w:tcPr>
          <w:p w14:paraId="281DA2B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厂（场）区吸烟考核</w:t>
            </w:r>
            <w:r>
              <w:rPr>
                <w:rFonts w:ascii="宋体" w:hAnsi="宋体" w:eastAsia="宋体" w:cs="宋体"/>
                <w:color w:val="000000"/>
                <w:kern w:val="0"/>
                <w:sz w:val="24"/>
                <w:szCs w:val="24"/>
              </w:rPr>
              <w:t>500</w:t>
            </w:r>
            <w:r>
              <w:rPr>
                <w:rFonts w:hint="eastAsia" w:ascii="宋体" w:hAnsi="宋体" w:eastAsia="宋体" w:cs="宋体"/>
                <w:color w:val="000000"/>
                <w:kern w:val="0"/>
                <w:sz w:val="24"/>
                <w:szCs w:val="24"/>
              </w:rPr>
              <w:t>元</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人次，重点防火区域吸烟考核</w:t>
            </w:r>
            <w:r>
              <w:rPr>
                <w:rFonts w:ascii="宋体" w:hAnsi="宋体" w:eastAsia="宋体" w:cs="宋体"/>
                <w:color w:val="000000"/>
                <w:kern w:val="0"/>
                <w:sz w:val="24"/>
                <w:szCs w:val="24"/>
              </w:rPr>
              <w:t>0.1</w:t>
            </w:r>
            <w:r>
              <w:rPr>
                <w:rFonts w:hint="eastAsia" w:ascii="宋体" w:hAnsi="宋体" w:eastAsia="宋体" w:cs="宋体"/>
                <w:color w:val="000000"/>
                <w:kern w:val="0"/>
                <w:sz w:val="24"/>
                <w:szCs w:val="24"/>
              </w:rPr>
              <w:t>万－0</w:t>
            </w: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万元</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人</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次。</w:t>
            </w:r>
          </w:p>
        </w:tc>
      </w:tr>
      <w:tr w14:paraId="46E38AEF">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4D16A37">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5030" w:type="dxa"/>
            <w:tcBorders>
              <w:top w:val="nil"/>
              <w:left w:val="nil"/>
              <w:bottom w:val="single" w:color="auto" w:sz="4" w:space="0"/>
              <w:right w:val="single" w:color="auto" w:sz="4" w:space="0"/>
            </w:tcBorders>
            <w:shd w:val="clear" w:color="auto" w:fill="auto"/>
            <w:vAlign w:val="center"/>
          </w:tcPr>
          <w:p w14:paraId="2BBFB37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乙方在重点防火部位违规动火</w:t>
            </w:r>
          </w:p>
        </w:tc>
        <w:tc>
          <w:tcPr>
            <w:tcW w:w="3720" w:type="dxa"/>
            <w:tcBorders>
              <w:top w:val="nil"/>
              <w:left w:val="nil"/>
              <w:bottom w:val="single" w:color="auto" w:sz="4" w:space="0"/>
              <w:right w:val="single" w:color="auto" w:sz="4" w:space="0"/>
            </w:tcBorders>
            <w:shd w:val="clear" w:color="auto" w:fill="auto"/>
            <w:vAlign w:val="center"/>
          </w:tcPr>
          <w:p w14:paraId="063FC20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5万元/项</w:t>
            </w:r>
          </w:p>
        </w:tc>
      </w:tr>
      <w:tr w14:paraId="64C8CD85">
        <w:tblPrEx>
          <w:tblCellMar>
            <w:top w:w="0" w:type="dxa"/>
            <w:left w:w="108" w:type="dxa"/>
            <w:bottom w:w="0" w:type="dxa"/>
            <w:right w:w="108" w:type="dxa"/>
          </w:tblCellMar>
        </w:tblPrEx>
        <w:trPr>
          <w:trHeight w:val="937"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0026545F">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5030" w:type="dxa"/>
            <w:tcBorders>
              <w:top w:val="nil"/>
              <w:left w:val="nil"/>
              <w:bottom w:val="single" w:color="auto" w:sz="4" w:space="0"/>
              <w:right w:val="single" w:color="auto" w:sz="4" w:space="0"/>
            </w:tcBorders>
            <w:shd w:val="clear" w:color="auto" w:fill="auto"/>
            <w:vAlign w:val="center"/>
          </w:tcPr>
          <w:p w14:paraId="20F1AC2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乙方高处动火作业，对下方的设备不采取防火隔离措施，或在地板砖、网格栅等处施工未采取保护措施。</w:t>
            </w:r>
          </w:p>
        </w:tc>
        <w:tc>
          <w:tcPr>
            <w:tcW w:w="3720" w:type="dxa"/>
            <w:tcBorders>
              <w:top w:val="nil"/>
              <w:left w:val="nil"/>
              <w:bottom w:val="single" w:color="auto" w:sz="4" w:space="0"/>
              <w:right w:val="single" w:color="auto" w:sz="4" w:space="0"/>
            </w:tcBorders>
            <w:shd w:val="clear" w:color="auto" w:fill="auto"/>
            <w:vAlign w:val="center"/>
          </w:tcPr>
          <w:p w14:paraId="17A0545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1万元/次</w:t>
            </w:r>
          </w:p>
        </w:tc>
      </w:tr>
      <w:tr w14:paraId="0CC396A6">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3C5F1615">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5030" w:type="dxa"/>
            <w:tcBorders>
              <w:top w:val="nil"/>
              <w:left w:val="nil"/>
              <w:bottom w:val="single" w:color="auto" w:sz="4" w:space="0"/>
              <w:right w:val="single" w:color="auto" w:sz="4" w:space="0"/>
            </w:tcBorders>
            <w:shd w:val="clear" w:color="auto" w:fill="auto"/>
            <w:vAlign w:val="center"/>
          </w:tcPr>
          <w:p w14:paraId="1D8E9E5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乙方擅自使用甲方消防水源，挪用、摆压、封堵、圈围、拆除、停用甲方消防设施。</w:t>
            </w:r>
          </w:p>
        </w:tc>
        <w:tc>
          <w:tcPr>
            <w:tcW w:w="3720" w:type="dxa"/>
            <w:tcBorders>
              <w:top w:val="nil"/>
              <w:left w:val="nil"/>
              <w:bottom w:val="single" w:color="auto" w:sz="4" w:space="0"/>
              <w:right w:val="single" w:color="auto" w:sz="4" w:space="0"/>
            </w:tcBorders>
            <w:shd w:val="clear" w:color="auto" w:fill="auto"/>
            <w:vAlign w:val="center"/>
          </w:tcPr>
          <w:p w14:paraId="55ED057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1万元/项，并负责修复或恢复。</w:t>
            </w:r>
          </w:p>
        </w:tc>
      </w:tr>
      <w:tr w14:paraId="06DC7195">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4DC692B2">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41</w:t>
            </w:r>
          </w:p>
        </w:tc>
        <w:tc>
          <w:tcPr>
            <w:tcW w:w="5030" w:type="dxa"/>
            <w:tcBorders>
              <w:top w:val="nil"/>
              <w:left w:val="nil"/>
              <w:bottom w:val="single" w:color="auto" w:sz="4" w:space="0"/>
              <w:right w:val="single" w:color="auto" w:sz="4" w:space="0"/>
            </w:tcBorders>
            <w:shd w:val="clear" w:color="auto" w:fill="auto"/>
            <w:vAlign w:val="center"/>
          </w:tcPr>
          <w:p w14:paraId="66B621A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乙方未经批准堵塞安全出口、疏散通道、消防通道或者占用防火间距。</w:t>
            </w:r>
          </w:p>
        </w:tc>
        <w:tc>
          <w:tcPr>
            <w:tcW w:w="3720" w:type="dxa"/>
            <w:tcBorders>
              <w:top w:val="nil"/>
              <w:left w:val="nil"/>
              <w:bottom w:val="single" w:color="auto" w:sz="4" w:space="0"/>
              <w:right w:val="single" w:color="auto" w:sz="4" w:space="0"/>
            </w:tcBorders>
            <w:shd w:val="clear" w:color="auto" w:fill="auto"/>
            <w:vAlign w:val="center"/>
          </w:tcPr>
          <w:p w14:paraId="49BDAF3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1万元/项</w:t>
            </w:r>
          </w:p>
        </w:tc>
      </w:tr>
      <w:tr w14:paraId="0CE3C5E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F967533">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42</w:t>
            </w:r>
          </w:p>
        </w:tc>
        <w:tc>
          <w:tcPr>
            <w:tcW w:w="5030" w:type="dxa"/>
            <w:tcBorders>
              <w:top w:val="nil"/>
              <w:left w:val="nil"/>
              <w:bottom w:val="single" w:color="auto" w:sz="4" w:space="0"/>
              <w:right w:val="single" w:color="auto" w:sz="4" w:space="0"/>
            </w:tcBorders>
            <w:shd w:val="clear" w:color="auto" w:fill="auto"/>
            <w:vAlign w:val="center"/>
          </w:tcPr>
          <w:p w14:paraId="3359907B">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乙方不执行甲方临时电源管理规定，私拉乱接电线，或不正确使用现场检修电源箱。</w:t>
            </w:r>
          </w:p>
        </w:tc>
        <w:tc>
          <w:tcPr>
            <w:tcW w:w="3720" w:type="dxa"/>
            <w:tcBorders>
              <w:top w:val="nil"/>
              <w:left w:val="nil"/>
              <w:bottom w:val="single" w:color="auto" w:sz="4" w:space="0"/>
              <w:right w:val="single" w:color="auto" w:sz="4" w:space="0"/>
            </w:tcBorders>
            <w:shd w:val="clear" w:color="auto" w:fill="auto"/>
            <w:vAlign w:val="center"/>
          </w:tcPr>
          <w:p w14:paraId="6F06101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1万元/项</w:t>
            </w:r>
          </w:p>
        </w:tc>
      </w:tr>
      <w:tr w14:paraId="1DABB450">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8FD6A74">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43</w:t>
            </w:r>
          </w:p>
        </w:tc>
        <w:tc>
          <w:tcPr>
            <w:tcW w:w="5030" w:type="dxa"/>
            <w:tcBorders>
              <w:top w:val="nil"/>
              <w:left w:val="nil"/>
              <w:bottom w:val="single" w:color="auto" w:sz="4" w:space="0"/>
              <w:right w:val="single" w:color="auto" w:sz="4" w:space="0"/>
            </w:tcBorders>
            <w:shd w:val="clear" w:color="auto" w:fill="auto"/>
            <w:vAlign w:val="center"/>
          </w:tcPr>
          <w:p w14:paraId="5482C01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乙方违反规程中有关电焊、气焊管理规定，气瓶储存、定置不附合规定，作业工具及施工工艺不附合要求。</w:t>
            </w:r>
          </w:p>
        </w:tc>
        <w:tc>
          <w:tcPr>
            <w:tcW w:w="3720" w:type="dxa"/>
            <w:tcBorders>
              <w:top w:val="nil"/>
              <w:left w:val="nil"/>
              <w:bottom w:val="single" w:color="auto" w:sz="4" w:space="0"/>
              <w:right w:val="single" w:color="auto" w:sz="4" w:space="0"/>
            </w:tcBorders>
            <w:shd w:val="clear" w:color="auto" w:fill="auto"/>
            <w:vAlign w:val="center"/>
          </w:tcPr>
          <w:p w14:paraId="4BAF3B7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1万元/项</w:t>
            </w:r>
          </w:p>
        </w:tc>
      </w:tr>
      <w:tr w14:paraId="6B613A60">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D9A8D7B">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44</w:t>
            </w:r>
          </w:p>
        </w:tc>
        <w:tc>
          <w:tcPr>
            <w:tcW w:w="5030" w:type="dxa"/>
            <w:tcBorders>
              <w:top w:val="nil"/>
              <w:left w:val="nil"/>
              <w:bottom w:val="single" w:color="auto" w:sz="4" w:space="0"/>
              <w:right w:val="single" w:color="auto" w:sz="4" w:space="0"/>
            </w:tcBorders>
            <w:shd w:val="clear" w:color="auto" w:fill="auto"/>
            <w:vAlign w:val="center"/>
          </w:tcPr>
          <w:p w14:paraId="7EFFE343">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乙方车辆超速行驶或不按规定线路行驶、停放，违反甲方厂（场）区交通规定。</w:t>
            </w:r>
          </w:p>
        </w:tc>
        <w:tc>
          <w:tcPr>
            <w:tcW w:w="3720" w:type="dxa"/>
            <w:tcBorders>
              <w:top w:val="nil"/>
              <w:left w:val="nil"/>
              <w:bottom w:val="single" w:color="auto" w:sz="4" w:space="0"/>
              <w:right w:val="single" w:color="auto" w:sz="4" w:space="0"/>
            </w:tcBorders>
            <w:shd w:val="clear" w:color="auto" w:fill="auto"/>
            <w:vAlign w:val="center"/>
          </w:tcPr>
          <w:p w14:paraId="0DF85AC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考核200元－500万元/次，造成经济损失的照价赔偿。</w:t>
            </w:r>
          </w:p>
        </w:tc>
      </w:tr>
      <w:tr w14:paraId="1C575C58">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49F6CCA">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45</w:t>
            </w:r>
          </w:p>
        </w:tc>
        <w:tc>
          <w:tcPr>
            <w:tcW w:w="5030" w:type="dxa"/>
            <w:tcBorders>
              <w:top w:val="nil"/>
              <w:left w:val="nil"/>
              <w:bottom w:val="single" w:color="auto" w:sz="4" w:space="0"/>
              <w:right w:val="single" w:color="auto" w:sz="4" w:space="0"/>
            </w:tcBorders>
            <w:shd w:val="clear" w:color="auto" w:fill="auto"/>
            <w:vAlign w:val="center"/>
          </w:tcPr>
          <w:p w14:paraId="78FC4DE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乙方在甲方范围违反规定使用叉车、推扒机、电瓶车等厂内专用车辆，或车辆维护、保养不到位，安全可靠性不达标。</w:t>
            </w:r>
          </w:p>
        </w:tc>
        <w:tc>
          <w:tcPr>
            <w:tcW w:w="3720" w:type="dxa"/>
            <w:tcBorders>
              <w:top w:val="nil"/>
              <w:left w:val="nil"/>
              <w:bottom w:val="single" w:color="auto" w:sz="4" w:space="0"/>
              <w:right w:val="single" w:color="auto" w:sz="4" w:space="0"/>
            </w:tcBorders>
            <w:shd w:val="clear" w:color="auto" w:fill="auto"/>
            <w:vAlign w:val="center"/>
          </w:tcPr>
          <w:p w14:paraId="17AD4AC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2万元/次</w:t>
            </w:r>
          </w:p>
        </w:tc>
      </w:tr>
      <w:tr w14:paraId="0BFEF269">
        <w:tblPrEx>
          <w:tblCellMar>
            <w:top w:w="0" w:type="dxa"/>
            <w:left w:w="108" w:type="dxa"/>
            <w:bottom w:w="0" w:type="dxa"/>
            <w:right w:w="108" w:type="dxa"/>
          </w:tblCellMar>
        </w:tblPrEx>
        <w:trPr>
          <w:trHeight w:val="415"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81F5C04">
            <w:pPr>
              <w:widowControl/>
              <w:spacing w:line="36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四</w:t>
            </w:r>
          </w:p>
        </w:tc>
        <w:tc>
          <w:tcPr>
            <w:tcW w:w="5030" w:type="dxa"/>
            <w:tcBorders>
              <w:top w:val="nil"/>
              <w:left w:val="nil"/>
              <w:bottom w:val="single" w:color="auto" w:sz="4" w:space="0"/>
              <w:right w:val="single" w:color="auto" w:sz="4" w:space="0"/>
            </w:tcBorders>
            <w:shd w:val="clear" w:color="auto" w:fill="auto"/>
            <w:vAlign w:val="center"/>
          </w:tcPr>
          <w:p w14:paraId="3FABA48F">
            <w:pPr>
              <w:widowControl/>
              <w:spacing w:line="360" w:lineRule="exact"/>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其它类考核</w:t>
            </w:r>
          </w:p>
        </w:tc>
        <w:tc>
          <w:tcPr>
            <w:tcW w:w="3720" w:type="dxa"/>
            <w:tcBorders>
              <w:top w:val="nil"/>
              <w:left w:val="nil"/>
              <w:bottom w:val="single" w:color="auto" w:sz="4" w:space="0"/>
              <w:right w:val="single" w:color="auto" w:sz="4" w:space="0"/>
            </w:tcBorders>
            <w:shd w:val="clear" w:color="auto" w:fill="auto"/>
            <w:vAlign w:val="center"/>
          </w:tcPr>
          <w:p w14:paraId="5FB04EF9">
            <w:pPr>
              <w:widowControl/>
              <w:spacing w:line="360" w:lineRule="exact"/>
              <w:jc w:val="left"/>
              <w:rPr>
                <w:rFonts w:ascii="宋体" w:hAnsi="宋体" w:eastAsia="宋体" w:cs="宋体"/>
                <w:color w:val="000000"/>
                <w:kern w:val="0"/>
                <w:sz w:val="24"/>
                <w:szCs w:val="24"/>
              </w:rPr>
            </w:pPr>
          </w:p>
        </w:tc>
      </w:tr>
      <w:tr w14:paraId="201AE118">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7B6805A2">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5030" w:type="dxa"/>
            <w:tcBorders>
              <w:top w:val="nil"/>
              <w:left w:val="nil"/>
              <w:bottom w:val="single" w:color="auto" w:sz="4" w:space="0"/>
              <w:right w:val="single" w:color="auto" w:sz="4" w:space="0"/>
            </w:tcBorders>
            <w:shd w:val="clear" w:color="auto" w:fill="auto"/>
            <w:vAlign w:val="center"/>
          </w:tcPr>
          <w:p w14:paraId="7E62F46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乙方无故缺席甲方项目安全会议，或未及时传达、下发甲方专项要求、事故通报等。</w:t>
            </w:r>
          </w:p>
        </w:tc>
        <w:tc>
          <w:tcPr>
            <w:tcW w:w="3720" w:type="dxa"/>
            <w:tcBorders>
              <w:top w:val="nil"/>
              <w:left w:val="nil"/>
              <w:bottom w:val="single" w:color="auto" w:sz="4" w:space="0"/>
              <w:right w:val="single" w:color="auto" w:sz="4" w:space="0"/>
            </w:tcBorders>
            <w:shd w:val="clear" w:color="auto" w:fill="auto"/>
            <w:vAlign w:val="center"/>
          </w:tcPr>
          <w:p w14:paraId="450E5F3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考核200-500元/次</w:t>
            </w:r>
          </w:p>
        </w:tc>
      </w:tr>
      <w:tr w14:paraId="721D58A1">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5DF88C5B">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47</w:t>
            </w:r>
          </w:p>
        </w:tc>
        <w:tc>
          <w:tcPr>
            <w:tcW w:w="5030" w:type="dxa"/>
            <w:tcBorders>
              <w:top w:val="nil"/>
              <w:left w:val="nil"/>
              <w:bottom w:val="single" w:color="auto" w:sz="4" w:space="0"/>
              <w:right w:val="single" w:color="auto" w:sz="4" w:space="0"/>
            </w:tcBorders>
            <w:shd w:val="clear" w:color="auto" w:fill="auto"/>
            <w:vAlign w:val="center"/>
          </w:tcPr>
          <w:p w14:paraId="77C1A19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乙方违反《电力安全工作规程》中搬运规定，造成厂区道路污染、草木或设备损坏等。</w:t>
            </w:r>
          </w:p>
        </w:tc>
        <w:tc>
          <w:tcPr>
            <w:tcW w:w="3720" w:type="dxa"/>
            <w:tcBorders>
              <w:top w:val="nil"/>
              <w:left w:val="nil"/>
              <w:bottom w:val="single" w:color="auto" w:sz="4" w:space="0"/>
              <w:right w:val="single" w:color="auto" w:sz="4" w:space="0"/>
            </w:tcBorders>
            <w:shd w:val="clear" w:color="auto" w:fill="auto"/>
            <w:vAlign w:val="center"/>
          </w:tcPr>
          <w:p w14:paraId="701BA548">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2万元/次，并负责修复。</w:t>
            </w:r>
          </w:p>
        </w:tc>
      </w:tr>
      <w:tr w14:paraId="7A2EE8C6">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6BA6D28B">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48</w:t>
            </w:r>
          </w:p>
        </w:tc>
        <w:tc>
          <w:tcPr>
            <w:tcW w:w="5030" w:type="dxa"/>
            <w:tcBorders>
              <w:top w:val="nil"/>
              <w:left w:val="nil"/>
              <w:bottom w:val="single" w:color="auto" w:sz="4" w:space="0"/>
              <w:right w:val="single" w:color="auto" w:sz="4" w:space="0"/>
            </w:tcBorders>
            <w:shd w:val="clear" w:color="auto" w:fill="auto"/>
            <w:vAlign w:val="center"/>
          </w:tcPr>
          <w:p w14:paraId="0DE07317">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乙方作业区域脏、乱、差现象严重，工作结束未做到“工完、料尽、场地清”。</w:t>
            </w:r>
          </w:p>
        </w:tc>
        <w:tc>
          <w:tcPr>
            <w:tcW w:w="3720" w:type="dxa"/>
            <w:tcBorders>
              <w:top w:val="nil"/>
              <w:left w:val="nil"/>
              <w:bottom w:val="single" w:color="auto" w:sz="4" w:space="0"/>
              <w:right w:val="single" w:color="auto" w:sz="4" w:space="0"/>
            </w:tcBorders>
            <w:shd w:val="clear" w:color="auto" w:fill="auto"/>
            <w:vAlign w:val="center"/>
          </w:tcPr>
          <w:p w14:paraId="7276F029">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2万元/次</w:t>
            </w:r>
          </w:p>
        </w:tc>
      </w:tr>
      <w:tr w14:paraId="7731FF37">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A16D956">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49</w:t>
            </w:r>
          </w:p>
        </w:tc>
        <w:tc>
          <w:tcPr>
            <w:tcW w:w="5030" w:type="dxa"/>
            <w:tcBorders>
              <w:top w:val="nil"/>
              <w:left w:val="nil"/>
              <w:bottom w:val="single" w:color="auto" w:sz="4" w:space="0"/>
              <w:right w:val="single" w:color="auto" w:sz="4" w:space="0"/>
            </w:tcBorders>
            <w:shd w:val="clear" w:color="auto" w:fill="auto"/>
            <w:vAlign w:val="center"/>
          </w:tcPr>
          <w:p w14:paraId="26C6758C">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乙方现场材料、工具、部件、棚架、油漆、废料等不符合定置管理要求，经提出后仍不整改</w:t>
            </w:r>
          </w:p>
        </w:tc>
        <w:tc>
          <w:tcPr>
            <w:tcW w:w="3720" w:type="dxa"/>
            <w:tcBorders>
              <w:top w:val="nil"/>
              <w:left w:val="nil"/>
              <w:bottom w:val="single" w:color="auto" w:sz="4" w:space="0"/>
              <w:right w:val="single" w:color="auto" w:sz="4" w:space="0"/>
            </w:tcBorders>
            <w:shd w:val="clear" w:color="auto" w:fill="auto"/>
            <w:vAlign w:val="center"/>
          </w:tcPr>
          <w:p w14:paraId="196CEE0F">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2万元/项</w:t>
            </w:r>
          </w:p>
        </w:tc>
      </w:tr>
      <w:tr w14:paraId="38D76FD1">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FAFEB41">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5030" w:type="dxa"/>
            <w:tcBorders>
              <w:top w:val="nil"/>
              <w:left w:val="nil"/>
              <w:bottom w:val="single" w:color="auto" w:sz="4" w:space="0"/>
              <w:right w:val="single" w:color="auto" w:sz="4" w:space="0"/>
            </w:tcBorders>
            <w:shd w:val="clear" w:color="auto" w:fill="auto"/>
            <w:vAlign w:val="center"/>
          </w:tcPr>
          <w:p w14:paraId="70676071">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乙方设备作业区域不采取完善的隔离保护措施，或由此造成设备、备品备件、零配件丢失或损坏，杂物掉入、设施损坏、环境污染等。</w:t>
            </w:r>
          </w:p>
        </w:tc>
        <w:tc>
          <w:tcPr>
            <w:tcW w:w="3720" w:type="dxa"/>
            <w:tcBorders>
              <w:top w:val="nil"/>
              <w:left w:val="nil"/>
              <w:bottom w:val="single" w:color="auto" w:sz="4" w:space="0"/>
              <w:right w:val="single" w:color="auto" w:sz="4" w:space="0"/>
            </w:tcBorders>
            <w:shd w:val="clear" w:color="auto" w:fill="auto"/>
            <w:vAlign w:val="center"/>
          </w:tcPr>
          <w:p w14:paraId="28D2A142">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考核500元－0</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万元/次，设备和备件丢失、损坏按原价赔偿。</w:t>
            </w:r>
          </w:p>
        </w:tc>
      </w:tr>
      <w:tr w14:paraId="6F99D79D">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1C83330B">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5030" w:type="dxa"/>
            <w:tcBorders>
              <w:top w:val="nil"/>
              <w:left w:val="nil"/>
              <w:bottom w:val="single" w:color="auto" w:sz="4" w:space="0"/>
              <w:right w:val="single" w:color="auto" w:sz="4" w:space="0"/>
            </w:tcBorders>
            <w:shd w:val="clear" w:color="auto" w:fill="auto"/>
            <w:vAlign w:val="center"/>
          </w:tcPr>
          <w:p w14:paraId="29D2DA8A">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乙方损坏或丢弃甲方设备标示牌及安措警示牌，未及时恢复。</w:t>
            </w:r>
          </w:p>
        </w:tc>
        <w:tc>
          <w:tcPr>
            <w:tcW w:w="3720" w:type="dxa"/>
            <w:tcBorders>
              <w:top w:val="nil"/>
              <w:left w:val="nil"/>
              <w:bottom w:val="single" w:color="auto" w:sz="4" w:space="0"/>
              <w:right w:val="single" w:color="auto" w:sz="4" w:space="0"/>
            </w:tcBorders>
            <w:shd w:val="clear" w:color="auto" w:fill="auto"/>
            <w:vAlign w:val="center"/>
          </w:tcPr>
          <w:p w14:paraId="2A8324C6">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考核100元－200元/个，并负责恢复。</w:t>
            </w:r>
          </w:p>
        </w:tc>
      </w:tr>
      <w:tr w14:paraId="4E731EBD">
        <w:tblPrEx>
          <w:tblCellMar>
            <w:top w:w="0" w:type="dxa"/>
            <w:left w:w="108" w:type="dxa"/>
            <w:bottom w:w="0" w:type="dxa"/>
            <w:right w:w="108" w:type="dxa"/>
          </w:tblCellMar>
        </w:tblPrEx>
        <w:trPr>
          <w:trHeight w:val="510" w:hRule="atLeast"/>
          <w:jc w:val="center"/>
        </w:trPr>
        <w:tc>
          <w:tcPr>
            <w:tcW w:w="716" w:type="dxa"/>
            <w:tcBorders>
              <w:top w:val="nil"/>
              <w:left w:val="single" w:color="auto" w:sz="4" w:space="0"/>
              <w:bottom w:val="single" w:color="auto" w:sz="4" w:space="0"/>
              <w:right w:val="single" w:color="auto" w:sz="4" w:space="0"/>
            </w:tcBorders>
            <w:shd w:val="clear" w:color="auto" w:fill="auto"/>
            <w:vAlign w:val="center"/>
          </w:tcPr>
          <w:p w14:paraId="2540577D">
            <w:pPr>
              <w:widowControl/>
              <w:spacing w:line="36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5030" w:type="dxa"/>
            <w:tcBorders>
              <w:top w:val="nil"/>
              <w:left w:val="nil"/>
              <w:bottom w:val="single" w:color="auto" w:sz="4" w:space="0"/>
              <w:right w:val="single" w:color="auto" w:sz="4" w:space="0"/>
            </w:tcBorders>
            <w:shd w:val="clear" w:color="auto" w:fill="auto"/>
            <w:vAlign w:val="center"/>
          </w:tcPr>
          <w:p w14:paraId="112515F4">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乙方违反甲方安全管理制度等的其它未列事项。</w:t>
            </w:r>
          </w:p>
        </w:tc>
        <w:tc>
          <w:tcPr>
            <w:tcW w:w="3720" w:type="dxa"/>
            <w:tcBorders>
              <w:top w:val="nil"/>
              <w:left w:val="nil"/>
              <w:bottom w:val="single" w:color="auto" w:sz="4" w:space="0"/>
              <w:right w:val="single" w:color="auto" w:sz="4" w:space="0"/>
            </w:tcBorders>
            <w:shd w:val="clear" w:color="auto" w:fill="auto"/>
            <w:vAlign w:val="center"/>
          </w:tcPr>
          <w:p w14:paraId="010A7B7E">
            <w:pPr>
              <w:widowControl/>
              <w:spacing w:line="36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考核200元－0</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1万元/次，或按甲方相关管理制度执行。</w:t>
            </w:r>
          </w:p>
        </w:tc>
      </w:tr>
    </w:tbl>
    <w:p w14:paraId="404EA494">
      <w:pPr>
        <w:rPr>
          <w:rFonts w:hint="eastAsia"/>
          <w:snapToGrid w:val="0"/>
          <w:sz w:val="10"/>
          <w:szCs w:val="10"/>
        </w:rPr>
      </w:pPr>
    </w:p>
    <w:p w14:paraId="3FE61A9F">
      <w:pPr>
        <w:spacing w:before="120" w:line="560" w:lineRule="exact"/>
      </w:pPr>
    </w:p>
    <w:p w14:paraId="0AEC9351">
      <w:pPr>
        <w:rPr>
          <w:rFonts w:hint="eastAsia" w:ascii="Times New Roman" w:hAnsi="Times New Roman" w:cs="仿宋"/>
          <w:b w:val="0"/>
          <w:kern w:val="2"/>
          <w:sz w:val="24"/>
          <w:highlight w:val="none"/>
          <w:lang w:val="en-US" w:eastAsia="zh-CN"/>
        </w:rPr>
      </w:pPr>
    </w:p>
    <w:p w14:paraId="71E8B239">
      <w:pPr>
        <w:rPr>
          <w:rFonts w:hint="eastAsia" w:ascii="Times New Roman" w:hAnsi="Times New Roman" w:cs="仿宋"/>
          <w:b w:val="0"/>
          <w:kern w:val="2"/>
          <w:sz w:val="24"/>
          <w:highlight w:val="none"/>
          <w:lang w:val="en-US" w:eastAsia="zh-CN"/>
        </w:rPr>
      </w:pPr>
      <w:r>
        <w:rPr>
          <w:rFonts w:hint="eastAsia" w:ascii="Times New Roman" w:hAnsi="Times New Roman" w:cs="仿宋"/>
          <w:b w:val="0"/>
          <w:kern w:val="2"/>
          <w:sz w:val="24"/>
          <w:highlight w:val="none"/>
          <w:lang w:val="en-US" w:eastAsia="zh-CN"/>
        </w:rPr>
        <w:br w:type="page"/>
      </w:r>
    </w:p>
    <w:p w14:paraId="7FEBB114">
      <w:pPr>
        <w:pStyle w:val="13"/>
        <w:jc w:val="left"/>
        <w:rPr>
          <w:rFonts w:hint="eastAsia" w:ascii="Times New Roman" w:hAnsi="Times New Roman" w:cs="仿宋"/>
          <w:b w:val="0"/>
          <w:kern w:val="2"/>
          <w:sz w:val="24"/>
          <w:highlight w:val="none"/>
          <w:lang w:val="en-US" w:eastAsia="zh-CN"/>
        </w:rPr>
      </w:pPr>
      <w:r>
        <w:rPr>
          <w:rFonts w:hint="eastAsia" w:ascii="Times New Roman" w:hAnsi="Times New Roman" w:cs="仿宋"/>
          <w:b w:val="0"/>
          <w:kern w:val="2"/>
          <w:sz w:val="24"/>
          <w:highlight w:val="none"/>
          <w:lang w:val="en-US" w:eastAsia="zh-CN"/>
        </w:rPr>
        <w:t>附件4：阳光合作协议</w:t>
      </w:r>
    </w:p>
    <w:p w14:paraId="2B1D736C">
      <w:pPr>
        <w:adjustRightInd/>
        <w:snapToGrid/>
        <w:spacing w:line="360" w:lineRule="auto"/>
        <w:jc w:val="center"/>
        <w:rPr>
          <w:rFonts w:eastAsia="方正小标宋简体" w:cs="Times New Roman"/>
          <w:b/>
          <w:color w:val="000000"/>
          <w:sz w:val="44"/>
          <w:szCs w:val="44"/>
          <w:highlight w:val="none"/>
          <w:shd w:val="clear" w:color="auto" w:fill="auto"/>
        </w:rPr>
      </w:pPr>
      <w:bookmarkStart w:id="57" w:name="_Toc23645_WPSOffice_Level1"/>
      <w:r>
        <w:rPr>
          <w:rFonts w:hint="eastAsia" w:eastAsia="方正小标宋简体" w:cs="Times New Roman"/>
          <w:b/>
          <w:color w:val="000000"/>
          <w:sz w:val="44"/>
          <w:szCs w:val="44"/>
          <w:highlight w:val="none"/>
          <w:shd w:val="clear" w:color="auto" w:fill="auto"/>
        </w:rPr>
        <w:t>阳光合作协议</w:t>
      </w:r>
      <w:bookmarkEnd w:id="57"/>
    </w:p>
    <w:p w14:paraId="4D1A0263">
      <w:pPr>
        <w:adjustRightInd/>
        <w:snapToGrid/>
        <w:spacing w:line="360" w:lineRule="auto"/>
        <w:rPr>
          <w:rFonts w:cs="Times New Roman"/>
          <w:b/>
          <w:color w:val="000000"/>
          <w:sz w:val="28"/>
          <w:szCs w:val="28"/>
          <w:highlight w:val="none"/>
          <w:shd w:val="clear" w:color="auto" w:fill="auto"/>
        </w:rPr>
      </w:pPr>
    </w:p>
    <w:p w14:paraId="7DF66AD1">
      <w:pPr>
        <w:adjustRightInd/>
        <w:snapToGrid/>
        <w:spacing w:before="159" w:beforeLines="50" w:after="159" w:afterLines="50" w:line="360" w:lineRule="auto"/>
        <w:contextualSpacing/>
        <w:rPr>
          <w:rFonts w:cs="Times New Roman"/>
          <w:color w:val="000000"/>
          <w:sz w:val="24"/>
          <w:szCs w:val="24"/>
          <w:highlight w:val="none"/>
          <w:shd w:val="clear" w:color="auto" w:fill="auto"/>
        </w:rPr>
      </w:pPr>
      <w:r>
        <w:rPr>
          <w:rFonts w:hint="eastAsia" w:cs="Times New Roman"/>
          <w:color w:val="000000"/>
          <w:sz w:val="24"/>
          <w:szCs w:val="24"/>
          <w:highlight w:val="none"/>
          <w:shd w:val="clear" w:color="auto" w:fill="auto"/>
        </w:rPr>
        <w:t>甲方（采购方全称）：</w:t>
      </w:r>
      <w:r>
        <w:rPr>
          <w:rFonts w:cs="Times New Roman"/>
          <w:color w:val="000000"/>
          <w:sz w:val="24"/>
          <w:szCs w:val="24"/>
          <w:highlight w:val="none"/>
          <w:shd w:val="clear" w:color="auto" w:fill="auto"/>
        </w:rPr>
        <w:t xml:space="preserve"> </w:t>
      </w:r>
      <w:r>
        <w:rPr>
          <w:rFonts w:hint="eastAsia" w:cs="Times New Roman"/>
          <w:color w:val="000000"/>
          <w:sz w:val="24"/>
          <w:szCs w:val="24"/>
          <w:highlight w:val="none"/>
          <w:shd w:val="clear" w:color="auto" w:fill="auto"/>
        </w:rPr>
        <w:t>东莞市新东元环保投资有限公司</w:t>
      </w:r>
    </w:p>
    <w:p w14:paraId="107B6B9D">
      <w:pPr>
        <w:adjustRightInd/>
        <w:snapToGrid/>
        <w:spacing w:line="360" w:lineRule="auto"/>
        <w:jc w:val="left"/>
        <w:rPr>
          <w:rFonts w:cs="Times New Roman"/>
          <w:sz w:val="21"/>
          <w:szCs w:val="20"/>
          <w:highlight w:val="none"/>
          <w:shd w:val="clear" w:color="auto" w:fill="auto"/>
        </w:rPr>
      </w:pPr>
      <w:r>
        <w:rPr>
          <w:rFonts w:hint="eastAsia" w:cs="Times New Roman"/>
          <w:color w:val="000000"/>
          <w:sz w:val="24"/>
          <w:szCs w:val="24"/>
          <w:highlight w:val="none"/>
          <w:shd w:val="clear" w:color="auto" w:fill="auto"/>
        </w:rPr>
        <w:t>乙方（供应方全称）：</w:t>
      </w:r>
      <w:r>
        <w:rPr>
          <w:rFonts w:cs="Times New Roman"/>
          <w:color w:val="000000"/>
          <w:sz w:val="24"/>
          <w:szCs w:val="24"/>
          <w:highlight w:val="none"/>
          <w:shd w:val="clear" w:color="auto" w:fill="auto"/>
        </w:rPr>
        <w:t xml:space="preserve">        </w:t>
      </w:r>
      <w:r>
        <w:rPr>
          <w:rFonts w:hint="eastAsia" w:cs="Times New Roman"/>
          <w:sz w:val="21"/>
          <w:szCs w:val="20"/>
          <w:highlight w:val="none"/>
          <w:shd w:val="clear" w:color="auto" w:fill="auto"/>
        </w:rPr>
        <w:t xml:space="preserve">    </w:t>
      </w:r>
    </w:p>
    <w:p w14:paraId="2A6995EE">
      <w:pPr>
        <w:kinsoku/>
        <w:autoSpaceDE/>
        <w:autoSpaceDN/>
        <w:adjustRightInd/>
        <w:snapToGrid/>
        <w:spacing w:before="120" w:beforeLines="50" w:after="120" w:afterLines="50" w:line="360" w:lineRule="auto"/>
        <w:ind w:firstLine="420" w:firstLineChars="200"/>
        <w:contextualSpacing/>
        <w:textAlignment w:val="auto"/>
        <w:rPr>
          <w:rFonts w:ascii="宋体" w:cs="Times New Roman"/>
          <w:color w:val="auto"/>
          <w:sz w:val="21"/>
          <w:szCs w:val="20"/>
          <w:highlight w:val="none"/>
          <w:shd w:val="clear" w:color="auto" w:fill="auto"/>
        </w:rPr>
      </w:pPr>
      <w:r>
        <w:rPr>
          <w:rFonts w:hint="eastAsia" w:cs="Times New Roman"/>
          <w:sz w:val="21"/>
          <w:szCs w:val="20"/>
          <w:highlight w:val="none"/>
          <w:shd w:val="clear" w:color="auto" w:fill="auto"/>
        </w:rPr>
        <w:t>甲乙双方于</w:t>
      </w:r>
      <w:r>
        <w:rPr>
          <w:rFonts w:cs="Times New Roman"/>
          <w:sz w:val="21"/>
          <w:szCs w:val="20"/>
          <w:highlight w:val="none"/>
          <w:shd w:val="clear" w:color="auto" w:fill="auto"/>
        </w:rPr>
        <w:t>202</w:t>
      </w:r>
      <w:r>
        <w:rPr>
          <w:rFonts w:hint="eastAsia" w:cs="Times New Roman"/>
          <w:sz w:val="21"/>
          <w:szCs w:val="20"/>
          <w:highlight w:val="none"/>
          <w:shd w:val="clear" w:color="auto" w:fill="auto"/>
          <w:lang w:val="en-US" w:eastAsia="zh-CN"/>
        </w:rPr>
        <w:t>5</w:t>
      </w:r>
      <w:r>
        <w:rPr>
          <w:rFonts w:hint="eastAsia" w:cs="Times New Roman"/>
          <w:sz w:val="21"/>
          <w:szCs w:val="20"/>
          <w:highlight w:val="none"/>
          <w:shd w:val="clear" w:color="auto" w:fill="auto"/>
        </w:rPr>
        <w:t>年</w:t>
      </w:r>
      <w:r>
        <w:rPr>
          <w:rFonts w:cs="Times New Roman"/>
          <w:sz w:val="21"/>
          <w:szCs w:val="20"/>
          <w:highlight w:val="none"/>
          <w:shd w:val="clear" w:color="auto" w:fill="auto"/>
        </w:rPr>
        <w:t xml:space="preserve">  </w:t>
      </w:r>
      <w:r>
        <w:rPr>
          <w:rFonts w:hint="eastAsia" w:cs="Times New Roman"/>
          <w:sz w:val="21"/>
          <w:szCs w:val="20"/>
          <w:highlight w:val="none"/>
          <w:shd w:val="clear" w:color="auto" w:fill="auto"/>
        </w:rPr>
        <w:t>月</w:t>
      </w:r>
      <w:r>
        <w:rPr>
          <w:rFonts w:cs="Times New Roman"/>
          <w:sz w:val="21"/>
          <w:szCs w:val="20"/>
          <w:highlight w:val="none"/>
          <w:shd w:val="clear" w:color="auto" w:fill="auto"/>
        </w:rPr>
        <w:t xml:space="preserve">  </w:t>
      </w:r>
      <w:r>
        <w:rPr>
          <w:rFonts w:hint="eastAsia" w:cs="Times New Roman"/>
          <w:sz w:val="21"/>
          <w:szCs w:val="20"/>
          <w:highlight w:val="none"/>
          <w:shd w:val="clear" w:color="auto" w:fill="auto"/>
        </w:rPr>
        <w:t>日签署了东莞市海心沙资源综合利用中心环保热电厂循环水膜处理系统采购项目合同</w:t>
      </w:r>
      <w:r>
        <w:rPr>
          <w:rFonts w:hint="eastAsia" w:ascii="宋体" w:hAnsi="宋体" w:cs="Times New Roman"/>
          <w:color w:val="auto"/>
          <w:sz w:val="21"/>
          <w:szCs w:val="20"/>
          <w:highlight w:val="none"/>
          <w:shd w:val="clear" w:color="auto" w:fill="auto"/>
        </w:rPr>
        <w:t>，为加强双方阳光合作，保证职员职业安全，甲乙双方经协商签订本协议并作为双方共同遵守的阳光合作行为准则。</w:t>
      </w:r>
    </w:p>
    <w:p w14:paraId="11B0370C">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cs="Times New Roman"/>
          <w:b/>
          <w:sz w:val="21"/>
          <w:szCs w:val="20"/>
          <w:highlight w:val="none"/>
          <w:shd w:val="clear" w:color="auto" w:fill="auto"/>
        </w:rPr>
      </w:pPr>
      <w:r>
        <w:rPr>
          <w:rFonts w:hint="eastAsia" w:ascii="宋体" w:hAnsi="宋体" w:cs="Times New Roman"/>
          <w:b/>
          <w:sz w:val="21"/>
          <w:szCs w:val="20"/>
          <w:highlight w:val="none"/>
          <w:shd w:val="clear" w:color="auto" w:fill="auto"/>
          <w:lang w:val="en-US" w:eastAsia="zh-CN"/>
        </w:rPr>
        <w:t>一、</w:t>
      </w:r>
      <w:r>
        <w:rPr>
          <w:rFonts w:hint="eastAsia" w:ascii="宋体" w:hAnsi="宋体" w:cs="Times New Roman"/>
          <w:b/>
          <w:sz w:val="21"/>
          <w:szCs w:val="20"/>
          <w:highlight w:val="none"/>
          <w:shd w:val="clear" w:color="auto" w:fill="auto"/>
        </w:rPr>
        <w:t>甲方责任</w:t>
      </w:r>
    </w:p>
    <w:p w14:paraId="13FEC642">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1.甲方有责任向乙方介绍本单位有关采购管理通用原则和本协议的规定。</w:t>
      </w:r>
    </w:p>
    <w:p w14:paraId="043AEF17">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2.甲方有责任对本单位相关人员进行阳光合作教育。</w:t>
      </w:r>
    </w:p>
    <w:p w14:paraId="1A06C2F3">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55957CB1">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4.甲方人员如违反阳光合作管理制度及本协议规定，甲方视情节轻重、影响大小给予行政及经济处罚。</w:t>
      </w:r>
    </w:p>
    <w:p w14:paraId="2469E483">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5．对于乙方举报甲方人员违反阳光合作规定的情况，甲方应及时进行调查，根据调查情况进行处理，并将调查结果向乙方反馈。</w:t>
      </w:r>
    </w:p>
    <w:p w14:paraId="240F21F6">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6.接受举报的一方应为举报方保密，不得对举报方进行报复，对举报属实和严格遵守《阳光合作协议》的合作方，在同等条件下给予后续合作的优先权。</w:t>
      </w:r>
    </w:p>
    <w:p w14:paraId="59178FA4">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cs="Times New Roman"/>
          <w:b/>
          <w:sz w:val="21"/>
          <w:szCs w:val="20"/>
          <w:highlight w:val="none"/>
          <w:shd w:val="clear" w:color="auto" w:fill="auto"/>
        </w:rPr>
      </w:pPr>
      <w:r>
        <w:rPr>
          <w:rFonts w:hint="eastAsia" w:ascii="宋体" w:hAnsi="宋体" w:cs="Times New Roman"/>
          <w:b/>
          <w:sz w:val="21"/>
          <w:szCs w:val="20"/>
          <w:highlight w:val="none"/>
          <w:shd w:val="clear" w:color="auto" w:fill="auto"/>
          <w:lang w:val="en-US" w:eastAsia="zh-CN"/>
        </w:rPr>
        <w:t>二、</w:t>
      </w:r>
      <w:r>
        <w:rPr>
          <w:rFonts w:hint="eastAsia" w:ascii="宋体" w:hAnsi="宋体" w:cs="Times New Roman"/>
          <w:b/>
          <w:sz w:val="21"/>
          <w:szCs w:val="20"/>
          <w:highlight w:val="none"/>
          <w:shd w:val="clear" w:color="auto" w:fill="auto"/>
        </w:rPr>
        <w:t>乙方责任</w:t>
      </w:r>
    </w:p>
    <w:p w14:paraId="7102EF7A">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1.乙方应保证乙方人员了解甲方有关采购管理通用原则和及本协议的规定，并遵照执行。</w:t>
      </w:r>
    </w:p>
    <w:p w14:paraId="5CADC7EC">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2.乙方不得以任何形式给予甲方人员回扣、赠送实物、现金、有价证券、礼券等有价物品或提供旅游等其他可能影响职务行为公正履行的活动（以下统称“财物”）。</w:t>
      </w:r>
    </w:p>
    <w:p w14:paraId="7A0DFC80">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3.乙方有责任接受甲方对乙方在合作期间阳光合作管理执行情况的监督，并对甲方相关调查工作主动配合。</w:t>
      </w:r>
    </w:p>
    <w:p w14:paraId="172FFA7B">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4.乙方有义务就甲方人员任何形式的索取或收受财物行为及时向甲方（直接联系人为东莞实业投资控股集团有限公司</w:t>
      </w:r>
      <w:r>
        <w:rPr>
          <w:rFonts w:hint="eastAsia" w:ascii="宋体" w:hAnsi="宋体" w:cs="Times New Roman"/>
          <w:color w:val="auto"/>
          <w:sz w:val="21"/>
          <w:szCs w:val="20"/>
          <w:highlight w:val="none"/>
          <w:shd w:val="clear" w:color="auto" w:fill="auto"/>
          <w:lang w:val="en-US" w:eastAsia="zh-CN"/>
        </w:rPr>
        <w:t>法律合规</w:t>
      </w:r>
      <w:r>
        <w:rPr>
          <w:rFonts w:hint="eastAsia" w:ascii="宋体" w:hAnsi="宋体" w:cs="Times New Roman"/>
          <w:color w:val="auto"/>
          <w:sz w:val="21"/>
          <w:szCs w:val="20"/>
          <w:highlight w:val="none"/>
          <w:shd w:val="clear" w:color="auto" w:fil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789A7D69">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5．甲方接受乙方实名或匿名举报，保证为举报者的信息保密，常设举报部门及电</w:t>
      </w:r>
      <w:r>
        <w:rPr>
          <w:rFonts w:hint="eastAsia" w:ascii="宋体" w:hAnsi="宋体" w:eastAsia="宋体" w:cs="Times New Roman"/>
          <w:color w:val="auto"/>
          <w:sz w:val="21"/>
          <w:szCs w:val="20"/>
          <w:highlight w:val="none"/>
          <w:shd w:val="clear" w:color="auto" w:fill="auto"/>
          <w:lang w:val="en-US" w:eastAsia="zh-CN"/>
        </w:rPr>
        <w:t>话</w:t>
      </w:r>
      <w:r>
        <w:rPr>
          <w:rFonts w:hint="eastAsia" w:ascii="宋体" w:hAnsi="宋体" w:cs="Times New Roman"/>
          <w:color w:val="auto"/>
          <w:sz w:val="21"/>
          <w:szCs w:val="20"/>
          <w:highlight w:val="none"/>
          <w:shd w:val="clear" w:color="auto" w:fill="auto"/>
        </w:rPr>
        <w:t xml:space="preserve">： </w:t>
      </w:r>
    </w:p>
    <w:p w14:paraId="381B24BB">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举报受理部门：东莞实业投资控股集团有限公司</w:t>
      </w:r>
      <w:r>
        <w:rPr>
          <w:rFonts w:hint="eastAsia" w:ascii="宋体" w:hAnsi="宋体" w:cs="Times New Roman"/>
          <w:color w:val="auto"/>
          <w:sz w:val="21"/>
          <w:szCs w:val="20"/>
          <w:highlight w:val="none"/>
          <w:shd w:val="clear" w:color="auto" w:fill="auto"/>
          <w:lang w:val="en-US" w:eastAsia="zh-CN"/>
        </w:rPr>
        <w:t>法律合规</w:t>
      </w:r>
      <w:r>
        <w:rPr>
          <w:rFonts w:hint="eastAsia" w:ascii="宋体" w:hAnsi="宋体" w:cs="Times New Roman"/>
          <w:color w:val="auto"/>
          <w:sz w:val="21"/>
          <w:szCs w:val="20"/>
          <w:highlight w:val="none"/>
          <w:shd w:val="clear" w:color="auto" w:fill="auto"/>
        </w:rPr>
        <w:t>部</w:t>
      </w:r>
    </w:p>
    <w:p w14:paraId="07B89F06">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东实集团举报邮箱：dgsyxf@163.com</w:t>
      </w:r>
    </w:p>
    <w:p w14:paraId="1A113F33">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东实集团举报电话：0769-28820703（周一至周五9:00-12:00和14:00-18:00）</w:t>
      </w:r>
    </w:p>
    <w:p w14:paraId="7AA1CAD7">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color w:val="auto"/>
          <w:sz w:val="21"/>
          <w:szCs w:val="20"/>
          <w:highlight w:val="none"/>
          <w:shd w:val="clear" w:color="auto" w:fill="auto"/>
        </w:rPr>
      </w:pPr>
      <w:r>
        <w:rPr>
          <w:rFonts w:hint="eastAsia" w:ascii="宋体" w:hAnsi="宋体" w:cs="Times New Roman"/>
          <w:color w:val="auto"/>
          <w:sz w:val="21"/>
          <w:szCs w:val="20"/>
          <w:highlight w:val="none"/>
          <w:shd w:val="clear" w:color="auto" w:fill="auto"/>
        </w:rPr>
        <w:t>邮寄地址：东莞市东城区八一路1号机关二号大院9号楼，东莞实业投资控股集团有限公司</w:t>
      </w:r>
      <w:r>
        <w:rPr>
          <w:rFonts w:hint="eastAsia" w:ascii="宋体" w:hAnsi="宋体" w:cs="Times New Roman"/>
          <w:color w:val="auto"/>
          <w:sz w:val="21"/>
          <w:szCs w:val="20"/>
          <w:highlight w:val="none"/>
          <w:shd w:val="clear" w:color="auto" w:fill="auto"/>
          <w:lang w:val="en-US" w:eastAsia="zh-CN"/>
        </w:rPr>
        <w:t>法律合规</w:t>
      </w:r>
      <w:r>
        <w:rPr>
          <w:rFonts w:hint="eastAsia" w:ascii="宋体" w:hAnsi="宋体" w:cs="Times New Roman"/>
          <w:color w:val="auto"/>
          <w:sz w:val="21"/>
          <w:szCs w:val="20"/>
          <w:highlight w:val="none"/>
          <w:shd w:val="clear" w:color="auto" w:fill="auto"/>
        </w:rPr>
        <w:t>部收，邮编523000。</w:t>
      </w:r>
    </w:p>
    <w:p w14:paraId="2D34A6EC">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cs="Times New Roman"/>
          <w:b/>
          <w:color w:val="auto"/>
          <w:sz w:val="21"/>
          <w:szCs w:val="20"/>
          <w:highlight w:val="none"/>
          <w:shd w:val="clear" w:color="auto" w:fill="auto"/>
        </w:rPr>
      </w:pPr>
      <w:r>
        <w:rPr>
          <w:rFonts w:hint="eastAsia" w:ascii="宋体" w:hAnsi="宋体" w:cs="Times New Roman"/>
          <w:b/>
          <w:color w:val="auto"/>
          <w:sz w:val="21"/>
          <w:szCs w:val="20"/>
          <w:highlight w:val="none"/>
          <w:shd w:val="clear" w:color="auto" w:fill="auto"/>
          <w:lang w:val="en-US" w:eastAsia="zh-CN"/>
        </w:rPr>
        <w:t>三、</w:t>
      </w:r>
      <w:r>
        <w:rPr>
          <w:rFonts w:hint="eastAsia" w:ascii="宋体" w:hAnsi="宋体" w:cs="Times New Roman"/>
          <w:b/>
          <w:color w:val="auto"/>
          <w:sz w:val="21"/>
          <w:szCs w:val="20"/>
          <w:highlight w:val="none"/>
          <w:shd w:val="clear" w:color="auto" w:fill="auto"/>
        </w:rPr>
        <w:t>其他</w:t>
      </w:r>
    </w:p>
    <w:p w14:paraId="5A5185C4">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color w:val="auto"/>
          <w:sz w:val="21"/>
          <w:szCs w:val="20"/>
          <w:highlight w:val="none"/>
          <w:shd w:val="clear" w:color="auto" w:fill="auto"/>
        </w:rPr>
        <w:t>1.本协议是原合同的补充协议，与原合同有同等法</w:t>
      </w:r>
      <w:r>
        <w:rPr>
          <w:rFonts w:hint="eastAsia" w:ascii="宋体" w:hAnsi="宋体" w:cs="Times New Roman"/>
          <w:sz w:val="21"/>
          <w:szCs w:val="20"/>
          <w:highlight w:val="none"/>
          <w:shd w:val="clear" w:color="auto" w:fill="auto"/>
        </w:rPr>
        <w:t>律效力。</w:t>
      </w:r>
    </w:p>
    <w:p w14:paraId="2E226D17">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2.</w:t>
      </w:r>
      <w:r>
        <w:rPr>
          <w:rFonts w:ascii="宋体" w:hAnsi="宋体" w:cs="Times New Roman"/>
          <w:sz w:val="21"/>
          <w:szCs w:val="20"/>
          <w:highlight w:val="none"/>
          <w:shd w:val="clear" w:color="auto" w:fill="auto"/>
        </w:rPr>
        <w:t>本</w:t>
      </w:r>
      <w:r>
        <w:rPr>
          <w:rFonts w:hint="eastAsia" w:ascii="宋体" w:hAnsi="宋体" w:cs="Times New Roman"/>
          <w:sz w:val="21"/>
          <w:szCs w:val="20"/>
          <w:highlight w:val="none"/>
          <w:shd w:val="clear" w:color="auto" w:fill="auto"/>
        </w:rPr>
        <w:t>协议</w:t>
      </w:r>
      <w:r>
        <w:rPr>
          <w:rFonts w:ascii="宋体" w:hAnsi="宋体" w:cs="Times New Roman"/>
          <w:sz w:val="21"/>
          <w:szCs w:val="20"/>
          <w:highlight w:val="none"/>
          <w:shd w:val="clear" w:color="auto" w:fill="auto"/>
        </w:rPr>
        <w:t>一式</w:t>
      </w:r>
      <w:r>
        <w:rPr>
          <w:rFonts w:hint="eastAsia" w:ascii="宋体" w:hAnsi="宋体" w:cs="Times New Roman"/>
          <w:sz w:val="21"/>
          <w:szCs w:val="20"/>
          <w:highlight w:val="none"/>
          <w:shd w:val="clear" w:color="auto" w:fill="auto"/>
          <w:lang w:val="en-US" w:eastAsia="zh-CN"/>
        </w:rPr>
        <w:t>伍</w:t>
      </w:r>
      <w:r>
        <w:rPr>
          <w:rFonts w:ascii="宋体" w:hAnsi="宋体" w:cs="Times New Roman"/>
          <w:sz w:val="21"/>
          <w:szCs w:val="20"/>
          <w:highlight w:val="none"/>
          <w:shd w:val="clear" w:color="auto" w:fill="auto"/>
        </w:rPr>
        <w:t>份，甲方执</w:t>
      </w:r>
      <w:r>
        <w:rPr>
          <w:rFonts w:hint="eastAsia" w:ascii="宋体" w:hAnsi="宋体" w:cs="Times New Roman"/>
          <w:sz w:val="21"/>
          <w:szCs w:val="20"/>
          <w:highlight w:val="none"/>
          <w:shd w:val="clear" w:color="auto" w:fill="auto"/>
          <w:lang w:val="en-US" w:eastAsia="zh-CN"/>
        </w:rPr>
        <w:t>叁</w:t>
      </w:r>
      <w:r>
        <w:rPr>
          <w:rFonts w:ascii="宋体" w:hAnsi="宋体" w:cs="Times New Roman"/>
          <w:sz w:val="21"/>
          <w:szCs w:val="20"/>
          <w:highlight w:val="none"/>
          <w:shd w:val="clear" w:color="auto" w:fill="auto"/>
        </w:rPr>
        <w:t>份，乙方执</w:t>
      </w:r>
      <w:r>
        <w:rPr>
          <w:rFonts w:hint="eastAsia" w:ascii="宋体" w:hAnsi="宋体" w:cs="Times New Roman"/>
          <w:sz w:val="21"/>
          <w:szCs w:val="20"/>
          <w:highlight w:val="none"/>
          <w:shd w:val="clear" w:color="auto" w:fill="auto"/>
        </w:rPr>
        <w:t>贰</w:t>
      </w:r>
      <w:r>
        <w:rPr>
          <w:rFonts w:ascii="宋体" w:hAnsi="宋体" w:cs="Times New Roman"/>
          <w:sz w:val="21"/>
          <w:szCs w:val="20"/>
          <w:highlight w:val="none"/>
          <w:shd w:val="clear" w:color="auto" w:fill="auto"/>
        </w:rPr>
        <w:t>份</w:t>
      </w:r>
      <w:r>
        <w:rPr>
          <w:rFonts w:hint="eastAsia" w:ascii="宋体" w:hAnsi="宋体" w:cs="Times New Roman"/>
          <w:sz w:val="21"/>
          <w:szCs w:val="20"/>
          <w:highlight w:val="none"/>
          <w:shd w:val="clear" w:color="auto" w:fill="auto"/>
        </w:rPr>
        <w:t>,具有同等法律效力。</w:t>
      </w:r>
    </w:p>
    <w:p w14:paraId="7514924F">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20" w:firstLineChars="200"/>
        <w:contextualSpacing/>
        <w:textAlignment w:val="auto"/>
        <w:rPr>
          <w:rFonts w:ascii="宋体" w:hAnsi="宋体" w:cs="Times New Roman"/>
          <w:sz w:val="21"/>
          <w:szCs w:val="20"/>
          <w:highlight w:val="none"/>
          <w:shd w:val="clear" w:color="auto" w:fill="auto"/>
        </w:rPr>
      </w:pPr>
      <w:r>
        <w:rPr>
          <w:rFonts w:hint="eastAsia" w:ascii="宋体" w:hAnsi="宋体" w:cs="Times New Roman"/>
          <w:sz w:val="21"/>
          <w:szCs w:val="20"/>
          <w:highlight w:val="none"/>
          <w:shd w:val="clear" w:color="auto" w:fill="auto"/>
        </w:rPr>
        <w:t>3.本协议经双方签署后生效。</w:t>
      </w:r>
    </w:p>
    <w:p w14:paraId="31D06B9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s="Times New Roman"/>
          <w:sz w:val="21"/>
          <w:szCs w:val="20"/>
          <w:highlight w:val="none"/>
          <w:shd w:val="clear" w:color="auto" w:fill="auto"/>
        </w:rPr>
      </w:pPr>
    </w:p>
    <w:p w14:paraId="01AF503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s="Times New Roman"/>
          <w:sz w:val="21"/>
          <w:szCs w:val="20"/>
          <w:highlight w:val="none"/>
          <w:shd w:val="clear" w:color="auto" w:fill="auto"/>
        </w:rPr>
      </w:pPr>
      <w:r>
        <w:rPr>
          <w:rFonts w:hint="eastAsia" w:ascii="宋体" w:hAnsi="宋体" w:cs="Times New Roman"/>
          <w:sz w:val="21"/>
          <w:szCs w:val="20"/>
          <w:highlight w:val="none"/>
          <w:shd w:val="clear" w:color="auto" w:fill="auto"/>
        </w:rPr>
        <w:t>甲方（盖章）：                      乙方（盖章）：</w:t>
      </w:r>
      <w:r>
        <w:rPr>
          <w:rFonts w:ascii="宋体" w:cs="Times New Roman"/>
          <w:sz w:val="21"/>
          <w:szCs w:val="20"/>
          <w:highlight w:val="none"/>
          <w:shd w:val="clear" w:color="auto" w:fill="auto"/>
        </w:rPr>
        <w:t xml:space="preserve"> </w:t>
      </w:r>
    </w:p>
    <w:p w14:paraId="359CC52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s="Times New Roman"/>
          <w:sz w:val="21"/>
          <w:szCs w:val="20"/>
          <w:highlight w:val="none"/>
          <w:shd w:val="clear" w:color="auto" w:fill="auto"/>
        </w:rPr>
      </w:pPr>
    </w:p>
    <w:p w14:paraId="47A5288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s="Times New Roman"/>
          <w:sz w:val="21"/>
          <w:szCs w:val="20"/>
          <w:highlight w:val="none"/>
          <w:shd w:val="clear" w:color="auto" w:fill="auto"/>
        </w:rPr>
      </w:pPr>
      <w:r>
        <w:rPr>
          <w:rFonts w:hint="eastAsia" w:ascii="宋体" w:hAnsi="宋体" w:cs="Times New Roman"/>
          <w:sz w:val="21"/>
          <w:szCs w:val="20"/>
          <w:highlight w:val="none"/>
          <w:shd w:val="clear" w:color="auto" w:fill="auto"/>
        </w:rPr>
        <w:t>法定代表人（授权代表）：</w:t>
      </w:r>
      <w:r>
        <w:rPr>
          <w:rFonts w:hint="eastAsia" w:ascii="宋体" w:cs="Times New Roman"/>
          <w:sz w:val="21"/>
          <w:szCs w:val="20"/>
          <w:highlight w:val="none"/>
          <w:shd w:val="clear" w:color="auto" w:fill="auto"/>
        </w:rPr>
        <w:tab/>
      </w:r>
      <w:r>
        <w:rPr>
          <w:rFonts w:hint="eastAsia" w:ascii="宋体" w:cs="Times New Roman"/>
          <w:sz w:val="21"/>
          <w:szCs w:val="20"/>
          <w:highlight w:val="none"/>
          <w:shd w:val="clear" w:color="auto" w:fill="auto"/>
        </w:rPr>
        <w:tab/>
      </w:r>
      <w:r>
        <w:rPr>
          <w:rFonts w:hint="eastAsia" w:ascii="宋体" w:cs="Times New Roman"/>
          <w:sz w:val="21"/>
          <w:szCs w:val="20"/>
          <w:highlight w:val="none"/>
          <w:shd w:val="clear" w:color="auto" w:fill="auto"/>
        </w:rPr>
        <w:t xml:space="preserve">  </w:t>
      </w:r>
      <w:r>
        <w:rPr>
          <w:rFonts w:hint="eastAsia" w:ascii="宋体" w:cs="Times New Roman"/>
          <w:sz w:val="21"/>
          <w:szCs w:val="20"/>
          <w:highlight w:val="none"/>
          <w:shd w:val="clear" w:color="auto" w:fill="auto"/>
        </w:rPr>
        <w:tab/>
      </w:r>
      <w:r>
        <w:rPr>
          <w:rFonts w:hint="eastAsia" w:ascii="宋体" w:hAnsi="宋体" w:cs="Times New Roman"/>
          <w:sz w:val="21"/>
          <w:szCs w:val="20"/>
          <w:highlight w:val="none"/>
          <w:shd w:val="clear" w:color="auto" w:fill="auto"/>
        </w:rPr>
        <w:t>法定代表人（授权代表）：</w:t>
      </w:r>
    </w:p>
    <w:p w14:paraId="29381AA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s="Times New Roman"/>
          <w:sz w:val="21"/>
          <w:szCs w:val="20"/>
          <w:highlight w:val="none"/>
          <w:shd w:val="clear" w:color="auto" w:fill="auto"/>
        </w:rPr>
      </w:pPr>
    </w:p>
    <w:p w14:paraId="0ED52F0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cs="Times New Roman"/>
          <w:sz w:val="21"/>
          <w:szCs w:val="20"/>
          <w:highlight w:val="none"/>
          <w:shd w:val="clear" w:color="auto" w:fill="auto"/>
        </w:rPr>
      </w:pPr>
      <w:r>
        <w:rPr>
          <w:rFonts w:hint="eastAsia" w:ascii="宋体" w:hAnsi="宋体" w:cs="Times New Roman"/>
          <w:sz w:val="21"/>
          <w:szCs w:val="20"/>
          <w:highlight w:val="none"/>
          <w:shd w:val="clear" w:color="auto" w:fill="auto"/>
        </w:rPr>
        <w:t>签约日期：</w:t>
      </w:r>
      <w:r>
        <w:rPr>
          <w:rFonts w:hint="eastAsia" w:ascii="宋体" w:hAnsi="宋体" w:cs="Times New Roman"/>
          <w:sz w:val="21"/>
          <w:szCs w:val="20"/>
          <w:highlight w:val="none"/>
          <w:shd w:val="clear" w:color="auto" w:fill="auto"/>
          <w:lang w:val="en-US" w:eastAsia="zh-CN"/>
        </w:rPr>
        <w:t>2025</w:t>
      </w:r>
      <w:r>
        <w:rPr>
          <w:rFonts w:hint="eastAsia" w:ascii="宋体" w:hAnsi="宋体" w:cs="Times New Roman"/>
          <w:sz w:val="21"/>
          <w:szCs w:val="20"/>
          <w:highlight w:val="none"/>
          <w:shd w:val="clear" w:color="auto" w:fill="auto"/>
        </w:rPr>
        <w:t>年   月   日</w:t>
      </w:r>
      <w:bookmarkStart w:id="58" w:name="现场签证通知单"/>
      <w:bookmarkEnd w:id="58"/>
      <w:bookmarkStart w:id="59" w:name="设计变更通知单"/>
      <w:bookmarkEnd w:id="59"/>
      <w:r>
        <w:rPr>
          <w:rFonts w:cs="Times New Roman"/>
          <w:sz w:val="21"/>
          <w:szCs w:val="20"/>
          <w:highlight w:val="none"/>
          <w:shd w:val="clear" w:color="auto" w:fill="auto"/>
        </w:rPr>
        <w:tab/>
      </w:r>
      <w:r>
        <w:rPr>
          <w:rFonts w:cs="Times New Roman"/>
          <w:sz w:val="21"/>
          <w:szCs w:val="20"/>
          <w:highlight w:val="none"/>
          <w:shd w:val="clear" w:color="auto" w:fill="auto"/>
        </w:rPr>
        <w:t xml:space="preserve">    </w:t>
      </w:r>
      <w:r>
        <w:rPr>
          <w:rFonts w:hint="eastAsia" w:cs="Times New Roman"/>
          <w:sz w:val="21"/>
          <w:szCs w:val="20"/>
          <w:highlight w:val="none"/>
          <w:shd w:val="clear" w:color="auto" w:fill="auto"/>
        </w:rPr>
        <w:t xml:space="preserve">   </w:t>
      </w:r>
      <w:r>
        <w:rPr>
          <w:rFonts w:hint="eastAsia" w:ascii="宋体" w:hAnsi="宋体" w:cs="Times New Roman"/>
          <w:sz w:val="21"/>
          <w:szCs w:val="20"/>
          <w:highlight w:val="none"/>
          <w:shd w:val="clear" w:color="auto" w:fill="auto"/>
        </w:rPr>
        <w:t>签约日期：</w:t>
      </w:r>
      <w:r>
        <w:rPr>
          <w:rFonts w:hint="eastAsia" w:ascii="宋体" w:hAnsi="宋体" w:cs="Times New Roman"/>
          <w:sz w:val="21"/>
          <w:szCs w:val="20"/>
          <w:highlight w:val="none"/>
          <w:shd w:val="clear" w:color="auto" w:fill="auto"/>
          <w:lang w:val="en-US" w:eastAsia="zh-CN"/>
        </w:rPr>
        <w:t>2025</w:t>
      </w:r>
      <w:r>
        <w:rPr>
          <w:rFonts w:hint="eastAsia" w:ascii="宋体" w:hAnsi="宋体" w:cs="Times New Roman"/>
          <w:sz w:val="21"/>
          <w:szCs w:val="20"/>
          <w:highlight w:val="none"/>
          <w:shd w:val="clear" w:color="auto" w:fill="auto"/>
        </w:rPr>
        <w:t>年   月   日</w:t>
      </w:r>
    </w:p>
    <w:p w14:paraId="662C9585">
      <w:pPr>
        <w:pStyle w:val="13"/>
        <w:jc w:val="left"/>
        <w:rPr>
          <w:rFonts w:hint="default" w:ascii="Times New Roman" w:hAnsi="Times New Roman" w:eastAsia="宋体"/>
          <w:b w:val="0"/>
          <w:kern w:val="2"/>
          <w:sz w:val="24"/>
          <w:highlight w:val="none"/>
          <w:shd w:val="clear" w:color="auto" w:fill="auto"/>
          <w:lang w:val="en-US" w:eastAsia="zh-CN"/>
        </w:rPr>
      </w:pPr>
    </w:p>
    <w:sectPr>
      <w:footerReference r:id="rId5" w:type="default"/>
      <w:pgSz w:w="11906" w:h="16838"/>
      <w:pgMar w:top="1440" w:right="1080" w:bottom="1440" w:left="1080"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Tw Cen MT">
    <w:panose1 w:val="020B0602020104020603"/>
    <w:charset w:val="00"/>
    <w:family w:val="auto"/>
    <w:pitch w:val="default"/>
    <w:sig w:usb0="00000003" w:usb1="00000000" w:usb2="00000000" w:usb3="00000000" w:csb0="20000003" w:csb1="00000000"/>
  </w:font>
  <w:font w:name="Vivaldi">
    <w:panose1 w:val="03020602050506090804"/>
    <w:charset w:val="00"/>
    <w:family w:val="auto"/>
    <w:pitch w:val="default"/>
    <w:sig w:usb0="00000003" w:usb1="00000000" w:usb2="00000000" w:usb3="00000000" w:csb0="20000001" w:csb1="00000000"/>
  </w:font>
  <w:font w:name="Sitka Small Semibold">
    <w:panose1 w:val="00000000000000000000"/>
    <w:charset w:val="00"/>
    <w:family w:val="auto"/>
    <w:pitch w:val="default"/>
    <w:sig w:usb0="A00002EF" w:usb1="4000204B" w:usb2="00000000" w:usb3="00000000" w:csb0="2000019F" w:csb1="00000000"/>
  </w:font>
  <w:font w:name="Segoe UI Variable Text Semibold">
    <w:panose1 w:val="00000000000000000000"/>
    <w:charset w:val="00"/>
    <w:family w:val="auto"/>
    <w:pitch w:val="default"/>
    <w:sig w:usb0="A00002FF" w:usb1="0000000B" w:usb2="00000000" w:usb3="00000000" w:csb0="2000019F" w:csb1="00000000"/>
  </w:font>
  <w:font w:name="华文彩云">
    <w:panose1 w:val="02010800040101010101"/>
    <w:charset w:val="86"/>
    <w:family w:val="auto"/>
    <w:pitch w:val="default"/>
    <w:sig w:usb0="00000001" w:usb1="080F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3790568"/>
    </w:sdtPr>
    <w:sdtContent>
      <w:sdt>
        <w:sdtPr>
          <w:id w:val="-1705238520"/>
        </w:sdtPr>
        <w:sdtContent>
          <w:p w14:paraId="05D796CE">
            <w:pPr>
              <w:pStyle w:val="19"/>
              <w:jc w:val="center"/>
              <w:rPr>
                <w:rFonts w:hint="eastAsia"/>
              </w:rPr>
            </w:pPr>
            <w:r>
              <w:rPr>
                <w:lang w:val="zh-CN"/>
              </w:rPr>
              <w:t xml:space="preserve"> </w:t>
            </w:r>
            <w:r>
              <w:fldChar w:fldCharType="begin"/>
            </w:r>
            <w:r>
              <w:instrText xml:space="preserve">PAGE</w:instrText>
            </w:r>
            <w:r>
              <w:fldChar w:fldCharType="separate"/>
            </w:r>
            <w:r>
              <w:t>1</w:t>
            </w:r>
            <w:r>
              <w:fldChar w:fldCharType="end"/>
            </w:r>
            <w:r>
              <w:rPr>
                <w:lang w:val="zh-CN"/>
              </w:rPr>
              <w:t xml:space="preserve"> / </w:t>
            </w:r>
            <w:r>
              <w:fldChar w:fldCharType="begin"/>
            </w:r>
            <w:r>
              <w:instrText xml:space="preserve">NUMPAGES</w:instrText>
            </w:r>
            <w:r>
              <w:fldChar w:fldCharType="separate"/>
            </w:r>
            <w:r>
              <w:t>1</w:t>
            </w:r>
            <w:r>
              <w:fldChar w:fldCharType="end"/>
            </w:r>
          </w:p>
        </w:sdtContent>
      </w:sdt>
    </w:sdtContent>
  </w:sdt>
  <w:p w14:paraId="3AC117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AE7680"/>
    <w:multiLevelType w:val="singleLevel"/>
    <w:tmpl w:val="8AAE7680"/>
    <w:lvl w:ilvl="0" w:tentative="0">
      <w:start w:val="1"/>
      <w:numFmt w:val="decimal"/>
      <w:lvlText w:val="%1)"/>
      <w:lvlJc w:val="left"/>
      <w:pPr>
        <w:ind w:left="425" w:hanging="425"/>
      </w:pPr>
      <w:rPr>
        <w:rFonts w:hint="default"/>
      </w:rPr>
    </w:lvl>
  </w:abstractNum>
  <w:abstractNum w:abstractNumId="1">
    <w:nsid w:val="AD2819AC"/>
    <w:multiLevelType w:val="singleLevel"/>
    <w:tmpl w:val="AD2819AC"/>
    <w:lvl w:ilvl="0" w:tentative="0">
      <w:start w:val="1"/>
      <w:numFmt w:val="decimal"/>
      <w:lvlText w:val="%1."/>
      <w:lvlJc w:val="left"/>
      <w:pPr>
        <w:ind w:left="425" w:hanging="425"/>
      </w:pPr>
      <w:rPr>
        <w:rFonts w:hint="default"/>
      </w:rPr>
    </w:lvl>
  </w:abstractNum>
  <w:abstractNum w:abstractNumId="2">
    <w:nsid w:val="C27DD8A2"/>
    <w:multiLevelType w:val="singleLevel"/>
    <w:tmpl w:val="C27DD8A2"/>
    <w:lvl w:ilvl="0" w:tentative="0">
      <w:start w:val="1"/>
      <w:numFmt w:val="none"/>
      <w:lvlText w:val="9."/>
      <w:lvlJc w:val="left"/>
      <w:pPr>
        <w:tabs>
          <w:tab w:val="left" w:pos="420"/>
        </w:tabs>
        <w:ind w:left="425" w:hanging="425"/>
      </w:pPr>
      <w:rPr>
        <w:rFonts w:hint="default"/>
      </w:rPr>
    </w:lvl>
  </w:abstractNum>
  <w:abstractNum w:abstractNumId="3">
    <w:nsid w:val="D2923793"/>
    <w:multiLevelType w:val="singleLevel"/>
    <w:tmpl w:val="D2923793"/>
    <w:lvl w:ilvl="0" w:tentative="0">
      <w:start w:val="1"/>
      <w:numFmt w:val="none"/>
      <w:lvlText w:val="11."/>
      <w:lvlJc w:val="left"/>
      <w:pPr>
        <w:tabs>
          <w:tab w:val="left" w:pos="420"/>
        </w:tabs>
        <w:ind w:left="425" w:hanging="425"/>
      </w:pPr>
      <w:rPr>
        <w:rFonts w:hint="default"/>
      </w:rPr>
    </w:lvl>
  </w:abstractNum>
  <w:abstractNum w:abstractNumId="4">
    <w:nsid w:val="063373CA"/>
    <w:multiLevelType w:val="multilevel"/>
    <w:tmpl w:val="063373CA"/>
    <w:lvl w:ilvl="0" w:tentative="0">
      <w:start w:val="1"/>
      <w:numFmt w:val="decimal"/>
      <w:lvlText w:val="%1)"/>
      <w:lvlJc w:val="left"/>
      <w:pPr>
        <w:tabs>
          <w:tab w:val="left" w:pos="1848"/>
        </w:tabs>
        <w:ind w:left="1848"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8B957E8"/>
    <w:multiLevelType w:val="multilevel"/>
    <w:tmpl w:val="08B957E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133A7C"/>
    <w:multiLevelType w:val="multilevel"/>
    <w:tmpl w:val="0D133A7C"/>
    <w:lvl w:ilvl="0" w:tentative="0">
      <w:start w:val="1"/>
      <w:numFmt w:val="decimal"/>
      <w:pStyle w:val="10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E9E650A"/>
    <w:multiLevelType w:val="multilevel"/>
    <w:tmpl w:val="0E9E65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110"/>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45249B9"/>
    <w:multiLevelType w:val="multilevel"/>
    <w:tmpl w:val="145249B9"/>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7AA7115"/>
    <w:multiLevelType w:val="multilevel"/>
    <w:tmpl w:val="27AA71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84A5AE6"/>
    <w:multiLevelType w:val="multilevel"/>
    <w:tmpl w:val="284A5AE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E2F0E49"/>
    <w:multiLevelType w:val="multilevel"/>
    <w:tmpl w:val="2E2F0E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48E292"/>
    <w:multiLevelType w:val="singleLevel"/>
    <w:tmpl w:val="3048E292"/>
    <w:lvl w:ilvl="0" w:tentative="0">
      <w:start w:val="1"/>
      <w:numFmt w:val="none"/>
      <w:lvlText w:val="10."/>
      <w:lvlJc w:val="left"/>
      <w:pPr>
        <w:tabs>
          <w:tab w:val="left" w:pos="420"/>
        </w:tabs>
        <w:ind w:left="425" w:hanging="425"/>
      </w:pPr>
      <w:rPr>
        <w:rFonts w:hint="default"/>
      </w:rPr>
    </w:lvl>
  </w:abstractNum>
  <w:abstractNum w:abstractNumId="13">
    <w:nsid w:val="31ED09DF"/>
    <w:multiLevelType w:val="multilevel"/>
    <w:tmpl w:val="31ED09DF"/>
    <w:lvl w:ilvl="0" w:tentative="0">
      <w:start w:val="1"/>
      <w:numFmt w:val="bullet"/>
      <w:pStyle w:val="114"/>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37C95E96"/>
    <w:multiLevelType w:val="multilevel"/>
    <w:tmpl w:val="37C95E96"/>
    <w:lvl w:ilvl="0" w:tentative="0">
      <w:start w:val="1"/>
      <w:numFmt w:val="decimal"/>
      <w:pStyle w:val="101"/>
      <w:lvlText w:val="%1. "/>
      <w:lvlJc w:val="left"/>
      <w:pPr>
        <w:tabs>
          <w:tab w:val="left" w:pos="567"/>
        </w:tabs>
        <w:ind w:left="855" w:hanging="855"/>
      </w:pPr>
      <w:rPr>
        <w:rFonts w:hint="eastAsia"/>
        <w:sz w:val="21"/>
        <w:szCs w:val="21"/>
      </w:rPr>
    </w:lvl>
    <w:lvl w:ilvl="1" w:tentative="0">
      <w:start w:val="1"/>
      <w:numFmt w:val="decimal"/>
      <w:lvlText w:val="%1.%2"/>
      <w:lvlJc w:val="left"/>
      <w:pPr>
        <w:tabs>
          <w:tab w:val="left" w:pos="567"/>
        </w:tabs>
        <w:ind w:left="855" w:hanging="855"/>
      </w:pPr>
      <w:rPr>
        <w:rFonts w:hint="eastAsia"/>
        <w:b w:val="0"/>
        <w:i w:val="0"/>
        <w:sz w:val="20"/>
        <w:szCs w:val="20"/>
      </w:rPr>
    </w:lvl>
    <w:lvl w:ilvl="2" w:tentative="0">
      <w:start w:val="1"/>
      <w:numFmt w:val="decimal"/>
      <w:lvlText w:val="%1.%2.%3"/>
      <w:lvlJc w:val="left"/>
      <w:pPr>
        <w:tabs>
          <w:tab w:val="left" w:pos="855"/>
        </w:tabs>
        <w:ind w:left="855" w:hanging="855"/>
      </w:pPr>
      <w:rPr>
        <w:rFonts w:hint="default"/>
        <w:b/>
        <w:sz w:val="20"/>
      </w:rPr>
    </w:lvl>
    <w:lvl w:ilvl="3" w:tentative="0">
      <w:start w:val="1"/>
      <w:numFmt w:val="decimal"/>
      <w:lvlText w:val="%1.%2.%3.%4"/>
      <w:lvlJc w:val="left"/>
      <w:pPr>
        <w:tabs>
          <w:tab w:val="left" w:pos="855"/>
        </w:tabs>
        <w:ind w:left="855" w:hanging="855"/>
      </w:pPr>
      <w:rPr>
        <w:rFonts w:hint="default"/>
        <w:b/>
        <w:sz w:val="20"/>
      </w:rPr>
    </w:lvl>
    <w:lvl w:ilvl="4" w:tentative="0">
      <w:start w:val="1"/>
      <w:numFmt w:val="decimal"/>
      <w:lvlText w:val="%1.%2.%3.%4.%5"/>
      <w:lvlJc w:val="left"/>
      <w:pPr>
        <w:tabs>
          <w:tab w:val="left" w:pos="855"/>
        </w:tabs>
        <w:ind w:left="855" w:hanging="855"/>
      </w:pPr>
      <w:rPr>
        <w:rFonts w:hint="default"/>
        <w:b/>
        <w:sz w:val="20"/>
      </w:rPr>
    </w:lvl>
    <w:lvl w:ilvl="5" w:tentative="0">
      <w:start w:val="1"/>
      <w:numFmt w:val="decimal"/>
      <w:lvlText w:val="%1.%2.%3.%4.%5.%6"/>
      <w:lvlJc w:val="left"/>
      <w:pPr>
        <w:tabs>
          <w:tab w:val="left" w:pos="855"/>
        </w:tabs>
        <w:ind w:left="855" w:hanging="855"/>
      </w:pPr>
      <w:rPr>
        <w:rFonts w:hint="default"/>
        <w:b/>
        <w:sz w:val="20"/>
      </w:rPr>
    </w:lvl>
    <w:lvl w:ilvl="6" w:tentative="0">
      <w:start w:val="1"/>
      <w:numFmt w:val="decimal"/>
      <w:lvlText w:val="%1.%2.%3.%4.%5.%6.%7"/>
      <w:lvlJc w:val="left"/>
      <w:pPr>
        <w:tabs>
          <w:tab w:val="left" w:pos="855"/>
        </w:tabs>
        <w:ind w:left="855" w:hanging="855"/>
      </w:pPr>
      <w:rPr>
        <w:rFonts w:hint="default"/>
        <w:b/>
        <w:sz w:val="20"/>
      </w:rPr>
    </w:lvl>
    <w:lvl w:ilvl="7" w:tentative="0">
      <w:start w:val="1"/>
      <w:numFmt w:val="decimal"/>
      <w:lvlText w:val="%1.%2.%3.%4.%5.%6.%7.%8"/>
      <w:lvlJc w:val="left"/>
      <w:pPr>
        <w:tabs>
          <w:tab w:val="left" w:pos="855"/>
        </w:tabs>
        <w:ind w:left="855" w:hanging="855"/>
      </w:pPr>
      <w:rPr>
        <w:rFonts w:hint="default"/>
        <w:b/>
        <w:sz w:val="20"/>
      </w:rPr>
    </w:lvl>
    <w:lvl w:ilvl="8" w:tentative="0">
      <w:start w:val="1"/>
      <w:numFmt w:val="decimal"/>
      <w:lvlText w:val="%1.%2.%3.%4.%5.%6.%7.%8.%9"/>
      <w:lvlJc w:val="left"/>
      <w:pPr>
        <w:tabs>
          <w:tab w:val="left" w:pos="855"/>
        </w:tabs>
        <w:ind w:left="855" w:hanging="855"/>
      </w:pPr>
      <w:rPr>
        <w:rFonts w:hint="default"/>
        <w:b/>
        <w:sz w:val="20"/>
      </w:rPr>
    </w:lvl>
  </w:abstractNum>
  <w:abstractNum w:abstractNumId="15">
    <w:nsid w:val="3E9C347D"/>
    <w:multiLevelType w:val="multilevel"/>
    <w:tmpl w:val="3E9C34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FEB585D"/>
    <w:multiLevelType w:val="multilevel"/>
    <w:tmpl w:val="3FEB585D"/>
    <w:lvl w:ilvl="0" w:tentative="0">
      <w:start w:val="1"/>
      <w:numFmt w:val="decimal"/>
      <w:pStyle w:val="10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0F54389"/>
    <w:multiLevelType w:val="multilevel"/>
    <w:tmpl w:val="40F5438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33D408A"/>
    <w:multiLevelType w:val="multilevel"/>
    <w:tmpl w:val="433D408A"/>
    <w:lvl w:ilvl="0" w:tentative="0">
      <w:start w:val="1"/>
      <w:numFmt w:val="decimal"/>
      <w:pStyle w:val="10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8885689"/>
    <w:multiLevelType w:val="multilevel"/>
    <w:tmpl w:val="48885689"/>
    <w:lvl w:ilvl="0" w:tentative="0">
      <w:start w:val="1"/>
      <w:numFmt w:val="chineseCountingThousand"/>
      <w:pStyle w:val="10"/>
      <w:lvlText w:val="第%1章"/>
      <w:lvlJc w:val="left"/>
      <w:pPr>
        <w:tabs>
          <w:tab w:val="left" w:pos="420"/>
        </w:tabs>
        <w:ind w:left="420" w:hanging="420"/>
      </w:pPr>
      <w:rPr>
        <w:rFonts w:hint="eastAsia"/>
        <w:b/>
      </w:rPr>
    </w:lvl>
    <w:lvl w:ilvl="1" w:tentative="0">
      <w:start w:val="1"/>
      <w:numFmt w:val="decimal"/>
      <w:lvlRestart w:val="0"/>
      <w:isLgl/>
      <w:lvlText w:val="%2"/>
      <w:lvlJc w:val="left"/>
      <w:pPr>
        <w:tabs>
          <w:tab w:val="left" w:pos="480"/>
        </w:tabs>
        <w:ind w:left="480" w:hanging="480"/>
      </w:pPr>
      <w:rPr>
        <w:rFonts w:hint="default"/>
      </w:rPr>
    </w:lvl>
    <w:lvl w:ilvl="2" w:tentative="0">
      <w:start w:val="1"/>
      <w:numFmt w:val="decimal"/>
      <w:pStyle w:val="7"/>
      <w:isLgl/>
      <w:lvlText w:val="%2.%3"/>
      <w:lvlJc w:val="left"/>
      <w:pPr>
        <w:tabs>
          <w:tab w:val="left" w:pos="720"/>
        </w:tabs>
        <w:ind w:left="720" w:hanging="720"/>
      </w:pPr>
      <w:rPr>
        <w:rFonts w:hint="default"/>
      </w:rPr>
    </w:lvl>
    <w:lvl w:ilvl="3" w:tentative="0">
      <w:start w:val="1"/>
      <w:numFmt w:val="decimal"/>
      <w:pStyle w:val="8"/>
      <w:isLgl/>
      <w:lvlText w:val="%2.%3.%4"/>
      <w:lvlJc w:val="left"/>
      <w:pPr>
        <w:tabs>
          <w:tab w:val="left" w:pos="1080"/>
        </w:tabs>
        <w:ind w:left="1080" w:hanging="1080"/>
      </w:pPr>
      <w:rPr>
        <w:rFonts w:hint="default"/>
      </w:rPr>
    </w:lvl>
    <w:lvl w:ilvl="4" w:tentative="0">
      <w:start w:val="1"/>
      <w:numFmt w:val="decimal"/>
      <w:pStyle w:val="9"/>
      <w:lvlText w:val="%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20">
    <w:nsid w:val="4AE62E51"/>
    <w:multiLevelType w:val="multilevel"/>
    <w:tmpl w:val="4AE62E51"/>
    <w:lvl w:ilvl="0" w:tentative="0">
      <w:start w:val="1"/>
      <w:numFmt w:val="decimal"/>
      <w:lvlText w:val="%1."/>
      <w:lvlJc w:val="left"/>
      <w:pPr>
        <w:ind w:left="1129" w:hanging="420"/>
      </w:pPr>
    </w:lvl>
    <w:lvl w:ilvl="1" w:tentative="0">
      <w:start w:val="1"/>
      <w:numFmt w:val="decimal"/>
      <w:lvlText w:val="%2."/>
      <w:lvlJc w:val="left"/>
      <w:pPr>
        <w:tabs>
          <w:tab w:val="left" w:pos="1368"/>
        </w:tabs>
        <w:ind w:left="1368" w:hanging="360"/>
      </w:pPr>
      <w:rPr>
        <w:rFonts w:hint="default"/>
      </w:rPr>
    </w:lvl>
    <w:lvl w:ilvl="2" w:tentative="0">
      <w:start w:val="1"/>
      <w:numFmt w:val="bullet"/>
      <w:lvlText w:val=""/>
      <w:lvlJc w:val="left"/>
      <w:pPr>
        <w:tabs>
          <w:tab w:val="left" w:pos="1848"/>
        </w:tabs>
        <w:ind w:left="1848" w:hanging="420"/>
      </w:pPr>
      <w:rPr>
        <w:rFonts w:hint="default" w:ascii="Wingdings" w:hAnsi="Wingdings"/>
      </w:rPr>
    </w:lvl>
    <w:lvl w:ilvl="3" w:tentative="0">
      <w:start w:val="1"/>
      <w:numFmt w:val="bullet"/>
      <w:lvlText w:val="—"/>
      <w:lvlJc w:val="left"/>
      <w:pPr>
        <w:tabs>
          <w:tab w:val="left" w:pos="2268"/>
        </w:tabs>
        <w:ind w:left="2268" w:hanging="420"/>
      </w:pPr>
      <w:rPr>
        <w:rFonts w:hint="default" w:ascii="Vivaldi" w:hAnsi="Vivaldi"/>
      </w:rPr>
    </w:lvl>
    <w:lvl w:ilvl="4" w:tentative="0">
      <w:start w:val="6"/>
      <w:numFmt w:val="decimal"/>
      <w:lvlText w:val="%5)"/>
      <w:lvlJc w:val="left"/>
      <w:pPr>
        <w:tabs>
          <w:tab w:val="left" w:pos="2688"/>
        </w:tabs>
        <w:ind w:left="2688" w:hanging="420"/>
      </w:pPr>
      <w:rPr>
        <w:rFonts w:hint="eastAsia"/>
      </w:rPr>
    </w:lvl>
    <w:lvl w:ilvl="5" w:tentative="0">
      <w:start w:val="1"/>
      <w:numFmt w:val="lowerRoman"/>
      <w:lvlText w:val="%6."/>
      <w:lvlJc w:val="right"/>
      <w:pPr>
        <w:ind w:left="3108" w:hanging="420"/>
      </w:pPr>
    </w:lvl>
    <w:lvl w:ilvl="6" w:tentative="0">
      <w:start w:val="1"/>
      <w:numFmt w:val="decimal"/>
      <w:lvlText w:val="%7."/>
      <w:lvlJc w:val="left"/>
      <w:pPr>
        <w:ind w:left="3528" w:hanging="420"/>
      </w:pPr>
    </w:lvl>
    <w:lvl w:ilvl="7" w:tentative="0">
      <w:start w:val="1"/>
      <w:numFmt w:val="lowerLetter"/>
      <w:lvlText w:val="%8)"/>
      <w:lvlJc w:val="left"/>
      <w:pPr>
        <w:ind w:left="3948" w:hanging="420"/>
      </w:pPr>
    </w:lvl>
    <w:lvl w:ilvl="8" w:tentative="0">
      <w:start w:val="1"/>
      <w:numFmt w:val="lowerRoman"/>
      <w:lvlText w:val="%9."/>
      <w:lvlJc w:val="right"/>
      <w:pPr>
        <w:ind w:left="4368" w:hanging="420"/>
      </w:pPr>
    </w:lvl>
  </w:abstractNum>
  <w:abstractNum w:abstractNumId="21">
    <w:nsid w:val="5142289F"/>
    <w:multiLevelType w:val="multilevel"/>
    <w:tmpl w:val="5142289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5932DD5"/>
    <w:multiLevelType w:val="multilevel"/>
    <w:tmpl w:val="55932D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5A72853"/>
    <w:multiLevelType w:val="multilevel"/>
    <w:tmpl w:val="55A7285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67E6C43"/>
    <w:multiLevelType w:val="multilevel"/>
    <w:tmpl w:val="567E6C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FB902D1"/>
    <w:multiLevelType w:val="multilevel"/>
    <w:tmpl w:val="5FB902D1"/>
    <w:lvl w:ilvl="0" w:tentative="0">
      <w:start w:val="1"/>
      <w:numFmt w:val="decimal"/>
      <w:lvlText w:val="%1."/>
      <w:lvlJc w:val="left"/>
      <w:pPr>
        <w:ind w:left="420" w:hanging="420"/>
      </w:pPr>
      <w:rPr>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82E7D62"/>
    <w:multiLevelType w:val="multilevel"/>
    <w:tmpl w:val="682E7D6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816579"/>
    <w:multiLevelType w:val="multilevel"/>
    <w:tmpl w:val="6C8165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E6E409E"/>
    <w:multiLevelType w:val="multilevel"/>
    <w:tmpl w:val="6E6E409E"/>
    <w:lvl w:ilvl="0" w:tentative="0">
      <w:start w:val="1"/>
      <w:numFmt w:val="decimal"/>
      <w:pStyle w:val="42"/>
      <w:lvlText w:val="%1"/>
      <w:lvlJc w:val="left"/>
      <w:pPr>
        <w:ind w:left="482" w:hanging="482"/>
      </w:pPr>
      <w:rPr>
        <w:rFonts w:hint="eastAsia"/>
      </w:rPr>
    </w:lvl>
    <w:lvl w:ilvl="1" w:tentative="0">
      <w:start w:val="1"/>
      <w:numFmt w:val="decimal"/>
      <w:pStyle w:val="44"/>
      <w:lvlText w:val="%1.%2"/>
      <w:lvlJc w:val="left"/>
      <w:pPr>
        <w:ind w:left="1202" w:hanging="720"/>
      </w:pPr>
      <w:rPr>
        <w:rFonts w:hint="eastAsia"/>
        <w:b/>
        <w:bCs/>
      </w:rPr>
    </w:lvl>
    <w:lvl w:ilvl="2" w:tentative="0">
      <w:start w:val="1"/>
      <w:numFmt w:val="decimal"/>
      <w:pStyle w:val="46"/>
      <w:lvlText w:val="%1.%2.%3"/>
      <w:lvlJc w:val="left"/>
      <w:pPr>
        <w:ind w:left="1202" w:hanging="720"/>
      </w:pPr>
      <w:rPr>
        <w:rFonts w:hint="eastAsia"/>
      </w:rPr>
    </w:lvl>
    <w:lvl w:ilvl="3" w:tentative="0">
      <w:start w:val="1"/>
      <w:numFmt w:val="decimal"/>
      <w:pStyle w:val="48"/>
      <w:lvlText w:val="%4)"/>
      <w:lvlJc w:val="left"/>
      <w:pPr>
        <w:ind w:left="1202" w:hanging="482"/>
      </w:pPr>
      <w:rPr>
        <w:rFonts w:hint="eastAsia"/>
      </w:rPr>
    </w:lvl>
    <w:lvl w:ilvl="4" w:tentative="0">
      <w:start w:val="1"/>
      <w:numFmt w:val="lowerLetter"/>
      <w:pStyle w:val="50"/>
      <w:lvlText w:val="%5."/>
      <w:lvlJc w:val="left"/>
      <w:pPr>
        <w:ind w:left="1202" w:hanging="363"/>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71940EDB"/>
    <w:multiLevelType w:val="multilevel"/>
    <w:tmpl w:val="71940ED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39315A4"/>
    <w:multiLevelType w:val="multilevel"/>
    <w:tmpl w:val="739315A4"/>
    <w:lvl w:ilvl="0" w:tentative="0">
      <w:start w:val="1"/>
      <w:numFmt w:val="decimal"/>
      <w:lvlText w:val="%1."/>
      <w:lvlJc w:val="left"/>
      <w:pPr>
        <w:ind w:left="420" w:hanging="420"/>
      </w:pPr>
      <w:rPr>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3AB495B"/>
    <w:multiLevelType w:val="multilevel"/>
    <w:tmpl w:val="73AB495B"/>
    <w:lvl w:ilvl="0" w:tentative="0">
      <w:start w:val="2"/>
      <w:numFmt w:val="decimal"/>
      <w:lvlText w:val="%1. "/>
      <w:lvlJc w:val="left"/>
      <w:pPr>
        <w:tabs>
          <w:tab w:val="left" w:pos="397"/>
        </w:tabs>
        <w:ind w:left="855" w:hanging="855"/>
      </w:pPr>
      <w:rPr>
        <w:rFonts w:hint="eastAsia"/>
        <w:b/>
        <w:i w:val="0"/>
        <w:sz w:val="21"/>
        <w:szCs w:val="21"/>
      </w:rPr>
    </w:lvl>
    <w:lvl w:ilvl="1" w:tentative="0">
      <w:start w:val="1"/>
      <w:numFmt w:val="decimal"/>
      <w:lvlText w:val="%1.%2"/>
      <w:lvlJc w:val="left"/>
      <w:pPr>
        <w:tabs>
          <w:tab w:val="left" w:pos="510"/>
        </w:tabs>
        <w:ind w:left="510" w:hanging="510"/>
      </w:pPr>
      <w:rPr>
        <w:rFonts w:hint="eastAsia"/>
        <w:b w:val="0"/>
        <w:i w:val="0"/>
        <w:color w:val="auto"/>
        <w:sz w:val="21"/>
        <w:szCs w:val="21"/>
      </w:rPr>
    </w:lvl>
    <w:lvl w:ilvl="2" w:tentative="0">
      <w:start w:val="1"/>
      <w:numFmt w:val="decimal"/>
      <w:pStyle w:val="102"/>
      <w:lvlText w:val="%1.%2.%3"/>
      <w:lvlJc w:val="left"/>
      <w:pPr>
        <w:tabs>
          <w:tab w:val="left" w:pos="1021"/>
        </w:tabs>
        <w:ind w:left="1021" w:hanging="737"/>
      </w:pPr>
      <w:rPr>
        <w:rFonts w:hint="eastAsia"/>
        <w:sz w:val="21"/>
        <w:szCs w:val="21"/>
      </w:rPr>
    </w:lvl>
    <w:lvl w:ilvl="3" w:tentative="0">
      <w:start w:val="1"/>
      <w:numFmt w:val="decimal"/>
      <w:lvlText w:val="%1.%2.%3.%4"/>
      <w:lvlJc w:val="left"/>
      <w:pPr>
        <w:tabs>
          <w:tab w:val="left" w:pos="855"/>
        </w:tabs>
        <w:ind w:left="855" w:hanging="855"/>
      </w:pPr>
      <w:rPr>
        <w:rFonts w:hint="default"/>
      </w:rPr>
    </w:lvl>
    <w:lvl w:ilvl="4" w:tentative="0">
      <w:start w:val="1"/>
      <w:numFmt w:val="decimal"/>
      <w:lvlText w:val="%1.%2.%3.%4.%5"/>
      <w:lvlJc w:val="left"/>
      <w:pPr>
        <w:tabs>
          <w:tab w:val="left" w:pos="855"/>
        </w:tabs>
        <w:ind w:left="855" w:hanging="855"/>
      </w:pPr>
      <w:rPr>
        <w:rFonts w:hint="default"/>
      </w:rPr>
    </w:lvl>
    <w:lvl w:ilvl="5" w:tentative="0">
      <w:start w:val="1"/>
      <w:numFmt w:val="decimal"/>
      <w:lvlText w:val="%1.%2.%3.%4.%5.%6"/>
      <w:lvlJc w:val="left"/>
      <w:pPr>
        <w:tabs>
          <w:tab w:val="left" w:pos="855"/>
        </w:tabs>
        <w:ind w:left="855" w:hanging="855"/>
      </w:pPr>
      <w:rPr>
        <w:rFonts w:hint="default"/>
      </w:rPr>
    </w:lvl>
    <w:lvl w:ilvl="6" w:tentative="0">
      <w:start w:val="1"/>
      <w:numFmt w:val="decimal"/>
      <w:lvlText w:val="%1.%2.%3.%4.%5.%6.%7"/>
      <w:lvlJc w:val="left"/>
      <w:pPr>
        <w:tabs>
          <w:tab w:val="left" w:pos="855"/>
        </w:tabs>
        <w:ind w:left="855" w:hanging="855"/>
      </w:pPr>
      <w:rPr>
        <w:rFonts w:hint="default"/>
      </w:rPr>
    </w:lvl>
    <w:lvl w:ilvl="7" w:tentative="0">
      <w:start w:val="1"/>
      <w:numFmt w:val="decimal"/>
      <w:lvlText w:val="%1.%2.%3.%4.%5.%6.%7.%8"/>
      <w:lvlJc w:val="left"/>
      <w:pPr>
        <w:tabs>
          <w:tab w:val="left" w:pos="855"/>
        </w:tabs>
        <w:ind w:left="855" w:hanging="855"/>
      </w:pPr>
      <w:rPr>
        <w:rFonts w:hint="default"/>
      </w:rPr>
    </w:lvl>
    <w:lvl w:ilvl="8" w:tentative="0">
      <w:start w:val="1"/>
      <w:numFmt w:val="decimal"/>
      <w:lvlText w:val="%1.%2.%3.%4.%5.%6.%7.%8.%9"/>
      <w:lvlJc w:val="left"/>
      <w:pPr>
        <w:tabs>
          <w:tab w:val="left" w:pos="855"/>
        </w:tabs>
        <w:ind w:left="855" w:hanging="855"/>
      </w:pPr>
      <w:rPr>
        <w:rFonts w:hint="default"/>
      </w:rPr>
    </w:lvl>
  </w:abstractNum>
  <w:abstractNum w:abstractNumId="32">
    <w:nsid w:val="73D172C1"/>
    <w:multiLevelType w:val="multilevel"/>
    <w:tmpl w:val="73D172C1"/>
    <w:lvl w:ilvl="0" w:tentative="0">
      <w:start w:val="1"/>
      <w:numFmt w:val="decimal"/>
      <w:pStyle w:val="10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4EC6053"/>
    <w:multiLevelType w:val="multilevel"/>
    <w:tmpl w:val="74EC6053"/>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6CE055D"/>
    <w:multiLevelType w:val="multilevel"/>
    <w:tmpl w:val="76CE055D"/>
    <w:lvl w:ilvl="0" w:tentative="0">
      <w:start w:val="1"/>
      <w:numFmt w:val="decimal"/>
      <w:pStyle w:val="118"/>
      <w:lvlText w:val="9.1.%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7EA970C7"/>
    <w:multiLevelType w:val="multilevel"/>
    <w:tmpl w:val="7EA970C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F50071B"/>
    <w:multiLevelType w:val="multilevel"/>
    <w:tmpl w:val="7F50071B"/>
    <w:lvl w:ilvl="0" w:tentative="0">
      <w:start w:val="1"/>
      <w:numFmt w:val="decimal"/>
      <w:lvlText w:val="%1."/>
      <w:lvlJc w:val="left"/>
      <w:pPr>
        <w:ind w:left="1129" w:hanging="420"/>
      </w:pPr>
    </w:lvl>
    <w:lvl w:ilvl="1" w:tentative="0">
      <w:start w:val="1"/>
      <w:numFmt w:val="decimal"/>
      <w:lvlText w:val="%2）"/>
      <w:lvlJc w:val="left"/>
      <w:pPr>
        <w:tabs>
          <w:tab w:val="left" w:pos="1368"/>
        </w:tabs>
        <w:ind w:left="1368" w:hanging="360"/>
      </w:pPr>
      <w:rPr>
        <w:rFonts w:hint="default"/>
      </w:rPr>
    </w:lvl>
    <w:lvl w:ilvl="2" w:tentative="0">
      <w:start w:val="1"/>
      <w:numFmt w:val="bullet"/>
      <w:lvlText w:val=""/>
      <w:lvlJc w:val="left"/>
      <w:pPr>
        <w:tabs>
          <w:tab w:val="left" w:pos="1848"/>
        </w:tabs>
        <w:ind w:left="1848" w:hanging="420"/>
      </w:pPr>
      <w:rPr>
        <w:rFonts w:hint="default" w:ascii="Wingdings" w:hAnsi="Wingdings"/>
      </w:rPr>
    </w:lvl>
    <w:lvl w:ilvl="3" w:tentative="0">
      <w:start w:val="1"/>
      <w:numFmt w:val="decimal"/>
      <w:lvlText w:val="（%4）"/>
      <w:lvlJc w:val="left"/>
      <w:pPr>
        <w:tabs>
          <w:tab w:val="left" w:pos="2268"/>
        </w:tabs>
        <w:ind w:left="2268" w:hanging="420"/>
      </w:pPr>
      <w:rPr>
        <w:rFonts w:hint="default"/>
      </w:rPr>
    </w:lvl>
    <w:lvl w:ilvl="4" w:tentative="0">
      <w:start w:val="6"/>
      <w:numFmt w:val="decimal"/>
      <w:lvlText w:val="%5)"/>
      <w:lvlJc w:val="left"/>
      <w:pPr>
        <w:tabs>
          <w:tab w:val="left" w:pos="2688"/>
        </w:tabs>
        <w:ind w:left="2688" w:hanging="420"/>
      </w:pPr>
      <w:rPr>
        <w:rFonts w:hint="eastAsia"/>
      </w:rPr>
    </w:lvl>
    <w:lvl w:ilvl="5" w:tentative="0">
      <w:start w:val="1"/>
      <w:numFmt w:val="lowerRoman"/>
      <w:lvlText w:val="%6."/>
      <w:lvlJc w:val="right"/>
      <w:pPr>
        <w:ind w:left="3108" w:hanging="420"/>
      </w:pPr>
    </w:lvl>
    <w:lvl w:ilvl="6" w:tentative="0">
      <w:start w:val="1"/>
      <w:numFmt w:val="decimal"/>
      <w:lvlText w:val="%7."/>
      <w:lvlJc w:val="left"/>
      <w:pPr>
        <w:ind w:left="3528" w:hanging="420"/>
      </w:pPr>
    </w:lvl>
    <w:lvl w:ilvl="7" w:tentative="0">
      <w:start w:val="1"/>
      <w:numFmt w:val="lowerLetter"/>
      <w:lvlText w:val="%8)"/>
      <w:lvlJc w:val="left"/>
      <w:pPr>
        <w:ind w:left="3948" w:hanging="420"/>
      </w:pPr>
    </w:lvl>
    <w:lvl w:ilvl="8" w:tentative="0">
      <w:start w:val="1"/>
      <w:numFmt w:val="lowerRoman"/>
      <w:lvlText w:val="%9."/>
      <w:lvlJc w:val="right"/>
      <w:pPr>
        <w:ind w:left="4368" w:hanging="420"/>
      </w:pPr>
    </w:lvl>
  </w:abstractNum>
  <w:num w:numId="1">
    <w:abstractNumId w:val="19"/>
  </w:num>
  <w:num w:numId="2">
    <w:abstractNumId w:val="28"/>
  </w:num>
  <w:num w:numId="3">
    <w:abstractNumId w:val="14"/>
  </w:num>
  <w:num w:numId="4">
    <w:abstractNumId w:val="31"/>
  </w:num>
  <w:num w:numId="5">
    <w:abstractNumId w:val="6"/>
  </w:num>
  <w:num w:numId="6">
    <w:abstractNumId w:val="16"/>
  </w:num>
  <w:num w:numId="7">
    <w:abstractNumId w:val="32"/>
  </w:num>
  <w:num w:numId="8">
    <w:abstractNumId w:val="18"/>
  </w:num>
  <w:num w:numId="9">
    <w:abstractNumId w:val="7"/>
  </w:num>
  <w:num w:numId="10">
    <w:abstractNumId w:val="13"/>
  </w:num>
  <w:num w:numId="11">
    <w:abstractNumId w:val="34"/>
  </w:num>
  <w:num w:numId="12">
    <w:abstractNumId w:val="33"/>
  </w:num>
  <w:num w:numId="13">
    <w:abstractNumId w:val="8"/>
  </w:num>
  <w:num w:numId="14">
    <w:abstractNumId w:val="27"/>
  </w:num>
  <w:num w:numId="15">
    <w:abstractNumId w:val="9"/>
  </w:num>
  <w:num w:numId="16">
    <w:abstractNumId w:val="5"/>
  </w:num>
  <w:num w:numId="17">
    <w:abstractNumId w:val="25"/>
  </w:num>
  <w:num w:numId="18">
    <w:abstractNumId w:val="17"/>
  </w:num>
  <w:num w:numId="19">
    <w:abstractNumId w:val="22"/>
  </w:num>
  <w:num w:numId="20">
    <w:abstractNumId w:val="15"/>
  </w:num>
  <w:num w:numId="21">
    <w:abstractNumId w:val="30"/>
  </w:num>
  <w:num w:numId="22">
    <w:abstractNumId w:val="24"/>
  </w:num>
  <w:num w:numId="23">
    <w:abstractNumId w:val="26"/>
  </w:num>
  <w:num w:numId="24">
    <w:abstractNumId w:val="29"/>
  </w:num>
  <w:num w:numId="25">
    <w:abstractNumId w:val="21"/>
  </w:num>
  <w:num w:numId="26">
    <w:abstractNumId w:val="11"/>
  </w:num>
  <w:num w:numId="27">
    <w:abstractNumId w:val="23"/>
  </w:num>
  <w:num w:numId="28">
    <w:abstractNumId w:val="10"/>
  </w:num>
  <w:num w:numId="29">
    <w:abstractNumId w:val="35"/>
  </w:num>
  <w:num w:numId="30">
    <w:abstractNumId w:val="1"/>
  </w:num>
  <w:num w:numId="31">
    <w:abstractNumId w:val="36"/>
  </w:num>
  <w:num w:numId="32">
    <w:abstractNumId w:val="2"/>
  </w:num>
  <w:num w:numId="33">
    <w:abstractNumId w:val="4"/>
  </w:num>
  <w:num w:numId="34">
    <w:abstractNumId w:val="12"/>
  </w:num>
  <w:num w:numId="35">
    <w:abstractNumId w:val="0"/>
  </w:num>
  <w:num w:numId="36">
    <w:abstractNumId w:val="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wZmQ4NTc2NTY2MWVhZDQ3NjA4NGQ3YmRmYTViMzYifQ=="/>
  </w:docVars>
  <w:rsids>
    <w:rsidRoot w:val="00B203A7"/>
    <w:rsid w:val="000035B9"/>
    <w:rsid w:val="00021153"/>
    <w:rsid w:val="00035ABC"/>
    <w:rsid w:val="000372B7"/>
    <w:rsid w:val="00052795"/>
    <w:rsid w:val="000566E7"/>
    <w:rsid w:val="00065719"/>
    <w:rsid w:val="00066743"/>
    <w:rsid w:val="0007355A"/>
    <w:rsid w:val="0007565A"/>
    <w:rsid w:val="000C7A96"/>
    <w:rsid w:val="000D5439"/>
    <w:rsid w:val="000D785E"/>
    <w:rsid w:val="000E0DDA"/>
    <w:rsid w:val="000E1394"/>
    <w:rsid w:val="000E30E2"/>
    <w:rsid w:val="000E3C93"/>
    <w:rsid w:val="001003F6"/>
    <w:rsid w:val="00100AB3"/>
    <w:rsid w:val="00102732"/>
    <w:rsid w:val="001036B7"/>
    <w:rsid w:val="00116771"/>
    <w:rsid w:val="0013674B"/>
    <w:rsid w:val="00153CCE"/>
    <w:rsid w:val="0016016A"/>
    <w:rsid w:val="0016504E"/>
    <w:rsid w:val="00180D39"/>
    <w:rsid w:val="001A4697"/>
    <w:rsid w:val="001C2734"/>
    <w:rsid w:val="001C3DEF"/>
    <w:rsid w:val="001E2DC2"/>
    <w:rsid w:val="001F7A72"/>
    <w:rsid w:val="00203241"/>
    <w:rsid w:val="002113C3"/>
    <w:rsid w:val="00217342"/>
    <w:rsid w:val="00227F43"/>
    <w:rsid w:val="00233D63"/>
    <w:rsid w:val="00236A7C"/>
    <w:rsid w:val="002478EE"/>
    <w:rsid w:val="00255B4F"/>
    <w:rsid w:val="00275673"/>
    <w:rsid w:val="002842D2"/>
    <w:rsid w:val="002B7CCD"/>
    <w:rsid w:val="002C3759"/>
    <w:rsid w:val="002D1096"/>
    <w:rsid w:val="002D79A0"/>
    <w:rsid w:val="00310A77"/>
    <w:rsid w:val="0031479A"/>
    <w:rsid w:val="00314E3A"/>
    <w:rsid w:val="0031646A"/>
    <w:rsid w:val="003354A9"/>
    <w:rsid w:val="00335753"/>
    <w:rsid w:val="00337CF1"/>
    <w:rsid w:val="00346A33"/>
    <w:rsid w:val="00351418"/>
    <w:rsid w:val="003560C6"/>
    <w:rsid w:val="0036045E"/>
    <w:rsid w:val="00361A1E"/>
    <w:rsid w:val="00363804"/>
    <w:rsid w:val="00367189"/>
    <w:rsid w:val="003733B7"/>
    <w:rsid w:val="003771A3"/>
    <w:rsid w:val="003823F5"/>
    <w:rsid w:val="003942F1"/>
    <w:rsid w:val="00395CBF"/>
    <w:rsid w:val="003A7A91"/>
    <w:rsid w:val="003C16FB"/>
    <w:rsid w:val="003D57B8"/>
    <w:rsid w:val="003D77F8"/>
    <w:rsid w:val="003E2D9B"/>
    <w:rsid w:val="003E41AF"/>
    <w:rsid w:val="003E4E3A"/>
    <w:rsid w:val="003F0C47"/>
    <w:rsid w:val="003F36E8"/>
    <w:rsid w:val="00407247"/>
    <w:rsid w:val="00443A11"/>
    <w:rsid w:val="00447EBD"/>
    <w:rsid w:val="004A0048"/>
    <w:rsid w:val="004A1F1C"/>
    <w:rsid w:val="004A37AC"/>
    <w:rsid w:val="004B7011"/>
    <w:rsid w:val="004C60E0"/>
    <w:rsid w:val="004E32AD"/>
    <w:rsid w:val="004E469A"/>
    <w:rsid w:val="004F042D"/>
    <w:rsid w:val="005138B4"/>
    <w:rsid w:val="0051758F"/>
    <w:rsid w:val="00523399"/>
    <w:rsid w:val="0052719E"/>
    <w:rsid w:val="00541023"/>
    <w:rsid w:val="00541635"/>
    <w:rsid w:val="00573039"/>
    <w:rsid w:val="005740BD"/>
    <w:rsid w:val="005832F8"/>
    <w:rsid w:val="005851AB"/>
    <w:rsid w:val="005B4965"/>
    <w:rsid w:val="005C0100"/>
    <w:rsid w:val="005C461F"/>
    <w:rsid w:val="005D63C8"/>
    <w:rsid w:val="005D6837"/>
    <w:rsid w:val="005D7D21"/>
    <w:rsid w:val="005E3C03"/>
    <w:rsid w:val="005F33F5"/>
    <w:rsid w:val="00621D89"/>
    <w:rsid w:val="0063005B"/>
    <w:rsid w:val="00637536"/>
    <w:rsid w:val="0065663A"/>
    <w:rsid w:val="0066107E"/>
    <w:rsid w:val="0066182C"/>
    <w:rsid w:val="00676A98"/>
    <w:rsid w:val="00676BE8"/>
    <w:rsid w:val="00685035"/>
    <w:rsid w:val="00694C10"/>
    <w:rsid w:val="006956E4"/>
    <w:rsid w:val="006A4D84"/>
    <w:rsid w:val="006B4253"/>
    <w:rsid w:val="006B5E78"/>
    <w:rsid w:val="006C1C99"/>
    <w:rsid w:val="006C27C2"/>
    <w:rsid w:val="006C5599"/>
    <w:rsid w:val="006C7712"/>
    <w:rsid w:val="006E2046"/>
    <w:rsid w:val="006E4AC0"/>
    <w:rsid w:val="006E5A2D"/>
    <w:rsid w:val="006F1B56"/>
    <w:rsid w:val="006F4914"/>
    <w:rsid w:val="006F7AEF"/>
    <w:rsid w:val="007034FC"/>
    <w:rsid w:val="00705F76"/>
    <w:rsid w:val="007143C2"/>
    <w:rsid w:val="00717B12"/>
    <w:rsid w:val="00722022"/>
    <w:rsid w:val="0072382F"/>
    <w:rsid w:val="00732E94"/>
    <w:rsid w:val="00743F2F"/>
    <w:rsid w:val="00744031"/>
    <w:rsid w:val="007455A4"/>
    <w:rsid w:val="0076374B"/>
    <w:rsid w:val="00763966"/>
    <w:rsid w:val="00772576"/>
    <w:rsid w:val="00772E18"/>
    <w:rsid w:val="00791315"/>
    <w:rsid w:val="0079798E"/>
    <w:rsid w:val="007A2280"/>
    <w:rsid w:val="007A3295"/>
    <w:rsid w:val="007B2CDA"/>
    <w:rsid w:val="007B3C17"/>
    <w:rsid w:val="007B3D0D"/>
    <w:rsid w:val="007C6A93"/>
    <w:rsid w:val="007F3818"/>
    <w:rsid w:val="0081122D"/>
    <w:rsid w:val="00814176"/>
    <w:rsid w:val="00823315"/>
    <w:rsid w:val="00823513"/>
    <w:rsid w:val="00824F42"/>
    <w:rsid w:val="0083303D"/>
    <w:rsid w:val="008473E9"/>
    <w:rsid w:val="00860227"/>
    <w:rsid w:val="008644C9"/>
    <w:rsid w:val="0086668A"/>
    <w:rsid w:val="00870505"/>
    <w:rsid w:val="00872E02"/>
    <w:rsid w:val="00897560"/>
    <w:rsid w:val="008A2E0E"/>
    <w:rsid w:val="008B2672"/>
    <w:rsid w:val="008B324E"/>
    <w:rsid w:val="008B5059"/>
    <w:rsid w:val="008B53EE"/>
    <w:rsid w:val="008C7097"/>
    <w:rsid w:val="008C763F"/>
    <w:rsid w:val="008D25A9"/>
    <w:rsid w:val="008F1845"/>
    <w:rsid w:val="00920555"/>
    <w:rsid w:val="00925C77"/>
    <w:rsid w:val="00933541"/>
    <w:rsid w:val="0095413C"/>
    <w:rsid w:val="00974E23"/>
    <w:rsid w:val="00984D2D"/>
    <w:rsid w:val="009911C1"/>
    <w:rsid w:val="00991459"/>
    <w:rsid w:val="009A7E85"/>
    <w:rsid w:val="009B59CE"/>
    <w:rsid w:val="009C1A56"/>
    <w:rsid w:val="009C3170"/>
    <w:rsid w:val="009C39BD"/>
    <w:rsid w:val="009E0AF2"/>
    <w:rsid w:val="009E4D5E"/>
    <w:rsid w:val="009E7BE7"/>
    <w:rsid w:val="009F2149"/>
    <w:rsid w:val="009F524E"/>
    <w:rsid w:val="00A02F09"/>
    <w:rsid w:val="00A10BC4"/>
    <w:rsid w:val="00A16D80"/>
    <w:rsid w:val="00A22EBC"/>
    <w:rsid w:val="00A3418A"/>
    <w:rsid w:val="00A367F4"/>
    <w:rsid w:val="00A432E0"/>
    <w:rsid w:val="00A66A7A"/>
    <w:rsid w:val="00A8541E"/>
    <w:rsid w:val="00A87002"/>
    <w:rsid w:val="00A90882"/>
    <w:rsid w:val="00AA38EC"/>
    <w:rsid w:val="00AC5899"/>
    <w:rsid w:val="00AD4697"/>
    <w:rsid w:val="00AE25CA"/>
    <w:rsid w:val="00B0459E"/>
    <w:rsid w:val="00B103DF"/>
    <w:rsid w:val="00B14497"/>
    <w:rsid w:val="00B14F29"/>
    <w:rsid w:val="00B203A7"/>
    <w:rsid w:val="00B32C04"/>
    <w:rsid w:val="00B37AF3"/>
    <w:rsid w:val="00B4453F"/>
    <w:rsid w:val="00B50D52"/>
    <w:rsid w:val="00B5102D"/>
    <w:rsid w:val="00B63844"/>
    <w:rsid w:val="00B73F87"/>
    <w:rsid w:val="00B762AF"/>
    <w:rsid w:val="00B816CD"/>
    <w:rsid w:val="00B8194B"/>
    <w:rsid w:val="00B843AC"/>
    <w:rsid w:val="00B87010"/>
    <w:rsid w:val="00B93681"/>
    <w:rsid w:val="00BB140F"/>
    <w:rsid w:val="00BC0A36"/>
    <w:rsid w:val="00BC12DC"/>
    <w:rsid w:val="00BE16A0"/>
    <w:rsid w:val="00BE19A3"/>
    <w:rsid w:val="00BE3032"/>
    <w:rsid w:val="00BE411A"/>
    <w:rsid w:val="00BE7436"/>
    <w:rsid w:val="00BF7A76"/>
    <w:rsid w:val="00C040CD"/>
    <w:rsid w:val="00C06B89"/>
    <w:rsid w:val="00C17F4D"/>
    <w:rsid w:val="00C2141C"/>
    <w:rsid w:val="00C27E09"/>
    <w:rsid w:val="00C32E79"/>
    <w:rsid w:val="00C4250B"/>
    <w:rsid w:val="00C45504"/>
    <w:rsid w:val="00C46B02"/>
    <w:rsid w:val="00C577FF"/>
    <w:rsid w:val="00C62CAE"/>
    <w:rsid w:val="00C653BC"/>
    <w:rsid w:val="00C66150"/>
    <w:rsid w:val="00C710AF"/>
    <w:rsid w:val="00C81460"/>
    <w:rsid w:val="00CB1D38"/>
    <w:rsid w:val="00CB78B4"/>
    <w:rsid w:val="00CD2B1D"/>
    <w:rsid w:val="00CD712E"/>
    <w:rsid w:val="00CE13D3"/>
    <w:rsid w:val="00D1185B"/>
    <w:rsid w:val="00D20146"/>
    <w:rsid w:val="00D21674"/>
    <w:rsid w:val="00D23242"/>
    <w:rsid w:val="00D25CFE"/>
    <w:rsid w:val="00D3093E"/>
    <w:rsid w:val="00D42AC9"/>
    <w:rsid w:val="00D42DAD"/>
    <w:rsid w:val="00D45DFB"/>
    <w:rsid w:val="00D51D9F"/>
    <w:rsid w:val="00D74A26"/>
    <w:rsid w:val="00D77BBB"/>
    <w:rsid w:val="00D957DD"/>
    <w:rsid w:val="00D969E5"/>
    <w:rsid w:val="00DA0CEA"/>
    <w:rsid w:val="00DA0E74"/>
    <w:rsid w:val="00DB4A06"/>
    <w:rsid w:val="00DC351D"/>
    <w:rsid w:val="00DD4B64"/>
    <w:rsid w:val="00DD66EF"/>
    <w:rsid w:val="00DE2EB5"/>
    <w:rsid w:val="00DE7F65"/>
    <w:rsid w:val="00DF4C22"/>
    <w:rsid w:val="00DF622B"/>
    <w:rsid w:val="00E00165"/>
    <w:rsid w:val="00E07BE5"/>
    <w:rsid w:val="00E3561C"/>
    <w:rsid w:val="00E366CA"/>
    <w:rsid w:val="00E45BB8"/>
    <w:rsid w:val="00E6081F"/>
    <w:rsid w:val="00E61456"/>
    <w:rsid w:val="00E672B7"/>
    <w:rsid w:val="00E90757"/>
    <w:rsid w:val="00EA086B"/>
    <w:rsid w:val="00EA2347"/>
    <w:rsid w:val="00EA6972"/>
    <w:rsid w:val="00EB3BE8"/>
    <w:rsid w:val="00EB3C3C"/>
    <w:rsid w:val="00EC3C97"/>
    <w:rsid w:val="00EC47F5"/>
    <w:rsid w:val="00EC4C89"/>
    <w:rsid w:val="00ED43D9"/>
    <w:rsid w:val="00ED7969"/>
    <w:rsid w:val="00EE5EF4"/>
    <w:rsid w:val="00EE5EF6"/>
    <w:rsid w:val="00EE5F81"/>
    <w:rsid w:val="00EF09D5"/>
    <w:rsid w:val="00F02C80"/>
    <w:rsid w:val="00F0322B"/>
    <w:rsid w:val="00F14323"/>
    <w:rsid w:val="00F15009"/>
    <w:rsid w:val="00F4327A"/>
    <w:rsid w:val="00F46AA2"/>
    <w:rsid w:val="00F50513"/>
    <w:rsid w:val="00F5622F"/>
    <w:rsid w:val="00F5751A"/>
    <w:rsid w:val="00F64119"/>
    <w:rsid w:val="00F9228B"/>
    <w:rsid w:val="00FA041D"/>
    <w:rsid w:val="00FA0C11"/>
    <w:rsid w:val="00FA137B"/>
    <w:rsid w:val="00FA19EA"/>
    <w:rsid w:val="00FA27FB"/>
    <w:rsid w:val="00FB55D8"/>
    <w:rsid w:val="00FC3477"/>
    <w:rsid w:val="00FC3642"/>
    <w:rsid w:val="00FC5A10"/>
    <w:rsid w:val="00FD1BEA"/>
    <w:rsid w:val="00FD1D9A"/>
    <w:rsid w:val="00FD401E"/>
    <w:rsid w:val="00FE50A8"/>
    <w:rsid w:val="011A6BB5"/>
    <w:rsid w:val="01350AAF"/>
    <w:rsid w:val="014100F8"/>
    <w:rsid w:val="01A5451E"/>
    <w:rsid w:val="020A5130"/>
    <w:rsid w:val="03542152"/>
    <w:rsid w:val="03703E26"/>
    <w:rsid w:val="03810A06"/>
    <w:rsid w:val="038E0F36"/>
    <w:rsid w:val="03B9004B"/>
    <w:rsid w:val="0464100D"/>
    <w:rsid w:val="046F7166"/>
    <w:rsid w:val="04DC4D5A"/>
    <w:rsid w:val="04EA33A2"/>
    <w:rsid w:val="053F05B3"/>
    <w:rsid w:val="0559377C"/>
    <w:rsid w:val="05C47731"/>
    <w:rsid w:val="0622031C"/>
    <w:rsid w:val="063F034B"/>
    <w:rsid w:val="066B0281"/>
    <w:rsid w:val="08B62E4E"/>
    <w:rsid w:val="0A1D3070"/>
    <w:rsid w:val="0A7D5943"/>
    <w:rsid w:val="0AD21575"/>
    <w:rsid w:val="0AFD0EBC"/>
    <w:rsid w:val="0B7A4778"/>
    <w:rsid w:val="0BF57DE5"/>
    <w:rsid w:val="0C1B5AE1"/>
    <w:rsid w:val="0C604566"/>
    <w:rsid w:val="0CCA5803"/>
    <w:rsid w:val="0CF002E5"/>
    <w:rsid w:val="0D020A0B"/>
    <w:rsid w:val="0D310A94"/>
    <w:rsid w:val="0DB30ED6"/>
    <w:rsid w:val="0DBD3F4F"/>
    <w:rsid w:val="0DC074B7"/>
    <w:rsid w:val="0E292143"/>
    <w:rsid w:val="0E69473A"/>
    <w:rsid w:val="0F746E70"/>
    <w:rsid w:val="10DE353E"/>
    <w:rsid w:val="10FB39E2"/>
    <w:rsid w:val="1107537A"/>
    <w:rsid w:val="11091D5E"/>
    <w:rsid w:val="11406D4B"/>
    <w:rsid w:val="11FE6BDA"/>
    <w:rsid w:val="131425DA"/>
    <w:rsid w:val="135E5964"/>
    <w:rsid w:val="13762A59"/>
    <w:rsid w:val="141B0267"/>
    <w:rsid w:val="14317AC0"/>
    <w:rsid w:val="1448734F"/>
    <w:rsid w:val="14527D08"/>
    <w:rsid w:val="147B376B"/>
    <w:rsid w:val="14F72728"/>
    <w:rsid w:val="15720839"/>
    <w:rsid w:val="161E160F"/>
    <w:rsid w:val="16FA72BE"/>
    <w:rsid w:val="17206C8B"/>
    <w:rsid w:val="1A2355D9"/>
    <w:rsid w:val="1A664784"/>
    <w:rsid w:val="1A7244C4"/>
    <w:rsid w:val="1B5D2184"/>
    <w:rsid w:val="1BF10554"/>
    <w:rsid w:val="1C444B9D"/>
    <w:rsid w:val="1C4771B5"/>
    <w:rsid w:val="1C963233"/>
    <w:rsid w:val="1D4439A4"/>
    <w:rsid w:val="1DAE7E03"/>
    <w:rsid w:val="1DB450CB"/>
    <w:rsid w:val="1DDE371C"/>
    <w:rsid w:val="1E28404A"/>
    <w:rsid w:val="1E443C37"/>
    <w:rsid w:val="1E5A53BC"/>
    <w:rsid w:val="1E8B0AA0"/>
    <w:rsid w:val="1F146DDF"/>
    <w:rsid w:val="1F155BBF"/>
    <w:rsid w:val="1F6B68E4"/>
    <w:rsid w:val="1F9402AB"/>
    <w:rsid w:val="21815252"/>
    <w:rsid w:val="22256030"/>
    <w:rsid w:val="224621FE"/>
    <w:rsid w:val="22B324B8"/>
    <w:rsid w:val="238A3A58"/>
    <w:rsid w:val="23F538B6"/>
    <w:rsid w:val="2477097A"/>
    <w:rsid w:val="24F342A3"/>
    <w:rsid w:val="25564E52"/>
    <w:rsid w:val="26873FB8"/>
    <w:rsid w:val="26FA2E74"/>
    <w:rsid w:val="274F34B4"/>
    <w:rsid w:val="276C5D90"/>
    <w:rsid w:val="27817B0C"/>
    <w:rsid w:val="27CD7789"/>
    <w:rsid w:val="28061C2F"/>
    <w:rsid w:val="282D3565"/>
    <w:rsid w:val="29402C17"/>
    <w:rsid w:val="2A1D2B9F"/>
    <w:rsid w:val="2A4D488F"/>
    <w:rsid w:val="2A886EB3"/>
    <w:rsid w:val="2A96246B"/>
    <w:rsid w:val="2ABC2A67"/>
    <w:rsid w:val="2AE579E5"/>
    <w:rsid w:val="2B7D484B"/>
    <w:rsid w:val="2BD41E6D"/>
    <w:rsid w:val="2C9B2826"/>
    <w:rsid w:val="2EAD2B99"/>
    <w:rsid w:val="2F176141"/>
    <w:rsid w:val="2F5F7A45"/>
    <w:rsid w:val="2F632685"/>
    <w:rsid w:val="2F813BC0"/>
    <w:rsid w:val="30B70FD4"/>
    <w:rsid w:val="30D02995"/>
    <w:rsid w:val="31D4559D"/>
    <w:rsid w:val="31D823DB"/>
    <w:rsid w:val="32402E2C"/>
    <w:rsid w:val="327D4AF6"/>
    <w:rsid w:val="328329C6"/>
    <w:rsid w:val="333077D1"/>
    <w:rsid w:val="335578EE"/>
    <w:rsid w:val="33E33918"/>
    <w:rsid w:val="33FA4F9F"/>
    <w:rsid w:val="34580FEE"/>
    <w:rsid w:val="349768DE"/>
    <w:rsid w:val="34977390"/>
    <w:rsid w:val="349E08A1"/>
    <w:rsid w:val="34A30B85"/>
    <w:rsid w:val="34B70541"/>
    <w:rsid w:val="34C64386"/>
    <w:rsid w:val="354F3202"/>
    <w:rsid w:val="35E47114"/>
    <w:rsid w:val="368A5F33"/>
    <w:rsid w:val="36B747D3"/>
    <w:rsid w:val="36B81BDC"/>
    <w:rsid w:val="3705781B"/>
    <w:rsid w:val="370D705C"/>
    <w:rsid w:val="371B6376"/>
    <w:rsid w:val="37EC141A"/>
    <w:rsid w:val="392A38CA"/>
    <w:rsid w:val="39570FD9"/>
    <w:rsid w:val="3A0B6EAF"/>
    <w:rsid w:val="3A1333FF"/>
    <w:rsid w:val="3B0F63E6"/>
    <w:rsid w:val="3BA7473A"/>
    <w:rsid w:val="3C301CCE"/>
    <w:rsid w:val="3D37646F"/>
    <w:rsid w:val="3DAA0180"/>
    <w:rsid w:val="3DF25763"/>
    <w:rsid w:val="3ED740B2"/>
    <w:rsid w:val="413E093E"/>
    <w:rsid w:val="417649BA"/>
    <w:rsid w:val="421E6B44"/>
    <w:rsid w:val="42937435"/>
    <w:rsid w:val="42CF0A56"/>
    <w:rsid w:val="42DA5049"/>
    <w:rsid w:val="432B4304"/>
    <w:rsid w:val="4376007D"/>
    <w:rsid w:val="44A67CAF"/>
    <w:rsid w:val="457E1761"/>
    <w:rsid w:val="4615592A"/>
    <w:rsid w:val="465016AA"/>
    <w:rsid w:val="468A747C"/>
    <w:rsid w:val="47295A9D"/>
    <w:rsid w:val="47576A2A"/>
    <w:rsid w:val="47907A51"/>
    <w:rsid w:val="490247F1"/>
    <w:rsid w:val="49593740"/>
    <w:rsid w:val="49BB7866"/>
    <w:rsid w:val="4A5D1EBA"/>
    <w:rsid w:val="4A715312"/>
    <w:rsid w:val="4AA50A96"/>
    <w:rsid w:val="4AB82EC3"/>
    <w:rsid w:val="4AE67714"/>
    <w:rsid w:val="4B955FCD"/>
    <w:rsid w:val="4BA51FC3"/>
    <w:rsid w:val="4BCA04A3"/>
    <w:rsid w:val="4BD37185"/>
    <w:rsid w:val="4CC35C98"/>
    <w:rsid w:val="4D05044A"/>
    <w:rsid w:val="4D9B4A21"/>
    <w:rsid w:val="4E1D4642"/>
    <w:rsid w:val="503408F4"/>
    <w:rsid w:val="50E13BC7"/>
    <w:rsid w:val="510E043B"/>
    <w:rsid w:val="51501562"/>
    <w:rsid w:val="518B4306"/>
    <w:rsid w:val="52075A26"/>
    <w:rsid w:val="52631E5F"/>
    <w:rsid w:val="52723433"/>
    <w:rsid w:val="52B66DD4"/>
    <w:rsid w:val="52EF23FD"/>
    <w:rsid w:val="53381B9E"/>
    <w:rsid w:val="53996167"/>
    <w:rsid w:val="539B0BFB"/>
    <w:rsid w:val="54864AF7"/>
    <w:rsid w:val="54E41469"/>
    <w:rsid w:val="57DE13D7"/>
    <w:rsid w:val="57ED11CE"/>
    <w:rsid w:val="58116DC3"/>
    <w:rsid w:val="58443253"/>
    <w:rsid w:val="588B0C55"/>
    <w:rsid w:val="58E11269"/>
    <w:rsid w:val="5981441F"/>
    <w:rsid w:val="59B161A0"/>
    <w:rsid w:val="59CA21A8"/>
    <w:rsid w:val="5A0949CB"/>
    <w:rsid w:val="5A551F7F"/>
    <w:rsid w:val="5A8455BE"/>
    <w:rsid w:val="5A9C0026"/>
    <w:rsid w:val="5ACB55D5"/>
    <w:rsid w:val="5AD46E31"/>
    <w:rsid w:val="5B10355C"/>
    <w:rsid w:val="5C620BC7"/>
    <w:rsid w:val="5CD545D1"/>
    <w:rsid w:val="5D3B22AA"/>
    <w:rsid w:val="5D487342"/>
    <w:rsid w:val="5D737D96"/>
    <w:rsid w:val="5DF36A16"/>
    <w:rsid w:val="5E964D9A"/>
    <w:rsid w:val="5F1546F6"/>
    <w:rsid w:val="5F457FA8"/>
    <w:rsid w:val="5F4D6E91"/>
    <w:rsid w:val="60460033"/>
    <w:rsid w:val="60466695"/>
    <w:rsid w:val="608A1101"/>
    <w:rsid w:val="612F6C79"/>
    <w:rsid w:val="63447308"/>
    <w:rsid w:val="638B61DA"/>
    <w:rsid w:val="63AF3B44"/>
    <w:rsid w:val="64310987"/>
    <w:rsid w:val="65934123"/>
    <w:rsid w:val="65AD7FFB"/>
    <w:rsid w:val="65CD4600"/>
    <w:rsid w:val="66081F78"/>
    <w:rsid w:val="66B77531"/>
    <w:rsid w:val="66B80272"/>
    <w:rsid w:val="670A1F75"/>
    <w:rsid w:val="677725CF"/>
    <w:rsid w:val="679F1887"/>
    <w:rsid w:val="68093B71"/>
    <w:rsid w:val="690A4818"/>
    <w:rsid w:val="698B040F"/>
    <w:rsid w:val="69FF522C"/>
    <w:rsid w:val="6ADE0C60"/>
    <w:rsid w:val="6B0E45E6"/>
    <w:rsid w:val="6B4D469F"/>
    <w:rsid w:val="6B724FD5"/>
    <w:rsid w:val="6BE921EC"/>
    <w:rsid w:val="6CB71FE9"/>
    <w:rsid w:val="6D3D6F52"/>
    <w:rsid w:val="6E155A62"/>
    <w:rsid w:val="6E255E98"/>
    <w:rsid w:val="6E825B7B"/>
    <w:rsid w:val="6FD20913"/>
    <w:rsid w:val="6FE253D4"/>
    <w:rsid w:val="6FF670D1"/>
    <w:rsid w:val="706D05BD"/>
    <w:rsid w:val="70BA2208"/>
    <w:rsid w:val="70F15923"/>
    <w:rsid w:val="714C07F7"/>
    <w:rsid w:val="71647E82"/>
    <w:rsid w:val="71E80C9B"/>
    <w:rsid w:val="725D4A3C"/>
    <w:rsid w:val="72D33D5D"/>
    <w:rsid w:val="73107E56"/>
    <w:rsid w:val="7333148D"/>
    <w:rsid w:val="73D93112"/>
    <w:rsid w:val="741737D7"/>
    <w:rsid w:val="74317A75"/>
    <w:rsid w:val="74C91473"/>
    <w:rsid w:val="77332A3A"/>
    <w:rsid w:val="77A96379"/>
    <w:rsid w:val="77CB2BF1"/>
    <w:rsid w:val="77F91097"/>
    <w:rsid w:val="788A2E93"/>
    <w:rsid w:val="794425F8"/>
    <w:rsid w:val="7A2D677D"/>
    <w:rsid w:val="7ABA14EB"/>
    <w:rsid w:val="7B302989"/>
    <w:rsid w:val="7B3F12D1"/>
    <w:rsid w:val="7B6B721D"/>
    <w:rsid w:val="7C543872"/>
    <w:rsid w:val="7C654EDF"/>
    <w:rsid w:val="7CE33729"/>
    <w:rsid w:val="7D2F208E"/>
    <w:rsid w:val="7D630A9B"/>
    <w:rsid w:val="7DD759B4"/>
    <w:rsid w:val="7F1E7AAB"/>
    <w:rsid w:val="7F4B58BD"/>
    <w:rsid w:val="7FC34C01"/>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jc w:val="both"/>
    </w:pPr>
    <w:rPr>
      <w:rFonts w:ascii="Times New Roman" w:hAnsi="Times New Roman" w:eastAsia="宋体" w:cstheme="minorBidi"/>
      <w:kern w:val="2"/>
      <w:sz w:val="24"/>
      <w:szCs w:val="22"/>
      <w:lang w:val="en-US" w:eastAsia="zh-CN" w:bidi="ar-SA"/>
    </w:rPr>
  </w:style>
  <w:style w:type="paragraph" w:styleId="4">
    <w:name w:val="heading 1"/>
    <w:basedOn w:val="1"/>
    <w:next w:val="1"/>
    <w:link w:val="36"/>
    <w:qFormat/>
    <w:uiPriority w:val="0"/>
    <w:pPr>
      <w:keepNext/>
      <w:keepLines/>
      <w:spacing w:before="340" w:after="330" w:line="578" w:lineRule="auto"/>
      <w:jc w:val="center"/>
      <w:outlineLvl w:val="0"/>
    </w:pPr>
    <w:rPr>
      <w:b/>
      <w:bCs/>
      <w:kern w:val="44"/>
      <w:sz w:val="44"/>
      <w:szCs w:val="44"/>
    </w:rPr>
  </w:style>
  <w:style w:type="paragraph" w:styleId="5">
    <w:name w:val="heading 2"/>
    <w:basedOn w:val="1"/>
    <w:next w:val="6"/>
    <w:link w:val="37"/>
    <w:unhideWhenUsed/>
    <w:qFormat/>
    <w:uiPriority w:val="0"/>
    <w:pPr>
      <w:keepNext/>
      <w:keepLines/>
      <w:spacing w:before="260" w:after="260" w:line="416" w:lineRule="auto"/>
      <w:ind w:firstLine="643"/>
      <w:outlineLvl w:val="1"/>
    </w:pPr>
    <w:rPr>
      <w:rFonts w:cstheme="majorBidi"/>
      <w:b/>
      <w:bCs/>
      <w:sz w:val="32"/>
      <w:szCs w:val="32"/>
    </w:rPr>
  </w:style>
  <w:style w:type="paragraph" w:styleId="7">
    <w:name w:val="heading 3"/>
    <w:basedOn w:val="1"/>
    <w:next w:val="6"/>
    <w:link w:val="38"/>
    <w:unhideWhenUsed/>
    <w:qFormat/>
    <w:uiPriority w:val="0"/>
    <w:pPr>
      <w:numPr>
        <w:ilvl w:val="2"/>
        <w:numId w:val="1"/>
      </w:numPr>
      <w:ind w:hanging="300" w:hangingChars="300"/>
      <w:outlineLvl w:val="2"/>
    </w:pPr>
    <w:rPr>
      <w:rFonts w:ascii="宋体" w:hAnsi="宋体"/>
      <w:bCs/>
      <w:szCs w:val="24"/>
    </w:rPr>
  </w:style>
  <w:style w:type="paragraph" w:styleId="8">
    <w:name w:val="heading 4"/>
    <w:basedOn w:val="1"/>
    <w:next w:val="1"/>
    <w:link w:val="39"/>
    <w:unhideWhenUsed/>
    <w:qFormat/>
    <w:uiPriority w:val="0"/>
    <w:pPr>
      <w:numPr>
        <w:ilvl w:val="3"/>
        <w:numId w:val="1"/>
      </w:numPr>
      <w:ind w:left="960" w:hanging="960" w:hangingChars="400"/>
      <w:outlineLvl w:val="3"/>
    </w:pPr>
    <w:rPr>
      <w:rFonts w:ascii="宋体" w:hAnsi="宋体" w:cstheme="majorBidi"/>
      <w:bCs/>
      <w:szCs w:val="24"/>
    </w:rPr>
  </w:style>
  <w:style w:type="paragraph" w:styleId="9">
    <w:name w:val="heading 5"/>
    <w:basedOn w:val="1"/>
    <w:next w:val="1"/>
    <w:link w:val="40"/>
    <w:unhideWhenUsed/>
    <w:qFormat/>
    <w:uiPriority w:val="9"/>
    <w:pPr>
      <w:numPr>
        <w:ilvl w:val="4"/>
        <w:numId w:val="1"/>
      </w:numPr>
      <w:ind w:left="960" w:leftChars="250" w:hanging="360" w:hangingChars="150"/>
      <w:outlineLvl w:val="4"/>
    </w:pPr>
    <w:rPr>
      <w:rFonts w:ascii="宋体" w:hAnsi="宋体"/>
      <w:szCs w:val="24"/>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adjustRightInd w:val="0"/>
      <w:snapToGrid w:val="0"/>
      <w:spacing w:after="120" w:line="360" w:lineRule="auto"/>
      <w:ind w:left="420" w:leftChars="200" w:firstLine="420" w:firstLineChars="200"/>
      <w:jc w:val="both"/>
    </w:pPr>
    <w:rPr>
      <w:rFonts w:ascii="Calibri" w:hAnsi="Calibri" w:eastAsia="宋体" w:cstheme="minorBidi"/>
      <w:kern w:val="2"/>
      <w:sz w:val="24"/>
      <w:szCs w:val="22"/>
      <w:lang w:val="en-US" w:eastAsia="zh-CN" w:bidi="ar-SA"/>
    </w:rPr>
  </w:style>
  <w:style w:type="paragraph" w:styleId="3">
    <w:name w:val="Body Text Indent"/>
    <w:basedOn w:val="1"/>
    <w:link w:val="69"/>
    <w:unhideWhenUsed/>
    <w:qFormat/>
    <w:uiPriority w:val="0"/>
    <w:pPr>
      <w:spacing w:after="120"/>
      <w:ind w:left="420" w:leftChars="200"/>
    </w:pPr>
  </w:style>
  <w:style w:type="paragraph" w:styleId="6">
    <w:name w:val="Normal Indent"/>
    <w:basedOn w:val="1"/>
    <w:link w:val="73"/>
    <w:qFormat/>
    <w:uiPriority w:val="0"/>
    <w:pPr>
      <w:ind w:firstLine="200" w:firstLineChars="200"/>
    </w:pPr>
    <w:rPr>
      <w:szCs w:val="24"/>
    </w:rPr>
  </w:style>
  <w:style w:type="paragraph" w:styleId="10">
    <w:name w:val="List Bullet"/>
    <w:basedOn w:val="1"/>
    <w:qFormat/>
    <w:uiPriority w:val="0"/>
    <w:pPr>
      <w:numPr>
        <w:ilvl w:val="0"/>
        <w:numId w:val="1"/>
      </w:numPr>
      <w:tabs>
        <w:tab w:val="left" w:pos="360"/>
      </w:tabs>
      <w:adjustRightInd/>
      <w:snapToGrid/>
      <w:spacing w:line="240" w:lineRule="auto"/>
    </w:pPr>
    <w:rPr>
      <w:rFonts w:cs="Times New Roman"/>
      <w:sz w:val="21"/>
      <w:szCs w:val="24"/>
    </w:rPr>
  </w:style>
  <w:style w:type="paragraph" w:styleId="11">
    <w:name w:val="Document Map"/>
    <w:basedOn w:val="1"/>
    <w:link w:val="81"/>
    <w:semiHidden/>
    <w:qFormat/>
    <w:uiPriority w:val="0"/>
    <w:pPr>
      <w:shd w:val="clear" w:color="auto" w:fill="000080"/>
      <w:adjustRightInd/>
      <w:snapToGrid/>
      <w:spacing w:line="240" w:lineRule="auto"/>
    </w:pPr>
    <w:rPr>
      <w:rFonts w:cs="Times New Roman"/>
      <w:sz w:val="21"/>
      <w:szCs w:val="20"/>
    </w:rPr>
  </w:style>
  <w:style w:type="paragraph" w:styleId="12">
    <w:name w:val="annotation text"/>
    <w:basedOn w:val="1"/>
    <w:link w:val="66"/>
    <w:semiHidden/>
    <w:unhideWhenUsed/>
    <w:qFormat/>
    <w:uiPriority w:val="99"/>
    <w:pPr>
      <w:jc w:val="left"/>
    </w:pPr>
  </w:style>
  <w:style w:type="paragraph" w:styleId="13">
    <w:name w:val="Body Text"/>
    <w:basedOn w:val="1"/>
    <w:qFormat/>
    <w:uiPriority w:val="0"/>
    <w:pPr>
      <w:spacing w:after="120" w:line="240" w:lineRule="atLeast"/>
      <w:jc w:val="center"/>
      <w:textAlignment w:val="baseline"/>
    </w:pPr>
    <w:rPr>
      <w:rFonts w:ascii="Arial" w:hAnsi="Arial"/>
      <w:b/>
      <w:kern w:val="0"/>
      <w:sz w:val="48"/>
    </w:rPr>
  </w:style>
  <w:style w:type="paragraph" w:styleId="14">
    <w:name w:val="toc 3"/>
    <w:basedOn w:val="1"/>
    <w:next w:val="1"/>
    <w:qFormat/>
    <w:uiPriority w:val="39"/>
    <w:pPr>
      <w:adjustRightInd/>
      <w:snapToGrid/>
      <w:spacing w:line="240" w:lineRule="auto"/>
      <w:ind w:left="840" w:leftChars="400"/>
    </w:pPr>
    <w:rPr>
      <w:rFonts w:cs="Times New Roman"/>
      <w:sz w:val="21"/>
      <w:szCs w:val="20"/>
    </w:rPr>
  </w:style>
  <w:style w:type="paragraph" w:styleId="15">
    <w:name w:val="Plain Text"/>
    <w:basedOn w:val="1"/>
    <w:link w:val="78"/>
    <w:unhideWhenUsed/>
    <w:qFormat/>
    <w:uiPriority w:val="0"/>
    <w:rPr>
      <w:rFonts w:ascii="宋体" w:hAnsi="Courier New"/>
    </w:rPr>
  </w:style>
  <w:style w:type="paragraph" w:styleId="16">
    <w:name w:val="Date"/>
    <w:basedOn w:val="1"/>
    <w:next w:val="1"/>
    <w:link w:val="70"/>
    <w:qFormat/>
    <w:uiPriority w:val="0"/>
    <w:pPr>
      <w:spacing w:line="312" w:lineRule="atLeast"/>
    </w:pPr>
    <w:rPr>
      <w:kern w:val="0"/>
      <w:sz w:val="28"/>
    </w:rPr>
  </w:style>
  <w:style w:type="paragraph" w:styleId="17">
    <w:name w:val="Body Text Indent 2"/>
    <w:basedOn w:val="1"/>
    <w:link w:val="72"/>
    <w:semiHidden/>
    <w:unhideWhenUsed/>
    <w:qFormat/>
    <w:uiPriority w:val="99"/>
    <w:pPr>
      <w:spacing w:after="120" w:line="480" w:lineRule="auto"/>
      <w:ind w:left="420" w:leftChars="200"/>
    </w:pPr>
  </w:style>
  <w:style w:type="paragraph" w:styleId="18">
    <w:name w:val="Balloon Text"/>
    <w:basedOn w:val="1"/>
    <w:link w:val="76"/>
    <w:unhideWhenUsed/>
    <w:qFormat/>
    <w:uiPriority w:val="99"/>
    <w:pPr>
      <w:spacing w:line="240" w:lineRule="auto"/>
    </w:pPr>
    <w:rPr>
      <w:sz w:val="18"/>
      <w:szCs w:val="18"/>
    </w:rPr>
  </w:style>
  <w:style w:type="paragraph" w:styleId="19">
    <w:name w:val="footer"/>
    <w:basedOn w:val="1"/>
    <w:link w:val="54"/>
    <w:unhideWhenUsed/>
    <w:qFormat/>
    <w:uiPriority w:val="99"/>
    <w:pPr>
      <w:widowControl/>
      <w:tabs>
        <w:tab w:val="center" w:pos="4680"/>
        <w:tab w:val="right" w:pos="9360"/>
      </w:tabs>
      <w:spacing w:line="240" w:lineRule="auto"/>
      <w:jc w:val="left"/>
    </w:pPr>
    <w:rPr>
      <w:rFonts w:cs="Times New Roman" w:asciiTheme="minorHAnsi" w:hAnsiTheme="minorHAnsi" w:eastAsiaTheme="minorEastAsia"/>
      <w:kern w:val="0"/>
      <w:sz w:val="22"/>
    </w:rPr>
  </w:style>
  <w:style w:type="paragraph" w:styleId="20">
    <w:name w:val="header"/>
    <w:basedOn w:val="1"/>
    <w:link w:val="41"/>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21">
    <w:name w:val="toc 1"/>
    <w:basedOn w:val="1"/>
    <w:next w:val="1"/>
    <w:unhideWhenUsed/>
    <w:qFormat/>
    <w:uiPriority w:val="39"/>
  </w:style>
  <w:style w:type="paragraph" w:styleId="22">
    <w:name w:val="Subtitle"/>
    <w:basedOn w:val="1"/>
    <w:next w:val="1"/>
    <w:link w:val="86"/>
    <w:qFormat/>
    <w:uiPriority w:val="0"/>
    <w:pPr>
      <w:adjustRightInd/>
      <w:snapToGrid/>
      <w:spacing w:before="240" w:after="60" w:line="312" w:lineRule="auto"/>
      <w:jc w:val="center"/>
      <w:outlineLvl w:val="1"/>
    </w:pPr>
    <w:rPr>
      <w:rFonts w:ascii="Cambria" w:hAnsi="Cambria" w:cs="Times New Roman"/>
      <w:b/>
      <w:bCs/>
      <w:kern w:val="28"/>
      <w:sz w:val="32"/>
      <w:szCs w:val="32"/>
    </w:rPr>
  </w:style>
  <w:style w:type="paragraph" w:styleId="23">
    <w:name w:val="toc 2"/>
    <w:basedOn w:val="1"/>
    <w:next w:val="1"/>
    <w:unhideWhenUsed/>
    <w:qFormat/>
    <w:uiPriority w:val="39"/>
    <w:pPr>
      <w:ind w:left="420" w:leftChars="200"/>
    </w:pPr>
  </w:style>
  <w:style w:type="paragraph" w:styleId="24">
    <w:name w:val="Normal (Web)"/>
    <w:basedOn w:val="1"/>
    <w:unhideWhenUsed/>
    <w:qFormat/>
    <w:uiPriority w:val="0"/>
    <w:pPr>
      <w:widowControl/>
      <w:adjustRightInd/>
      <w:snapToGrid/>
      <w:spacing w:before="100" w:beforeAutospacing="1" w:after="100" w:afterAutospacing="1" w:line="240" w:lineRule="auto"/>
      <w:jc w:val="left"/>
    </w:pPr>
    <w:rPr>
      <w:rFonts w:ascii="宋体" w:hAnsi="宋体" w:cs="宋体"/>
      <w:kern w:val="0"/>
      <w:szCs w:val="24"/>
    </w:rPr>
  </w:style>
  <w:style w:type="paragraph" w:styleId="25">
    <w:name w:val="Title"/>
    <w:basedOn w:val="1"/>
    <w:next w:val="1"/>
    <w:link w:val="87"/>
    <w:qFormat/>
    <w:uiPriority w:val="0"/>
    <w:pPr>
      <w:adjustRightInd/>
      <w:snapToGrid/>
      <w:spacing w:before="240" w:after="60" w:line="240" w:lineRule="auto"/>
      <w:jc w:val="center"/>
      <w:outlineLvl w:val="0"/>
    </w:pPr>
    <w:rPr>
      <w:rFonts w:ascii="Arial" w:hAnsi="Arial" w:cs="Arial"/>
      <w:b/>
      <w:bCs/>
      <w:sz w:val="32"/>
      <w:szCs w:val="32"/>
    </w:rPr>
  </w:style>
  <w:style w:type="paragraph" w:styleId="26">
    <w:name w:val="annotation subject"/>
    <w:basedOn w:val="12"/>
    <w:next w:val="12"/>
    <w:link w:val="67"/>
    <w:unhideWhenUsed/>
    <w:qFormat/>
    <w:uiPriority w:val="99"/>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
    <w:name w:val="Table Theme"/>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bCs/>
    </w:rPr>
  </w:style>
  <w:style w:type="character" w:styleId="32">
    <w:name w:val="page number"/>
    <w:qFormat/>
    <w:uiPriority w:val="0"/>
  </w:style>
  <w:style w:type="character" w:styleId="33">
    <w:name w:val="Emphasis"/>
    <w:qFormat/>
    <w:uiPriority w:val="0"/>
    <w:rPr>
      <w:i/>
      <w:iCs/>
    </w:rPr>
  </w:style>
  <w:style w:type="character" w:styleId="34">
    <w:name w:val="Hyperlink"/>
    <w:basedOn w:val="30"/>
    <w:unhideWhenUsed/>
    <w:qFormat/>
    <w:uiPriority w:val="99"/>
    <w:rPr>
      <w:color w:val="0000FF"/>
      <w:u w:val="single"/>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4"/>
    <w:qFormat/>
    <w:uiPriority w:val="9"/>
    <w:rPr>
      <w:rFonts w:ascii="Times New Roman" w:hAnsi="Times New Roman" w:eastAsia="宋体"/>
      <w:b/>
      <w:bCs/>
      <w:kern w:val="44"/>
      <w:sz w:val="44"/>
      <w:szCs w:val="44"/>
    </w:rPr>
  </w:style>
  <w:style w:type="character" w:customStyle="1" w:styleId="37">
    <w:name w:val="标题 2 字符"/>
    <w:basedOn w:val="30"/>
    <w:link w:val="5"/>
    <w:qFormat/>
    <w:uiPriority w:val="9"/>
    <w:rPr>
      <w:rFonts w:ascii="Times New Roman" w:hAnsi="Times New Roman" w:eastAsia="宋体" w:cstheme="majorBidi"/>
      <w:b/>
      <w:bCs/>
      <w:sz w:val="32"/>
      <w:szCs w:val="32"/>
    </w:rPr>
  </w:style>
  <w:style w:type="character" w:customStyle="1" w:styleId="38">
    <w:name w:val="标题 3 字符1"/>
    <w:basedOn w:val="30"/>
    <w:link w:val="7"/>
    <w:qFormat/>
    <w:uiPriority w:val="0"/>
    <w:rPr>
      <w:rFonts w:ascii="宋体" w:hAnsi="宋体" w:cstheme="minorBidi"/>
      <w:bCs/>
      <w:kern w:val="2"/>
      <w:sz w:val="24"/>
      <w:szCs w:val="24"/>
    </w:rPr>
  </w:style>
  <w:style w:type="character" w:customStyle="1" w:styleId="39">
    <w:name w:val="标题 4 字符"/>
    <w:basedOn w:val="30"/>
    <w:link w:val="8"/>
    <w:qFormat/>
    <w:uiPriority w:val="0"/>
    <w:rPr>
      <w:rFonts w:ascii="宋体" w:hAnsi="宋体" w:cstheme="majorBidi"/>
      <w:bCs/>
      <w:kern w:val="2"/>
      <w:sz w:val="24"/>
      <w:szCs w:val="24"/>
    </w:rPr>
  </w:style>
  <w:style w:type="character" w:customStyle="1" w:styleId="40">
    <w:name w:val="标题 5 字符"/>
    <w:basedOn w:val="30"/>
    <w:link w:val="9"/>
    <w:qFormat/>
    <w:uiPriority w:val="9"/>
    <w:rPr>
      <w:rFonts w:ascii="宋体" w:hAnsi="宋体" w:cstheme="minorBidi"/>
      <w:kern w:val="2"/>
      <w:sz w:val="24"/>
      <w:szCs w:val="24"/>
    </w:rPr>
  </w:style>
  <w:style w:type="character" w:customStyle="1" w:styleId="41">
    <w:name w:val="页眉 字符1"/>
    <w:basedOn w:val="30"/>
    <w:link w:val="20"/>
    <w:qFormat/>
    <w:uiPriority w:val="99"/>
    <w:rPr>
      <w:rFonts w:eastAsia="宋体"/>
      <w:sz w:val="18"/>
      <w:szCs w:val="18"/>
    </w:rPr>
  </w:style>
  <w:style w:type="paragraph" w:customStyle="1" w:styleId="42">
    <w:name w:val="合同样式1"/>
    <w:basedOn w:val="1"/>
    <w:link w:val="43"/>
    <w:qFormat/>
    <w:uiPriority w:val="0"/>
    <w:pPr>
      <w:numPr>
        <w:ilvl w:val="0"/>
        <w:numId w:val="2"/>
      </w:numPr>
      <w:spacing w:beforeLines="50"/>
      <w:ind w:hanging="200" w:hangingChars="200"/>
      <w:outlineLvl w:val="1"/>
    </w:pPr>
    <w:rPr>
      <w:rFonts w:ascii="宋体" w:hAnsi="宋体"/>
      <w:b/>
      <w:szCs w:val="24"/>
    </w:rPr>
  </w:style>
  <w:style w:type="character" w:customStyle="1" w:styleId="43">
    <w:name w:val="合同样式1 字符"/>
    <w:basedOn w:val="30"/>
    <w:link w:val="42"/>
    <w:qFormat/>
    <w:uiPriority w:val="0"/>
    <w:rPr>
      <w:rFonts w:ascii="宋体" w:hAnsi="宋体" w:cstheme="minorBidi"/>
      <w:b/>
      <w:kern w:val="2"/>
      <w:sz w:val="24"/>
      <w:szCs w:val="24"/>
    </w:rPr>
  </w:style>
  <w:style w:type="paragraph" w:customStyle="1" w:styleId="44">
    <w:name w:val="合同样式2"/>
    <w:basedOn w:val="1"/>
    <w:link w:val="45"/>
    <w:qFormat/>
    <w:uiPriority w:val="0"/>
    <w:pPr>
      <w:numPr>
        <w:ilvl w:val="1"/>
        <w:numId w:val="2"/>
      </w:numPr>
      <w:topLinePunct/>
    </w:pPr>
    <w:rPr>
      <w:rFonts w:ascii="宋体" w:hAnsi="宋体"/>
      <w:szCs w:val="24"/>
    </w:rPr>
  </w:style>
  <w:style w:type="character" w:customStyle="1" w:styleId="45">
    <w:name w:val="合同样式2 字符"/>
    <w:basedOn w:val="30"/>
    <w:link w:val="44"/>
    <w:qFormat/>
    <w:uiPriority w:val="0"/>
    <w:rPr>
      <w:rFonts w:ascii="宋体" w:hAnsi="宋体" w:cstheme="minorBidi"/>
      <w:kern w:val="2"/>
      <w:sz w:val="24"/>
      <w:szCs w:val="24"/>
    </w:rPr>
  </w:style>
  <w:style w:type="paragraph" w:customStyle="1" w:styleId="46">
    <w:name w:val="合同样式3"/>
    <w:basedOn w:val="1"/>
    <w:link w:val="47"/>
    <w:qFormat/>
    <w:uiPriority w:val="0"/>
    <w:pPr>
      <w:numPr>
        <w:ilvl w:val="2"/>
        <w:numId w:val="2"/>
      </w:numPr>
      <w:ind w:left="1200" w:leftChars="200" w:hanging="300" w:hangingChars="300"/>
    </w:pPr>
    <w:rPr>
      <w:rFonts w:ascii="宋体" w:hAnsi="宋体"/>
      <w:szCs w:val="24"/>
    </w:rPr>
  </w:style>
  <w:style w:type="character" w:customStyle="1" w:styleId="47">
    <w:name w:val="合同样式3 字符"/>
    <w:basedOn w:val="30"/>
    <w:link w:val="46"/>
    <w:qFormat/>
    <w:uiPriority w:val="0"/>
    <w:rPr>
      <w:rFonts w:ascii="宋体" w:hAnsi="宋体" w:cstheme="minorBidi"/>
      <w:kern w:val="2"/>
      <w:sz w:val="24"/>
      <w:szCs w:val="24"/>
    </w:rPr>
  </w:style>
  <w:style w:type="paragraph" w:customStyle="1" w:styleId="48">
    <w:name w:val="合同样式4"/>
    <w:basedOn w:val="46"/>
    <w:link w:val="49"/>
    <w:qFormat/>
    <w:uiPriority w:val="0"/>
    <w:pPr>
      <w:numPr>
        <w:ilvl w:val="3"/>
      </w:numPr>
      <w:ind w:left="1200" w:leftChars="350" w:hanging="360" w:hangingChars="150"/>
    </w:pPr>
  </w:style>
  <w:style w:type="character" w:customStyle="1" w:styleId="49">
    <w:name w:val="合同样式4 字符"/>
    <w:basedOn w:val="47"/>
    <w:link w:val="48"/>
    <w:qFormat/>
    <w:uiPriority w:val="0"/>
    <w:rPr>
      <w:rFonts w:ascii="宋体" w:hAnsi="宋体" w:cstheme="minorBidi"/>
      <w:kern w:val="2"/>
      <w:sz w:val="24"/>
      <w:szCs w:val="24"/>
    </w:rPr>
  </w:style>
  <w:style w:type="paragraph" w:customStyle="1" w:styleId="50">
    <w:name w:val="合同样式5"/>
    <w:basedOn w:val="48"/>
    <w:link w:val="51"/>
    <w:qFormat/>
    <w:uiPriority w:val="0"/>
    <w:pPr>
      <w:numPr>
        <w:ilvl w:val="4"/>
      </w:numPr>
    </w:pPr>
  </w:style>
  <w:style w:type="character" w:customStyle="1" w:styleId="51">
    <w:name w:val="合同样式5 字符"/>
    <w:basedOn w:val="49"/>
    <w:link w:val="50"/>
    <w:qFormat/>
    <w:uiPriority w:val="0"/>
    <w:rPr>
      <w:rFonts w:ascii="宋体" w:hAnsi="宋体" w:cstheme="minorBidi"/>
      <w:kern w:val="2"/>
      <w:sz w:val="24"/>
      <w:szCs w:val="24"/>
    </w:rPr>
  </w:style>
  <w:style w:type="paragraph" w:customStyle="1" w:styleId="52">
    <w:name w:val="签署页"/>
    <w:basedOn w:val="1"/>
    <w:link w:val="53"/>
    <w:qFormat/>
    <w:uiPriority w:val="0"/>
    <w:pPr>
      <w:pageBreakBefore/>
      <w:spacing w:afterLines="100"/>
      <w:jc w:val="center"/>
    </w:pPr>
    <w:rPr>
      <w:b/>
      <w:sz w:val="48"/>
      <w:szCs w:val="48"/>
    </w:rPr>
  </w:style>
  <w:style w:type="character" w:customStyle="1" w:styleId="53">
    <w:name w:val="签署页 字符"/>
    <w:basedOn w:val="30"/>
    <w:link w:val="52"/>
    <w:qFormat/>
    <w:uiPriority w:val="0"/>
    <w:rPr>
      <w:rFonts w:ascii="Times New Roman" w:hAnsi="Times New Roman" w:eastAsia="宋体"/>
      <w:b/>
      <w:sz w:val="48"/>
      <w:szCs w:val="48"/>
    </w:rPr>
  </w:style>
  <w:style w:type="character" w:customStyle="1" w:styleId="54">
    <w:name w:val="页脚 字符1"/>
    <w:basedOn w:val="30"/>
    <w:link w:val="19"/>
    <w:qFormat/>
    <w:uiPriority w:val="99"/>
    <w:rPr>
      <w:rFonts w:cs="Times New Roman"/>
      <w:kern w:val="0"/>
      <w:sz w:val="22"/>
      <w:szCs w:val="22"/>
    </w:rPr>
  </w:style>
  <w:style w:type="character" w:customStyle="1" w:styleId="55">
    <w:name w:val="font61"/>
    <w:basedOn w:val="30"/>
    <w:qFormat/>
    <w:uiPriority w:val="0"/>
    <w:rPr>
      <w:rFonts w:hint="eastAsia" w:ascii="宋体" w:hAnsi="宋体" w:eastAsia="宋体" w:cs="宋体"/>
      <w:color w:val="000000"/>
      <w:sz w:val="21"/>
      <w:szCs w:val="21"/>
      <w:u w:val="none"/>
    </w:rPr>
  </w:style>
  <w:style w:type="character" w:customStyle="1" w:styleId="56">
    <w:name w:val="font51"/>
    <w:basedOn w:val="30"/>
    <w:qFormat/>
    <w:uiPriority w:val="0"/>
    <w:rPr>
      <w:rFonts w:hint="default" w:ascii="Times New Roman" w:hAnsi="Times New Roman" w:cs="Times New Roman"/>
      <w:color w:val="000000"/>
      <w:sz w:val="21"/>
      <w:szCs w:val="21"/>
      <w:u w:val="none"/>
    </w:rPr>
  </w:style>
  <w:style w:type="character" w:customStyle="1" w:styleId="57">
    <w:name w:val="font41"/>
    <w:basedOn w:val="30"/>
    <w:qFormat/>
    <w:uiPriority w:val="0"/>
    <w:rPr>
      <w:rFonts w:hint="default" w:ascii="Times New Roman" w:hAnsi="Times New Roman" w:cs="Times New Roman"/>
      <w:color w:val="000000"/>
      <w:sz w:val="21"/>
      <w:szCs w:val="21"/>
      <w:u w:val="none"/>
    </w:rPr>
  </w:style>
  <w:style w:type="character" w:customStyle="1" w:styleId="58">
    <w:name w:val="font141"/>
    <w:basedOn w:val="30"/>
    <w:qFormat/>
    <w:uiPriority w:val="0"/>
    <w:rPr>
      <w:rFonts w:hint="eastAsia" w:ascii="宋体" w:hAnsi="宋体" w:eastAsia="宋体" w:cs="宋体"/>
      <w:b/>
      <w:color w:val="FF0000"/>
      <w:sz w:val="21"/>
      <w:szCs w:val="21"/>
      <w:u w:val="single"/>
    </w:rPr>
  </w:style>
  <w:style w:type="character" w:customStyle="1" w:styleId="59">
    <w:name w:val="font91"/>
    <w:basedOn w:val="30"/>
    <w:qFormat/>
    <w:uiPriority w:val="0"/>
    <w:rPr>
      <w:rFonts w:hint="eastAsia" w:ascii="宋体" w:hAnsi="宋体" w:eastAsia="宋体" w:cs="宋体"/>
      <w:color w:val="000000"/>
      <w:sz w:val="21"/>
      <w:szCs w:val="21"/>
      <w:u w:val="none"/>
    </w:rPr>
  </w:style>
  <w:style w:type="character" w:customStyle="1" w:styleId="60">
    <w:name w:val="font01"/>
    <w:basedOn w:val="30"/>
    <w:qFormat/>
    <w:uiPriority w:val="0"/>
    <w:rPr>
      <w:rFonts w:hint="default" w:ascii="Times New Roman" w:hAnsi="Times New Roman" w:cs="Times New Roman"/>
      <w:color w:val="000000"/>
      <w:sz w:val="21"/>
      <w:szCs w:val="21"/>
      <w:u w:val="none"/>
    </w:rPr>
  </w:style>
  <w:style w:type="character" w:customStyle="1" w:styleId="61">
    <w:name w:val="font131"/>
    <w:basedOn w:val="30"/>
    <w:qFormat/>
    <w:uiPriority w:val="0"/>
    <w:rPr>
      <w:rFonts w:hint="eastAsia" w:ascii="宋体" w:hAnsi="宋体" w:eastAsia="宋体" w:cs="宋体"/>
      <w:color w:val="000000"/>
      <w:sz w:val="21"/>
      <w:szCs w:val="21"/>
      <w:u w:val="none"/>
    </w:rPr>
  </w:style>
  <w:style w:type="character" w:customStyle="1" w:styleId="62">
    <w:name w:val="font112"/>
    <w:basedOn w:val="30"/>
    <w:qFormat/>
    <w:uiPriority w:val="0"/>
    <w:rPr>
      <w:rFonts w:hint="default" w:ascii="Times New Roman" w:hAnsi="Times New Roman" w:cs="Times New Roman"/>
      <w:color w:val="FF0000"/>
      <w:sz w:val="21"/>
      <w:szCs w:val="21"/>
      <w:u w:val="none"/>
    </w:rPr>
  </w:style>
  <w:style w:type="character" w:customStyle="1" w:styleId="63">
    <w:name w:val="font111"/>
    <w:basedOn w:val="30"/>
    <w:qFormat/>
    <w:uiPriority w:val="0"/>
    <w:rPr>
      <w:rFonts w:hint="default" w:ascii="Times New Roman" w:hAnsi="Times New Roman" w:cs="Times New Roman"/>
      <w:color w:val="FF0000"/>
      <w:sz w:val="21"/>
      <w:szCs w:val="21"/>
      <w:u w:val="none"/>
    </w:rPr>
  </w:style>
  <w:style w:type="character" w:customStyle="1" w:styleId="64">
    <w:name w:val="font11"/>
    <w:basedOn w:val="30"/>
    <w:qFormat/>
    <w:uiPriority w:val="0"/>
    <w:rPr>
      <w:rFonts w:hint="default" w:ascii="Times New Roman" w:hAnsi="Times New Roman" w:cs="Times New Roman"/>
      <w:color w:val="000000"/>
      <w:sz w:val="21"/>
      <w:szCs w:val="21"/>
      <w:u w:val="none"/>
    </w:rPr>
  </w:style>
  <w:style w:type="character" w:customStyle="1" w:styleId="65">
    <w:name w:val="font21"/>
    <w:basedOn w:val="30"/>
    <w:qFormat/>
    <w:uiPriority w:val="0"/>
    <w:rPr>
      <w:rFonts w:hint="eastAsia" w:ascii="仿宋" w:hAnsi="仿宋" w:eastAsia="仿宋" w:cs="仿宋"/>
      <w:b/>
      <w:color w:val="000000"/>
      <w:sz w:val="21"/>
      <w:szCs w:val="21"/>
      <w:u w:val="none"/>
    </w:rPr>
  </w:style>
  <w:style w:type="character" w:customStyle="1" w:styleId="66">
    <w:name w:val="批注文字 字符"/>
    <w:basedOn w:val="30"/>
    <w:link w:val="12"/>
    <w:semiHidden/>
    <w:qFormat/>
    <w:uiPriority w:val="99"/>
    <w:rPr>
      <w:rFonts w:cstheme="minorBidi"/>
      <w:kern w:val="2"/>
      <w:sz w:val="24"/>
      <w:szCs w:val="22"/>
    </w:rPr>
  </w:style>
  <w:style w:type="character" w:customStyle="1" w:styleId="67">
    <w:name w:val="批注主题 字符"/>
    <w:basedOn w:val="66"/>
    <w:link w:val="26"/>
    <w:qFormat/>
    <w:uiPriority w:val="99"/>
    <w:rPr>
      <w:rFonts w:cstheme="minorBidi"/>
      <w:b/>
      <w:bCs/>
      <w:kern w:val="2"/>
      <w:sz w:val="24"/>
      <w:szCs w:val="22"/>
    </w:rPr>
  </w:style>
  <w:style w:type="character" w:customStyle="1" w:styleId="68">
    <w:name w:val="font71"/>
    <w:basedOn w:val="30"/>
    <w:qFormat/>
    <w:uiPriority w:val="0"/>
    <w:rPr>
      <w:rFonts w:hint="eastAsia" w:ascii="宋体" w:hAnsi="宋体" w:eastAsia="宋体" w:cs="宋体"/>
      <w:color w:val="000000"/>
      <w:sz w:val="20"/>
      <w:szCs w:val="20"/>
      <w:u w:val="none"/>
    </w:rPr>
  </w:style>
  <w:style w:type="character" w:customStyle="1" w:styleId="69">
    <w:name w:val="正文文本缩进 字符1"/>
    <w:basedOn w:val="30"/>
    <w:link w:val="3"/>
    <w:semiHidden/>
    <w:qFormat/>
    <w:uiPriority w:val="99"/>
    <w:rPr>
      <w:rFonts w:cstheme="minorBidi"/>
      <w:kern w:val="2"/>
      <w:sz w:val="24"/>
      <w:szCs w:val="22"/>
    </w:rPr>
  </w:style>
  <w:style w:type="character" w:customStyle="1" w:styleId="70">
    <w:name w:val="日期 字符"/>
    <w:basedOn w:val="30"/>
    <w:link w:val="16"/>
    <w:qFormat/>
    <w:uiPriority w:val="0"/>
    <w:rPr>
      <w:rFonts w:cstheme="minorBidi"/>
      <w:sz w:val="28"/>
      <w:szCs w:val="22"/>
    </w:rPr>
  </w:style>
  <w:style w:type="paragraph" w:styleId="71">
    <w:name w:val="List Paragraph"/>
    <w:basedOn w:val="1"/>
    <w:qFormat/>
    <w:uiPriority w:val="34"/>
    <w:pPr>
      <w:ind w:firstLine="420" w:firstLineChars="200"/>
    </w:pPr>
  </w:style>
  <w:style w:type="character" w:customStyle="1" w:styleId="72">
    <w:name w:val="正文文本缩进 2 字符"/>
    <w:basedOn w:val="30"/>
    <w:link w:val="17"/>
    <w:semiHidden/>
    <w:qFormat/>
    <w:uiPriority w:val="99"/>
    <w:rPr>
      <w:rFonts w:cstheme="minorBidi"/>
      <w:kern w:val="2"/>
      <w:sz w:val="24"/>
      <w:szCs w:val="22"/>
    </w:rPr>
  </w:style>
  <w:style w:type="character" w:customStyle="1" w:styleId="73">
    <w:name w:val="正文缩进 字符"/>
    <w:link w:val="6"/>
    <w:qFormat/>
    <w:uiPriority w:val="0"/>
    <w:rPr>
      <w:rFonts w:cstheme="minorBidi"/>
      <w:kern w:val="2"/>
      <w:sz w:val="24"/>
      <w:szCs w:val="24"/>
    </w:rPr>
  </w:style>
  <w:style w:type="character" w:customStyle="1" w:styleId="74">
    <w:name w:val="Default Char"/>
    <w:link w:val="75"/>
    <w:qFormat/>
    <w:locked/>
    <w:uiPriority w:val="0"/>
    <w:rPr>
      <w:rFonts w:ascii="黑体" w:hAnsi="Calibri" w:eastAsia="黑体"/>
    </w:rPr>
  </w:style>
  <w:style w:type="paragraph" w:customStyle="1" w:styleId="75">
    <w:name w:val="Default"/>
    <w:link w:val="74"/>
    <w:qFormat/>
    <w:uiPriority w:val="0"/>
    <w:pPr>
      <w:widowControl w:val="0"/>
      <w:autoSpaceDE w:val="0"/>
      <w:autoSpaceDN w:val="0"/>
      <w:adjustRightInd w:val="0"/>
    </w:pPr>
    <w:rPr>
      <w:rFonts w:ascii="黑体" w:hAnsi="Calibri" w:eastAsia="黑体" w:cs="Times New Roman"/>
      <w:lang w:val="en-US" w:eastAsia="zh-CN" w:bidi="ar-SA"/>
    </w:rPr>
  </w:style>
  <w:style w:type="character" w:customStyle="1" w:styleId="76">
    <w:name w:val="批注框文本 字符1"/>
    <w:basedOn w:val="30"/>
    <w:link w:val="18"/>
    <w:semiHidden/>
    <w:qFormat/>
    <w:uiPriority w:val="99"/>
    <w:rPr>
      <w:rFonts w:cstheme="minorBidi"/>
      <w:kern w:val="2"/>
      <w:sz w:val="18"/>
      <w:szCs w:val="18"/>
    </w:rPr>
  </w:style>
  <w:style w:type="paragraph" w:customStyle="1" w:styleId="77">
    <w:name w:val="TOC 标题1"/>
    <w:basedOn w:val="4"/>
    <w:next w:val="1"/>
    <w:qFormat/>
    <w:uiPriority w:val="39"/>
    <w:pPr>
      <w:widowControl/>
      <w:adjustRightInd/>
      <w:snapToGrid/>
      <w:spacing w:before="480" w:after="0" w:line="276" w:lineRule="auto"/>
      <w:jc w:val="left"/>
      <w:outlineLvl w:val="9"/>
    </w:pPr>
    <w:rPr>
      <w:rFonts w:ascii="Cambria" w:hAnsi="Cambria" w:cs="Times New Roman"/>
      <w:color w:val="365F91"/>
      <w:kern w:val="0"/>
      <w:sz w:val="28"/>
      <w:szCs w:val="28"/>
    </w:rPr>
  </w:style>
  <w:style w:type="character" w:customStyle="1" w:styleId="78">
    <w:name w:val="纯文本 字符"/>
    <w:link w:val="15"/>
    <w:qFormat/>
    <w:uiPriority w:val="0"/>
    <w:rPr>
      <w:rFonts w:ascii="宋体" w:hAnsi="Courier New" w:cstheme="minorBidi"/>
      <w:kern w:val="2"/>
      <w:sz w:val="24"/>
      <w:szCs w:val="22"/>
    </w:rPr>
  </w:style>
  <w:style w:type="character" w:customStyle="1" w:styleId="79">
    <w:name w:val="标题 3 字符"/>
    <w:qFormat/>
    <w:uiPriority w:val="0"/>
    <w:rPr>
      <w:rFonts w:eastAsia="黑体"/>
      <w:b/>
      <w:snapToGrid/>
      <w:spacing w:val="10"/>
      <w:sz w:val="28"/>
    </w:rPr>
  </w:style>
  <w:style w:type="paragraph" w:customStyle="1" w:styleId="80">
    <w:name w:val="_Style 70"/>
    <w:basedOn w:val="1"/>
    <w:next w:val="71"/>
    <w:qFormat/>
    <w:uiPriority w:val="0"/>
    <w:pPr>
      <w:adjustRightInd/>
      <w:snapToGrid/>
      <w:spacing w:line="240" w:lineRule="auto"/>
      <w:ind w:firstLine="420" w:firstLineChars="200"/>
    </w:pPr>
    <w:rPr>
      <w:rFonts w:cs="Times New Roman"/>
      <w:sz w:val="21"/>
      <w:szCs w:val="20"/>
    </w:rPr>
  </w:style>
  <w:style w:type="character" w:customStyle="1" w:styleId="81">
    <w:name w:val="文档结构图 字符"/>
    <w:basedOn w:val="30"/>
    <w:link w:val="11"/>
    <w:semiHidden/>
    <w:qFormat/>
    <w:uiPriority w:val="0"/>
    <w:rPr>
      <w:kern w:val="2"/>
      <w:sz w:val="21"/>
      <w:shd w:val="clear" w:color="auto" w:fill="000080"/>
    </w:rPr>
  </w:style>
  <w:style w:type="character" w:customStyle="1" w:styleId="82">
    <w:name w:val="正文文本缩进 字符"/>
    <w:qFormat/>
    <w:uiPriority w:val="0"/>
    <w:rPr>
      <w:rFonts w:ascii="宋体"/>
      <w:spacing w:val="10"/>
      <w:kern w:val="2"/>
      <w:sz w:val="18"/>
    </w:rPr>
  </w:style>
  <w:style w:type="character" w:customStyle="1" w:styleId="83">
    <w:name w:val="批注框文本 字符"/>
    <w:semiHidden/>
    <w:qFormat/>
    <w:uiPriority w:val="99"/>
    <w:rPr>
      <w:kern w:val="2"/>
      <w:sz w:val="18"/>
      <w:szCs w:val="18"/>
    </w:rPr>
  </w:style>
  <w:style w:type="character" w:customStyle="1" w:styleId="84">
    <w:name w:val="页脚 字符"/>
    <w:qFormat/>
    <w:uiPriority w:val="99"/>
    <w:rPr>
      <w:kern w:val="2"/>
      <w:sz w:val="18"/>
    </w:rPr>
  </w:style>
  <w:style w:type="character" w:customStyle="1" w:styleId="85">
    <w:name w:val="页眉 字符"/>
    <w:qFormat/>
    <w:uiPriority w:val="99"/>
    <w:rPr>
      <w:kern w:val="2"/>
    </w:rPr>
  </w:style>
  <w:style w:type="character" w:customStyle="1" w:styleId="86">
    <w:name w:val="副标题 字符"/>
    <w:basedOn w:val="30"/>
    <w:link w:val="22"/>
    <w:qFormat/>
    <w:uiPriority w:val="0"/>
    <w:rPr>
      <w:rFonts w:ascii="Cambria" w:hAnsi="Cambria"/>
      <w:b/>
      <w:bCs/>
      <w:kern w:val="28"/>
      <w:sz w:val="32"/>
      <w:szCs w:val="32"/>
    </w:rPr>
  </w:style>
  <w:style w:type="character" w:customStyle="1" w:styleId="87">
    <w:name w:val="标题 字符"/>
    <w:basedOn w:val="30"/>
    <w:link w:val="25"/>
    <w:qFormat/>
    <w:uiPriority w:val="0"/>
    <w:rPr>
      <w:rFonts w:ascii="Arial" w:hAnsi="Arial" w:cs="Arial"/>
      <w:b/>
      <w:bCs/>
      <w:kern w:val="2"/>
      <w:sz w:val="32"/>
      <w:szCs w:val="32"/>
    </w:rPr>
  </w:style>
  <w:style w:type="character" w:customStyle="1" w:styleId="88">
    <w:name w:val="标题 2 Char1"/>
    <w:qFormat/>
    <w:uiPriority w:val="0"/>
    <w:rPr>
      <w:rFonts w:ascii="宋体" w:hAnsi="宋体" w:eastAsia="宋体"/>
      <w:b/>
      <w:kern w:val="2"/>
      <w:sz w:val="28"/>
      <w:lang w:val="en-US" w:eastAsia="zh-CN"/>
    </w:rPr>
  </w:style>
  <w:style w:type="character" w:customStyle="1" w:styleId="89">
    <w:name w:val="cucd-0 Char Char"/>
    <w:link w:val="90"/>
    <w:qFormat/>
    <w:uiPriority w:val="0"/>
    <w:rPr>
      <w:kern w:val="2"/>
      <w:sz w:val="24"/>
      <w:szCs w:val="24"/>
    </w:rPr>
  </w:style>
  <w:style w:type="paragraph" w:customStyle="1" w:styleId="90">
    <w:name w:val="cucd-0"/>
    <w:link w:val="89"/>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character" w:customStyle="1" w:styleId="91">
    <w:name w:val="引用 Char"/>
    <w:qFormat/>
    <w:uiPriority w:val="0"/>
    <w:rPr>
      <w:i/>
      <w:iCs/>
      <w:color w:val="000000"/>
      <w:kern w:val="2"/>
      <w:sz w:val="21"/>
    </w:rPr>
  </w:style>
  <w:style w:type="character" w:customStyle="1" w:styleId="92">
    <w:name w:val="样式4 Char"/>
    <w:link w:val="93"/>
    <w:qFormat/>
    <w:uiPriority w:val="0"/>
    <w:rPr>
      <w:rFonts w:ascii="宋体" w:hAnsi="宋体"/>
      <w:b/>
      <w:snapToGrid w:val="0"/>
      <w:color w:val="000000"/>
    </w:rPr>
  </w:style>
  <w:style w:type="paragraph" w:customStyle="1" w:styleId="93">
    <w:name w:val="样式4"/>
    <w:basedOn w:val="1"/>
    <w:link w:val="92"/>
    <w:qFormat/>
    <w:uiPriority w:val="0"/>
    <w:pPr>
      <w:adjustRightInd/>
      <w:snapToGrid/>
      <w:jc w:val="left"/>
    </w:pPr>
    <w:rPr>
      <w:rFonts w:ascii="宋体" w:hAnsi="宋体" w:cs="Times New Roman"/>
      <w:b/>
      <w:snapToGrid w:val="0"/>
      <w:color w:val="000000"/>
      <w:kern w:val="0"/>
      <w:sz w:val="20"/>
      <w:szCs w:val="20"/>
    </w:rPr>
  </w:style>
  <w:style w:type="character" w:customStyle="1" w:styleId="94">
    <w:name w:val="纯文本 Char"/>
    <w:qFormat/>
    <w:uiPriority w:val="0"/>
    <w:rPr>
      <w:rFonts w:ascii="宋体" w:hAnsi="Courier New"/>
      <w:kern w:val="2"/>
      <w:sz w:val="21"/>
    </w:rPr>
  </w:style>
  <w:style w:type="paragraph" w:customStyle="1" w:styleId="95">
    <w:name w:val="Char Char3 Char Char Char Char"/>
    <w:basedOn w:val="1"/>
    <w:qFormat/>
    <w:uiPriority w:val="0"/>
    <w:pPr>
      <w:snapToGrid/>
      <w:spacing w:line="410" w:lineRule="atLeast"/>
      <w:jc w:val="left"/>
      <w:textAlignment w:val="baseline"/>
    </w:pPr>
    <w:rPr>
      <w:rFonts w:ascii="宋体" w:cs="Times New Roman"/>
      <w:kern w:val="0"/>
      <w:szCs w:val="20"/>
    </w:rPr>
  </w:style>
  <w:style w:type="paragraph" w:customStyle="1" w:styleId="96">
    <w:name w:val="Char Char Char Char"/>
    <w:basedOn w:val="1"/>
    <w:qFormat/>
    <w:uiPriority w:val="0"/>
    <w:pPr>
      <w:adjustRightInd/>
      <w:snapToGrid/>
      <w:spacing w:line="240" w:lineRule="auto"/>
    </w:pPr>
    <w:rPr>
      <w:rFonts w:cs="Times New Roman"/>
      <w:sz w:val="21"/>
      <w:szCs w:val="24"/>
    </w:rPr>
  </w:style>
  <w:style w:type="paragraph" w:customStyle="1" w:styleId="97">
    <w:name w:val="样式 行距: 固定值 20 磅"/>
    <w:basedOn w:val="1"/>
    <w:qFormat/>
    <w:uiPriority w:val="0"/>
    <w:pPr>
      <w:tabs>
        <w:tab w:val="left" w:pos="482"/>
      </w:tabs>
      <w:adjustRightInd/>
      <w:snapToGrid/>
      <w:spacing w:line="400" w:lineRule="exact"/>
      <w:ind w:left="482" w:hanging="482"/>
    </w:pPr>
    <w:rPr>
      <w:rFonts w:cs="宋体"/>
      <w:sz w:val="21"/>
      <w:szCs w:val="20"/>
    </w:rPr>
  </w:style>
  <w:style w:type="paragraph" w:customStyle="1" w:styleId="98">
    <w:name w:val="p0"/>
    <w:basedOn w:val="1"/>
    <w:qFormat/>
    <w:uiPriority w:val="0"/>
    <w:pPr>
      <w:adjustRightInd/>
      <w:snapToGrid/>
      <w:spacing w:line="240" w:lineRule="auto"/>
    </w:pPr>
    <w:rPr>
      <w:rFonts w:cs="Times New Roman"/>
      <w:sz w:val="20"/>
      <w:szCs w:val="20"/>
    </w:rPr>
  </w:style>
  <w:style w:type="paragraph" w:customStyle="1" w:styleId="99">
    <w:name w:val="修订1"/>
    <w:semiHidden/>
    <w:qFormat/>
    <w:uiPriority w:val="99"/>
    <w:rPr>
      <w:rFonts w:ascii="Times New Roman" w:hAnsi="Times New Roman" w:eastAsia="宋体" w:cs="Times New Roman"/>
      <w:kern w:val="2"/>
      <w:sz w:val="21"/>
      <w:lang w:val="en-US" w:eastAsia="zh-CN" w:bidi="ar-SA"/>
    </w:rPr>
  </w:style>
  <w:style w:type="paragraph" w:customStyle="1" w:styleId="100">
    <w:name w:val="默认段落字体 Para Char Char Char Char Char Char Char"/>
    <w:basedOn w:val="1"/>
    <w:qFormat/>
    <w:uiPriority w:val="0"/>
    <w:pPr>
      <w:adjustRightInd/>
      <w:snapToGrid/>
      <w:spacing w:line="240" w:lineRule="auto"/>
    </w:pPr>
    <w:rPr>
      <w:rFonts w:cs="Times New Roman"/>
      <w:sz w:val="21"/>
      <w:szCs w:val="24"/>
    </w:rPr>
  </w:style>
  <w:style w:type="paragraph" w:customStyle="1" w:styleId="101">
    <w:name w:val="样式19"/>
    <w:basedOn w:val="1"/>
    <w:qFormat/>
    <w:uiPriority w:val="0"/>
    <w:pPr>
      <w:numPr>
        <w:ilvl w:val="0"/>
        <w:numId w:val="3"/>
      </w:numPr>
      <w:tabs>
        <w:tab w:val="left" w:pos="425"/>
      </w:tabs>
      <w:adjustRightInd/>
      <w:snapToGrid/>
      <w:spacing w:line="240" w:lineRule="auto"/>
    </w:pPr>
    <w:rPr>
      <w:rFonts w:cs="Times New Roman"/>
      <w:sz w:val="20"/>
      <w:szCs w:val="20"/>
    </w:rPr>
  </w:style>
  <w:style w:type="paragraph" w:customStyle="1" w:styleId="102">
    <w:name w:val="样式 宋体 小四 加粗"/>
    <w:basedOn w:val="1"/>
    <w:qFormat/>
    <w:uiPriority w:val="0"/>
    <w:pPr>
      <w:numPr>
        <w:ilvl w:val="2"/>
        <w:numId w:val="4"/>
      </w:numPr>
      <w:tabs>
        <w:tab w:val="left" w:pos="709"/>
      </w:tabs>
      <w:adjustRightInd/>
      <w:snapToGrid/>
      <w:spacing w:line="240" w:lineRule="auto"/>
    </w:pPr>
    <w:rPr>
      <w:rFonts w:cs="Times New Roman"/>
      <w:sz w:val="21"/>
      <w:szCs w:val="20"/>
    </w:rPr>
  </w:style>
  <w:style w:type="paragraph" w:customStyle="1" w:styleId="103">
    <w:name w:val="样式1"/>
    <w:basedOn w:val="7"/>
    <w:qFormat/>
    <w:uiPriority w:val="0"/>
    <w:pPr>
      <w:keepNext/>
      <w:keepLines/>
      <w:numPr>
        <w:ilvl w:val="0"/>
        <w:numId w:val="5"/>
      </w:numPr>
      <w:tabs>
        <w:tab w:val="left" w:pos="482"/>
        <w:tab w:val="clear" w:pos="720"/>
      </w:tabs>
      <w:adjustRightInd/>
      <w:spacing w:before="260" w:after="260" w:line="300" w:lineRule="auto"/>
      <w:ind w:firstLine="0" w:firstLineChars="0"/>
    </w:pPr>
    <w:rPr>
      <w:rFonts w:cs="Times New Roman"/>
      <w:b/>
      <w:bCs w:val="0"/>
      <w:sz w:val="28"/>
      <w:szCs w:val="28"/>
    </w:rPr>
  </w:style>
  <w:style w:type="paragraph" w:customStyle="1" w:styleId="104">
    <w:name w:val="样式43"/>
    <w:basedOn w:val="15"/>
    <w:qFormat/>
    <w:uiPriority w:val="0"/>
    <w:pPr>
      <w:numPr>
        <w:ilvl w:val="0"/>
        <w:numId w:val="6"/>
      </w:numPr>
      <w:tabs>
        <w:tab w:val="left" w:pos="601"/>
      </w:tabs>
      <w:adjustRightInd/>
      <w:snapToGrid/>
    </w:pPr>
    <w:rPr>
      <w:rFonts w:hAnsi="宋体" w:cs="Times New Roman"/>
      <w:color w:val="000000"/>
      <w:position w:val="2"/>
      <w:sz w:val="21"/>
      <w:szCs w:val="21"/>
    </w:rPr>
  </w:style>
  <w:style w:type="paragraph" w:customStyle="1" w:styleId="105">
    <w:name w:val="_Style 28"/>
    <w:basedOn w:val="1"/>
    <w:qFormat/>
    <w:uiPriority w:val="0"/>
    <w:pPr>
      <w:adjustRightInd/>
      <w:snapToGrid/>
      <w:spacing w:line="240" w:lineRule="auto"/>
    </w:pPr>
    <w:rPr>
      <w:rFonts w:cs="Times New Roman"/>
      <w:sz w:val="21"/>
      <w:szCs w:val="20"/>
    </w:rPr>
  </w:style>
  <w:style w:type="paragraph" w:customStyle="1" w:styleId="106">
    <w:name w:val="默认段落字体 Para Char Char Char Char"/>
    <w:basedOn w:val="1"/>
    <w:qFormat/>
    <w:uiPriority w:val="0"/>
    <w:pPr>
      <w:adjustRightInd/>
      <w:snapToGrid/>
      <w:spacing w:line="240" w:lineRule="auto"/>
    </w:pPr>
    <w:rPr>
      <w:rFonts w:cs="Times New Roman"/>
      <w:sz w:val="21"/>
      <w:szCs w:val="24"/>
    </w:rPr>
  </w:style>
  <w:style w:type="paragraph" w:customStyle="1" w:styleId="107">
    <w:name w:val="样式2"/>
    <w:basedOn w:val="7"/>
    <w:qFormat/>
    <w:uiPriority w:val="0"/>
    <w:pPr>
      <w:keepNext/>
      <w:keepLines/>
      <w:numPr>
        <w:ilvl w:val="0"/>
        <w:numId w:val="7"/>
      </w:numPr>
      <w:tabs>
        <w:tab w:val="left" w:pos="482"/>
        <w:tab w:val="clear" w:pos="720"/>
      </w:tabs>
      <w:adjustRightInd/>
      <w:spacing w:before="260" w:after="260" w:line="300" w:lineRule="auto"/>
      <w:ind w:firstLine="0" w:firstLineChars="0"/>
    </w:pPr>
    <w:rPr>
      <w:rFonts w:cs="Times New Roman"/>
      <w:b/>
      <w:bCs w:val="0"/>
    </w:rPr>
  </w:style>
  <w:style w:type="paragraph" w:customStyle="1" w:styleId="108">
    <w:name w:val="Char2 Char Char Char"/>
    <w:basedOn w:val="1"/>
    <w:qFormat/>
    <w:uiPriority w:val="0"/>
    <w:pPr>
      <w:adjustRightInd/>
      <w:snapToGrid/>
      <w:spacing w:line="240" w:lineRule="auto"/>
    </w:pPr>
    <w:rPr>
      <w:rFonts w:cs="Times New Roman"/>
      <w:sz w:val="21"/>
      <w:szCs w:val="24"/>
    </w:rPr>
  </w:style>
  <w:style w:type="paragraph" w:customStyle="1" w:styleId="109">
    <w:name w:val="样式3"/>
    <w:basedOn w:val="1"/>
    <w:qFormat/>
    <w:uiPriority w:val="0"/>
    <w:pPr>
      <w:numPr>
        <w:ilvl w:val="0"/>
        <w:numId w:val="8"/>
      </w:numPr>
      <w:tabs>
        <w:tab w:val="left" w:pos="425"/>
      </w:tabs>
      <w:adjustRightInd/>
      <w:snapToGrid/>
      <w:spacing w:line="300" w:lineRule="auto"/>
    </w:pPr>
    <w:rPr>
      <w:rFonts w:ascii="宋体" w:hAnsi="宋体" w:cs="Times New Roman"/>
      <w:color w:val="000000"/>
      <w:szCs w:val="24"/>
    </w:rPr>
  </w:style>
  <w:style w:type="paragraph" w:customStyle="1" w:styleId="110">
    <w:name w:val="cucd-4"/>
    <w:next w:val="1"/>
    <w:qFormat/>
    <w:uiPriority w:val="0"/>
    <w:pPr>
      <w:numPr>
        <w:ilvl w:val="3"/>
        <w:numId w:val="9"/>
      </w:numPr>
      <w:tabs>
        <w:tab w:val="left" w:pos="851"/>
      </w:tabs>
      <w:spacing w:line="360" w:lineRule="auto"/>
      <w:outlineLvl w:val="3"/>
    </w:pPr>
    <w:rPr>
      <w:rFonts w:ascii="Times New Roman" w:hAnsi="Times New Roman" w:eastAsia="宋体" w:cs="Times New Roman"/>
      <w:b/>
      <w:color w:val="000000"/>
      <w:kern w:val="2"/>
      <w:sz w:val="24"/>
      <w:szCs w:val="24"/>
      <w:lang w:val="en-US" w:eastAsia="zh-CN" w:bidi="ar-SA"/>
    </w:rPr>
  </w:style>
  <w:style w:type="paragraph" w:styleId="111">
    <w:name w:val="Quote"/>
    <w:basedOn w:val="1"/>
    <w:next w:val="1"/>
    <w:link w:val="112"/>
    <w:qFormat/>
    <w:uiPriority w:val="0"/>
    <w:pPr>
      <w:adjustRightInd/>
      <w:snapToGrid/>
      <w:spacing w:line="240" w:lineRule="auto"/>
    </w:pPr>
    <w:rPr>
      <w:rFonts w:cs="Times New Roman"/>
      <w:i/>
      <w:iCs/>
      <w:color w:val="000000"/>
      <w:sz w:val="21"/>
      <w:szCs w:val="20"/>
    </w:rPr>
  </w:style>
  <w:style w:type="character" w:customStyle="1" w:styleId="112">
    <w:name w:val="引用 字符"/>
    <w:basedOn w:val="30"/>
    <w:link w:val="111"/>
    <w:qFormat/>
    <w:uiPriority w:val="0"/>
    <w:rPr>
      <w:i/>
      <w:iCs/>
      <w:color w:val="000000"/>
      <w:kern w:val="2"/>
      <w:sz w:val="21"/>
    </w:rPr>
  </w:style>
  <w:style w:type="paragraph" w:customStyle="1" w:styleId="113">
    <w:name w:val="xl40"/>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jc w:val="center"/>
    </w:pPr>
    <w:rPr>
      <w:rFonts w:ascii="宋体" w:hAnsi="宋体" w:cs="Times New Roman"/>
      <w:kern w:val="0"/>
      <w:szCs w:val="24"/>
    </w:rPr>
  </w:style>
  <w:style w:type="paragraph" w:customStyle="1" w:styleId="114">
    <w:name w:val="样式5"/>
    <w:basedOn w:val="15"/>
    <w:qFormat/>
    <w:uiPriority w:val="0"/>
    <w:pPr>
      <w:numPr>
        <w:ilvl w:val="0"/>
        <w:numId w:val="10"/>
      </w:numPr>
      <w:tabs>
        <w:tab w:val="left" w:pos="840"/>
      </w:tabs>
      <w:adjustRightInd/>
      <w:snapToGrid/>
      <w:spacing w:line="300" w:lineRule="auto"/>
      <w:ind w:hanging="735"/>
    </w:pPr>
    <w:rPr>
      <w:rFonts w:hAnsi="宋体" w:cs="Times New Roman"/>
      <w:color w:val="000000"/>
      <w:position w:val="2"/>
      <w:szCs w:val="24"/>
    </w:rPr>
  </w:style>
  <w:style w:type="paragraph" w:customStyle="1" w:styleId="115">
    <w:name w:val="CM42"/>
    <w:basedOn w:val="1"/>
    <w:next w:val="1"/>
    <w:qFormat/>
    <w:uiPriority w:val="0"/>
    <w:pPr>
      <w:autoSpaceDE w:val="0"/>
      <w:autoSpaceDN w:val="0"/>
      <w:snapToGrid/>
      <w:spacing w:line="240" w:lineRule="auto"/>
      <w:jc w:val="left"/>
    </w:pPr>
    <w:rPr>
      <w:rFonts w:cs="Times New Roman"/>
      <w:kern w:val="0"/>
      <w:szCs w:val="24"/>
    </w:rPr>
  </w:style>
  <w:style w:type="paragraph" w:customStyle="1" w:styleId="116">
    <w:name w:val="cucd-TB"/>
    <w:qFormat/>
    <w:uiPriority w:val="0"/>
    <w:pPr>
      <w:spacing w:line="360" w:lineRule="auto"/>
      <w:jc w:val="center"/>
    </w:pPr>
    <w:rPr>
      <w:rFonts w:ascii="Times New Roman" w:hAnsi="Times New Roman" w:eastAsia="宋体" w:cs="Times New Roman"/>
      <w:kern w:val="2"/>
      <w:sz w:val="21"/>
      <w:szCs w:val="24"/>
      <w:lang w:val="en-US" w:eastAsia="zh-CN" w:bidi="ar-SA"/>
    </w:rPr>
  </w:style>
  <w:style w:type="paragraph" w:customStyle="1" w:styleId="117">
    <w:name w:val="！正文"/>
    <w:basedOn w:val="1"/>
    <w:qFormat/>
    <w:uiPriority w:val="0"/>
    <w:pPr>
      <w:adjustRightInd/>
      <w:snapToGrid/>
      <w:ind w:firstLine="200" w:firstLineChars="200"/>
    </w:pPr>
    <w:rPr>
      <w:rFonts w:ascii="Calibri" w:hAnsi="Calibri" w:eastAsia="微软雅黑" w:cs="Times New Roman"/>
      <w:sz w:val="28"/>
    </w:rPr>
  </w:style>
  <w:style w:type="paragraph" w:customStyle="1" w:styleId="118">
    <w:name w:val="样式16"/>
    <w:basedOn w:val="1"/>
    <w:qFormat/>
    <w:uiPriority w:val="0"/>
    <w:pPr>
      <w:numPr>
        <w:ilvl w:val="0"/>
        <w:numId w:val="11"/>
      </w:numPr>
      <w:tabs>
        <w:tab w:val="left" w:pos="840"/>
        <w:tab w:val="left" w:pos="4622"/>
      </w:tabs>
      <w:adjustRightInd/>
      <w:snapToGrid/>
      <w:spacing w:line="300" w:lineRule="auto"/>
      <w:jc w:val="left"/>
    </w:pPr>
    <w:rPr>
      <w:rFonts w:ascii="宋体" w:hAnsi="宋体" w:cs="Times New Roman"/>
      <w:b/>
      <w:sz w:val="20"/>
      <w:szCs w:val="20"/>
    </w:rPr>
  </w:style>
  <w:style w:type="paragraph" w:customStyle="1" w:styleId="119">
    <w:name w:val="Revision"/>
    <w:hidden/>
    <w:unhideWhenUsed/>
    <w:qFormat/>
    <w:uiPriority w:val="99"/>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8C45F-2502-4022-B116-310E82E163D9}">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53</Pages>
  <Words>15673</Words>
  <Characters>15878</Characters>
  <Lines>405</Lines>
  <Paragraphs>319</Paragraphs>
  <TotalTime>0</TotalTime>
  <ScaleCrop>false</ScaleCrop>
  <LinksUpToDate>false</LinksUpToDate>
  <CharactersWithSpaces>16016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2023-12-06T00:55:00Z</dcterms:created>
  <dc:creator>Legal</dc:creator>
  <cp:lastModifiedBy> </cp:lastModifiedBy>
  <dcterms:modified xsi:type="dcterms:W3CDTF">2025-08-27T07:12:16Z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EDF7FBF66F694471972DABA204EA3E3B_13</vt:lpwstr>
  </property>
  <property fmtid="{D5CDD505-2E9C-101B-9397-08002B2CF9AE}" pid="4" name="KSOTemplateDocerSaveRecord">
    <vt:lpwstr>eyJoZGlkIjoiNDUwMTFkMDI3ZjBmZjczM2Q3M2EwOGI5M2VjYzUzMDkiLCJ1c2VySWQiOiIxNTk4MjA3NTk5In0=</vt:lpwstr>
  </property>
</Properties>
</file>