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 xml:space="preserve"> 采购文件</w:t>
      </w:r>
      <w:bookmarkStart w:id="54" w:name="_GoBack"/>
      <w:bookmarkEnd w:id="54"/>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w:t>
      </w:r>
      <w:r>
        <w:rPr>
          <w:rFonts w:hint="eastAsia" w:eastAsia="仿宋"/>
          <w:sz w:val="32"/>
          <w:szCs w:val="32"/>
          <w:highlight w:val="none"/>
          <w:lang w:eastAsia="zh-CN"/>
        </w:rPr>
        <w:t>气动翻板阀</w:t>
      </w:r>
      <w:r>
        <w:rPr>
          <w:rFonts w:hint="eastAsia" w:ascii="仿宋" w:hAnsi="仿宋" w:eastAsia="仿宋"/>
          <w:sz w:val="32"/>
          <w:szCs w:val="32"/>
          <w:highlight w:val="none"/>
        </w:rPr>
        <w:t>，现将相关情况介绍如下：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1"/>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东莞市海心沙资源综合利用中心环保热电厂气动翻板阀采购项目</w:t>
      </w:r>
    </w:p>
    <w:p w14:paraId="39358250">
      <w:pPr>
        <w:pStyle w:val="31"/>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气动翻板阀</w:t>
      </w:r>
      <w:r>
        <w:rPr>
          <w:rFonts w:hint="eastAsia" w:eastAsia="仿宋"/>
          <w:sz w:val="32"/>
          <w:szCs w:val="32"/>
          <w:highlight w:val="none"/>
          <w:lang w:val="en-US" w:eastAsia="zh-CN"/>
        </w:rPr>
        <w:t>的制造</w:t>
      </w:r>
      <w:r>
        <w:rPr>
          <w:rFonts w:eastAsia="仿宋"/>
          <w:sz w:val="32"/>
          <w:szCs w:val="32"/>
          <w:highlight w:val="none"/>
        </w:rPr>
        <w:t>、包装、保管、供货、运输、提供技术资料、质量保证及售后服务等内容。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rPr>
        <w:t>报价人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1、报价人必须是具有独立承担民事责任能力的企业或事业单位法人或其它组织。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8D0DC6">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rPr>
        <w:t>2、</w:t>
      </w:r>
      <w:r>
        <w:rPr>
          <w:rFonts w:hint="eastAsia" w:ascii="仿宋" w:hAnsi="仿宋" w:eastAsia="仿宋"/>
          <w:sz w:val="32"/>
          <w:szCs w:val="32"/>
          <w:highlight w:val="none"/>
          <w:lang w:val="en-US" w:eastAsia="zh-CN"/>
        </w:rPr>
        <w:t>报价人须提供报价截止日前6个月内任意1个月依法缴纳税收及无欠税的证明材料。如依法免税的，须提供相</w:t>
      </w:r>
    </w:p>
    <w:p w14:paraId="30EF0DD3">
      <w:pPr>
        <w:pStyle w:val="2"/>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2"/>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w:t>
      </w:r>
      <w:r>
        <w:rPr>
          <w:rFonts w:hint="eastAsia" w:ascii="仿宋" w:hAnsi="仿宋" w:eastAsia="仿宋"/>
          <w:b/>
          <w:bCs/>
          <w:sz w:val="32"/>
          <w:szCs w:val="32"/>
          <w:highlight w:val="none"/>
          <w:lang w:val="en-US" w:eastAsia="zh-CN"/>
        </w:rPr>
        <w:t>相关</w:t>
      </w:r>
      <w:r>
        <w:rPr>
          <w:rFonts w:hint="eastAsia" w:ascii="仿宋" w:hAnsi="仿宋" w:eastAsia="仿宋"/>
          <w:b/>
          <w:bCs/>
          <w:sz w:val="32"/>
          <w:szCs w:val="32"/>
          <w:highlight w:val="none"/>
        </w:rPr>
        <w:t>要求详见附件八《</w:t>
      </w:r>
      <w:r>
        <w:rPr>
          <w:rFonts w:hint="eastAsia" w:eastAsia="仿宋"/>
          <w:sz w:val="32"/>
          <w:szCs w:val="32"/>
          <w:highlight w:val="none"/>
          <w:lang w:eastAsia="zh-CN"/>
        </w:rPr>
        <w:t>东莞市海心沙资源综合利用中心环保热电厂气动翻板阀采购项目</w:t>
      </w:r>
      <w:r>
        <w:rPr>
          <w:rFonts w:hint="eastAsia" w:eastAsia="仿宋"/>
          <w:sz w:val="32"/>
          <w:szCs w:val="32"/>
          <w:highlight w:val="none"/>
          <w:lang w:val="en-US" w:eastAsia="zh-CN"/>
        </w:rPr>
        <w:t>需求书</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rPr>
        <w:t>报价人应详细核对及阅读采购清单及技术要求，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如有遗漏造成报价失误由报</w:t>
      </w:r>
      <w:r>
        <w:rPr>
          <w:rFonts w:hint="eastAsia" w:ascii="仿宋" w:hAnsi="仿宋" w:eastAsia="仿宋"/>
          <w:sz w:val="32"/>
          <w:szCs w:val="32"/>
          <w:highlight w:val="none"/>
        </w:rPr>
        <w:t>价人自行负责。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w:t>
      </w:r>
      <w:r>
        <w:rPr>
          <w:rFonts w:hint="eastAsia" w:eastAsia="仿宋_GB2312"/>
          <w:sz w:val="32"/>
          <w:szCs w:val="32"/>
          <w:highlight w:val="none"/>
          <w:lang w:val="en-US" w:eastAsia="zh-CN"/>
        </w:rPr>
        <w:t>本项目需求书</w:t>
      </w:r>
      <w:r>
        <w:rPr>
          <w:rFonts w:hint="eastAsia" w:eastAsia="仿宋_GB2312"/>
          <w:sz w:val="32"/>
          <w:szCs w:val="32"/>
          <w:highlight w:val="none"/>
        </w:rPr>
        <w:t>内的材质、性能、规格、工艺等要求；且均为合格产品，来源合法。</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w:t>
      </w:r>
      <w:r>
        <w:rPr>
          <w:rFonts w:hint="eastAsia" w:eastAsia="仿宋_GB2312"/>
          <w:sz w:val="32"/>
          <w:szCs w:val="32"/>
          <w:highlight w:val="none"/>
          <w:lang w:val="en-US" w:eastAsia="zh-CN"/>
        </w:rPr>
        <w:t>货物规格材质</w:t>
      </w:r>
      <w:r>
        <w:rPr>
          <w:rFonts w:hint="eastAsia" w:eastAsia="仿宋_GB2312"/>
          <w:sz w:val="32"/>
          <w:szCs w:val="32"/>
          <w:highlight w:val="none"/>
        </w:rPr>
        <w:t>需符合采购人附件八《东莞市海心沙资源综合利用中心环保热电厂气动翻板阀采购项目需求书》要求且符合国家相关标准。供货时报价人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w:t>
      </w:r>
      <w:r>
        <w:rPr>
          <w:rFonts w:hint="eastAsia" w:eastAsia="仿宋_GB2312"/>
          <w:sz w:val="32"/>
          <w:szCs w:val="32"/>
          <w:highlight w:val="none"/>
          <w:lang w:val="en-US" w:eastAsia="zh-CN"/>
        </w:rPr>
        <w:t>采购人</w:t>
      </w:r>
      <w:r>
        <w:rPr>
          <w:rFonts w:hint="eastAsia" w:eastAsia="仿宋_GB2312"/>
          <w:sz w:val="32"/>
          <w:szCs w:val="32"/>
          <w:highlight w:val="none"/>
        </w:rPr>
        <w:t>验收合格之日起质保</w:t>
      </w:r>
      <w:r>
        <w:rPr>
          <w:rFonts w:hint="eastAsia" w:eastAsia="仿宋_GB2312"/>
          <w:sz w:val="32"/>
          <w:szCs w:val="32"/>
          <w:highlight w:val="none"/>
          <w:lang w:val="en-US" w:eastAsia="zh-CN"/>
        </w:rPr>
        <w:t>半</w:t>
      </w:r>
      <w:r>
        <w:rPr>
          <w:rFonts w:hint="eastAsia" w:eastAsia="仿宋_GB2312"/>
          <w:sz w:val="32"/>
          <w:szCs w:val="32"/>
          <w:highlight w:val="none"/>
        </w:rPr>
        <w:t>年。</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（五）</w:t>
      </w:r>
      <w:r>
        <w:rPr>
          <w:rFonts w:hint="eastAsia" w:eastAsia="仿宋_GB2312"/>
          <w:sz w:val="32"/>
          <w:szCs w:val="32"/>
          <w:highlight w:val="none"/>
          <w:lang w:val="en-US" w:eastAsia="zh-CN"/>
        </w:rPr>
        <w:t>本项目为采购人原设备配套用生产物资，报价人所报货物必须满足本项目附件清单所要求的全部参数要求。</w:t>
      </w:r>
    </w:p>
    <w:p w14:paraId="3ADCD9E5">
      <w:pPr>
        <w:spacing w:line="360" w:lineRule="auto"/>
        <w:ind w:firstLine="640" w:firstLineChars="200"/>
        <w:outlineLvl w:val="1"/>
        <w:rPr>
          <w:rFonts w:hint="eastAsia" w:eastAsia="仿宋_GB2312"/>
          <w:sz w:val="32"/>
          <w:szCs w:val="32"/>
          <w:highlight w:val="none"/>
          <w:lang w:val="en-US" w:eastAsia="zh-CN"/>
        </w:rPr>
      </w:pPr>
      <w:r>
        <w:rPr>
          <w:rFonts w:hint="eastAsia" w:eastAsia="仿宋_GB2312"/>
          <w:sz w:val="32"/>
          <w:szCs w:val="32"/>
          <w:highlight w:val="none"/>
          <w:lang w:val="en-US" w:eastAsia="zh-CN"/>
        </w:rPr>
        <w:t>（六）</w:t>
      </w:r>
      <w:bookmarkStart w:id="7" w:name="_Toc13465_WPSOffice_Level1"/>
      <w:r>
        <w:rPr>
          <w:rFonts w:hint="eastAsia" w:eastAsia="仿宋_GB2312"/>
          <w:sz w:val="32"/>
          <w:szCs w:val="32"/>
          <w:highlight w:val="none"/>
          <w:lang w:val="en-US" w:eastAsia="zh-CN"/>
        </w:rPr>
        <w:t>报价人须完全按照采购人所提供的样板供货，如有任何差异导致所供货物与采购人设备不适配的，采购人拒绝收货，由此造成的损失由报价人承担。报价人须到现场踏勘并确认采购人样板，该样板作为货物验收标准。成交人批量供货前先打版给采购人确认，如果打版的不符合要求，给予一次修正机会，修正后仍不符合要求的，采购人有权终止合同。</w:t>
      </w:r>
      <w:r>
        <w:rPr>
          <w:rFonts w:hint="eastAsia" w:eastAsia="仿宋_GB2312"/>
          <w:color w:val="000000"/>
          <w:sz w:val="32"/>
          <w:szCs w:val="32"/>
        </w:rPr>
        <w:t>对项目要求有疑问</w:t>
      </w:r>
      <w:r>
        <w:rPr>
          <w:rFonts w:hint="eastAsia" w:eastAsia="仿宋_GB2312"/>
          <w:color w:val="000000"/>
          <w:sz w:val="32"/>
          <w:szCs w:val="32"/>
          <w:lang w:val="en-US" w:eastAsia="zh-CN"/>
        </w:rPr>
        <w:t>或需要现场踏勘的</w:t>
      </w:r>
      <w:r>
        <w:rPr>
          <w:rFonts w:hint="eastAsia" w:eastAsia="仿宋_GB2312"/>
          <w:color w:val="000000"/>
          <w:sz w:val="32"/>
          <w:szCs w:val="32"/>
        </w:rPr>
        <w:t>，可咨询项目负责人</w:t>
      </w:r>
      <w:r>
        <w:rPr>
          <w:rFonts w:hint="eastAsia" w:eastAsia="仿宋_GB2312"/>
          <w:color w:val="000000"/>
          <w:sz w:val="32"/>
          <w:szCs w:val="32"/>
          <w:lang w:val="en-US" w:eastAsia="zh-CN"/>
        </w:rPr>
        <w:t>陆</w:t>
      </w:r>
      <w:r>
        <w:rPr>
          <w:rFonts w:hint="eastAsia" w:eastAsia="仿宋_GB2312"/>
          <w:color w:val="000000"/>
          <w:sz w:val="32"/>
          <w:szCs w:val="32"/>
        </w:rPr>
        <w:t>工13828914466。</w:t>
      </w:r>
    </w:p>
    <w:p w14:paraId="622CAE23">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五、完成时间</w:t>
      </w:r>
      <w:bookmarkEnd w:id="7"/>
    </w:p>
    <w:p w14:paraId="09E36891">
      <w:pPr>
        <w:spacing w:line="360" w:lineRule="auto"/>
        <w:ind w:firstLine="640" w:firstLineChars="200"/>
        <w:outlineLvl w:val="1"/>
        <w:rPr>
          <w:rFonts w:hint="eastAsia" w:ascii="仿宋" w:hAnsi="仿宋" w:eastAsia="仿宋"/>
          <w:b w:val="0"/>
          <w:bCs w:val="0"/>
          <w:sz w:val="32"/>
          <w:szCs w:val="32"/>
          <w:highlight w:val="none"/>
        </w:rPr>
      </w:pPr>
      <w:bookmarkStart w:id="8" w:name="_Toc5169_WPSOffice_Level1"/>
      <w:r>
        <w:rPr>
          <w:rFonts w:hint="eastAsia" w:ascii="仿宋" w:hAnsi="仿宋" w:eastAsia="仿宋"/>
          <w:b w:val="0"/>
          <w:bCs w:val="0"/>
          <w:sz w:val="32"/>
          <w:szCs w:val="32"/>
          <w:highlight w:val="none"/>
        </w:rPr>
        <w:t>自</w:t>
      </w:r>
      <w:r>
        <w:rPr>
          <w:rFonts w:hint="eastAsia" w:ascii="仿宋" w:hAnsi="仿宋" w:eastAsia="仿宋"/>
          <w:b w:val="0"/>
          <w:bCs w:val="0"/>
          <w:sz w:val="32"/>
          <w:szCs w:val="32"/>
          <w:highlight w:val="none"/>
          <w:lang w:val="en-US" w:eastAsia="zh-CN"/>
        </w:rPr>
        <w:t>采购人</w:t>
      </w:r>
      <w:r>
        <w:rPr>
          <w:rFonts w:hint="eastAsia" w:ascii="仿宋" w:hAnsi="仿宋" w:eastAsia="仿宋"/>
          <w:b w:val="0"/>
          <w:bCs w:val="0"/>
          <w:sz w:val="32"/>
          <w:szCs w:val="32"/>
          <w:highlight w:val="none"/>
        </w:rPr>
        <w:t>结果确认函发出之日起12个日历日内完成样品打版，自结果确认函发出之日起40个日历日内完成</w:t>
      </w:r>
      <w:r>
        <w:rPr>
          <w:rFonts w:hint="eastAsia" w:ascii="仿宋" w:hAnsi="仿宋" w:eastAsia="仿宋"/>
          <w:b w:val="0"/>
          <w:bCs w:val="0"/>
          <w:sz w:val="32"/>
          <w:szCs w:val="32"/>
          <w:highlight w:val="none"/>
          <w:lang w:val="en-US" w:eastAsia="zh-CN"/>
        </w:rPr>
        <w:t>全部</w:t>
      </w:r>
      <w:r>
        <w:rPr>
          <w:rFonts w:hint="eastAsia" w:ascii="仿宋" w:hAnsi="仿宋" w:eastAsia="仿宋"/>
          <w:b w:val="0"/>
          <w:bCs w:val="0"/>
          <w:sz w:val="32"/>
          <w:szCs w:val="32"/>
          <w:highlight w:val="none"/>
        </w:rPr>
        <w:t>供货。</w:t>
      </w:r>
    </w:p>
    <w:p w14:paraId="13FD0BF8">
      <w:pPr>
        <w:spacing w:line="360" w:lineRule="auto"/>
        <w:ind w:firstLine="643" w:firstLineChars="200"/>
        <w:outlineLvl w:val="1"/>
        <w:rPr>
          <w:rFonts w:ascii="仿宋" w:hAnsi="仿宋" w:eastAsia="仿宋" w:cs="仿宋"/>
          <w:sz w:val="32"/>
          <w:szCs w:val="32"/>
          <w:highlight w:val="none"/>
        </w:rPr>
      </w:pPr>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5"/>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44D36B8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合同签订完成后，成交人在完成样品打版并经采购人确认合格后5个工作日内提交付款申请及合同金额20%的增值税专用发票，采购人收到上述有效资料之日起，15个工作日内支付合同金额20%的定金。</w:t>
      </w:r>
    </w:p>
    <w:p w14:paraId="1EEF968C">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成交人完成</w:t>
      </w:r>
      <w:r>
        <w:rPr>
          <w:rFonts w:hint="eastAsia" w:ascii="仿宋" w:hAnsi="仿宋" w:eastAsia="仿宋"/>
          <w:sz w:val="32"/>
          <w:szCs w:val="32"/>
          <w:highlight w:val="none"/>
          <w:lang w:val="en-US" w:eastAsia="zh-CN"/>
        </w:rPr>
        <w:t>全部</w:t>
      </w:r>
      <w:r>
        <w:rPr>
          <w:rFonts w:hint="eastAsia" w:ascii="仿宋" w:hAnsi="仿宋" w:eastAsia="仿宋"/>
          <w:sz w:val="32"/>
          <w:szCs w:val="32"/>
          <w:highlight w:val="none"/>
        </w:rPr>
        <w:t>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验收合格后，成交人提交合同</w:t>
      </w:r>
      <w:r>
        <w:rPr>
          <w:rFonts w:hint="eastAsia" w:ascii="仿宋" w:hAnsi="仿宋" w:eastAsia="仿宋"/>
          <w:sz w:val="32"/>
          <w:szCs w:val="32"/>
          <w:highlight w:val="none"/>
          <w:lang w:val="en-US" w:eastAsia="zh-CN"/>
        </w:rPr>
        <w:t>金额</w:t>
      </w:r>
      <w:r>
        <w:rPr>
          <w:rFonts w:hint="eastAsia" w:ascii="仿宋" w:hAnsi="仿宋" w:eastAsia="仿宋"/>
          <w:sz w:val="32"/>
          <w:szCs w:val="32"/>
          <w:highlight w:val="none"/>
        </w:rPr>
        <w:t>100%的增值税专用发票及请款资料，采购人在收到有效资料的三十个日历日内支付至合同金额的95%；</w:t>
      </w:r>
    </w:p>
    <w:p w14:paraId="2F43976A">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剩余合同金额的5%为质保金，质保期满且成交人完成全部质保服务之后，由成交人提交付款申请，采购人收到上述有效资料后，30个日历日内向成交人完成支付。</w:t>
      </w:r>
    </w:p>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0"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0"/>
    </w:p>
    <w:p w14:paraId="1FF2516E">
      <w:pPr>
        <w:spacing w:line="360" w:lineRule="auto"/>
        <w:ind w:firstLine="643" w:firstLineChars="200"/>
        <w:outlineLvl w:val="1"/>
        <w:rPr>
          <w:rFonts w:ascii="仿宋" w:hAnsi="仿宋" w:eastAsia="仿宋"/>
          <w:b/>
          <w:bCs/>
          <w:sz w:val="32"/>
          <w:szCs w:val="32"/>
          <w:highlight w:val="none"/>
        </w:rPr>
      </w:pPr>
      <w:bookmarkStart w:id="11"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1"/>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rPr>
        <w:t>本次项目采用询价方式进行采购，原则上以含税总价的最低报价的报价人为成交人。</w:t>
      </w:r>
    </w:p>
    <w:p w14:paraId="0BB1CD63">
      <w:pPr>
        <w:spacing w:line="360" w:lineRule="auto"/>
        <w:ind w:firstLine="640" w:firstLineChars="200"/>
        <w:outlineLvl w:val="1"/>
        <w:rPr>
          <w:rFonts w:eastAsia="仿宋_GB2312"/>
          <w:sz w:val="32"/>
          <w:szCs w:val="32"/>
          <w:highlight w:val="none"/>
        </w:rPr>
      </w:pPr>
      <w:r>
        <w:rPr>
          <w:rFonts w:hint="eastAsia" w:eastAsia="仿宋_GB2312"/>
          <w:sz w:val="32"/>
          <w:szCs w:val="32"/>
          <w:highlight w:val="none"/>
        </w:rPr>
        <w:t>开标结束后由我司招标成本部将相关询价情况报我司招标采购工作小组审定，由我司招标采购工作小组定标。</w:t>
      </w:r>
    </w:p>
    <w:p w14:paraId="4614EC5F">
      <w:pPr>
        <w:spacing w:line="360" w:lineRule="auto"/>
        <w:ind w:firstLine="643" w:firstLineChars="200"/>
        <w:outlineLvl w:val="1"/>
        <w:rPr>
          <w:rFonts w:ascii="仿宋" w:hAnsi="仿宋" w:eastAsia="仿宋"/>
          <w:b/>
          <w:bCs/>
          <w:sz w:val="32"/>
          <w:szCs w:val="32"/>
          <w:highlight w:val="none"/>
        </w:rPr>
      </w:pPr>
      <w:bookmarkStart w:id="12"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2"/>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、报价文件及补充说明等。确定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、报价文件的组成部分</w:t>
      </w:r>
      <w:r>
        <w:rPr>
          <w:rFonts w:hint="eastAsia" w:ascii="仿宋" w:hAnsi="仿宋" w:eastAsia="仿宋"/>
          <w:b/>
          <w:bCs/>
          <w:sz w:val="32"/>
          <w:szCs w:val="32"/>
          <w:highlight w:val="none"/>
        </w:rPr>
        <w:t>（报价人如未按本项要求提供资料，则作无效报价处理）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3"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3"/>
    </w:p>
    <w:p w14:paraId="0599D299">
      <w:pPr>
        <w:spacing w:line="360" w:lineRule="auto"/>
        <w:ind w:firstLine="640" w:firstLineChars="200"/>
        <w:outlineLvl w:val="1"/>
        <w:rPr>
          <w:rFonts w:ascii="仿宋" w:hAnsi="仿宋" w:eastAsia="仿宋"/>
          <w:sz w:val="32"/>
          <w:szCs w:val="32"/>
          <w:highlight w:val="none"/>
        </w:rPr>
      </w:pPr>
      <w:bookmarkStart w:id="14"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4"/>
    </w:p>
    <w:p w14:paraId="7936618E">
      <w:pPr>
        <w:spacing w:line="360" w:lineRule="auto"/>
        <w:ind w:firstLine="640" w:firstLineChars="200"/>
        <w:outlineLvl w:val="1"/>
        <w:rPr>
          <w:rFonts w:ascii="仿宋" w:hAnsi="仿宋" w:eastAsia="仿宋"/>
          <w:sz w:val="32"/>
          <w:szCs w:val="32"/>
          <w:highlight w:val="none"/>
        </w:rPr>
      </w:pPr>
      <w:bookmarkStart w:id="15"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5"/>
    </w:p>
    <w:p w14:paraId="326DD7D9">
      <w:pPr>
        <w:spacing w:line="360" w:lineRule="auto"/>
        <w:ind w:firstLine="640" w:firstLineChars="200"/>
        <w:outlineLvl w:val="1"/>
        <w:rPr>
          <w:rFonts w:ascii="仿宋" w:hAnsi="仿宋" w:eastAsia="仿宋"/>
          <w:sz w:val="32"/>
          <w:szCs w:val="32"/>
          <w:highlight w:val="none"/>
        </w:rPr>
      </w:pPr>
      <w:bookmarkStart w:id="16" w:name="_Toc5169_WPSOffice_Level2"/>
      <w:r>
        <w:rPr>
          <w:rFonts w:ascii="仿宋" w:hAnsi="仿宋" w:eastAsia="仿宋"/>
          <w:sz w:val="32"/>
          <w:szCs w:val="32"/>
          <w:highlight w:val="none"/>
        </w:rPr>
        <w:t>4、</w:t>
      </w:r>
      <w:r>
        <w:rPr>
          <w:rFonts w:hint="eastAsia" w:ascii="仿宋" w:hAnsi="仿宋" w:eastAsia="仿宋"/>
          <w:sz w:val="32"/>
          <w:szCs w:val="32"/>
          <w:highlight w:val="none"/>
        </w:rPr>
        <w:t>报价人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614E304C">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rPr>
        <w:t>5、</w:t>
      </w:r>
      <w:r>
        <w:rPr>
          <w:rFonts w:hint="eastAsia" w:ascii="仿宋" w:hAnsi="仿宋" w:eastAsia="仿宋"/>
          <w:sz w:val="32"/>
          <w:szCs w:val="32"/>
          <w:highlight w:val="none"/>
          <w:lang w:val="en-US" w:eastAsia="zh-CN"/>
        </w:rPr>
        <w:t>响应人报价截止日前6个月内任意1个月依法缴纳税收证明材料。如依法免税的，须提供相应证明材料。(证明材料须加盖公章)</w:t>
      </w:r>
    </w:p>
    <w:p w14:paraId="72792A54">
      <w:pPr>
        <w:pStyle w:val="14"/>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6、响应人无欠税证明材料（在全国统一规范电子税务局平台开具，证明材料须加盖公章）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7</w:t>
      </w:r>
      <w:r>
        <w:rPr>
          <w:rFonts w:hint="default" w:ascii="Times New Roman" w:hAnsi="Times New Roman" w:eastAsia="仿宋" w:cs="Times New Roman"/>
          <w:b w:val="0"/>
          <w:bCs w:val="0"/>
          <w:sz w:val="32"/>
          <w:szCs w:val="32"/>
          <w:highlight w:val="none"/>
        </w:rPr>
        <w:t>、</w:t>
      </w:r>
      <w:bookmarkStart w:id="17" w:name="_Toc6431_WPSOffice_Level2"/>
      <w:r>
        <w:rPr>
          <w:rFonts w:hint="default" w:ascii="Times New Roman" w:hAnsi="Times New Roman" w:eastAsia="仿宋" w:cs="Times New Roman"/>
          <w:sz w:val="32"/>
          <w:szCs w:val="32"/>
          <w:highlight w:val="none"/>
        </w:rPr>
        <w:t>本项目询价文件要求或报价人认为应补充的其他资料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7"/>
    </w:p>
    <w:p w14:paraId="4FCB9CBB">
      <w:pPr>
        <w:spacing w:line="360" w:lineRule="auto"/>
        <w:ind w:firstLine="640" w:firstLineChars="200"/>
        <w:rPr>
          <w:rFonts w:hint="eastAsia" w:ascii="仿宋" w:hAnsi="仿宋" w:eastAsia="仿宋"/>
          <w:b w:val="0"/>
          <w:bCs w:val="0"/>
          <w:sz w:val="32"/>
          <w:szCs w:val="32"/>
          <w:highlight w:val="none"/>
        </w:rPr>
      </w:pPr>
      <w:bookmarkStart w:id="18" w:name="_Toc17260_WPSOffice_Level2"/>
      <w:r>
        <w:rPr>
          <w:rFonts w:hint="eastAsia" w:ascii="仿宋" w:hAnsi="仿宋" w:eastAsia="仿宋"/>
          <w:b w:val="0"/>
          <w:bCs w:val="0"/>
          <w:sz w:val="32"/>
          <w:szCs w:val="32"/>
          <w:highlight w:val="none"/>
          <w:lang w:val="en-US" w:eastAsia="zh-CN"/>
        </w:rPr>
        <w:t>8</w:t>
      </w:r>
      <w:r>
        <w:rPr>
          <w:rFonts w:hint="eastAsia" w:ascii="仿宋" w:hAnsi="仿宋" w:eastAsia="仿宋"/>
          <w:b w:val="0"/>
          <w:bCs w:val="0"/>
          <w:sz w:val="32"/>
          <w:szCs w:val="32"/>
          <w:highlight w:val="none"/>
        </w:rPr>
        <w:t>、踏勘及响应承诺函</w:t>
      </w:r>
      <w:r>
        <w:rPr>
          <w:rFonts w:hint="eastAsia" w:eastAsia="仿宋_GB2312"/>
          <w:b w:val="0"/>
          <w:bCs w:val="0"/>
          <w:color w:val="000000"/>
          <w:sz w:val="32"/>
          <w:szCs w:val="32"/>
          <w:highlight w:val="none"/>
        </w:rPr>
        <w:t>（模板，详见附件</w:t>
      </w:r>
      <w:r>
        <w:rPr>
          <w:rFonts w:hint="eastAsia" w:eastAsia="仿宋_GB2312"/>
          <w:b w:val="0"/>
          <w:bCs w:val="0"/>
          <w:color w:val="000000"/>
          <w:sz w:val="32"/>
          <w:szCs w:val="32"/>
          <w:highlight w:val="none"/>
          <w:lang w:eastAsia="zh-CN"/>
        </w:rPr>
        <w:t>，</w:t>
      </w:r>
      <w:r>
        <w:rPr>
          <w:rFonts w:hint="eastAsia" w:eastAsia="仿宋_GB2312"/>
          <w:b w:val="0"/>
          <w:bCs w:val="0"/>
          <w:color w:val="000000"/>
          <w:sz w:val="32"/>
          <w:szCs w:val="32"/>
          <w:highlight w:val="none"/>
          <w:lang w:val="en-US" w:eastAsia="zh-CN"/>
        </w:rPr>
        <w:t>加盖公章</w:t>
      </w:r>
      <w:r>
        <w:rPr>
          <w:rFonts w:hint="eastAsia" w:eastAsia="仿宋_GB2312"/>
          <w:b w:val="0"/>
          <w:bCs w:val="0"/>
          <w:color w:val="000000"/>
          <w:sz w:val="32"/>
          <w:szCs w:val="32"/>
          <w:highlight w:val="none"/>
        </w:rPr>
        <w:t>）</w:t>
      </w:r>
    </w:p>
    <w:p w14:paraId="755CD1FA">
      <w:pPr>
        <w:spacing w:line="360" w:lineRule="auto"/>
        <w:ind w:firstLine="640" w:firstLineChars="200"/>
        <w:rPr>
          <w:rFonts w:eastAsia="仿宋_GB2312"/>
          <w:sz w:val="32"/>
          <w:szCs w:val="32"/>
          <w:highlight w:val="none"/>
        </w:rPr>
      </w:pPr>
      <w:r>
        <w:rPr>
          <w:rFonts w:hint="eastAsia" w:ascii="仿宋" w:hAnsi="仿宋" w:eastAsia="仿宋"/>
          <w:sz w:val="32"/>
          <w:szCs w:val="32"/>
          <w:highlight w:val="none"/>
          <w:lang w:val="en-US" w:eastAsia="zh-CN"/>
        </w:rPr>
        <w:t>9、</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18"/>
      <w:r>
        <w:rPr>
          <w:rFonts w:hint="eastAsia" w:eastAsia="仿宋_GB2312"/>
          <w:color w:val="000000" w:themeColor="text1"/>
          <w:sz w:val="32"/>
          <w:szCs w:val="32"/>
          <w:highlight w:val="none"/>
          <w14:textFill>
            <w14:solidFill>
              <w14:schemeClr w14:val="tx1"/>
            </w14:solidFill>
          </w14:textFill>
        </w:rPr>
        <w:t>。</w:t>
      </w:r>
    </w:p>
    <w:p w14:paraId="5AA8AC72">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0C3D1AA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1、正本一份、副本一份。</w:t>
      </w:r>
    </w:p>
    <w:p w14:paraId="7491A78E">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2、报价人须严格按照采购人提供的表单格式及要求报价，响应文件必须装订或胶装成册，正本必须每页加盖公章，副本可使用正本复印件</w:t>
      </w:r>
      <w:r>
        <w:rPr>
          <w:rFonts w:hint="eastAsia" w:ascii="仿宋" w:hAnsi="仿宋" w:eastAsia="仿宋"/>
          <w:sz w:val="32"/>
          <w:szCs w:val="32"/>
          <w:highlight w:val="none"/>
          <w:lang w:val="en-US" w:eastAsia="zh-CN"/>
        </w:rPr>
        <w:t>但必须</w:t>
      </w:r>
      <w:r>
        <w:rPr>
          <w:rFonts w:hint="eastAsia" w:ascii="仿宋" w:hAnsi="仿宋" w:eastAsia="仿宋"/>
          <w:sz w:val="32"/>
          <w:szCs w:val="32"/>
          <w:highlight w:val="none"/>
        </w:rPr>
        <w:t>于封面及骑缝处加盖公章。</w:t>
      </w:r>
    </w:p>
    <w:p w14:paraId="31D41200">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3、响应文件必须密封完好，装有响应文件的文件袋须贴有密封条，于骑缝处加盖企业公章。不得以快递文件袋作为密封。</w:t>
      </w:r>
    </w:p>
    <w:p w14:paraId="296F47E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4、报价人所递交的响应文件必须为盖章原件，公章、私章或签字不得为彩色/黑白的打印件/复印件。</w:t>
      </w:r>
    </w:p>
    <w:p w14:paraId="225A70C3">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5、报价人需将本项目密封文件袋封面（附件一）粘贴于响应文件密封袋上。</w:t>
      </w:r>
    </w:p>
    <w:p w14:paraId="292AB79B">
      <w:pPr>
        <w:pStyle w:val="2"/>
        <w:spacing w:line="360"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6、不符合本项要求的响应文件为无效报价。</w:t>
      </w:r>
    </w:p>
    <w:p w14:paraId="449C1BE6">
      <w:pPr>
        <w:spacing w:line="360" w:lineRule="auto"/>
        <w:ind w:firstLine="643" w:firstLineChars="200"/>
        <w:outlineLvl w:val="1"/>
        <w:rPr>
          <w:rFonts w:ascii="仿宋" w:hAnsi="仿宋" w:eastAsia="仿宋"/>
          <w:b/>
          <w:bCs/>
          <w:sz w:val="32"/>
          <w:szCs w:val="32"/>
          <w:highlight w:val="none"/>
        </w:rPr>
      </w:pPr>
      <w:bookmarkStart w:id="19" w:name="_Toc406_WPSOffice_Level1"/>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19"/>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5</w:t>
      </w:r>
      <w:r>
        <w:rPr>
          <w:rFonts w:ascii="仿宋" w:hAnsi="仿宋" w:eastAsia="仿宋"/>
          <w:sz w:val="32"/>
          <w:szCs w:val="32"/>
          <w:highlight w:val="none"/>
        </w:rPr>
        <w:t>年</w:t>
      </w:r>
      <w:r>
        <w:rPr>
          <w:rFonts w:hint="eastAsia" w:ascii="仿宋" w:hAnsi="仿宋" w:eastAsia="仿宋"/>
          <w:sz w:val="32"/>
          <w:szCs w:val="32"/>
          <w:highlight w:val="none"/>
          <w:lang w:val="en-US" w:eastAsia="zh-CN"/>
        </w:rPr>
        <w:t>11</w:t>
      </w:r>
      <w:r>
        <w:rPr>
          <w:rFonts w:ascii="仿宋" w:hAnsi="仿宋" w:eastAsia="仿宋"/>
          <w:sz w:val="32"/>
          <w:szCs w:val="32"/>
          <w:highlight w:val="none"/>
        </w:rPr>
        <w:t>月</w:t>
      </w:r>
      <w:r>
        <w:rPr>
          <w:rFonts w:hint="eastAsia" w:ascii="仿宋" w:hAnsi="仿宋" w:eastAsia="仿宋"/>
          <w:sz w:val="32"/>
          <w:szCs w:val="32"/>
          <w:highlight w:val="none"/>
          <w:lang w:val="en-US" w:eastAsia="zh-CN"/>
        </w:rPr>
        <w:t>11</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二</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本项目报价人可选择现场递交报价文件或邮寄报价文件，其中：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到开标地址提交报价文件并参加开标会议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拒收报价文件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rPr>
        <w:t>报价人提交报价文件地址：东莞市麻涌镇大步村海心沙岛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2"/>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必须确保响应文件密封完好，在开标截止时间前一日送达采购人处，须使用顺丰速运提前寄送（运费自理，采购人拒收到付件），因邮寄造成响应文件破损无效或文件丢失的责任由报价人自负，因快递派件人员无工作证等原因（如顺丰即日达）造成快递派件问题的责任由报价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0" w:name="_Hlk517879660"/>
      <w:r>
        <w:rPr>
          <w:rFonts w:hint="eastAsia" w:ascii="仿宋" w:hAnsi="仿宋" w:eastAsia="仿宋" w:cs="仿宋"/>
          <w:color w:val="000000"/>
          <w:sz w:val="32"/>
          <w:szCs w:val="32"/>
          <w:highlight w:val="none"/>
        </w:rPr>
        <w:t>1、若报价人未按规定时间递交响应文件，视为放弃报价资格。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2、报价人如未按要求交纳保证金，则视为放弃报价/成交资格。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3、采购人向报价人提供的有关资料和数据，是采购人现有的能使报价人利用的资料，采购人对报价人由此而做出的推论、理解和结论概不负责。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5、本项目仅可提交一个报价方案，提交两个或以上报价方案的报价人视为无效报价。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6、本项目不接受报价人其他附加条件。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3）报价人提供虚假报价文件或虚假补充文件。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8、有下列情形之一的，视为报价人串通询价，</w:t>
      </w:r>
      <w:r>
        <w:rPr>
          <w:rFonts w:hint="eastAsia" w:eastAsia="仿宋_GB2312"/>
          <w:color w:val="000000"/>
          <w:sz w:val="32"/>
          <w:szCs w:val="32"/>
        </w:rPr>
        <w:t>其</w:t>
      </w:r>
      <w:r>
        <w:rPr>
          <w:rFonts w:hint="eastAsia" w:eastAsia="仿宋_GB2312"/>
          <w:color w:val="000000"/>
          <w:sz w:val="32"/>
          <w:szCs w:val="32"/>
          <w:lang w:val="en-US" w:eastAsia="zh-CN"/>
        </w:rPr>
        <w:t>响应</w:t>
      </w:r>
      <w:r>
        <w:rPr>
          <w:rFonts w:hint="eastAsia" w:eastAsia="仿宋_GB2312"/>
          <w:color w:val="000000"/>
          <w:sz w:val="32"/>
          <w:szCs w:val="32"/>
        </w:rPr>
        <w:t>无效</w:t>
      </w:r>
      <w:r>
        <w:rPr>
          <w:rFonts w:hint="eastAsia" w:eastAsia="仿宋_GB2312"/>
          <w:color w:val="000000"/>
          <w:sz w:val="32"/>
          <w:szCs w:val="32"/>
          <w:lang w:eastAsia="zh-CN"/>
        </w:rPr>
        <w:t>，</w:t>
      </w:r>
      <w:r>
        <w:rPr>
          <w:rFonts w:hint="eastAsia" w:ascii="仿宋" w:hAnsi="仿宋" w:eastAsia="仿宋" w:cs="仿宋"/>
          <w:color w:val="000000"/>
          <w:sz w:val="32"/>
          <w:szCs w:val="32"/>
          <w:highlight w:val="none"/>
          <w:lang w:val="en-US" w:eastAsia="zh-CN"/>
        </w:rPr>
        <w:t>并纳入采购人供应商黑名单</w:t>
      </w:r>
      <w:r>
        <w:rPr>
          <w:rFonts w:hint="eastAsia" w:ascii="仿宋" w:hAnsi="仿宋" w:eastAsia="仿宋" w:cs="仿宋"/>
          <w:color w:val="000000"/>
          <w:sz w:val="32"/>
          <w:szCs w:val="32"/>
          <w:highlight w:val="none"/>
        </w:rPr>
        <w:t>：</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（1）不同报价人的响应文件由同一单位或者个人编制；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（2）不同报价人委托同一单位或者个人办理响应事宜；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（3）不同报价人的响应文件载明的项目管理成员或者联系人员为同一人；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（4）不同报价人的响应文件异常一致或者响应报价呈规律性差异；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（5）不同报价人的响应文件相互混装；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（6）不同报价人的响应保证金从同一单位或者个人的账户转出。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9、已列入采购人及上级单位部门黑名单的报价人视为无效报价。</w:t>
      </w:r>
      <w:bookmarkEnd w:id="20"/>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5</w:t>
      </w:r>
      <w:r>
        <w:rPr>
          <w:rFonts w:hint="eastAsia" w:eastAsia="仿宋_GB2312"/>
          <w:sz w:val="32"/>
          <w:szCs w:val="32"/>
          <w:highlight w:val="none"/>
        </w:rPr>
        <w:t>年</w:t>
      </w:r>
      <w:r>
        <w:rPr>
          <w:rFonts w:hint="eastAsia" w:eastAsia="仿宋_GB2312"/>
          <w:sz w:val="32"/>
          <w:szCs w:val="32"/>
          <w:highlight w:val="none"/>
          <w:lang w:val="en-US" w:eastAsia="zh-CN"/>
        </w:rPr>
        <w:t xml:space="preserve"> 11 </w:t>
      </w:r>
      <w:r>
        <w:rPr>
          <w:rFonts w:hint="eastAsia" w:eastAsia="仿宋_GB2312"/>
          <w:sz w:val="32"/>
          <w:szCs w:val="32"/>
          <w:highlight w:val="none"/>
        </w:rPr>
        <w:t>月</w:t>
      </w:r>
      <w:r>
        <w:rPr>
          <w:rFonts w:hint="eastAsia" w:eastAsia="仿宋_GB2312"/>
          <w:sz w:val="32"/>
          <w:szCs w:val="32"/>
          <w:highlight w:val="none"/>
          <w:lang w:val="en-US" w:eastAsia="zh-CN"/>
        </w:rPr>
        <w:t xml:space="preserve">3 </w:t>
      </w:r>
      <w:r>
        <w:rPr>
          <w:rFonts w:hint="eastAsia" w:eastAsia="仿宋_GB2312"/>
          <w:sz w:val="32"/>
          <w:szCs w:val="32"/>
          <w:highlight w:val="none"/>
        </w:rPr>
        <w:t>日</w:t>
      </w:r>
    </w:p>
    <w:p w14:paraId="66D43874">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9"/>
        <w:numPr>
          <w:ilvl w:val="0"/>
          <w:numId w:val="2"/>
        </w:numPr>
        <w:spacing w:line="360" w:lineRule="auto"/>
        <w:ind w:firstLineChars="0"/>
        <w:outlineLvl w:val="1"/>
        <w:rPr>
          <w:rFonts w:ascii="仿宋" w:hAnsi="仿宋" w:eastAsia="仿宋"/>
          <w:b/>
          <w:bCs/>
          <w:sz w:val="28"/>
          <w:szCs w:val="44"/>
          <w:highlight w:val="none"/>
        </w:rPr>
      </w:pPr>
      <w:bookmarkStart w:id="21" w:name="_Toc7977_WPSOffice_Level1"/>
      <w:bookmarkStart w:id="22" w:name="_Hlk524442005"/>
      <w:r>
        <w:rPr>
          <w:rFonts w:hint="eastAsia" w:ascii="仿宋" w:hAnsi="仿宋" w:eastAsia="仿宋"/>
          <w:b/>
          <w:bCs/>
          <w:sz w:val="28"/>
          <w:szCs w:val="44"/>
          <w:highlight w:val="none"/>
        </w:rPr>
        <w:t>密封文件袋封面</w:t>
      </w:r>
      <w:bookmarkEnd w:id="21"/>
    </w:p>
    <w:p w14:paraId="1CF07756">
      <w:pPr>
        <w:pStyle w:val="29"/>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3" w:name="_Toc406_WPSOffice_Level2"/>
    </w:p>
    <w:bookmarkEnd w:id="23"/>
    <w:p w14:paraId="295E3CA6">
      <w:pPr>
        <w:jc w:val="center"/>
        <w:rPr>
          <w:rFonts w:hint="eastAsia" w:ascii="仿宋" w:hAnsi="仿宋" w:eastAsia="仿宋"/>
          <w:b/>
          <w:bCs/>
          <w:sz w:val="52"/>
          <w:szCs w:val="52"/>
          <w:highlight w:val="none"/>
        </w:rPr>
      </w:pPr>
      <w:bookmarkStart w:id="24" w:name="_Toc21841_WPSOffice_Level2"/>
      <w:r>
        <w:rPr>
          <w:rFonts w:hint="eastAsia" w:ascii="仿宋" w:hAnsi="仿宋" w:eastAsia="仿宋"/>
          <w:b/>
          <w:bCs/>
          <w:sz w:val="52"/>
          <w:szCs w:val="52"/>
          <w:highlight w:val="none"/>
        </w:rPr>
        <w:t>东莞市海心沙资源综合利用中心环保热电厂气动翻板阀采购项目</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rPr>
        <w:t>报价文件</w:t>
      </w:r>
      <w:bookmarkEnd w:id="24"/>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rPr>
        <w:t>报价人名称（加盖公章）：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9"/>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9"/>
        <w:numPr>
          <w:ilvl w:val="0"/>
          <w:numId w:val="2"/>
        </w:numPr>
        <w:spacing w:line="360" w:lineRule="auto"/>
        <w:ind w:firstLineChars="0"/>
        <w:outlineLvl w:val="1"/>
        <w:rPr>
          <w:rFonts w:ascii="仿宋" w:hAnsi="仿宋" w:eastAsia="仿宋"/>
          <w:b/>
          <w:bCs/>
          <w:sz w:val="28"/>
          <w:szCs w:val="44"/>
          <w:highlight w:val="none"/>
        </w:rPr>
      </w:pPr>
      <w:bookmarkStart w:id="25" w:name="_Toc25465_WPSOffice_Level1"/>
      <w:r>
        <w:rPr>
          <w:rFonts w:ascii="仿宋" w:hAnsi="仿宋" w:eastAsia="仿宋"/>
          <w:b/>
          <w:bCs/>
          <w:sz w:val="28"/>
          <w:szCs w:val="44"/>
          <w:highlight w:val="none"/>
        </w:rPr>
        <w:t>报价函</w:t>
      </w:r>
      <w:bookmarkEnd w:id="25"/>
    </w:p>
    <w:p w14:paraId="5B2512F7">
      <w:pPr>
        <w:spacing w:line="360" w:lineRule="auto"/>
        <w:jc w:val="center"/>
        <w:rPr>
          <w:rFonts w:ascii="仿宋" w:hAnsi="仿宋" w:eastAsia="仿宋"/>
          <w:sz w:val="44"/>
          <w:szCs w:val="44"/>
          <w:highlight w:val="none"/>
        </w:rPr>
      </w:pPr>
      <w:bookmarkStart w:id="26" w:name="_Toc7726_WPSOffice_Level1"/>
      <w:r>
        <w:rPr>
          <w:rFonts w:ascii="仿宋" w:hAnsi="仿宋" w:eastAsia="仿宋"/>
          <w:sz w:val="44"/>
          <w:szCs w:val="44"/>
          <w:highlight w:val="none"/>
        </w:rPr>
        <w:t>报价函</w:t>
      </w:r>
      <w:bookmarkEnd w:id="26"/>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东莞市海心沙资源综合利用中心环保热电厂气动翻板阀采购项目</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7" w:name="_Toc20373_WPSOffice_Level1"/>
      <w:r>
        <w:rPr>
          <w:rFonts w:ascii="仿宋" w:hAnsi="仿宋" w:eastAsia="仿宋"/>
          <w:sz w:val="44"/>
          <w:szCs w:val="44"/>
          <w:highlight w:val="none"/>
        </w:rPr>
        <w:br w:type="page"/>
      </w:r>
    </w:p>
    <w:bookmarkEnd w:id="27"/>
    <w:p w14:paraId="719DAA1E">
      <w:pPr>
        <w:pStyle w:val="29"/>
        <w:numPr>
          <w:ilvl w:val="0"/>
          <w:numId w:val="2"/>
        </w:numPr>
        <w:spacing w:line="360" w:lineRule="auto"/>
        <w:ind w:firstLineChars="0"/>
        <w:outlineLvl w:val="1"/>
        <w:rPr>
          <w:rFonts w:ascii="仿宋" w:hAnsi="仿宋" w:eastAsia="仿宋"/>
          <w:b/>
          <w:bCs/>
          <w:sz w:val="28"/>
          <w:szCs w:val="44"/>
          <w:highlight w:val="none"/>
        </w:rPr>
      </w:pPr>
      <w:bookmarkStart w:id="28" w:name="_Toc28030_WPSOffice_Level1"/>
      <w:r>
        <w:rPr>
          <w:rFonts w:ascii="仿宋" w:hAnsi="仿宋" w:eastAsia="仿宋"/>
          <w:b/>
          <w:bCs/>
          <w:sz w:val="28"/>
          <w:szCs w:val="44"/>
          <w:highlight w:val="none"/>
        </w:rPr>
        <w:t>法人证明</w:t>
      </w:r>
      <w:bookmarkEnd w:id="28"/>
    </w:p>
    <w:p w14:paraId="6D8A4052">
      <w:pPr>
        <w:spacing w:line="360" w:lineRule="auto"/>
        <w:jc w:val="center"/>
        <w:rPr>
          <w:rFonts w:ascii="仿宋" w:hAnsi="仿宋" w:eastAsia="仿宋"/>
          <w:b/>
          <w:bCs/>
          <w:sz w:val="32"/>
          <w:szCs w:val="32"/>
          <w:highlight w:val="none"/>
        </w:rPr>
      </w:pPr>
      <w:bookmarkStart w:id="29" w:name="_Toc7977_WPSOffice_Level2"/>
      <w:r>
        <w:rPr>
          <w:rFonts w:ascii="仿宋" w:hAnsi="仿宋" w:eastAsia="仿宋"/>
          <w:b/>
          <w:bCs/>
          <w:sz w:val="32"/>
          <w:szCs w:val="32"/>
          <w:highlight w:val="none"/>
        </w:rPr>
        <w:t>法定代表人身份证明书</w:t>
      </w:r>
      <w:bookmarkEnd w:id="29"/>
    </w:p>
    <w:p w14:paraId="3A6B3DCD">
      <w:pPr>
        <w:spacing w:line="360" w:lineRule="auto"/>
        <w:rPr>
          <w:rFonts w:ascii="仿宋" w:hAnsi="仿宋" w:eastAsia="仿宋"/>
          <w:sz w:val="32"/>
          <w:szCs w:val="32"/>
          <w:highlight w:val="none"/>
        </w:rPr>
      </w:pPr>
    </w:p>
    <w:p w14:paraId="5D54C5A3">
      <w:pPr>
        <w:pStyle w:val="22"/>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2"/>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0" w:name="_Toc384752807"/>
    </w:p>
    <w:p w14:paraId="2E3273DC">
      <w:pPr>
        <w:pStyle w:val="29"/>
        <w:numPr>
          <w:ilvl w:val="0"/>
          <w:numId w:val="2"/>
        </w:numPr>
        <w:spacing w:line="360" w:lineRule="auto"/>
        <w:ind w:firstLineChars="0"/>
        <w:outlineLvl w:val="1"/>
        <w:rPr>
          <w:rFonts w:ascii="仿宋" w:hAnsi="仿宋" w:eastAsia="仿宋"/>
          <w:b/>
          <w:bCs/>
          <w:sz w:val="28"/>
          <w:szCs w:val="44"/>
          <w:highlight w:val="none"/>
        </w:rPr>
      </w:pPr>
      <w:bookmarkStart w:id="31" w:name="_Toc14680_WPSOffice_Level1"/>
      <w:r>
        <w:rPr>
          <w:rFonts w:ascii="仿宋" w:hAnsi="仿宋" w:eastAsia="仿宋"/>
          <w:b/>
          <w:bCs/>
          <w:sz w:val="28"/>
          <w:szCs w:val="44"/>
          <w:highlight w:val="none"/>
        </w:rPr>
        <w:t>法人授权书</w:t>
      </w:r>
      <w:bookmarkEnd w:id="31"/>
    </w:p>
    <w:p w14:paraId="2C224505">
      <w:pPr>
        <w:widowControl/>
        <w:spacing w:line="360" w:lineRule="auto"/>
        <w:jc w:val="center"/>
        <w:rPr>
          <w:rFonts w:ascii="仿宋" w:hAnsi="仿宋" w:eastAsia="仿宋"/>
          <w:sz w:val="32"/>
          <w:szCs w:val="32"/>
          <w:highlight w:val="none"/>
        </w:rPr>
      </w:pPr>
      <w:bookmarkStart w:id="32" w:name="_Toc25465_WPSOffice_Level2"/>
      <w:r>
        <w:rPr>
          <w:rFonts w:ascii="仿宋" w:hAnsi="仿宋" w:eastAsia="仿宋"/>
          <w:b/>
          <w:sz w:val="32"/>
          <w:szCs w:val="32"/>
          <w:highlight w:val="none"/>
        </w:rPr>
        <w:t>授权委托书</w:t>
      </w:r>
      <w:bookmarkEnd w:id="30"/>
      <w:bookmarkEnd w:id="32"/>
    </w:p>
    <w:p w14:paraId="0D5F1435">
      <w:pPr>
        <w:pStyle w:val="22"/>
        <w:spacing w:line="360" w:lineRule="auto"/>
        <w:ind w:firstLine="0" w:firstLineChars="0"/>
        <w:rPr>
          <w:rFonts w:ascii="仿宋" w:hAnsi="仿宋" w:eastAsia="仿宋" w:cs="Times New Roman"/>
          <w:sz w:val="32"/>
          <w:szCs w:val="32"/>
          <w:highlight w:val="none"/>
        </w:rPr>
      </w:pPr>
    </w:p>
    <w:p w14:paraId="1B9D8365">
      <w:pPr>
        <w:pStyle w:val="22"/>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2"/>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填写报价人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东莞市海心沙资源综合利用中心环保热电厂气动翻板阀采购项目</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2"/>
        <w:spacing w:line="360" w:lineRule="auto"/>
        <w:ind w:firstLine="659"/>
        <w:rPr>
          <w:rFonts w:ascii="仿宋" w:hAnsi="仿宋" w:eastAsia="仿宋" w:cs="Times New Roman"/>
          <w:sz w:val="32"/>
          <w:szCs w:val="32"/>
          <w:highlight w:val="none"/>
        </w:rPr>
      </w:pPr>
    </w:p>
    <w:p w14:paraId="4762D2D9">
      <w:pPr>
        <w:pStyle w:val="22"/>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2"/>
        <w:spacing w:line="360" w:lineRule="auto"/>
        <w:ind w:firstLine="659"/>
        <w:rPr>
          <w:rFonts w:ascii="仿宋" w:hAnsi="仿宋" w:eastAsia="仿宋" w:cs="Times New Roman"/>
          <w:sz w:val="32"/>
          <w:szCs w:val="32"/>
          <w:highlight w:val="none"/>
        </w:rPr>
      </w:pPr>
    </w:p>
    <w:p w14:paraId="74271D35">
      <w:pPr>
        <w:pStyle w:val="22"/>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名称（加盖公章）：</w:t>
      </w:r>
    </w:p>
    <w:p w14:paraId="1BC5321C">
      <w:pPr>
        <w:pStyle w:val="22"/>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地址：</w:t>
      </w:r>
    </w:p>
    <w:p w14:paraId="7E13275C">
      <w:pPr>
        <w:pStyle w:val="22"/>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2"/>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2"/>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2"/>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2"/>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2"/>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9"/>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3" w:name="_Toc28985_WPSOffice_Level1"/>
      <w:bookmarkStart w:id="34" w:name="OLE_LINK11"/>
      <w:r>
        <w:rPr>
          <w:rFonts w:hint="eastAsia" w:ascii="仿宋" w:hAnsi="仿宋" w:eastAsia="仿宋"/>
          <w:b/>
          <w:bCs/>
          <w:sz w:val="28"/>
          <w:szCs w:val="44"/>
          <w:highlight w:val="none"/>
        </w:rPr>
        <w:t>投标人未到场声明</w:t>
      </w:r>
      <w:bookmarkEnd w:id="33"/>
    </w:p>
    <w:bookmarkEnd w:id="34"/>
    <w:p w14:paraId="0C52BB00">
      <w:pPr>
        <w:pStyle w:val="29"/>
        <w:ind w:firstLine="0" w:firstLineChars="0"/>
        <w:jc w:val="center"/>
        <w:outlineLvl w:val="1"/>
        <w:rPr>
          <w:rFonts w:eastAsia="仿宋_GB2312"/>
          <w:b/>
          <w:sz w:val="32"/>
          <w:szCs w:val="32"/>
          <w:highlight w:val="none"/>
        </w:rPr>
      </w:pPr>
      <w:bookmarkStart w:id="35" w:name="_Toc7726_WPSOffice_Level2"/>
      <w:r>
        <w:rPr>
          <w:rFonts w:ascii="仿宋_GB2312" w:eastAsia="仿宋_GB2312"/>
          <w:b/>
          <w:sz w:val="32"/>
          <w:szCs w:val="32"/>
          <w:highlight w:val="none"/>
        </w:rPr>
        <w:t>投标人未到场声明</w:t>
      </w:r>
      <w:bookmarkEnd w:id="35"/>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我司就参加东莞市海心沙资源综合利用中心环保热电厂气动翻板阀采购项目报价工作，作出郑重说明：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9"/>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lang w:val="en-US" w:eastAsia="zh-CN"/>
        </w:rPr>
        <w:t>踏勘及</w:t>
      </w:r>
      <w:r>
        <w:rPr>
          <w:rFonts w:hint="eastAsia" w:ascii="仿宋" w:hAnsi="仿宋" w:eastAsia="仿宋"/>
          <w:b/>
          <w:bCs/>
          <w:sz w:val="28"/>
          <w:szCs w:val="44"/>
          <w:highlight w:val="none"/>
        </w:rPr>
        <w:t>响应承诺函</w:t>
      </w:r>
    </w:p>
    <w:bookmarkEnd w:id="22"/>
    <w:p w14:paraId="1822E22E">
      <w:pPr>
        <w:pStyle w:val="29"/>
        <w:spacing w:before="120"/>
        <w:ind w:firstLine="0" w:firstLineChars="0"/>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踏勘及响应承诺函</w:t>
      </w:r>
    </w:p>
    <w:p w14:paraId="29DE27FD">
      <w:pPr>
        <w:spacing w:before="120"/>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东莞市新东元环保投资有限公司（采购人）：</w:t>
      </w:r>
    </w:p>
    <w:p w14:paraId="5DB8707C">
      <w:pPr>
        <w:spacing w:before="120"/>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我司就</w:t>
      </w:r>
      <w:r>
        <w:rPr>
          <w:rFonts w:hint="eastAsia" w:eastAsia="仿宋_GB2312"/>
          <w:color w:val="000000"/>
          <w:sz w:val="32"/>
          <w:szCs w:val="32"/>
          <w:u w:val="single"/>
          <w:lang w:eastAsia="zh-CN"/>
        </w:rPr>
        <w:t>东莞市海心沙资源综合利用中心环保热电厂气动翻板阀采购项目</w:t>
      </w:r>
      <w:r>
        <w:rPr>
          <w:rFonts w:hint="eastAsia" w:ascii="仿宋" w:hAnsi="仿宋" w:eastAsia="仿宋" w:cs="仿宋"/>
          <w:sz w:val="32"/>
          <w:szCs w:val="32"/>
          <w:highlight w:val="none"/>
        </w:rPr>
        <w:t>报价工作，作出以下承诺：</w:t>
      </w:r>
    </w:p>
    <w:p w14:paraId="7431A3C5">
      <w:pPr>
        <w:spacing w:before="120"/>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我公司已对项目进行踏勘并充分了解采购项目情况，本次报价完全响应采购文件及其全部附件的所有要求，我公司所提供的</w:t>
      </w:r>
      <w:r>
        <w:rPr>
          <w:rFonts w:hint="eastAsia" w:ascii="仿宋" w:hAnsi="仿宋" w:eastAsia="仿宋" w:cs="仿宋"/>
          <w:sz w:val="32"/>
          <w:szCs w:val="32"/>
          <w:highlight w:val="none"/>
          <w:lang w:val="en-US" w:eastAsia="zh-CN"/>
        </w:rPr>
        <w:t>货物及服务</w:t>
      </w:r>
      <w:r>
        <w:rPr>
          <w:rFonts w:hint="eastAsia" w:ascii="仿宋" w:hAnsi="仿宋" w:eastAsia="仿宋" w:cs="仿宋"/>
          <w:sz w:val="32"/>
          <w:szCs w:val="32"/>
          <w:highlight w:val="none"/>
        </w:rPr>
        <w:t>等于或优于采购人需求，并承诺如不满足采购人需求，采购人有权</w:t>
      </w:r>
      <w:r>
        <w:rPr>
          <w:rFonts w:hint="eastAsia" w:ascii="仿宋" w:hAnsi="仿宋" w:eastAsia="仿宋" w:cs="仿宋"/>
          <w:sz w:val="32"/>
          <w:szCs w:val="32"/>
          <w:highlight w:val="none"/>
          <w:lang w:val="en-US" w:eastAsia="zh-CN"/>
        </w:rPr>
        <w:t>单方面解除</w:t>
      </w:r>
      <w:r>
        <w:rPr>
          <w:rFonts w:hint="eastAsia" w:ascii="仿宋" w:hAnsi="仿宋" w:eastAsia="仿宋" w:cs="仿宋"/>
          <w:sz w:val="32"/>
          <w:szCs w:val="32"/>
          <w:highlight w:val="none"/>
        </w:rPr>
        <w:t>合同并</w:t>
      </w:r>
      <w:r>
        <w:rPr>
          <w:rFonts w:hint="eastAsia" w:ascii="仿宋" w:hAnsi="仿宋" w:eastAsia="仿宋" w:cs="仿宋"/>
          <w:sz w:val="32"/>
          <w:szCs w:val="32"/>
          <w:highlight w:val="none"/>
          <w:lang w:val="en-US" w:eastAsia="zh-CN"/>
        </w:rPr>
        <w:t>追究我司</w:t>
      </w:r>
      <w:r>
        <w:rPr>
          <w:rFonts w:hint="eastAsia" w:ascii="仿宋" w:hAnsi="仿宋" w:eastAsia="仿宋" w:cs="仿宋"/>
          <w:sz w:val="32"/>
          <w:szCs w:val="32"/>
          <w:highlight w:val="none"/>
        </w:rPr>
        <w:t>违约</w:t>
      </w:r>
      <w:r>
        <w:rPr>
          <w:rFonts w:hint="eastAsia" w:ascii="仿宋" w:hAnsi="仿宋" w:eastAsia="仿宋" w:cs="仿宋"/>
          <w:sz w:val="32"/>
          <w:szCs w:val="32"/>
          <w:highlight w:val="none"/>
          <w:lang w:val="en-US" w:eastAsia="zh-CN"/>
        </w:rPr>
        <w:t>责任</w:t>
      </w:r>
      <w:r>
        <w:rPr>
          <w:rFonts w:hint="eastAsia" w:ascii="仿宋" w:hAnsi="仿宋" w:eastAsia="仿宋" w:cs="仿宋"/>
          <w:sz w:val="32"/>
          <w:szCs w:val="32"/>
          <w:highlight w:val="none"/>
        </w:rPr>
        <w:t>。</w:t>
      </w:r>
    </w:p>
    <w:p w14:paraId="5237AFB1">
      <w:pPr>
        <w:spacing w:before="120"/>
        <w:ind w:firstLine="640" w:firstLineChars="200"/>
        <w:rPr>
          <w:rFonts w:hint="eastAsia" w:ascii="仿宋" w:hAnsi="仿宋" w:eastAsia="仿宋" w:cs="仿宋"/>
          <w:sz w:val="32"/>
          <w:szCs w:val="32"/>
          <w:highlight w:val="none"/>
        </w:rPr>
      </w:pPr>
    </w:p>
    <w:p w14:paraId="098638EA">
      <w:pPr>
        <w:spacing w:before="120"/>
        <w:ind w:firstLine="640" w:firstLineChars="200"/>
        <w:rPr>
          <w:rFonts w:hint="eastAsia" w:ascii="仿宋" w:hAnsi="仿宋" w:eastAsia="仿宋" w:cs="仿宋"/>
          <w:sz w:val="32"/>
          <w:szCs w:val="32"/>
          <w:highlight w:val="none"/>
        </w:rPr>
      </w:pPr>
    </w:p>
    <w:p w14:paraId="393D3667">
      <w:pPr>
        <w:spacing w:before="120"/>
        <w:ind w:firstLine="640" w:firstLineChars="200"/>
        <w:rPr>
          <w:rFonts w:hint="eastAsia" w:ascii="仿宋" w:hAnsi="仿宋" w:eastAsia="仿宋" w:cs="仿宋"/>
          <w:sz w:val="32"/>
          <w:szCs w:val="32"/>
          <w:highlight w:val="none"/>
        </w:rPr>
      </w:pPr>
    </w:p>
    <w:p w14:paraId="0215A372">
      <w:pPr>
        <w:spacing w:before="120"/>
        <w:ind w:firstLine="640" w:firstLineChars="200"/>
        <w:rPr>
          <w:rFonts w:hint="eastAsia" w:ascii="仿宋" w:hAnsi="仿宋" w:eastAsia="仿宋" w:cs="仿宋"/>
          <w:sz w:val="32"/>
          <w:szCs w:val="32"/>
          <w:highlight w:val="none"/>
        </w:rPr>
      </w:pPr>
    </w:p>
    <w:p w14:paraId="45E9C33E">
      <w:pPr>
        <w:spacing w:before="120"/>
        <w:ind w:firstLine="640" w:firstLineChars="200"/>
        <w:rPr>
          <w:rFonts w:hint="eastAsia" w:ascii="仿宋" w:hAnsi="仿宋" w:eastAsia="仿宋" w:cs="仿宋"/>
          <w:sz w:val="32"/>
          <w:szCs w:val="32"/>
          <w:highlight w:val="none"/>
        </w:rPr>
      </w:pPr>
    </w:p>
    <w:p w14:paraId="4B9F081D">
      <w:pPr>
        <w:spacing w:before="120"/>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响应人名称（加盖公章）：</w:t>
      </w:r>
    </w:p>
    <w:p w14:paraId="393AE181">
      <w:pPr>
        <w:spacing w:before="120"/>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w:t>
      </w:r>
      <w:r>
        <w:rPr>
          <w:rFonts w:hint="eastAsia" w:ascii="仿宋" w:hAnsi="仿宋" w:eastAsia="仿宋"/>
          <w:sz w:val="32"/>
          <w:szCs w:val="32"/>
          <w:highlight w:val="none"/>
          <w:lang w:val="en-US" w:eastAsia="zh-CN"/>
        </w:rPr>
        <w:t>或受委托人</w:t>
      </w:r>
      <w:r>
        <w:rPr>
          <w:rFonts w:hint="eastAsia" w:ascii="仿宋" w:hAnsi="仿宋" w:eastAsia="仿宋" w:cs="仿宋"/>
          <w:sz w:val="32"/>
          <w:szCs w:val="32"/>
          <w:highlight w:val="none"/>
        </w:rPr>
        <w:t>（签字或盖章）：</w:t>
      </w:r>
    </w:p>
    <w:p w14:paraId="2C198242">
      <w:pPr>
        <w:spacing w:before="120"/>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职务：</w:t>
      </w:r>
    </w:p>
    <w:p w14:paraId="1B5C1223">
      <w:pPr>
        <w:spacing w:before="120"/>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日期：</w:t>
      </w:r>
    </w:p>
    <w:p w14:paraId="4686913B">
      <w:pPr>
        <w:pStyle w:val="29"/>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东莞市海心沙资源综合利用中心环保热电厂气动翻板阀采购项目合同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w:t>
      </w:r>
      <w:r>
        <w:rPr>
          <w:rFonts w:hint="eastAsia"/>
          <w:sz w:val="24"/>
          <w:szCs w:val="24"/>
          <w:highlight w:val="none"/>
          <w:u w:val="single"/>
        </w:rPr>
        <w:t>东莞市海心沙资源综合利用中心环保热电厂气动翻板阀采购项目</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6" w:name="_Toc16526_WPSOffice_Level1"/>
      <w:r>
        <w:rPr>
          <w:rFonts w:hint="eastAsia"/>
          <w:b/>
          <w:sz w:val="24"/>
          <w:szCs w:val="24"/>
          <w:highlight w:val="none"/>
        </w:rPr>
        <w:t>一、合同价款及要求</w:t>
      </w:r>
      <w:bookmarkEnd w:id="36"/>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rFonts w:hint="eastAsia"/>
          <w:sz w:val="24"/>
          <w:szCs w:val="24"/>
          <w:highlight w:val="none"/>
          <w:lang w:val="en-US" w:eastAsia="zh-CN"/>
        </w:rPr>
        <w:t>2</w:t>
      </w:r>
      <w:r>
        <w:rPr>
          <w:rFonts w:hint="eastAsia"/>
          <w:sz w:val="24"/>
          <w:szCs w:val="24"/>
          <w:highlight w:val="none"/>
        </w:rPr>
        <w:t>《东莞市海心沙资源综合利用中心环保热电厂气动翻板阀采购项目</w:t>
      </w:r>
      <w:r>
        <w:rPr>
          <w:rFonts w:hint="eastAsia"/>
          <w:sz w:val="24"/>
          <w:szCs w:val="24"/>
          <w:highlight w:val="none"/>
          <w:lang w:val="en-US" w:eastAsia="zh-CN"/>
        </w:rPr>
        <w:t>需求书</w:t>
      </w:r>
      <w:r>
        <w:rPr>
          <w:rFonts w:hint="eastAsia"/>
          <w:sz w:val="24"/>
          <w:szCs w:val="24"/>
          <w:highlight w:val="none"/>
        </w:rPr>
        <w:t>》。</w:t>
      </w:r>
    </w:p>
    <w:p w14:paraId="180B98F0">
      <w:pPr>
        <w:spacing w:line="360" w:lineRule="auto"/>
        <w:ind w:firstLine="482" w:firstLineChars="200"/>
        <w:rPr>
          <w:b/>
          <w:sz w:val="24"/>
          <w:szCs w:val="24"/>
          <w:highlight w:val="none"/>
        </w:rPr>
      </w:pPr>
      <w:bookmarkStart w:id="37" w:name="_Toc30470_WPSOffice_Level1"/>
      <w:r>
        <w:rPr>
          <w:rFonts w:hint="eastAsia"/>
          <w:b/>
          <w:sz w:val="24"/>
          <w:szCs w:val="24"/>
          <w:highlight w:val="none"/>
        </w:rPr>
        <w:t>二、交货及服务要求、时间、地点</w:t>
      </w:r>
      <w:bookmarkEnd w:id="37"/>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（一）自结果确认函发出之日起12个日历日内完成样品打版，自结果确认函发出之日起40个日历日内完成设备供货，并经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38" w:name="_Toc28374_WPSOffice_Level1"/>
      <w:r>
        <w:rPr>
          <w:rFonts w:hint="eastAsia"/>
          <w:b/>
          <w:sz w:val="24"/>
          <w:szCs w:val="24"/>
          <w:highlight w:val="none"/>
        </w:rPr>
        <w:t>三、付款方式</w:t>
      </w:r>
      <w:bookmarkEnd w:id="38"/>
    </w:p>
    <w:p w14:paraId="545560F1">
      <w:pPr>
        <w:spacing w:line="360" w:lineRule="auto"/>
        <w:ind w:firstLine="480" w:firstLineChars="200"/>
        <w:outlineLvl w:val="1"/>
        <w:rPr>
          <w:rFonts w:hint="eastAsia"/>
          <w:bCs/>
          <w:sz w:val="24"/>
          <w:szCs w:val="24"/>
          <w:highlight w:val="none"/>
        </w:rPr>
      </w:pPr>
      <w:r>
        <w:rPr>
          <w:rFonts w:hint="eastAsia"/>
          <w:bCs/>
          <w:sz w:val="24"/>
          <w:szCs w:val="24"/>
          <w:highlight w:val="none"/>
        </w:rPr>
        <w:t>（一）合同签订完成后，</w:t>
      </w:r>
      <w:r>
        <w:rPr>
          <w:rFonts w:hint="eastAsia"/>
          <w:bCs/>
          <w:sz w:val="24"/>
          <w:szCs w:val="24"/>
          <w:highlight w:val="none"/>
          <w:lang w:val="en-US" w:eastAsia="zh-CN"/>
        </w:rPr>
        <w:t>乙方</w:t>
      </w:r>
      <w:r>
        <w:rPr>
          <w:rFonts w:hint="eastAsia"/>
          <w:bCs/>
          <w:sz w:val="24"/>
          <w:szCs w:val="24"/>
          <w:highlight w:val="none"/>
        </w:rPr>
        <w:t>在完成样品打版并经</w:t>
      </w:r>
      <w:r>
        <w:rPr>
          <w:rFonts w:hint="eastAsia"/>
          <w:bCs/>
          <w:sz w:val="24"/>
          <w:szCs w:val="24"/>
          <w:highlight w:val="none"/>
          <w:lang w:val="en-US" w:eastAsia="zh-CN"/>
        </w:rPr>
        <w:t>甲方</w:t>
      </w:r>
      <w:r>
        <w:rPr>
          <w:rFonts w:hint="eastAsia"/>
          <w:bCs/>
          <w:sz w:val="24"/>
          <w:szCs w:val="24"/>
          <w:highlight w:val="none"/>
        </w:rPr>
        <w:t>确认合格后5个工作日内提交付款申请及合同金额20%的增值税专用发票，</w:t>
      </w:r>
      <w:r>
        <w:rPr>
          <w:rFonts w:hint="eastAsia"/>
          <w:bCs/>
          <w:sz w:val="24"/>
          <w:szCs w:val="24"/>
          <w:highlight w:val="none"/>
          <w:lang w:val="en-US" w:eastAsia="zh-CN"/>
        </w:rPr>
        <w:t>甲方</w:t>
      </w:r>
      <w:r>
        <w:rPr>
          <w:rFonts w:hint="eastAsia"/>
          <w:bCs/>
          <w:sz w:val="24"/>
          <w:szCs w:val="24"/>
          <w:highlight w:val="none"/>
        </w:rPr>
        <w:t>收到上述有效资料之日起，15个工作日内支付合同金额20%的定金。</w:t>
      </w:r>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lang w:val="en-US" w:eastAsia="zh-CN"/>
        </w:rPr>
        <w:t>乙方</w:t>
      </w:r>
      <w:r>
        <w:rPr>
          <w:rFonts w:hint="eastAsia"/>
          <w:bCs/>
          <w:sz w:val="24"/>
          <w:szCs w:val="24"/>
          <w:highlight w:val="none"/>
        </w:rPr>
        <w:t>完成供货并经双方共同验收合格后，</w:t>
      </w:r>
      <w:r>
        <w:rPr>
          <w:rFonts w:hint="eastAsia"/>
          <w:bCs/>
          <w:sz w:val="24"/>
          <w:szCs w:val="24"/>
          <w:highlight w:val="none"/>
          <w:lang w:val="en-US" w:eastAsia="zh-CN"/>
        </w:rPr>
        <w:t>乙方</w:t>
      </w:r>
      <w:r>
        <w:rPr>
          <w:rFonts w:hint="eastAsia"/>
          <w:bCs/>
          <w:sz w:val="24"/>
          <w:szCs w:val="24"/>
          <w:highlight w:val="none"/>
        </w:rPr>
        <w:t>提交合同价款100%的增值税专用发票及请款资料，</w:t>
      </w:r>
      <w:r>
        <w:rPr>
          <w:rFonts w:hint="eastAsia"/>
          <w:bCs/>
          <w:sz w:val="24"/>
          <w:szCs w:val="24"/>
          <w:highlight w:val="none"/>
          <w:lang w:val="en-US" w:eastAsia="zh-CN"/>
        </w:rPr>
        <w:t>甲方</w:t>
      </w:r>
      <w:r>
        <w:rPr>
          <w:rFonts w:hint="eastAsia"/>
          <w:bCs/>
          <w:sz w:val="24"/>
          <w:szCs w:val="24"/>
          <w:highlight w:val="none"/>
        </w:rPr>
        <w:t>在收到有效资料的三十个日历日内支付至合同金额的95%；剩余合同金额的5%为质保金，质保期满且</w:t>
      </w:r>
      <w:r>
        <w:rPr>
          <w:rFonts w:hint="eastAsia"/>
          <w:bCs/>
          <w:sz w:val="24"/>
          <w:szCs w:val="24"/>
          <w:highlight w:val="none"/>
          <w:lang w:val="en-US" w:eastAsia="zh-CN"/>
        </w:rPr>
        <w:t>乙方</w:t>
      </w:r>
      <w:r>
        <w:rPr>
          <w:rFonts w:hint="eastAsia"/>
          <w:bCs/>
          <w:sz w:val="24"/>
          <w:szCs w:val="24"/>
          <w:highlight w:val="none"/>
        </w:rPr>
        <w:t>完成全部质保服务之后，由</w:t>
      </w:r>
      <w:r>
        <w:rPr>
          <w:rFonts w:hint="eastAsia"/>
          <w:bCs/>
          <w:sz w:val="24"/>
          <w:szCs w:val="24"/>
          <w:highlight w:val="none"/>
          <w:lang w:val="en-US" w:eastAsia="zh-CN"/>
        </w:rPr>
        <w:t>乙方</w:t>
      </w:r>
      <w:r>
        <w:rPr>
          <w:rFonts w:hint="eastAsia"/>
          <w:bCs/>
          <w:sz w:val="24"/>
          <w:szCs w:val="24"/>
          <w:highlight w:val="none"/>
        </w:rPr>
        <w:t>提交付款申请，</w:t>
      </w:r>
      <w:r>
        <w:rPr>
          <w:rFonts w:hint="eastAsia"/>
          <w:bCs/>
          <w:sz w:val="24"/>
          <w:szCs w:val="24"/>
          <w:highlight w:val="none"/>
          <w:lang w:val="en-US" w:eastAsia="zh-CN"/>
        </w:rPr>
        <w:t>甲方</w:t>
      </w:r>
      <w:r>
        <w:rPr>
          <w:rFonts w:hint="eastAsia"/>
          <w:bCs/>
          <w:sz w:val="24"/>
          <w:szCs w:val="24"/>
          <w:highlight w:val="none"/>
        </w:rPr>
        <w:t>收到上述有效资料后，30个日历日内向</w:t>
      </w:r>
      <w:r>
        <w:rPr>
          <w:rFonts w:hint="eastAsia"/>
          <w:bCs/>
          <w:sz w:val="24"/>
          <w:szCs w:val="24"/>
          <w:highlight w:val="none"/>
          <w:lang w:val="en-US" w:eastAsia="zh-CN"/>
        </w:rPr>
        <w:t>乙方</w:t>
      </w:r>
      <w:r>
        <w:rPr>
          <w:rFonts w:hint="eastAsia"/>
          <w:bCs/>
          <w:sz w:val="24"/>
          <w:szCs w:val="24"/>
          <w:highlight w:val="none"/>
        </w:rPr>
        <w:t>完成支付。</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39" w:name="_Toc25644_WPSOffice_Level1"/>
      <w:r>
        <w:rPr>
          <w:rFonts w:hint="eastAsia"/>
          <w:b/>
          <w:sz w:val="24"/>
          <w:szCs w:val="24"/>
          <w:highlight w:val="none"/>
        </w:rPr>
        <w:t>四、货物的验收和服务</w:t>
      </w:r>
      <w:bookmarkEnd w:id="39"/>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rFonts w:hint="eastAsia"/>
          <w:sz w:val="24"/>
          <w:szCs w:val="24"/>
          <w:highlight w:val="none"/>
        </w:rPr>
      </w:pPr>
      <w:r>
        <w:rPr>
          <w:rFonts w:hint="eastAsia"/>
          <w:sz w:val="24"/>
          <w:szCs w:val="24"/>
          <w:highlight w:val="none"/>
        </w:rPr>
        <w:t>（六）货物的样式、外观情况根据甲方要求，材质等符合国家或行业相关标准，且均为合格产品。</w:t>
      </w:r>
    </w:p>
    <w:p w14:paraId="01BCDF3F">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（七）</w:t>
      </w:r>
      <w:r>
        <w:rPr>
          <w:rFonts w:hint="eastAsia" w:cs="Times New Roman"/>
          <w:kern w:val="2"/>
          <w:sz w:val="24"/>
          <w:szCs w:val="24"/>
          <w:highlight w:val="none"/>
          <w:lang w:val="en-US" w:eastAsia="zh-CN" w:bidi="ar-SA"/>
        </w:rPr>
        <w:t>乙方</w:t>
      </w:r>
      <w:r>
        <w:rPr>
          <w:rFonts w:hint="eastAsia" w:ascii="Times New Roman" w:hAnsi="Times New Roman" w:eastAsia="宋体" w:cs="Times New Roman"/>
          <w:kern w:val="2"/>
          <w:sz w:val="24"/>
          <w:szCs w:val="24"/>
          <w:highlight w:val="none"/>
          <w:lang w:val="en-US" w:eastAsia="zh-CN" w:bidi="ar-SA"/>
        </w:rPr>
        <w:t>须完全按照</w:t>
      </w:r>
      <w:r>
        <w:rPr>
          <w:rFonts w:hint="eastAsia" w:cs="Times New Roman"/>
          <w:kern w:val="2"/>
          <w:sz w:val="24"/>
          <w:szCs w:val="24"/>
          <w:highlight w:val="none"/>
          <w:lang w:val="en-US" w:eastAsia="zh-CN" w:bidi="ar-SA"/>
        </w:rPr>
        <w:t>甲方</w:t>
      </w:r>
      <w:r>
        <w:rPr>
          <w:rFonts w:hint="eastAsia" w:ascii="Times New Roman" w:hAnsi="Times New Roman" w:eastAsia="宋体" w:cs="Times New Roman"/>
          <w:kern w:val="2"/>
          <w:sz w:val="24"/>
          <w:szCs w:val="24"/>
          <w:highlight w:val="none"/>
          <w:lang w:val="en-US" w:eastAsia="zh-CN" w:bidi="ar-SA"/>
        </w:rPr>
        <w:t>所提供的样板供货，如有任何差异导致所供货物与</w:t>
      </w:r>
      <w:r>
        <w:rPr>
          <w:rFonts w:hint="eastAsia" w:cs="Times New Roman"/>
          <w:kern w:val="2"/>
          <w:sz w:val="24"/>
          <w:szCs w:val="24"/>
          <w:highlight w:val="none"/>
          <w:lang w:val="en-US" w:eastAsia="zh-CN" w:bidi="ar-SA"/>
        </w:rPr>
        <w:t>甲方</w:t>
      </w:r>
      <w:r>
        <w:rPr>
          <w:rFonts w:hint="eastAsia" w:ascii="Times New Roman" w:hAnsi="Times New Roman" w:eastAsia="宋体" w:cs="Times New Roman"/>
          <w:kern w:val="2"/>
          <w:sz w:val="24"/>
          <w:szCs w:val="24"/>
          <w:highlight w:val="none"/>
          <w:lang w:val="en-US" w:eastAsia="zh-CN" w:bidi="ar-SA"/>
        </w:rPr>
        <w:t>设备不适配的，</w:t>
      </w:r>
      <w:r>
        <w:rPr>
          <w:rFonts w:hint="eastAsia" w:cs="Times New Roman"/>
          <w:kern w:val="2"/>
          <w:sz w:val="24"/>
          <w:szCs w:val="24"/>
          <w:highlight w:val="none"/>
          <w:lang w:val="en-US" w:eastAsia="zh-CN" w:bidi="ar-SA"/>
        </w:rPr>
        <w:t>甲方</w:t>
      </w:r>
      <w:r>
        <w:rPr>
          <w:rFonts w:hint="eastAsia" w:ascii="Times New Roman" w:hAnsi="Times New Roman" w:eastAsia="宋体" w:cs="Times New Roman"/>
          <w:kern w:val="2"/>
          <w:sz w:val="24"/>
          <w:szCs w:val="24"/>
          <w:highlight w:val="none"/>
          <w:lang w:val="en-US" w:eastAsia="zh-CN" w:bidi="ar-SA"/>
        </w:rPr>
        <w:t>拒绝收货，由此造成的损失由</w:t>
      </w:r>
      <w:r>
        <w:rPr>
          <w:rFonts w:hint="eastAsia" w:cs="Times New Roman"/>
          <w:kern w:val="2"/>
          <w:sz w:val="24"/>
          <w:szCs w:val="24"/>
          <w:highlight w:val="none"/>
          <w:lang w:val="en-US" w:eastAsia="zh-CN" w:bidi="ar-SA"/>
        </w:rPr>
        <w:t>乙方</w:t>
      </w:r>
      <w:r>
        <w:rPr>
          <w:rFonts w:hint="eastAsia" w:ascii="Times New Roman" w:hAnsi="Times New Roman" w:eastAsia="宋体" w:cs="Times New Roman"/>
          <w:kern w:val="2"/>
          <w:sz w:val="24"/>
          <w:szCs w:val="24"/>
          <w:highlight w:val="none"/>
          <w:lang w:val="en-US" w:eastAsia="zh-CN" w:bidi="ar-SA"/>
        </w:rPr>
        <w:t>承担。</w:t>
      </w:r>
      <w:r>
        <w:rPr>
          <w:rFonts w:hint="eastAsia" w:cs="Times New Roman"/>
          <w:kern w:val="2"/>
          <w:sz w:val="24"/>
          <w:szCs w:val="24"/>
          <w:highlight w:val="none"/>
          <w:lang w:val="en-US" w:eastAsia="zh-CN" w:bidi="ar-SA"/>
        </w:rPr>
        <w:t>乙方</w:t>
      </w:r>
      <w:r>
        <w:rPr>
          <w:rFonts w:hint="eastAsia" w:ascii="Times New Roman" w:hAnsi="Times New Roman" w:eastAsia="宋体" w:cs="Times New Roman"/>
          <w:kern w:val="2"/>
          <w:sz w:val="24"/>
          <w:szCs w:val="24"/>
          <w:highlight w:val="none"/>
          <w:lang w:val="en-US" w:eastAsia="zh-CN" w:bidi="ar-SA"/>
        </w:rPr>
        <w:t>须到现场踏勘并确认</w:t>
      </w:r>
      <w:r>
        <w:rPr>
          <w:rFonts w:hint="eastAsia" w:cs="Times New Roman"/>
          <w:kern w:val="2"/>
          <w:sz w:val="24"/>
          <w:szCs w:val="24"/>
          <w:highlight w:val="none"/>
          <w:lang w:val="en-US" w:eastAsia="zh-CN" w:bidi="ar-SA"/>
        </w:rPr>
        <w:t>甲方</w:t>
      </w:r>
      <w:r>
        <w:rPr>
          <w:rFonts w:hint="eastAsia" w:ascii="Times New Roman" w:hAnsi="Times New Roman" w:eastAsia="宋体" w:cs="Times New Roman"/>
          <w:kern w:val="2"/>
          <w:sz w:val="24"/>
          <w:szCs w:val="24"/>
          <w:highlight w:val="none"/>
          <w:lang w:val="en-US" w:eastAsia="zh-CN" w:bidi="ar-SA"/>
        </w:rPr>
        <w:t>样板，该样板作为货物验收标准。</w:t>
      </w:r>
      <w:r>
        <w:rPr>
          <w:rFonts w:hint="eastAsia" w:cs="Times New Roman"/>
          <w:kern w:val="2"/>
          <w:sz w:val="24"/>
          <w:szCs w:val="24"/>
          <w:highlight w:val="none"/>
          <w:lang w:val="en-US" w:eastAsia="zh-CN" w:bidi="ar-SA"/>
        </w:rPr>
        <w:t>乙方</w:t>
      </w:r>
      <w:r>
        <w:rPr>
          <w:rFonts w:hint="eastAsia" w:ascii="Times New Roman" w:hAnsi="Times New Roman" w:eastAsia="宋体" w:cs="Times New Roman"/>
          <w:kern w:val="2"/>
          <w:sz w:val="24"/>
          <w:szCs w:val="24"/>
          <w:highlight w:val="none"/>
          <w:lang w:val="en-US" w:eastAsia="zh-CN" w:bidi="ar-SA"/>
        </w:rPr>
        <w:t>批量供货前</w:t>
      </w:r>
      <w:r>
        <w:rPr>
          <w:rFonts w:hint="eastAsia" w:cs="Times New Roman"/>
          <w:kern w:val="2"/>
          <w:sz w:val="24"/>
          <w:szCs w:val="24"/>
          <w:highlight w:val="none"/>
          <w:lang w:val="en-US" w:eastAsia="zh-CN" w:bidi="ar-SA"/>
        </w:rPr>
        <w:t>须</w:t>
      </w:r>
      <w:r>
        <w:rPr>
          <w:rFonts w:hint="eastAsia" w:ascii="Times New Roman" w:hAnsi="Times New Roman" w:eastAsia="宋体" w:cs="Times New Roman"/>
          <w:kern w:val="2"/>
          <w:sz w:val="24"/>
          <w:szCs w:val="24"/>
          <w:highlight w:val="none"/>
          <w:lang w:val="en-US" w:eastAsia="zh-CN" w:bidi="ar-SA"/>
        </w:rPr>
        <w:t>先打版给</w:t>
      </w:r>
      <w:r>
        <w:rPr>
          <w:rFonts w:hint="eastAsia" w:cs="Times New Roman"/>
          <w:kern w:val="2"/>
          <w:sz w:val="24"/>
          <w:szCs w:val="24"/>
          <w:highlight w:val="none"/>
          <w:lang w:val="en-US" w:eastAsia="zh-CN" w:bidi="ar-SA"/>
        </w:rPr>
        <w:t>甲方</w:t>
      </w:r>
      <w:r>
        <w:rPr>
          <w:rFonts w:hint="eastAsia" w:ascii="Times New Roman" w:hAnsi="Times New Roman" w:eastAsia="宋体" w:cs="Times New Roman"/>
          <w:kern w:val="2"/>
          <w:sz w:val="24"/>
          <w:szCs w:val="24"/>
          <w:highlight w:val="none"/>
          <w:lang w:val="en-US" w:eastAsia="zh-CN" w:bidi="ar-SA"/>
        </w:rPr>
        <w:t>确认，如果打版的不符合要求，给予一次修正机会，修正后仍不符合要求的，</w:t>
      </w:r>
      <w:r>
        <w:rPr>
          <w:rFonts w:hint="eastAsia" w:cs="Times New Roman"/>
          <w:kern w:val="2"/>
          <w:sz w:val="24"/>
          <w:szCs w:val="24"/>
          <w:highlight w:val="none"/>
          <w:lang w:val="en-US" w:eastAsia="zh-CN" w:bidi="ar-SA"/>
        </w:rPr>
        <w:t>甲方</w:t>
      </w:r>
      <w:r>
        <w:rPr>
          <w:rFonts w:hint="eastAsia" w:ascii="Times New Roman" w:hAnsi="Times New Roman" w:eastAsia="宋体" w:cs="Times New Roman"/>
          <w:kern w:val="2"/>
          <w:sz w:val="24"/>
          <w:szCs w:val="24"/>
          <w:highlight w:val="none"/>
          <w:lang w:val="en-US" w:eastAsia="zh-CN" w:bidi="ar-SA"/>
        </w:rPr>
        <w:t>有权终止合同。</w:t>
      </w:r>
    </w:p>
    <w:p w14:paraId="68C73E87">
      <w:pPr>
        <w:spacing w:line="360" w:lineRule="auto"/>
        <w:ind w:firstLine="480"/>
        <w:rPr>
          <w:sz w:val="24"/>
          <w:szCs w:val="24"/>
          <w:highlight w:val="none"/>
        </w:rPr>
      </w:pPr>
      <w:r>
        <w:rPr>
          <w:rFonts w:hint="eastAsia"/>
          <w:sz w:val="24"/>
          <w:szCs w:val="24"/>
          <w:highlight w:val="none"/>
        </w:rPr>
        <w:t>（</w:t>
      </w:r>
      <w:r>
        <w:rPr>
          <w:rFonts w:hint="eastAsia"/>
          <w:sz w:val="24"/>
          <w:szCs w:val="24"/>
          <w:highlight w:val="none"/>
          <w:lang w:val="en-US" w:eastAsia="zh-CN"/>
        </w:rPr>
        <w:t>八</w:t>
      </w:r>
      <w:r>
        <w:rPr>
          <w:rFonts w:hint="eastAsia"/>
          <w:sz w:val="24"/>
          <w:szCs w:val="24"/>
          <w:highlight w:val="none"/>
        </w:rPr>
        <w:t>）质保期：货物完成供货后经甲方验收合格之日起质保</w:t>
      </w:r>
      <w:r>
        <w:rPr>
          <w:rFonts w:hint="eastAsia"/>
          <w:sz w:val="24"/>
          <w:szCs w:val="24"/>
          <w:highlight w:val="none"/>
          <w:lang w:val="en-US" w:eastAsia="zh-CN"/>
        </w:rPr>
        <w:t>半</w:t>
      </w:r>
      <w:r>
        <w:rPr>
          <w:rFonts w:hint="eastAsia"/>
          <w:sz w:val="24"/>
          <w:szCs w:val="24"/>
          <w:highlight w:val="none"/>
        </w:rPr>
        <w:t>年。</w:t>
      </w:r>
    </w:p>
    <w:p w14:paraId="3846CA18">
      <w:pPr>
        <w:spacing w:line="360" w:lineRule="auto"/>
        <w:ind w:firstLine="482" w:firstLineChars="200"/>
        <w:rPr>
          <w:b/>
          <w:sz w:val="24"/>
          <w:szCs w:val="24"/>
          <w:highlight w:val="none"/>
        </w:rPr>
      </w:pPr>
      <w:bookmarkStart w:id="40" w:name="_Toc8841_WPSOffice_Level1"/>
      <w:r>
        <w:rPr>
          <w:rFonts w:hint="eastAsia"/>
          <w:b/>
          <w:sz w:val="24"/>
          <w:szCs w:val="24"/>
          <w:highlight w:val="none"/>
        </w:rPr>
        <w:t>五、双方义务</w:t>
      </w:r>
      <w:bookmarkEnd w:id="40"/>
    </w:p>
    <w:p w14:paraId="55C669C3">
      <w:pPr>
        <w:spacing w:line="360" w:lineRule="auto"/>
        <w:ind w:firstLine="480" w:firstLineChars="200"/>
        <w:rPr>
          <w:sz w:val="24"/>
          <w:szCs w:val="24"/>
          <w:highlight w:val="none"/>
        </w:rPr>
      </w:pPr>
      <w:bookmarkStart w:id="41"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1"/>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2"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2"/>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3" w:name="_Toc11843_WPSOffice_Level1"/>
      <w:r>
        <w:rPr>
          <w:rFonts w:hint="eastAsia"/>
          <w:b/>
          <w:sz w:val="24"/>
          <w:szCs w:val="24"/>
          <w:highlight w:val="none"/>
        </w:rPr>
        <w:t>六、违约责任</w:t>
      </w:r>
      <w:bookmarkEnd w:id="43"/>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货物必须完全满足甲方原有设备的使用需求、机械尺寸、配套需求且必须匹配采购人原设备、原配件，如乙方所供货物与甲方原有设备有任何不适配或无法满足甲方使用需求的，甲方有权要求乙方在限期内将货物更换为合格货物；如乙方拒绝或无法在限期内更换的，甲方有权自行购买，所产生的费用差额由乙方承担，且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4" w:name="_Toc4307_WPSOffice_Level1"/>
      <w:r>
        <w:rPr>
          <w:rFonts w:hint="eastAsia"/>
          <w:b/>
          <w:bCs/>
          <w:sz w:val="24"/>
          <w:szCs w:val="24"/>
          <w:highlight w:val="none"/>
        </w:rPr>
        <w:t>七、不可抗力</w:t>
      </w:r>
      <w:bookmarkEnd w:id="44"/>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5" w:name="_Toc2393_WPSOffice_Level1"/>
      <w:r>
        <w:rPr>
          <w:rFonts w:hint="eastAsia"/>
          <w:b/>
          <w:sz w:val="24"/>
          <w:szCs w:val="24"/>
          <w:highlight w:val="none"/>
        </w:rPr>
        <w:t>八、争议的解决</w:t>
      </w:r>
      <w:bookmarkEnd w:id="45"/>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6" w:name="_Toc27346_WPSOffice_Level1"/>
      <w:r>
        <w:rPr>
          <w:rFonts w:hint="eastAsia"/>
          <w:b/>
          <w:sz w:val="24"/>
          <w:szCs w:val="24"/>
          <w:highlight w:val="none"/>
        </w:rPr>
        <w:t>九、其它约定</w:t>
      </w:r>
      <w:bookmarkEnd w:id="46"/>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rFonts w:hint="eastAsia"/>
          <w:sz w:val="24"/>
          <w:szCs w:val="24"/>
          <w:highlight w:val="none"/>
        </w:rPr>
      </w:pPr>
      <w:bookmarkStart w:id="47"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7"/>
    </w:p>
    <w:p w14:paraId="03AC9FEE">
      <w:pPr>
        <w:spacing w:line="360" w:lineRule="auto"/>
        <w:ind w:firstLine="480" w:firstLineChars="200"/>
      </w:pPr>
      <w:r>
        <w:rPr>
          <w:rFonts w:hint="eastAsia"/>
          <w:sz w:val="24"/>
          <w:szCs w:val="24"/>
          <w:highlight w:val="none"/>
        </w:rPr>
        <w:t>附件</w:t>
      </w:r>
      <w:r>
        <w:rPr>
          <w:rFonts w:hint="eastAsia"/>
          <w:sz w:val="24"/>
          <w:szCs w:val="24"/>
          <w:highlight w:val="none"/>
          <w:lang w:val="en-US" w:eastAsia="zh-CN"/>
        </w:rPr>
        <w:t>2</w:t>
      </w:r>
      <w:r>
        <w:rPr>
          <w:rFonts w:hint="eastAsia"/>
          <w:sz w:val="24"/>
          <w:szCs w:val="24"/>
          <w:highlight w:val="none"/>
        </w:rPr>
        <w:t>：《东莞市海心沙资源综合利用中心环保热电厂气动翻板阀采购项目</w:t>
      </w:r>
      <w:r>
        <w:rPr>
          <w:rFonts w:hint="eastAsia"/>
          <w:sz w:val="24"/>
          <w:szCs w:val="24"/>
          <w:highlight w:val="none"/>
          <w:lang w:val="en-US" w:eastAsia="zh-CN"/>
        </w:rPr>
        <w:t>需求书</w:t>
      </w:r>
      <w:r>
        <w:rPr>
          <w:rFonts w:hint="eastAsia"/>
          <w:sz w:val="24"/>
          <w:szCs w:val="24"/>
          <w:highlight w:val="none"/>
        </w:rPr>
        <w:t>》</w:t>
      </w:r>
    </w:p>
    <w:p w14:paraId="6E097DF1">
      <w:pPr>
        <w:spacing w:line="360" w:lineRule="auto"/>
        <w:ind w:firstLine="480" w:firstLineChars="200"/>
        <w:rPr>
          <w:sz w:val="24"/>
          <w:szCs w:val="24"/>
          <w:highlight w:val="none"/>
        </w:rPr>
      </w:pPr>
      <w:bookmarkStart w:id="48" w:name="_Toc29124_WPSOffice_Level1"/>
      <w:r>
        <w:rPr>
          <w:rFonts w:hint="eastAsia"/>
          <w:sz w:val="24"/>
          <w:szCs w:val="24"/>
          <w:highlight w:val="none"/>
        </w:rPr>
        <w:t>附件</w:t>
      </w:r>
      <w:r>
        <w:rPr>
          <w:rFonts w:hint="eastAsia"/>
          <w:sz w:val="24"/>
          <w:szCs w:val="24"/>
          <w:highlight w:val="none"/>
          <w:lang w:val="en-US" w:eastAsia="zh-CN"/>
        </w:rPr>
        <w:t>3</w:t>
      </w:r>
      <w:r>
        <w:rPr>
          <w:rFonts w:hint="eastAsia"/>
          <w:sz w:val="24"/>
          <w:szCs w:val="24"/>
          <w:highlight w:val="none"/>
        </w:rPr>
        <w:t>：《阳光合作协议》</w:t>
      </w:r>
      <w:bookmarkEnd w:id="48"/>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2"/>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5</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49"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49"/>
      <w:r>
        <w:rPr>
          <w:rFonts w:hint="eastAsia"/>
          <w:b/>
          <w:bCs/>
          <w:sz w:val="24"/>
          <w:szCs w:val="24"/>
          <w:highlight w:val="none"/>
        </w:rPr>
        <w:t>　</w:t>
      </w:r>
    </w:p>
    <w:p w14:paraId="33EA349D">
      <w:pPr>
        <w:spacing w:line="240" w:lineRule="auto"/>
        <w:rPr>
          <w:rFonts w:hint="eastAsia"/>
          <w:b/>
          <w:bCs/>
          <w:sz w:val="24"/>
          <w:szCs w:val="24"/>
          <w:highlight w:val="none"/>
        </w:rPr>
      </w:pPr>
    </w:p>
    <w:tbl>
      <w:tblPr>
        <w:tblStyle w:val="17"/>
        <w:tblW w:w="10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324"/>
        <w:gridCol w:w="953"/>
        <w:gridCol w:w="1114"/>
        <w:gridCol w:w="1343"/>
        <w:gridCol w:w="1279"/>
        <w:gridCol w:w="1354"/>
      </w:tblGrid>
      <w:tr w14:paraId="11C3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Align w:val="center"/>
          </w:tcPr>
          <w:p w14:paraId="51BD1D30">
            <w:pPr>
              <w:jc w:val="center"/>
              <w:rPr>
                <w:rFonts w:hint="eastAsia" w:ascii="宋体" w:hAnsi="宋体" w:eastAsia="宋体" w:cs="宋体"/>
                <w:sz w:val="28"/>
                <w:szCs w:val="28"/>
              </w:rPr>
            </w:pPr>
            <w:r>
              <w:rPr>
                <w:rFonts w:hint="eastAsia" w:ascii="宋体" w:hAnsi="宋体" w:eastAsia="宋体" w:cs="宋体"/>
                <w:sz w:val="28"/>
                <w:szCs w:val="28"/>
              </w:rPr>
              <w:t>货物名称</w:t>
            </w:r>
          </w:p>
        </w:tc>
        <w:tc>
          <w:tcPr>
            <w:tcW w:w="2324" w:type="dxa"/>
            <w:vAlign w:val="center"/>
          </w:tcPr>
          <w:p w14:paraId="28849A21">
            <w:pPr>
              <w:jc w:val="center"/>
              <w:rPr>
                <w:rFonts w:hint="eastAsia" w:ascii="宋体" w:hAnsi="宋体" w:eastAsia="宋体" w:cs="宋体"/>
                <w:sz w:val="28"/>
                <w:szCs w:val="28"/>
              </w:rPr>
            </w:pPr>
            <w:r>
              <w:rPr>
                <w:rFonts w:hint="eastAsia" w:ascii="宋体" w:hAnsi="宋体" w:eastAsia="宋体" w:cs="宋体"/>
                <w:sz w:val="28"/>
                <w:szCs w:val="28"/>
              </w:rPr>
              <w:t>规格型号/材质</w:t>
            </w:r>
          </w:p>
        </w:tc>
        <w:tc>
          <w:tcPr>
            <w:tcW w:w="953" w:type="dxa"/>
            <w:vAlign w:val="center"/>
          </w:tcPr>
          <w:p w14:paraId="24156BC2">
            <w:pPr>
              <w:jc w:val="center"/>
              <w:rPr>
                <w:rFonts w:hint="eastAsia" w:ascii="宋体" w:hAnsi="宋体" w:eastAsia="宋体" w:cs="宋体"/>
                <w:sz w:val="28"/>
                <w:szCs w:val="28"/>
              </w:rPr>
            </w:pPr>
            <w:r>
              <w:rPr>
                <w:rFonts w:hint="eastAsia" w:ascii="宋体" w:hAnsi="宋体" w:eastAsia="宋体" w:cs="宋体"/>
                <w:sz w:val="28"/>
                <w:szCs w:val="28"/>
              </w:rPr>
              <w:t>数量</w:t>
            </w:r>
          </w:p>
        </w:tc>
        <w:tc>
          <w:tcPr>
            <w:tcW w:w="1114" w:type="dxa"/>
            <w:vAlign w:val="center"/>
          </w:tcPr>
          <w:p w14:paraId="53306CA3">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单位</w:t>
            </w:r>
          </w:p>
        </w:tc>
        <w:tc>
          <w:tcPr>
            <w:tcW w:w="1343" w:type="dxa"/>
            <w:vAlign w:val="center"/>
          </w:tcPr>
          <w:p w14:paraId="6F53E77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单价（元）</w:t>
            </w:r>
          </w:p>
        </w:tc>
        <w:tc>
          <w:tcPr>
            <w:tcW w:w="1279" w:type="dxa"/>
            <w:vAlign w:val="center"/>
          </w:tcPr>
          <w:p w14:paraId="2DB981DE">
            <w:pPr>
              <w:jc w:val="center"/>
              <w:rPr>
                <w:rFonts w:hint="eastAsia" w:ascii="宋体" w:hAnsi="宋体" w:eastAsia="宋体" w:cs="宋体"/>
                <w:sz w:val="28"/>
                <w:szCs w:val="28"/>
              </w:rPr>
            </w:pPr>
            <w:r>
              <w:rPr>
                <w:rFonts w:hint="eastAsia" w:ascii="宋体" w:hAnsi="宋体" w:eastAsia="宋体" w:cs="宋体"/>
                <w:sz w:val="28"/>
                <w:szCs w:val="28"/>
                <w:lang w:val="en-US" w:eastAsia="zh-CN"/>
              </w:rPr>
              <w:t>总价（元）</w:t>
            </w:r>
          </w:p>
        </w:tc>
        <w:tc>
          <w:tcPr>
            <w:tcW w:w="1354" w:type="dxa"/>
            <w:vAlign w:val="center"/>
          </w:tcPr>
          <w:p w14:paraId="39F924E0">
            <w:pPr>
              <w:jc w:val="center"/>
              <w:rPr>
                <w:rFonts w:hint="eastAsia" w:ascii="宋体" w:hAnsi="宋体" w:eastAsia="宋体" w:cs="宋体"/>
                <w:sz w:val="28"/>
                <w:szCs w:val="28"/>
              </w:rPr>
            </w:pPr>
            <w:r>
              <w:rPr>
                <w:rFonts w:hint="eastAsia" w:ascii="宋体" w:hAnsi="宋体" w:eastAsia="宋体" w:cs="宋体"/>
                <w:sz w:val="28"/>
                <w:szCs w:val="28"/>
              </w:rPr>
              <w:t>备注</w:t>
            </w:r>
          </w:p>
        </w:tc>
      </w:tr>
      <w:tr w14:paraId="795A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5BAD1FC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气动翻板阀</w:t>
            </w:r>
          </w:p>
        </w:tc>
        <w:tc>
          <w:tcPr>
            <w:tcW w:w="2324" w:type="dxa"/>
          </w:tcPr>
          <w:p w14:paraId="3C60A293">
            <w:pPr>
              <w:pStyle w:val="11"/>
              <w:keepNext w:val="0"/>
              <w:keepLines w:val="0"/>
              <w:widowControl/>
              <w:suppressLineNumbers w:val="0"/>
              <w:spacing w:line="15" w:lineRule="atLeast"/>
              <w:jc w:val="center"/>
              <w:rPr>
                <w:rFonts w:hint="eastAsia" w:ascii="宋体" w:hAnsi="宋体" w:eastAsia="宋体" w:cs="宋体"/>
                <w:sz w:val="28"/>
                <w:szCs w:val="28"/>
                <w:lang w:val="en-US" w:eastAsia="zh-CN"/>
              </w:rPr>
            </w:pPr>
            <w:r>
              <w:rPr>
                <w:rFonts w:hint="eastAsia" w:ascii="宋体" w:hAnsi="宋体" w:eastAsia="宋体" w:cs="宋体"/>
                <w:b w:val="0"/>
                <w:bCs w:val="0"/>
                <w:i w:val="0"/>
                <w:iCs w:val="0"/>
                <w:color w:val="333333"/>
                <w:sz w:val="28"/>
                <w:szCs w:val="28"/>
                <w:u w:val="none"/>
              </w:rPr>
              <w:t>规格：</w:t>
            </w:r>
            <w:r>
              <w:rPr>
                <w:rFonts w:hint="eastAsia" w:ascii="宋体" w:hAnsi="宋体" w:eastAsia="宋体" w:cs="宋体"/>
                <w:b w:val="0"/>
                <w:bCs w:val="0"/>
                <w:i w:val="0"/>
                <w:iCs w:val="0"/>
                <w:color w:val="333333"/>
                <w:sz w:val="28"/>
                <w:szCs w:val="28"/>
                <w:u w:val="none"/>
                <w:lang w:val="en-US" w:eastAsia="zh-CN"/>
              </w:rPr>
              <w:t>通径</w:t>
            </w:r>
            <w:r>
              <w:rPr>
                <w:rFonts w:hint="eastAsia" w:ascii="宋体" w:hAnsi="宋体" w:eastAsia="宋体" w:cs="宋体"/>
                <w:b w:val="0"/>
                <w:bCs w:val="0"/>
                <w:i w:val="0"/>
                <w:iCs w:val="0"/>
                <w:color w:val="333333"/>
                <w:sz w:val="28"/>
                <w:szCs w:val="28"/>
                <w:u w:val="none"/>
              </w:rPr>
              <w:t>400×400</w:t>
            </w:r>
            <w:r>
              <w:rPr>
                <w:rFonts w:hint="eastAsia" w:ascii="宋体" w:hAnsi="宋体" w:eastAsia="宋体" w:cs="宋体"/>
                <w:b w:val="0"/>
                <w:bCs w:val="0"/>
                <w:i w:val="0"/>
                <w:iCs w:val="0"/>
                <w:color w:val="333333"/>
                <w:sz w:val="28"/>
                <w:szCs w:val="28"/>
                <w:u w:val="none"/>
                <w:lang w:val="en-US" w:eastAsia="zh-CN"/>
              </w:rPr>
              <w:t>mm</w:t>
            </w:r>
            <w:r>
              <w:rPr>
                <w:rFonts w:hint="eastAsia" w:ascii="宋体" w:hAnsi="宋体" w:eastAsia="宋体" w:cs="宋体"/>
                <w:b w:val="0"/>
                <w:bCs w:val="0"/>
                <w:i w:val="0"/>
                <w:iCs w:val="0"/>
                <w:color w:val="333333"/>
                <w:sz w:val="28"/>
                <w:szCs w:val="28"/>
                <w:u w:val="none"/>
                <w:lang w:eastAsia="zh-CN"/>
              </w:rPr>
              <w:t>，</w:t>
            </w:r>
            <w:r>
              <w:rPr>
                <w:rFonts w:hint="eastAsia" w:ascii="宋体" w:hAnsi="宋体" w:eastAsia="宋体" w:cs="宋体"/>
                <w:b w:val="0"/>
                <w:bCs w:val="0"/>
                <w:i w:val="0"/>
                <w:iCs w:val="0"/>
                <w:color w:val="333333"/>
                <w:sz w:val="28"/>
                <w:szCs w:val="28"/>
                <w:u w:val="none"/>
                <w:lang w:val="en-US" w:eastAsia="zh-CN"/>
              </w:rPr>
              <w:t>高度675mm</w:t>
            </w:r>
            <w:r>
              <w:rPr>
                <w:rFonts w:hint="eastAsia" w:cs="宋体"/>
                <w:b w:val="0"/>
                <w:bCs w:val="0"/>
                <w:i w:val="0"/>
                <w:iCs w:val="0"/>
                <w:color w:val="333333"/>
                <w:sz w:val="28"/>
                <w:szCs w:val="28"/>
                <w:u w:val="none"/>
                <w:lang w:val="en-US" w:eastAsia="zh-CN"/>
              </w:rPr>
              <w:t>（详见附件2需求书）</w:t>
            </w:r>
          </w:p>
          <w:p w14:paraId="7D7B4395">
            <w:pPr>
              <w:jc w:val="center"/>
              <w:rPr>
                <w:rFonts w:hint="eastAsia" w:ascii="宋体" w:hAnsi="宋体" w:eastAsia="宋体" w:cs="宋体"/>
                <w:sz w:val="28"/>
                <w:szCs w:val="28"/>
              </w:rPr>
            </w:pPr>
          </w:p>
        </w:tc>
        <w:tc>
          <w:tcPr>
            <w:tcW w:w="953" w:type="dxa"/>
          </w:tcPr>
          <w:p w14:paraId="1568E75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72</w:t>
            </w:r>
          </w:p>
        </w:tc>
        <w:tc>
          <w:tcPr>
            <w:tcW w:w="1114" w:type="dxa"/>
          </w:tcPr>
          <w:p w14:paraId="4B2A633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台</w:t>
            </w:r>
          </w:p>
        </w:tc>
        <w:tc>
          <w:tcPr>
            <w:tcW w:w="1343" w:type="dxa"/>
          </w:tcPr>
          <w:p w14:paraId="44A5C1E8">
            <w:pPr>
              <w:jc w:val="center"/>
              <w:rPr>
                <w:rFonts w:hint="eastAsia" w:ascii="宋体" w:hAnsi="宋体" w:eastAsia="宋体" w:cs="宋体"/>
                <w:sz w:val="28"/>
                <w:szCs w:val="28"/>
                <w:lang w:val="en-US" w:eastAsia="zh-CN"/>
              </w:rPr>
            </w:pPr>
          </w:p>
        </w:tc>
        <w:tc>
          <w:tcPr>
            <w:tcW w:w="1279" w:type="dxa"/>
          </w:tcPr>
          <w:p w14:paraId="3F31487C">
            <w:pPr>
              <w:jc w:val="center"/>
              <w:rPr>
                <w:rFonts w:hint="eastAsia" w:ascii="宋体" w:hAnsi="宋体" w:eastAsia="宋体" w:cs="宋体"/>
                <w:sz w:val="28"/>
                <w:szCs w:val="28"/>
                <w:lang w:val="en-US" w:eastAsia="zh-CN"/>
              </w:rPr>
            </w:pPr>
          </w:p>
        </w:tc>
        <w:tc>
          <w:tcPr>
            <w:tcW w:w="1354" w:type="dxa"/>
          </w:tcPr>
          <w:p w14:paraId="290901E6">
            <w:pPr>
              <w:jc w:val="center"/>
              <w:rPr>
                <w:rFonts w:hint="eastAsia" w:ascii="宋体" w:hAnsi="宋体" w:eastAsia="宋体" w:cs="宋体"/>
                <w:sz w:val="28"/>
                <w:szCs w:val="28"/>
                <w:lang w:val="en-US" w:eastAsia="zh-CN"/>
              </w:rPr>
            </w:pPr>
          </w:p>
        </w:tc>
      </w:tr>
    </w:tbl>
    <w:p w14:paraId="1A16EE67">
      <w:pPr>
        <w:spacing w:line="240" w:lineRule="auto"/>
        <w:rPr>
          <w:rFonts w:hint="eastAsia"/>
          <w:b/>
          <w:bCs/>
          <w:sz w:val="24"/>
          <w:szCs w:val="24"/>
          <w:highlight w:val="none"/>
        </w:rPr>
      </w:pPr>
    </w:p>
    <w:p w14:paraId="2692DA1F">
      <w:pPr>
        <w:spacing w:line="240" w:lineRule="auto"/>
        <w:rPr>
          <w:rFonts w:hint="eastAsia"/>
          <w:b/>
          <w:bCs/>
          <w:sz w:val="24"/>
          <w:szCs w:val="24"/>
          <w:highlight w:val="none"/>
        </w:rPr>
      </w:pPr>
    </w:p>
    <w:p w14:paraId="0EDC862F">
      <w:pPr>
        <w:spacing w:line="240" w:lineRule="auto"/>
        <w:rPr>
          <w:rFonts w:hint="eastAsia"/>
          <w:b/>
          <w:bCs/>
          <w:sz w:val="24"/>
          <w:szCs w:val="24"/>
          <w:highlight w:val="none"/>
        </w:rPr>
      </w:pPr>
    </w:p>
    <w:p w14:paraId="7BAE0184">
      <w:pPr>
        <w:spacing w:line="240" w:lineRule="auto"/>
        <w:rPr>
          <w:rFonts w:hint="eastAsia"/>
          <w:b/>
          <w:bCs/>
          <w:sz w:val="24"/>
          <w:szCs w:val="24"/>
          <w:highlight w:val="none"/>
        </w:rPr>
      </w:pPr>
    </w:p>
    <w:p w14:paraId="710ADE12">
      <w:pPr>
        <w:spacing w:line="240" w:lineRule="auto"/>
        <w:rPr>
          <w:rFonts w:hint="eastAsia"/>
          <w:b/>
          <w:bCs/>
          <w:sz w:val="24"/>
          <w:szCs w:val="24"/>
          <w:highlight w:val="none"/>
        </w:rPr>
      </w:pPr>
    </w:p>
    <w:p w14:paraId="6DEF0D2A">
      <w:pPr>
        <w:spacing w:line="240" w:lineRule="auto"/>
        <w:rPr>
          <w:rFonts w:hint="eastAsia"/>
          <w:b/>
          <w:bCs/>
          <w:sz w:val="24"/>
          <w:szCs w:val="24"/>
          <w:highlight w:val="none"/>
        </w:rPr>
      </w:pPr>
    </w:p>
    <w:p w14:paraId="517ECBB9">
      <w:pPr>
        <w:spacing w:line="240" w:lineRule="auto"/>
        <w:rPr>
          <w:rFonts w:hint="eastAsia"/>
          <w:b/>
          <w:bCs/>
          <w:sz w:val="24"/>
          <w:szCs w:val="24"/>
          <w:highlight w:val="none"/>
        </w:rPr>
      </w:pPr>
    </w:p>
    <w:p w14:paraId="1FF8091E">
      <w:pPr>
        <w:spacing w:line="240" w:lineRule="auto"/>
        <w:rPr>
          <w:rFonts w:hint="eastAsia"/>
          <w:b/>
          <w:bCs/>
          <w:sz w:val="24"/>
          <w:szCs w:val="24"/>
          <w:highlight w:val="none"/>
        </w:rPr>
      </w:pPr>
    </w:p>
    <w:p w14:paraId="7F452715">
      <w:pPr>
        <w:spacing w:line="240" w:lineRule="auto"/>
        <w:rPr>
          <w:rFonts w:hint="eastAsia"/>
          <w:b/>
          <w:bCs/>
          <w:sz w:val="24"/>
          <w:szCs w:val="24"/>
          <w:highlight w:val="none"/>
        </w:rPr>
      </w:pPr>
    </w:p>
    <w:p w14:paraId="333FEC22">
      <w:pPr>
        <w:spacing w:line="240" w:lineRule="auto"/>
        <w:rPr>
          <w:rFonts w:hint="eastAsia"/>
          <w:b/>
          <w:bCs/>
          <w:sz w:val="24"/>
          <w:szCs w:val="24"/>
          <w:highlight w:val="none"/>
        </w:rPr>
      </w:pPr>
    </w:p>
    <w:p w14:paraId="7B2B4AA1">
      <w:pPr>
        <w:spacing w:line="240" w:lineRule="auto"/>
        <w:rPr>
          <w:rFonts w:hint="eastAsia"/>
          <w:b/>
          <w:bCs/>
          <w:sz w:val="24"/>
          <w:szCs w:val="24"/>
          <w:highlight w:val="none"/>
        </w:rPr>
      </w:pPr>
    </w:p>
    <w:p w14:paraId="500EDE4C">
      <w:pPr>
        <w:spacing w:line="240" w:lineRule="auto"/>
        <w:rPr>
          <w:rFonts w:hint="eastAsia"/>
          <w:b/>
          <w:bCs/>
          <w:sz w:val="24"/>
          <w:szCs w:val="24"/>
          <w:highlight w:val="none"/>
        </w:rPr>
      </w:pPr>
    </w:p>
    <w:p w14:paraId="7B69E308">
      <w:pPr>
        <w:spacing w:line="240" w:lineRule="auto"/>
        <w:rPr>
          <w:rFonts w:hint="eastAsia"/>
          <w:b/>
          <w:bCs/>
          <w:sz w:val="24"/>
          <w:szCs w:val="24"/>
          <w:highlight w:val="none"/>
        </w:rPr>
      </w:pPr>
    </w:p>
    <w:p w14:paraId="6982B168">
      <w:pPr>
        <w:spacing w:line="240" w:lineRule="auto"/>
        <w:rPr>
          <w:rFonts w:hint="eastAsia"/>
          <w:b/>
          <w:bCs/>
          <w:sz w:val="24"/>
          <w:szCs w:val="24"/>
          <w:highlight w:val="none"/>
        </w:rPr>
      </w:pPr>
    </w:p>
    <w:p w14:paraId="36203B0C">
      <w:pPr>
        <w:spacing w:line="240" w:lineRule="auto"/>
        <w:rPr>
          <w:rFonts w:hint="eastAsia"/>
          <w:b/>
          <w:bCs/>
          <w:sz w:val="24"/>
          <w:szCs w:val="24"/>
          <w:highlight w:val="none"/>
        </w:rPr>
      </w:pPr>
    </w:p>
    <w:p w14:paraId="180DAE79">
      <w:pPr>
        <w:spacing w:line="240" w:lineRule="auto"/>
        <w:rPr>
          <w:rFonts w:hint="eastAsia"/>
          <w:b/>
          <w:bCs/>
          <w:sz w:val="24"/>
          <w:szCs w:val="24"/>
          <w:highlight w:val="none"/>
        </w:rPr>
      </w:pPr>
    </w:p>
    <w:p w14:paraId="326BD4D4">
      <w:pPr>
        <w:spacing w:line="240" w:lineRule="auto"/>
        <w:rPr>
          <w:rFonts w:hint="eastAsia"/>
          <w:b/>
          <w:bCs/>
          <w:sz w:val="24"/>
          <w:szCs w:val="24"/>
          <w:highlight w:val="none"/>
        </w:rPr>
      </w:pPr>
    </w:p>
    <w:p w14:paraId="0846A7A5">
      <w:pPr>
        <w:spacing w:line="240" w:lineRule="auto"/>
        <w:rPr>
          <w:rFonts w:hint="eastAsia"/>
          <w:b/>
          <w:bCs/>
          <w:sz w:val="24"/>
          <w:szCs w:val="24"/>
          <w:highlight w:val="none"/>
        </w:rPr>
      </w:pPr>
    </w:p>
    <w:p w14:paraId="42876DEF">
      <w:pPr>
        <w:spacing w:line="240" w:lineRule="auto"/>
        <w:rPr>
          <w:rFonts w:hint="eastAsia"/>
          <w:b/>
          <w:bCs/>
          <w:sz w:val="24"/>
          <w:szCs w:val="24"/>
          <w:highlight w:val="none"/>
        </w:rPr>
      </w:pPr>
    </w:p>
    <w:p w14:paraId="2D5B366B">
      <w:pPr>
        <w:spacing w:line="240" w:lineRule="auto"/>
        <w:rPr>
          <w:rFonts w:hint="eastAsia"/>
          <w:b/>
          <w:bCs/>
          <w:sz w:val="24"/>
          <w:szCs w:val="24"/>
          <w:highlight w:val="none"/>
        </w:rPr>
      </w:pPr>
    </w:p>
    <w:p w14:paraId="5D921D64">
      <w:pPr>
        <w:spacing w:line="240" w:lineRule="auto"/>
        <w:rPr>
          <w:rFonts w:hint="eastAsia"/>
          <w:b/>
          <w:bCs/>
          <w:sz w:val="24"/>
          <w:szCs w:val="24"/>
          <w:highlight w:val="none"/>
        </w:rPr>
      </w:pPr>
    </w:p>
    <w:p w14:paraId="1F8F7442">
      <w:pPr>
        <w:spacing w:line="240" w:lineRule="auto"/>
        <w:rPr>
          <w:rFonts w:hint="eastAsia"/>
          <w:b/>
          <w:bCs/>
          <w:sz w:val="24"/>
          <w:szCs w:val="24"/>
          <w:highlight w:val="none"/>
        </w:rPr>
      </w:pPr>
    </w:p>
    <w:p w14:paraId="0242EFE1">
      <w:pPr>
        <w:spacing w:line="240" w:lineRule="auto"/>
        <w:rPr>
          <w:rFonts w:hint="eastAsia"/>
          <w:b/>
          <w:bCs/>
          <w:sz w:val="24"/>
          <w:szCs w:val="24"/>
          <w:highlight w:val="none"/>
        </w:rPr>
      </w:pPr>
    </w:p>
    <w:p w14:paraId="7F4B83AA">
      <w:pPr>
        <w:spacing w:line="240" w:lineRule="auto"/>
        <w:rPr>
          <w:rFonts w:hint="eastAsia"/>
          <w:b/>
          <w:bCs/>
          <w:sz w:val="24"/>
          <w:szCs w:val="24"/>
          <w:highlight w:val="none"/>
        </w:rPr>
      </w:pPr>
    </w:p>
    <w:p w14:paraId="6E375072">
      <w:pPr>
        <w:spacing w:line="240" w:lineRule="auto"/>
        <w:rPr>
          <w:rFonts w:hint="eastAsia"/>
          <w:b/>
          <w:bCs/>
          <w:sz w:val="24"/>
          <w:szCs w:val="24"/>
          <w:highlight w:val="none"/>
        </w:rPr>
      </w:pPr>
    </w:p>
    <w:p w14:paraId="488A97D5">
      <w:pPr>
        <w:spacing w:line="240" w:lineRule="auto"/>
        <w:rPr>
          <w:rFonts w:hint="eastAsia"/>
          <w:b/>
          <w:bCs/>
          <w:sz w:val="24"/>
          <w:szCs w:val="24"/>
          <w:highlight w:val="none"/>
        </w:rPr>
      </w:pPr>
    </w:p>
    <w:p w14:paraId="6AF4B4AC">
      <w:pPr>
        <w:spacing w:line="240" w:lineRule="auto"/>
        <w:rPr>
          <w:rFonts w:hint="eastAsia"/>
          <w:b/>
          <w:bCs/>
          <w:sz w:val="24"/>
          <w:szCs w:val="24"/>
          <w:highlight w:val="none"/>
        </w:rPr>
      </w:pPr>
      <w:r>
        <w:rPr>
          <w:rFonts w:hint="eastAsia"/>
          <w:b/>
          <w:bCs/>
          <w:sz w:val="24"/>
          <w:szCs w:val="24"/>
          <w:highlight w:val="none"/>
        </w:rPr>
        <w:br w:type="page"/>
      </w:r>
    </w:p>
    <w:p w14:paraId="6D0E1C99">
      <w:pPr>
        <w:pStyle w:val="2"/>
        <w:rPr>
          <w:rFonts w:hint="eastAsia"/>
          <w:sz w:val="24"/>
          <w:szCs w:val="24"/>
          <w:highlight w:val="none"/>
        </w:rPr>
      </w:pPr>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r>
        <w:rPr>
          <w:rFonts w:hint="eastAsia"/>
          <w:sz w:val="24"/>
          <w:szCs w:val="24"/>
          <w:highlight w:val="none"/>
        </w:rPr>
        <w:t>《东莞市海心沙资源综合利用中心环保热电厂气动翻板阀采购项目</w:t>
      </w:r>
      <w:r>
        <w:rPr>
          <w:rFonts w:hint="eastAsia"/>
          <w:sz w:val="24"/>
          <w:szCs w:val="24"/>
          <w:highlight w:val="none"/>
          <w:lang w:val="en-US" w:eastAsia="zh-CN"/>
        </w:rPr>
        <w:t>需求书</w:t>
      </w:r>
      <w:r>
        <w:rPr>
          <w:rFonts w:hint="eastAsia"/>
          <w:sz w:val="24"/>
          <w:szCs w:val="24"/>
          <w:highlight w:val="none"/>
        </w:rPr>
        <w:t>》</w:t>
      </w:r>
    </w:p>
    <w:p w14:paraId="753B2133">
      <w:pPr>
        <w:rPr>
          <w:rFonts w:hint="eastAsia"/>
          <w:sz w:val="24"/>
          <w:szCs w:val="24"/>
          <w:highlight w:val="none"/>
        </w:rPr>
      </w:pPr>
      <w:r>
        <w:rPr>
          <w:rFonts w:hint="eastAsia"/>
          <w:sz w:val="24"/>
          <w:szCs w:val="24"/>
          <w:highlight w:val="none"/>
        </w:rPr>
        <w:br w:type="page"/>
      </w:r>
    </w:p>
    <w:p w14:paraId="49EF20A3">
      <w:pPr>
        <w:pStyle w:val="2"/>
        <w:rPr>
          <w:rFonts w:hint="eastAsia"/>
          <w:sz w:val="24"/>
          <w:szCs w:val="24"/>
          <w:highlight w:val="none"/>
        </w:rPr>
      </w:pPr>
    </w:p>
    <w:p w14:paraId="1778D7C4">
      <w:pPr>
        <w:spacing w:line="360" w:lineRule="auto"/>
        <w:rPr>
          <w:b/>
          <w:bCs/>
          <w:sz w:val="24"/>
          <w:szCs w:val="24"/>
          <w:highlight w:val="none"/>
        </w:rPr>
      </w:pPr>
      <w:bookmarkStart w:id="50" w:name="_Toc20913_WPSOffice_Level1"/>
      <w:r>
        <w:rPr>
          <w:rFonts w:hint="eastAsia"/>
          <w:b/>
          <w:bCs/>
          <w:sz w:val="24"/>
          <w:szCs w:val="24"/>
          <w:highlight w:val="none"/>
        </w:rPr>
        <w:t>附件</w:t>
      </w:r>
      <w:r>
        <w:rPr>
          <w:rFonts w:hint="eastAsia"/>
          <w:b/>
          <w:bCs/>
          <w:sz w:val="24"/>
          <w:szCs w:val="24"/>
          <w:highlight w:val="none"/>
          <w:lang w:val="en-US" w:eastAsia="zh-CN"/>
        </w:rPr>
        <w:t>3</w:t>
      </w:r>
      <w:r>
        <w:rPr>
          <w:rFonts w:hint="eastAsia"/>
          <w:b/>
          <w:bCs/>
          <w:sz w:val="24"/>
          <w:szCs w:val="24"/>
          <w:highlight w:val="none"/>
        </w:rPr>
        <w:t>：</w:t>
      </w:r>
      <w:bookmarkEnd w:id="50"/>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1" w:name="_Toc23645_WPSOffice_Level1"/>
      <w:r>
        <w:rPr>
          <w:rFonts w:hint="eastAsia" w:eastAsia="方正小标宋简体"/>
          <w:b/>
          <w:color w:val="000000"/>
          <w:sz w:val="44"/>
          <w:szCs w:val="44"/>
          <w:highlight w:val="none"/>
        </w:rPr>
        <w:t>阳光合作协议</w:t>
      </w:r>
      <w:bookmarkEnd w:id="51"/>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5</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日签署了东莞市海心沙资源综合利用中心环保热电厂气动翻板阀采购项目合同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bookmarkStart w:id="52" w:name="设计变更通知单"/>
      <w:bookmarkEnd w:id="52"/>
      <w:bookmarkStart w:id="53" w:name="现场签证通知单"/>
      <w:bookmarkEnd w:id="53"/>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2"/>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3DD731E3">
      <w:pPr>
        <w:pStyle w:val="2"/>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eastAsia="仿宋"/>
          <w:sz w:val="32"/>
          <w:szCs w:val="32"/>
          <w:highlight w:val="none"/>
          <w:lang w:val="en-US" w:eastAsia="zh-CN"/>
        </w:rPr>
      </w:pPr>
      <w:r>
        <w:rPr>
          <w:rFonts w:hint="eastAsia" w:eastAsia="仿宋"/>
          <w:sz w:val="32"/>
          <w:szCs w:val="32"/>
          <w:highlight w:val="none"/>
          <w:lang w:eastAsia="zh-CN"/>
        </w:rPr>
        <w:t>东莞市海心沙资源综合利用中心环保热电厂气动翻板阀采购项目</w:t>
      </w:r>
      <w:r>
        <w:rPr>
          <w:rFonts w:hint="eastAsia" w:eastAsia="仿宋"/>
          <w:sz w:val="32"/>
          <w:szCs w:val="32"/>
          <w:highlight w:val="none"/>
          <w:lang w:val="en-US" w:eastAsia="zh-CN"/>
        </w:rPr>
        <w:t>需求书</w:t>
      </w:r>
    </w:p>
    <w:p w14:paraId="0F1518FB">
      <w:pPr>
        <w:numPr>
          <w:ilvl w:val="-1"/>
          <w:numId w:val="0"/>
        </w:numPr>
        <w:ind w:left="420" w:firstLine="0"/>
        <w:rPr>
          <w:b/>
          <w:bCs/>
          <w:sz w:val="30"/>
          <w:szCs w:val="30"/>
        </w:rPr>
      </w:pPr>
      <w:r>
        <w:rPr>
          <w:rFonts w:hint="eastAsia"/>
          <w:b/>
          <w:bCs/>
          <w:sz w:val="30"/>
          <w:szCs w:val="30"/>
          <w:lang w:val="en-US" w:eastAsia="zh-CN"/>
        </w:rPr>
        <w:t>一、</w:t>
      </w:r>
      <w:r>
        <w:rPr>
          <w:rFonts w:hint="eastAsia"/>
          <w:b/>
          <w:bCs/>
          <w:sz w:val="30"/>
          <w:szCs w:val="30"/>
        </w:rPr>
        <w:t>采购标的清单：</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2636"/>
        <w:gridCol w:w="1296"/>
        <w:gridCol w:w="2564"/>
      </w:tblGrid>
      <w:tr w14:paraId="3534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6" w:type="dxa"/>
            <w:vAlign w:val="center"/>
          </w:tcPr>
          <w:p w14:paraId="560CBF11">
            <w:pPr>
              <w:jc w:val="center"/>
              <w:rPr>
                <w:rFonts w:ascii="宋体" w:hAnsi="宋体" w:eastAsia="宋体" w:cs="宋体"/>
                <w:sz w:val="28"/>
                <w:szCs w:val="28"/>
              </w:rPr>
            </w:pPr>
            <w:r>
              <w:rPr>
                <w:rFonts w:hint="eastAsia" w:ascii="宋体" w:hAnsi="宋体" w:eastAsia="宋体" w:cs="宋体"/>
                <w:sz w:val="28"/>
                <w:szCs w:val="28"/>
              </w:rPr>
              <w:t>货物名称</w:t>
            </w:r>
          </w:p>
        </w:tc>
        <w:tc>
          <w:tcPr>
            <w:tcW w:w="2636" w:type="dxa"/>
            <w:vAlign w:val="center"/>
          </w:tcPr>
          <w:p w14:paraId="6167EF5B">
            <w:pPr>
              <w:jc w:val="center"/>
              <w:rPr>
                <w:rFonts w:ascii="宋体" w:hAnsi="宋体" w:eastAsia="宋体" w:cs="宋体"/>
                <w:sz w:val="28"/>
                <w:szCs w:val="28"/>
              </w:rPr>
            </w:pPr>
            <w:r>
              <w:rPr>
                <w:rFonts w:hint="eastAsia" w:ascii="宋体" w:hAnsi="宋体" w:eastAsia="宋体" w:cs="宋体"/>
                <w:sz w:val="28"/>
                <w:szCs w:val="28"/>
              </w:rPr>
              <w:t>规格型号/材质</w:t>
            </w:r>
          </w:p>
        </w:tc>
        <w:tc>
          <w:tcPr>
            <w:tcW w:w="1296" w:type="dxa"/>
            <w:vAlign w:val="center"/>
          </w:tcPr>
          <w:p w14:paraId="48AD99D3">
            <w:pPr>
              <w:jc w:val="center"/>
              <w:rPr>
                <w:rFonts w:ascii="宋体" w:hAnsi="宋体" w:eastAsia="宋体" w:cs="宋体"/>
                <w:sz w:val="28"/>
                <w:szCs w:val="28"/>
              </w:rPr>
            </w:pPr>
            <w:r>
              <w:rPr>
                <w:rFonts w:hint="eastAsia" w:ascii="宋体" w:hAnsi="宋体" w:eastAsia="宋体" w:cs="宋体"/>
                <w:sz w:val="28"/>
                <w:szCs w:val="28"/>
              </w:rPr>
              <w:t>数量</w:t>
            </w:r>
          </w:p>
        </w:tc>
        <w:tc>
          <w:tcPr>
            <w:tcW w:w="2564" w:type="dxa"/>
            <w:vAlign w:val="center"/>
          </w:tcPr>
          <w:p w14:paraId="6F51E980">
            <w:pPr>
              <w:jc w:val="center"/>
              <w:rPr>
                <w:rFonts w:ascii="宋体" w:hAnsi="宋体" w:eastAsia="宋体" w:cs="宋体"/>
                <w:sz w:val="28"/>
                <w:szCs w:val="28"/>
              </w:rPr>
            </w:pPr>
            <w:r>
              <w:rPr>
                <w:rFonts w:hint="eastAsia" w:ascii="宋体" w:hAnsi="宋体" w:eastAsia="宋体" w:cs="宋体"/>
                <w:sz w:val="28"/>
                <w:szCs w:val="28"/>
              </w:rPr>
              <w:t>备注</w:t>
            </w:r>
          </w:p>
        </w:tc>
      </w:tr>
      <w:tr w14:paraId="2FC2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6" w:type="dxa"/>
          </w:tcPr>
          <w:p w14:paraId="413EC7C1">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气动翻板阀</w:t>
            </w:r>
          </w:p>
        </w:tc>
        <w:tc>
          <w:tcPr>
            <w:tcW w:w="2636" w:type="dxa"/>
          </w:tcPr>
          <w:p w14:paraId="128F8861">
            <w:pPr>
              <w:pStyle w:val="11"/>
              <w:keepNext w:val="0"/>
              <w:keepLines w:val="0"/>
              <w:widowControl/>
              <w:suppressLineNumbers w:val="0"/>
              <w:spacing w:line="15" w:lineRule="atLeast"/>
              <w:jc w:val="left"/>
              <w:rPr>
                <w:rFonts w:hint="default" w:eastAsia="宋体"/>
                <w:lang w:val="en-US" w:eastAsia="zh-CN"/>
              </w:rPr>
            </w:pPr>
            <w:r>
              <w:rPr>
                <w:b w:val="0"/>
                <w:bCs w:val="0"/>
                <w:i w:val="0"/>
                <w:iCs w:val="0"/>
                <w:color w:val="333333"/>
                <w:u w:val="none"/>
              </w:rPr>
              <w:t>规格：</w:t>
            </w:r>
            <w:r>
              <w:rPr>
                <w:rFonts w:hint="eastAsia"/>
                <w:b w:val="0"/>
                <w:bCs w:val="0"/>
                <w:i w:val="0"/>
                <w:iCs w:val="0"/>
                <w:color w:val="333333"/>
                <w:u w:val="none"/>
                <w:lang w:val="en-US" w:eastAsia="zh-CN"/>
              </w:rPr>
              <w:t>通径</w:t>
            </w:r>
            <w:r>
              <w:rPr>
                <w:b w:val="0"/>
                <w:bCs w:val="0"/>
                <w:i w:val="0"/>
                <w:iCs w:val="0"/>
                <w:color w:val="333333"/>
                <w:u w:val="none"/>
              </w:rPr>
              <w:t>400×400</w:t>
            </w:r>
            <w:r>
              <w:rPr>
                <w:rFonts w:hint="eastAsia"/>
                <w:b w:val="0"/>
                <w:bCs w:val="0"/>
                <w:i w:val="0"/>
                <w:iCs w:val="0"/>
                <w:color w:val="333333"/>
                <w:u w:val="none"/>
                <w:lang w:val="en-US" w:eastAsia="zh-CN"/>
              </w:rPr>
              <w:t>mm</w:t>
            </w:r>
            <w:r>
              <w:rPr>
                <w:rFonts w:hint="eastAsia"/>
                <w:b w:val="0"/>
                <w:bCs w:val="0"/>
                <w:i w:val="0"/>
                <w:iCs w:val="0"/>
                <w:color w:val="333333"/>
                <w:u w:val="none"/>
                <w:lang w:eastAsia="zh-CN"/>
              </w:rPr>
              <w:t>，</w:t>
            </w:r>
            <w:r>
              <w:rPr>
                <w:rFonts w:hint="eastAsia"/>
                <w:b w:val="0"/>
                <w:bCs w:val="0"/>
                <w:i w:val="0"/>
                <w:iCs w:val="0"/>
                <w:color w:val="333333"/>
                <w:u w:val="none"/>
                <w:lang w:val="en-US" w:eastAsia="zh-CN"/>
              </w:rPr>
              <w:t>高度675mm</w:t>
            </w:r>
          </w:p>
          <w:p w14:paraId="39CED30A">
            <w:pPr>
              <w:rPr>
                <w:rFonts w:ascii="宋体" w:hAnsi="宋体" w:eastAsia="宋体" w:cs="宋体"/>
                <w:sz w:val="28"/>
                <w:szCs w:val="28"/>
              </w:rPr>
            </w:pPr>
          </w:p>
        </w:tc>
        <w:tc>
          <w:tcPr>
            <w:tcW w:w="1296" w:type="dxa"/>
          </w:tcPr>
          <w:p w14:paraId="738E025A">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72台</w:t>
            </w:r>
          </w:p>
        </w:tc>
        <w:tc>
          <w:tcPr>
            <w:tcW w:w="2564" w:type="dxa"/>
          </w:tcPr>
          <w:p w14:paraId="297A8460">
            <w:pPr>
              <w:rPr>
                <w:rFonts w:hint="eastAsia" w:ascii="宋体" w:hAnsi="宋体" w:eastAsia="宋体" w:cs="宋体"/>
                <w:sz w:val="28"/>
                <w:szCs w:val="28"/>
                <w:lang w:val="en-US" w:eastAsia="zh-CN"/>
              </w:rPr>
            </w:pPr>
          </w:p>
        </w:tc>
      </w:tr>
    </w:tbl>
    <w:p w14:paraId="4507A716">
      <w:pPr>
        <w:numPr>
          <w:ilvl w:val="-1"/>
          <w:numId w:val="0"/>
        </w:numPr>
        <w:ind w:left="420" w:firstLine="0"/>
        <w:rPr>
          <w:sz w:val="30"/>
          <w:szCs w:val="30"/>
        </w:rPr>
      </w:pPr>
      <w:r>
        <w:rPr>
          <w:rFonts w:hint="eastAsia"/>
          <w:b/>
          <w:bCs/>
          <w:sz w:val="30"/>
          <w:szCs w:val="30"/>
          <w:lang w:val="en-US" w:eastAsia="zh-CN"/>
        </w:rPr>
        <w:t>二、</w:t>
      </w:r>
      <w:r>
        <w:rPr>
          <w:rFonts w:hint="eastAsia"/>
          <w:b/>
          <w:bCs/>
          <w:sz w:val="30"/>
          <w:szCs w:val="30"/>
        </w:rPr>
        <w:t>技术要求</w:t>
      </w:r>
    </w:p>
    <w:p w14:paraId="3D0EDAF6">
      <w:pPr>
        <w:pStyle w:val="2"/>
        <w:numPr>
          <w:ilvl w:val="0"/>
          <w:numId w:val="3"/>
        </w:num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技术规格：箱体通径400×400mm，高度675mm；法兰边长530×宽530mm；箱体材质：Q235b,厚5mm；转轴材质：3Cr13镀铬轴；转轴直径40mm；转轴长度≥820mm；阀板材质：304不锈钢，厚5mm；摆臂材质：Q235b，厚16mm；</w:t>
      </w:r>
      <w:r>
        <w:rPr>
          <w:rFonts w:hint="eastAsia" w:ascii="宋体" w:hAnsi="宋体" w:eastAsia="宋体" w:cs="宋体"/>
          <w:b w:val="0"/>
          <w:bCs w:val="0"/>
          <w:i w:val="0"/>
          <w:iCs w:val="0"/>
          <w:color w:val="333333"/>
          <w:sz w:val="28"/>
          <w:szCs w:val="28"/>
          <w:u w:val="none"/>
          <w:lang w:val="en-US" w:eastAsia="zh-CN"/>
        </w:rPr>
        <w:t>要求配套防漏灰型</w:t>
      </w:r>
      <w:r>
        <w:rPr>
          <w:rFonts w:hint="eastAsia" w:ascii="宋体" w:hAnsi="宋体" w:eastAsia="宋体" w:cs="宋体"/>
          <w:b w:val="0"/>
          <w:bCs w:val="0"/>
          <w:i w:val="0"/>
          <w:iCs w:val="0"/>
          <w:color w:val="333333"/>
          <w:sz w:val="28"/>
          <w:szCs w:val="28"/>
          <w:u w:val="none"/>
        </w:rPr>
        <w:t>盘根轴承座</w:t>
      </w:r>
      <w:r>
        <w:rPr>
          <w:rFonts w:hint="eastAsia" w:ascii="宋体" w:hAnsi="宋体" w:eastAsia="宋体" w:cs="宋体"/>
          <w:b w:val="0"/>
          <w:bCs w:val="0"/>
          <w:i w:val="0"/>
          <w:iCs w:val="0"/>
          <w:color w:val="333333"/>
          <w:sz w:val="28"/>
          <w:szCs w:val="28"/>
          <w:u w:val="none"/>
          <w:lang w:eastAsia="zh-CN"/>
        </w:rPr>
        <w:t>，</w:t>
      </w:r>
      <w:r>
        <w:rPr>
          <w:rFonts w:hint="eastAsia" w:ascii="宋体" w:hAnsi="宋体" w:eastAsia="宋体" w:cs="宋体"/>
          <w:b w:val="0"/>
          <w:bCs w:val="0"/>
          <w:i w:val="0"/>
          <w:iCs w:val="0"/>
          <w:color w:val="333333"/>
          <w:sz w:val="28"/>
          <w:szCs w:val="28"/>
          <w:u w:val="none"/>
          <w:lang w:val="en-US" w:eastAsia="zh-CN"/>
        </w:rPr>
        <w:t>轴承盒离箱体距离≥120mm，轴承盒材质</w:t>
      </w:r>
      <w:r>
        <w:rPr>
          <w:rFonts w:hint="eastAsia" w:ascii="宋体" w:hAnsi="宋体" w:eastAsia="宋体" w:cs="宋体"/>
          <w:b w:val="0"/>
          <w:bCs w:val="0"/>
          <w:i w:val="0"/>
          <w:iCs w:val="0"/>
          <w:color w:val="333333"/>
          <w:sz w:val="28"/>
          <w:szCs w:val="28"/>
          <w:u w:val="none"/>
        </w:rPr>
        <w:t>：45#钢；表面喷</w:t>
      </w:r>
      <w:r>
        <w:rPr>
          <w:rFonts w:hint="eastAsia" w:ascii="宋体" w:hAnsi="宋体" w:eastAsia="宋体" w:cs="宋体"/>
          <w:b w:val="0"/>
          <w:bCs w:val="0"/>
          <w:i w:val="0"/>
          <w:iCs w:val="0"/>
          <w:color w:val="333333"/>
          <w:sz w:val="28"/>
          <w:szCs w:val="28"/>
          <w:u w:val="none"/>
          <w:lang w:val="en-US" w:eastAsia="zh-CN"/>
        </w:rPr>
        <w:t>涂</w:t>
      </w:r>
      <w:r>
        <w:rPr>
          <w:rFonts w:hint="eastAsia" w:ascii="宋体" w:hAnsi="宋体" w:eastAsia="宋体" w:cs="宋体"/>
          <w:b w:val="0"/>
          <w:bCs w:val="0"/>
          <w:i w:val="0"/>
          <w:iCs w:val="0"/>
          <w:color w:val="333333"/>
          <w:sz w:val="28"/>
          <w:szCs w:val="28"/>
          <w:u w:val="none"/>
        </w:rPr>
        <w:t>500℃有机硅高温漆</w:t>
      </w:r>
      <w:r>
        <w:rPr>
          <w:rFonts w:hint="eastAsia" w:ascii="宋体" w:hAnsi="宋体" w:eastAsia="宋体" w:cs="宋体"/>
          <w:b w:val="0"/>
          <w:bCs w:val="0"/>
          <w:i w:val="0"/>
          <w:iCs w:val="0"/>
          <w:color w:val="333333"/>
          <w:sz w:val="28"/>
          <w:szCs w:val="28"/>
          <w:u w:val="none"/>
          <w:lang w:eastAsia="zh-CN"/>
        </w:rPr>
        <w:t>，</w:t>
      </w:r>
      <w:r>
        <w:rPr>
          <w:rFonts w:hint="eastAsia" w:ascii="宋体" w:hAnsi="宋体" w:eastAsia="宋体" w:cs="宋体"/>
          <w:b w:val="0"/>
          <w:bCs w:val="0"/>
          <w:i w:val="0"/>
          <w:iCs w:val="0"/>
          <w:color w:val="333333"/>
          <w:sz w:val="28"/>
          <w:szCs w:val="28"/>
          <w:u w:val="none"/>
          <w:lang w:val="en-US" w:eastAsia="zh-CN"/>
        </w:rPr>
        <w:t>采用烤漆工艺</w:t>
      </w:r>
      <w:r>
        <w:rPr>
          <w:rFonts w:hint="eastAsia" w:ascii="宋体" w:hAnsi="宋体" w:eastAsia="宋体" w:cs="宋体"/>
          <w:b w:val="0"/>
          <w:bCs w:val="0"/>
          <w:i w:val="0"/>
          <w:iCs w:val="0"/>
          <w:color w:val="333333"/>
          <w:sz w:val="28"/>
          <w:szCs w:val="28"/>
          <w:u w:val="none"/>
        </w:rPr>
        <w:t>；</w:t>
      </w:r>
      <w:r>
        <w:rPr>
          <w:rFonts w:hint="eastAsia" w:ascii="宋体" w:hAnsi="宋体" w:eastAsia="宋体" w:cs="宋体"/>
          <w:b w:val="0"/>
          <w:bCs w:val="0"/>
          <w:i w:val="0"/>
          <w:iCs w:val="0"/>
          <w:color w:val="333333"/>
          <w:sz w:val="28"/>
          <w:szCs w:val="28"/>
          <w:u w:val="none"/>
          <w:lang w:val="en-US" w:eastAsia="zh-CN"/>
        </w:rPr>
        <w:t>配套高温型气缸，气缸型号SC125*250-H-Y-D，气缸活塞安装磁环，配套气缸磁性开关传感器，可识别翻板阀开、关位。</w:t>
      </w:r>
    </w:p>
    <w:p w14:paraId="1CB401D4">
      <w:pPr>
        <w:pStyle w:val="2"/>
        <w:numPr>
          <w:ilvl w:val="0"/>
          <w:numId w:val="3"/>
        </w:num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响应人须完全按照采购人所提供的样板供货，如有任何差异导致所供货物与采购人设备不适配的，采购人拒绝收货，由此造成的损失由响应人承担。响应人须到现场踏勘并确认采购人样板，该样板作为货物验收标准。成交人批量供货前先打版给采购人确认，如果打版的不符合要求，给予一次修正机会，修正后仍不符合要求的，采购人有权终止合同。</w:t>
      </w:r>
    </w:p>
    <w:p w14:paraId="12B801D6">
      <w:pPr>
        <w:pStyle w:val="2"/>
        <w:numPr>
          <w:ilvl w:val="0"/>
          <w:numId w:val="3"/>
        </w:numPr>
        <w:rPr>
          <w:rFonts w:hint="default" w:asciiTheme="minorHAnsi" w:hAnsiTheme="minorHAnsi" w:eastAsiaTheme="minorEastAsia" w:cstheme="minorBidi"/>
          <w:kern w:val="2"/>
          <w:sz w:val="30"/>
          <w:szCs w:val="30"/>
          <w:lang w:val="en-US" w:eastAsia="zh-CN" w:bidi="ar-SA"/>
        </w:rPr>
      </w:pPr>
      <w:r>
        <w:rPr>
          <w:rFonts w:hint="eastAsia" w:cstheme="minorBidi"/>
          <w:kern w:val="2"/>
          <w:sz w:val="30"/>
          <w:szCs w:val="30"/>
          <w:lang w:val="en-US" w:eastAsia="zh-CN" w:bidi="ar-SA"/>
        </w:rPr>
        <w:t>实物样品：</w:t>
      </w:r>
    </w:p>
    <w:p w14:paraId="119A85B8">
      <w:pPr>
        <w:pStyle w:val="2"/>
        <w:numPr>
          <w:ilvl w:val="0"/>
          <w:numId w:val="0"/>
        </w:numPr>
        <w:jc w:val="center"/>
        <w:rPr>
          <w:rFonts w:hint="default" w:asciiTheme="minorHAnsi" w:hAnsiTheme="minorHAnsi" w:eastAsiaTheme="minorEastAsia" w:cstheme="minorBidi"/>
          <w:kern w:val="2"/>
          <w:sz w:val="30"/>
          <w:szCs w:val="30"/>
          <w:lang w:val="en-US" w:eastAsia="zh-CN" w:bidi="ar-SA"/>
        </w:rPr>
      </w:pPr>
      <w:r>
        <w:drawing>
          <wp:inline distT="0" distB="0" distL="114300" distR="114300">
            <wp:extent cx="5273675" cy="4573270"/>
            <wp:effectExtent l="0" t="0" r="508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73675" cy="4573270"/>
                    </a:xfrm>
                    <a:prstGeom prst="rect">
                      <a:avLst/>
                    </a:prstGeom>
                    <a:noFill/>
                    <a:ln>
                      <a:noFill/>
                    </a:ln>
                  </pic:spPr>
                </pic:pic>
              </a:graphicData>
            </a:graphic>
          </wp:inline>
        </w:drawing>
      </w:r>
      <w:r>
        <w:drawing>
          <wp:inline distT="0" distB="0" distL="114300" distR="114300">
            <wp:extent cx="5269865" cy="4679315"/>
            <wp:effectExtent l="0" t="0" r="889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69865" cy="4679315"/>
                    </a:xfrm>
                    <a:prstGeom prst="rect">
                      <a:avLst/>
                    </a:prstGeom>
                    <a:noFill/>
                    <a:ln>
                      <a:noFill/>
                    </a:ln>
                  </pic:spPr>
                </pic:pic>
              </a:graphicData>
            </a:graphic>
          </wp:inline>
        </w:drawing>
      </w:r>
      <w:r>
        <w:drawing>
          <wp:inline distT="0" distB="0" distL="114300" distR="114300">
            <wp:extent cx="5271770" cy="5461635"/>
            <wp:effectExtent l="0" t="0" r="698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stretch>
                      <a:fillRect/>
                    </a:stretch>
                  </pic:blipFill>
                  <pic:spPr>
                    <a:xfrm>
                      <a:off x="0" y="0"/>
                      <a:ext cx="5271770" cy="5461635"/>
                    </a:xfrm>
                    <a:prstGeom prst="rect">
                      <a:avLst/>
                    </a:prstGeom>
                    <a:noFill/>
                    <a:ln>
                      <a:noFill/>
                    </a:ln>
                  </pic:spPr>
                </pic:pic>
              </a:graphicData>
            </a:graphic>
          </wp:inline>
        </w:drawing>
      </w:r>
      <w:r>
        <w:drawing>
          <wp:inline distT="0" distB="0" distL="114300" distR="114300">
            <wp:extent cx="5273675" cy="6614160"/>
            <wp:effectExtent l="0" t="0" r="5080" b="317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5273675" cy="6614160"/>
                    </a:xfrm>
                    <a:prstGeom prst="rect">
                      <a:avLst/>
                    </a:prstGeom>
                    <a:noFill/>
                    <a:ln>
                      <a:noFill/>
                    </a:ln>
                  </pic:spPr>
                </pic:pic>
              </a:graphicData>
            </a:graphic>
          </wp:inline>
        </w:drawing>
      </w:r>
      <w:r>
        <w:drawing>
          <wp:inline distT="0" distB="0" distL="114300" distR="114300">
            <wp:extent cx="5271135" cy="4733290"/>
            <wp:effectExtent l="0" t="0" r="7620"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271135" cy="4733290"/>
                    </a:xfrm>
                    <a:prstGeom prst="rect">
                      <a:avLst/>
                    </a:prstGeom>
                    <a:noFill/>
                    <a:ln>
                      <a:noFill/>
                    </a:ln>
                  </pic:spPr>
                </pic:pic>
              </a:graphicData>
            </a:graphic>
          </wp:inline>
        </w:drawing>
      </w:r>
      <w:r>
        <w:drawing>
          <wp:inline distT="0" distB="0" distL="114300" distR="114300">
            <wp:extent cx="5271135" cy="4845050"/>
            <wp:effectExtent l="0" t="0" r="762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271135" cy="4845050"/>
                    </a:xfrm>
                    <a:prstGeom prst="rect">
                      <a:avLst/>
                    </a:prstGeom>
                    <a:noFill/>
                    <a:ln>
                      <a:noFill/>
                    </a:ln>
                  </pic:spPr>
                </pic:pic>
              </a:graphicData>
            </a:graphic>
          </wp:inline>
        </w:drawing>
      </w:r>
      <w:r>
        <w:drawing>
          <wp:inline distT="0" distB="0" distL="114300" distR="114300">
            <wp:extent cx="5268595" cy="4981575"/>
            <wp:effectExtent l="0" t="0" r="10160" b="57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268595" cy="4981575"/>
                    </a:xfrm>
                    <a:prstGeom prst="rect">
                      <a:avLst/>
                    </a:prstGeom>
                    <a:noFill/>
                    <a:ln>
                      <a:noFill/>
                    </a:ln>
                  </pic:spPr>
                </pic:pic>
              </a:graphicData>
            </a:graphic>
          </wp:inline>
        </w:drawing>
      </w:r>
      <w:r>
        <w:drawing>
          <wp:inline distT="0" distB="0" distL="114300" distR="114300">
            <wp:extent cx="5272405" cy="5244465"/>
            <wp:effectExtent l="0" t="0" r="6350" b="190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8"/>
                    <a:stretch>
                      <a:fillRect/>
                    </a:stretch>
                  </pic:blipFill>
                  <pic:spPr>
                    <a:xfrm>
                      <a:off x="0" y="0"/>
                      <a:ext cx="5272405" cy="5244465"/>
                    </a:xfrm>
                    <a:prstGeom prst="rect">
                      <a:avLst/>
                    </a:prstGeom>
                    <a:noFill/>
                    <a:ln>
                      <a:noFill/>
                    </a:ln>
                  </pic:spPr>
                </pic:pic>
              </a:graphicData>
            </a:graphic>
          </wp:inline>
        </w:drawing>
      </w:r>
      <w:r>
        <w:drawing>
          <wp:inline distT="0" distB="0" distL="114300" distR="114300">
            <wp:extent cx="5272405" cy="3866515"/>
            <wp:effectExtent l="0" t="0" r="6350" b="889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9"/>
                    <a:stretch>
                      <a:fillRect/>
                    </a:stretch>
                  </pic:blipFill>
                  <pic:spPr>
                    <a:xfrm>
                      <a:off x="0" y="0"/>
                      <a:ext cx="5272405" cy="3866515"/>
                    </a:xfrm>
                    <a:prstGeom prst="rect">
                      <a:avLst/>
                    </a:prstGeom>
                    <a:noFill/>
                    <a:ln>
                      <a:noFill/>
                    </a:ln>
                  </pic:spPr>
                </pic:pic>
              </a:graphicData>
            </a:graphic>
          </wp:inline>
        </w:drawing>
      </w:r>
      <w:r>
        <w:drawing>
          <wp:inline distT="0" distB="0" distL="114300" distR="114300">
            <wp:extent cx="5270500" cy="4357370"/>
            <wp:effectExtent l="0" t="0" r="8255" b="38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0"/>
                    <a:stretch>
                      <a:fillRect/>
                    </a:stretch>
                  </pic:blipFill>
                  <pic:spPr>
                    <a:xfrm>
                      <a:off x="0" y="0"/>
                      <a:ext cx="5270500" cy="4357370"/>
                    </a:xfrm>
                    <a:prstGeom prst="rect">
                      <a:avLst/>
                    </a:prstGeom>
                    <a:noFill/>
                    <a:ln>
                      <a:noFill/>
                    </a:ln>
                  </pic:spPr>
                </pic:pic>
              </a:graphicData>
            </a:graphic>
          </wp:inline>
        </w:drawing>
      </w:r>
    </w:p>
    <w:p w14:paraId="62D9C396">
      <w:pPr>
        <w:pStyle w:val="2"/>
        <w:numPr>
          <w:ilvl w:val="0"/>
          <w:numId w:val="3"/>
        </w:numPr>
        <w:tabs>
          <w:tab w:val="center" w:pos="4153"/>
        </w:tabs>
        <w:rPr>
          <w:rFonts w:hint="default" w:asciiTheme="minorHAnsi" w:hAnsiTheme="minorHAnsi" w:eastAsiaTheme="minorEastAsia" w:cstheme="minorBidi"/>
          <w:kern w:val="2"/>
          <w:sz w:val="30"/>
          <w:szCs w:val="30"/>
          <w:lang w:val="en-US" w:eastAsia="zh-CN" w:bidi="ar-SA"/>
        </w:rPr>
      </w:pPr>
      <w:r>
        <w:rPr>
          <w:rFonts w:hint="eastAsia" w:cstheme="minorBidi"/>
          <w:kern w:val="2"/>
          <w:sz w:val="30"/>
          <w:szCs w:val="30"/>
          <w:lang w:val="en-US" w:eastAsia="zh-CN" w:bidi="ar-SA"/>
        </w:rPr>
        <w:t>翻板阀箱体背面开螺栓检修孔，便于阀板检修；翻板阀箱体正面装快开式检查孔，检查孔的规格为长280mm×宽280mm×高50mm，人孔门钢板厚度5mm，每个人孔门配两个活动式合页；密封槽安装20×20mm石棉密封条。快开式检查孔样式见下图：</w:t>
      </w:r>
    </w:p>
    <w:p w14:paraId="6F88A89A">
      <w:pPr>
        <w:pStyle w:val="2"/>
        <w:numPr>
          <w:ilvl w:val="0"/>
          <w:numId w:val="0"/>
        </w:numPr>
        <w:tabs>
          <w:tab w:val="center" w:pos="4153"/>
        </w:tabs>
      </w:pPr>
      <w:r>
        <w:drawing>
          <wp:inline distT="0" distB="0" distL="114300" distR="114300">
            <wp:extent cx="5267960" cy="4260215"/>
            <wp:effectExtent l="0" t="0" r="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67960" cy="4260215"/>
                    </a:xfrm>
                    <a:prstGeom prst="rect">
                      <a:avLst/>
                    </a:prstGeom>
                    <a:noFill/>
                    <a:ln>
                      <a:noFill/>
                    </a:ln>
                  </pic:spPr>
                </pic:pic>
              </a:graphicData>
            </a:graphic>
          </wp:inline>
        </w:drawing>
      </w:r>
    </w:p>
    <w:p w14:paraId="6AEDED8B">
      <w:pPr>
        <w:pStyle w:val="2"/>
        <w:numPr>
          <w:ilvl w:val="0"/>
          <w:numId w:val="0"/>
        </w:numPr>
        <w:tabs>
          <w:tab w:val="center" w:pos="4153"/>
        </w:tabs>
      </w:pPr>
    </w:p>
    <w:p w14:paraId="704EF24B">
      <w:pPr>
        <w:pStyle w:val="2"/>
        <w:numPr>
          <w:ilvl w:val="0"/>
          <w:numId w:val="0"/>
        </w:numPr>
        <w:tabs>
          <w:tab w:val="center" w:pos="4153"/>
        </w:tabs>
      </w:pPr>
    </w:p>
    <w:p w14:paraId="6C0BDFD3">
      <w:pPr>
        <w:pStyle w:val="2"/>
        <w:numPr>
          <w:ilvl w:val="0"/>
          <w:numId w:val="0"/>
        </w:numPr>
        <w:tabs>
          <w:tab w:val="center" w:pos="4153"/>
        </w:tabs>
      </w:pPr>
    </w:p>
    <w:p w14:paraId="714934ED">
      <w:pPr>
        <w:pStyle w:val="2"/>
        <w:numPr>
          <w:ilvl w:val="0"/>
          <w:numId w:val="0"/>
        </w:numPr>
        <w:tabs>
          <w:tab w:val="center" w:pos="4153"/>
        </w:tabs>
      </w:pPr>
    </w:p>
    <w:p w14:paraId="7C0057DB">
      <w:pPr>
        <w:pStyle w:val="2"/>
        <w:numPr>
          <w:ilvl w:val="0"/>
          <w:numId w:val="0"/>
        </w:numPr>
        <w:tabs>
          <w:tab w:val="center" w:pos="4153"/>
        </w:tabs>
      </w:pPr>
    </w:p>
    <w:p w14:paraId="6CB653F9">
      <w:pPr>
        <w:pStyle w:val="2"/>
        <w:numPr>
          <w:ilvl w:val="0"/>
          <w:numId w:val="0"/>
        </w:numPr>
        <w:tabs>
          <w:tab w:val="center" w:pos="4153"/>
        </w:tabs>
      </w:pPr>
    </w:p>
    <w:p w14:paraId="4E96766B">
      <w:pPr>
        <w:pStyle w:val="2"/>
        <w:numPr>
          <w:ilvl w:val="0"/>
          <w:numId w:val="0"/>
        </w:numPr>
        <w:tabs>
          <w:tab w:val="center" w:pos="4153"/>
        </w:tabs>
      </w:pPr>
    </w:p>
    <w:p w14:paraId="7CC67463">
      <w:pPr>
        <w:pStyle w:val="2"/>
        <w:numPr>
          <w:ilvl w:val="0"/>
          <w:numId w:val="0"/>
        </w:numPr>
        <w:tabs>
          <w:tab w:val="center" w:pos="4153"/>
        </w:tabs>
      </w:pPr>
    </w:p>
    <w:p w14:paraId="7B515D9E">
      <w:pPr>
        <w:pStyle w:val="2"/>
        <w:numPr>
          <w:ilvl w:val="0"/>
          <w:numId w:val="0"/>
        </w:numPr>
        <w:tabs>
          <w:tab w:val="center" w:pos="4153"/>
        </w:tabs>
      </w:pPr>
    </w:p>
    <w:p w14:paraId="3C6B676A">
      <w:pPr>
        <w:pStyle w:val="2"/>
        <w:numPr>
          <w:ilvl w:val="0"/>
          <w:numId w:val="3"/>
        </w:numPr>
        <w:rPr>
          <w:rFonts w:hint="default" w:cstheme="minorBidi"/>
          <w:kern w:val="2"/>
          <w:sz w:val="30"/>
          <w:szCs w:val="30"/>
          <w:lang w:val="en-US" w:eastAsia="zh-CN" w:bidi="ar-SA"/>
        </w:rPr>
      </w:pPr>
      <w:r>
        <w:rPr>
          <w:rFonts w:hint="eastAsia" w:cstheme="minorBidi"/>
          <w:kern w:val="2"/>
          <w:sz w:val="30"/>
          <w:szCs w:val="30"/>
          <w:lang w:val="en-US" w:eastAsia="zh-CN" w:bidi="ar-SA"/>
        </w:rPr>
        <w:t>法兰边尺寸示意图：</w:t>
      </w:r>
    </w:p>
    <w:p w14:paraId="3720135A">
      <w:pPr>
        <w:pStyle w:val="2"/>
        <w:numPr>
          <w:ilvl w:val="0"/>
          <w:numId w:val="0"/>
        </w:numPr>
        <w:rPr>
          <w:rFonts w:hint="default" w:eastAsiaTheme="minorEastAsia"/>
          <w:lang w:val="en-US" w:eastAsia="zh-CN"/>
        </w:rPr>
      </w:pPr>
      <w:r>
        <w:drawing>
          <wp:inline distT="0" distB="0" distL="114300" distR="114300">
            <wp:extent cx="5270500" cy="3205480"/>
            <wp:effectExtent l="0" t="0" r="825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5270500" cy="3205480"/>
                    </a:xfrm>
                    <a:prstGeom prst="rect">
                      <a:avLst/>
                    </a:prstGeom>
                    <a:noFill/>
                    <a:ln>
                      <a:noFill/>
                    </a:ln>
                  </pic:spPr>
                </pic:pic>
              </a:graphicData>
            </a:graphic>
          </wp:inline>
        </w:drawing>
      </w:r>
    </w:p>
    <w:p w14:paraId="222B8B9F">
      <w:pPr>
        <w:pStyle w:val="2"/>
        <w:numPr>
          <w:ilvl w:val="0"/>
          <w:numId w:val="3"/>
        </w:numPr>
        <w:rPr>
          <w:rFonts w:hint="default" w:asciiTheme="minorHAnsi" w:hAnsiTheme="minorHAnsi" w:eastAsiaTheme="minorEastAsia" w:cstheme="minorBidi"/>
          <w:kern w:val="2"/>
          <w:sz w:val="30"/>
          <w:szCs w:val="30"/>
          <w:lang w:val="en-US" w:eastAsia="zh-CN" w:bidi="ar-SA"/>
        </w:rPr>
      </w:pPr>
      <w:r>
        <w:rPr>
          <w:rFonts w:hint="eastAsia" w:cstheme="minorBidi"/>
          <w:kern w:val="2"/>
          <w:sz w:val="30"/>
          <w:szCs w:val="30"/>
          <w:lang w:val="en-US" w:eastAsia="zh-CN" w:bidi="ar-SA"/>
        </w:rPr>
        <w:t>轴端盘根盒安装好亚克力盘根；安装好轴承，轴承品牌：HRB、ZWZ、LYC三选一，轴承型号：6208-ZZ。</w:t>
      </w:r>
    </w:p>
    <w:p w14:paraId="0327798E">
      <w:pPr>
        <w:pStyle w:val="2"/>
        <w:numPr>
          <w:ilvl w:val="0"/>
          <w:numId w:val="3"/>
        </w:numPr>
        <w:rPr>
          <w:rFonts w:hint="default" w:eastAsiaTheme="minorEastAsia"/>
          <w:lang w:val="en-US" w:eastAsia="zh-CN"/>
        </w:rPr>
      </w:pPr>
      <w:r>
        <w:rPr>
          <w:rFonts w:hint="default" w:asciiTheme="minorHAnsi" w:hAnsiTheme="minorHAnsi" w:eastAsiaTheme="minorEastAsia" w:cstheme="minorBidi"/>
          <w:kern w:val="2"/>
          <w:sz w:val="30"/>
          <w:szCs w:val="30"/>
          <w:lang w:val="en-US" w:eastAsia="zh-CN" w:bidi="ar-SA"/>
        </w:rPr>
        <w:t>配套</w:t>
      </w:r>
      <w:r>
        <w:rPr>
          <w:rFonts w:hint="eastAsia" w:cstheme="minorBidi"/>
          <w:kern w:val="2"/>
          <w:sz w:val="30"/>
          <w:szCs w:val="30"/>
          <w:lang w:val="en-US" w:eastAsia="zh-CN" w:bidi="ar-SA"/>
        </w:rPr>
        <w:t>上、下法兰面处密封的</w:t>
      </w:r>
      <w:r>
        <w:rPr>
          <w:rFonts w:hint="default" w:asciiTheme="minorHAnsi" w:hAnsiTheme="minorHAnsi" w:eastAsiaTheme="minorEastAsia" w:cstheme="minorBidi"/>
          <w:kern w:val="2"/>
          <w:sz w:val="30"/>
          <w:szCs w:val="30"/>
          <w:lang w:val="en-US" w:eastAsia="zh-CN" w:bidi="ar-SA"/>
        </w:rPr>
        <w:t xml:space="preserve">石棉垫片 </w:t>
      </w:r>
      <w:r>
        <w:rPr>
          <w:rFonts w:hint="eastAsia" w:cstheme="minorBidi"/>
          <w:kern w:val="2"/>
          <w:sz w:val="30"/>
          <w:szCs w:val="30"/>
          <w:lang w:val="en-US" w:eastAsia="zh-CN" w:bidi="ar-SA"/>
        </w:rPr>
        <w:t>、</w:t>
      </w:r>
      <w:r>
        <w:rPr>
          <w:rFonts w:hint="default" w:asciiTheme="minorHAnsi" w:hAnsiTheme="minorHAnsi" w:eastAsiaTheme="minorEastAsia" w:cstheme="minorBidi"/>
          <w:kern w:val="2"/>
          <w:sz w:val="30"/>
          <w:szCs w:val="30"/>
          <w:lang w:val="en-US" w:eastAsia="zh-CN" w:bidi="ar-SA"/>
        </w:rPr>
        <w:t>备用亚克力盘根</w:t>
      </w:r>
      <w:r>
        <w:rPr>
          <w:rFonts w:hint="eastAsia" w:cstheme="minorBidi"/>
          <w:kern w:val="2"/>
          <w:sz w:val="30"/>
          <w:szCs w:val="30"/>
          <w:lang w:val="en-US" w:eastAsia="zh-CN" w:bidi="ar-SA"/>
        </w:rPr>
        <w:t>。</w:t>
      </w:r>
    </w:p>
    <w:p w14:paraId="467E6225">
      <w:pPr>
        <w:pStyle w:val="2"/>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hAnsi="宋体" w:eastAsia="宋体" w:cs="宋体"/>
          <w:sz w:val="22"/>
          <w:szCs w:val="18"/>
          <w:highlight w:val="none"/>
        </w:rPr>
        <w:t xml:space="preserve">        </w:t>
      </w:r>
    </w:p>
    <w:p w14:paraId="03187EC9">
      <w:pPr>
        <w:rPr>
          <w:rFonts w:hint="default"/>
          <w:lang w:val="en-US" w:eastAsia="zh-CN"/>
        </w:rPr>
      </w:pP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abstractNum w:abstractNumId="2">
    <w:nsid w:val="6B0A9F2D"/>
    <w:multiLevelType w:val="singleLevel"/>
    <w:tmpl w:val="6B0A9F2D"/>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2D580A"/>
    <w:rsid w:val="054C4B13"/>
    <w:rsid w:val="0566036B"/>
    <w:rsid w:val="05663D21"/>
    <w:rsid w:val="056A0D08"/>
    <w:rsid w:val="059366CF"/>
    <w:rsid w:val="05B005E5"/>
    <w:rsid w:val="05B87B12"/>
    <w:rsid w:val="05BB0E27"/>
    <w:rsid w:val="05D00163"/>
    <w:rsid w:val="05D70DB9"/>
    <w:rsid w:val="06091A7D"/>
    <w:rsid w:val="063F4ED6"/>
    <w:rsid w:val="0641664A"/>
    <w:rsid w:val="06460246"/>
    <w:rsid w:val="065E42CE"/>
    <w:rsid w:val="06856661"/>
    <w:rsid w:val="068816E8"/>
    <w:rsid w:val="069C6DD5"/>
    <w:rsid w:val="06A236FF"/>
    <w:rsid w:val="06B7358F"/>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83642"/>
    <w:rsid w:val="08284245"/>
    <w:rsid w:val="08391181"/>
    <w:rsid w:val="086F1260"/>
    <w:rsid w:val="0876459B"/>
    <w:rsid w:val="0880226D"/>
    <w:rsid w:val="08895A36"/>
    <w:rsid w:val="088B4D97"/>
    <w:rsid w:val="089F2BDE"/>
    <w:rsid w:val="08A306EF"/>
    <w:rsid w:val="08A86F17"/>
    <w:rsid w:val="08B6611C"/>
    <w:rsid w:val="08BB2505"/>
    <w:rsid w:val="08D63611"/>
    <w:rsid w:val="08EC6994"/>
    <w:rsid w:val="09000221"/>
    <w:rsid w:val="090D6531"/>
    <w:rsid w:val="0963581B"/>
    <w:rsid w:val="099A07E1"/>
    <w:rsid w:val="09A0699C"/>
    <w:rsid w:val="09B83AB4"/>
    <w:rsid w:val="09C40CDA"/>
    <w:rsid w:val="09F61AD0"/>
    <w:rsid w:val="0A2D58D3"/>
    <w:rsid w:val="0A4E47C8"/>
    <w:rsid w:val="0A51342A"/>
    <w:rsid w:val="0A6F3D19"/>
    <w:rsid w:val="0A887FBA"/>
    <w:rsid w:val="0A9578EA"/>
    <w:rsid w:val="0A9855FA"/>
    <w:rsid w:val="0A9B4FED"/>
    <w:rsid w:val="0AB811A5"/>
    <w:rsid w:val="0AEC7127"/>
    <w:rsid w:val="0AF916E2"/>
    <w:rsid w:val="0B063FF5"/>
    <w:rsid w:val="0B0C0A79"/>
    <w:rsid w:val="0B343C32"/>
    <w:rsid w:val="0B451F6A"/>
    <w:rsid w:val="0B636CD4"/>
    <w:rsid w:val="0B705BE3"/>
    <w:rsid w:val="0B7E1688"/>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D21F02"/>
    <w:rsid w:val="120C5D21"/>
    <w:rsid w:val="123649A8"/>
    <w:rsid w:val="12385DAA"/>
    <w:rsid w:val="123B5AD1"/>
    <w:rsid w:val="12410B8B"/>
    <w:rsid w:val="12475EA9"/>
    <w:rsid w:val="12707190"/>
    <w:rsid w:val="1288550F"/>
    <w:rsid w:val="133360BD"/>
    <w:rsid w:val="137A1844"/>
    <w:rsid w:val="13806B33"/>
    <w:rsid w:val="13C85D56"/>
    <w:rsid w:val="14040081"/>
    <w:rsid w:val="140B464A"/>
    <w:rsid w:val="142D218A"/>
    <w:rsid w:val="145C6FD0"/>
    <w:rsid w:val="146E4633"/>
    <w:rsid w:val="146E56C1"/>
    <w:rsid w:val="149F2FE4"/>
    <w:rsid w:val="14A2580E"/>
    <w:rsid w:val="14AD2BFE"/>
    <w:rsid w:val="14B03C61"/>
    <w:rsid w:val="14D94F9A"/>
    <w:rsid w:val="14F40ECC"/>
    <w:rsid w:val="150412EA"/>
    <w:rsid w:val="150A451A"/>
    <w:rsid w:val="15127131"/>
    <w:rsid w:val="151874F8"/>
    <w:rsid w:val="15315FCD"/>
    <w:rsid w:val="154C31C1"/>
    <w:rsid w:val="15632594"/>
    <w:rsid w:val="15C2719D"/>
    <w:rsid w:val="15F70FAA"/>
    <w:rsid w:val="160E4D4D"/>
    <w:rsid w:val="16207996"/>
    <w:rsid w:val="16260FD9"/>
    <w:rsid w:val="16355694"/>
    <w:rsid w:val="16432BC3"/>
    <w:rsid w:val="164475C7"/>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A6B85"/>
    <w:rsid w:val="18AC6D73"/>
    <w:rsid w:val="18B350A3"/>
    <w:rsid w:val="18C36A99"/>
    <w:rsid w:val="18F605BB"/>
    <w:rsid w:val="19211ADE"/>
    <w:rsid w:val="19267D5B"/>
    <w:rsid w:val="19431DA3"/>
    <w:rsid w:val="19887337"/>
    <w:rsid w:val="19C162BB"/>
    <w:rsid w:val="19C8432D"/>
    <w:rsid w:val="19D03415"/>
    <w:rsid w:val="1A114A2E"/>
    <w:rsid w:val="1A31175B"/>
    <w:rsid w:val="1A40729A"/>
    <w:rsid w:val="1A462F08"/>
    <w:rsid w:val="1A740AEE"/>
    <w:rsid w:val="1A8C15A3"/>
    <w:rsid w:val="1AC029B2"/>
    <w:rsid w:val="1AD2126E"/>
    <w:rsid w:val="1AD749B1"/>
    <w:rsid w:val="1B4716B4"/>
    <w:rsid w:val="1B7815CA"/>
    <w:rsid w:val="1B9F64DE"/>
    <w:rsid w:val="1BB400F5"/>
    <w:rsid w:val="1BB56A48"/>
    <w:rsid w:val="1BC0349E"/>
    <w:rsid w:val="1C08419D"/>
    <w:rsid w:val="1C6C7C4F"/>
    <w:rsid w:val="1C7137C5"/>
    <w:rsid w:val="1C743EC6"/>
    <w:rsid w:val="1CA00BF7"/>
    <w:rsid w:val="1CFD70E6"/>
    <w:rsid w:val="1D102DA4"/>
    <w:rsid w:val="1D13631D"/>
    <w:rsid w:val="1D4D5FFD"/>
    <w:rsid w:val="1D60322D"/>
    <w:rsid w:val="1D7B5E2C"/>
    <w:rsid w:val="1D983953"/>
    <w:rsid w:val="1D9D6494"/>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7761C8"/>
    <w:rsid w:val="209E2C67"/>
    <w:rsid w:val="20EA5EBD"/>
    <w:rsid w:val="20FF23A0"/>
    <w:rsid w:val="21110DC5"/>
    <w:rsid w:val="215D3AC5"/>
    <w:rsid w:val="216F32CA"/>
    <w:rsid w:val="217B20CF"/>
    <w:rsid w:val="21CB6FBF"/>
    <w:rsid w:val="21DE7908"/>
    <w:rsid w:val="21E76179"/>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F3D6C"/>
    <w:rsid w:val="24373239"/>
    <w:rsid w:val="24461C6B"/>
    <w:rsid w:val="24531CE3"/>
    <w:rsid w:val="245A3D5B"/>
    <w:rsid w:val="245E0A8A"/>
    <w:rsid w:val="249454A5"/>
    <w:rsid w:val="24964EF8"/>
    <w:rsid w:val="249A7996"/>
    <w:rsid w:val="24A10DD2"/>
    <w:rsid w:val="24BE28A6"/>
    <w:rsid w:val="24E22663"/>
    <w:rsid w:val="24E23C99"/>
    <w:rsid w:val="24F062D2"/>
    <w:rsid w:val="2529444A"/>
    <w:rsid w:val="253B3777"/>
    <w:rsid w:val="253E3770"/>
    <w:rsid w:val="256A6608"/>
    <w:rsid w:val="256C3FE9"/>
    <w:rsid w:val="256F4081"/>
    <w:rsid w:val="259174A4"/>
    <w:rsid w:val="25A17AC4"/>
    <w:rsid w:val="25A71EE0"/>
    <w:rsid w:val="25C32FD6"/>
    <w:rsid w:val="25D60E9E"/>
    <w:rsid w:val="260343EC"/>
    <w:rsid w:val="26160809"/>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C27B4B"/>
    <w:rsid w:val="2BFD6B16"/>
    <w:rsid w:val="2C016BB8"/>
    <w:rsid w:val="2C2F27D7"/>
    <w:rsid w:val="2C79418D"/>
    <w:rsid w:val="2C8B5ED0"/>
    <w:rsid w:val="2C9B70E1"/>
    <w:rsid w:val="2CAA5825"/>
    <w:rsid w:val="2CE4166F"/>
    <w:rsid w:val="2D0E6CE1"/>
    <w:rsid w:val="2D26240A"/>
    <w:rsid w:val="2D2F2667"/>
    <w:rsid w:val="2D307F4F"/>
    <w:rsid w:val="2D407E72"/>
    <w:rsid w:val="2D591F74"/>
    <w:rsid w:val="2D625044"/>
    <w:rsid w:val="2D77461B"/>
    <w:rsid w:val="2D9F7BBA"/>
    <w:rsid w:val="2DD625D6"/>
    <w:rsid w:val="2DDD6BFF"/>
    <w:rsid w:val="2E053518"/>
    <w:rsid w:val="2E227E46"/>
    <w:rsid w:val="2E3B6CE8"/>
    <w:rsid w:val="2E400C5F"/>
    <w:rsid w:val="2E440F97"/>
    <w:rsid w:val="2E4F03AE"/>
    <w:rsid w:val="2E5209E3"/>
    <w:rsid w:val="2E5A17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D412B7"/>
    <w:rsid w:val="35E30B2B"/>
    <w:rsid w:val="3640241B"/>
    <w:rsid w:val="364E252C"/>
    <w:rsid w:val="3663111C"/>
    <w:rsid w:val="36634890"/>
    <w:rsid w:val="36650D67"/>
    <w:rsid w:val="3676725F"/>
    <w:rsid w:val="36835891"/>
    <w:rsid w:val="369F5FC3"/>
    <w:rsid w:val="36A81FB2"/>
    <w:rsid w:val="36B1372E"/>
    <w:rsid w:val="36B164AC"/>
    <w:rsid w:val="36B7581C"/>
    <w:rsid w:val="37160ED8"/>
    <w:rsid w:val="3722158D"/>
    <w:rsid w:val="374075EA"/>
    <w:rsid w:val="3747333B"/>
    <w:rsid w:val="375E09FC"/>
    <w:rsid w:val="376A21C2"/>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C7258"/>
    <w:rsid w:val="38A56B01"/>
    <w:rsid w:val="38AA5685"/>
    <w:rsid w:val="38B47FF9"/>
    <w:rsid w:val="38CA1DB0"/>
    <w:rsid w:val="38F2664F"/>
    <w:rsid w:val="38FA64C1"/>
    <w:rsid w:val="39003F1D"/>
    <w:rsid w:val="39094EB1"/>
    <w:rsid w:val="390C65EA"/>
    <w:rsid w:val="391D4DEF"/>
    <w:rsid w:val="39276876"/>
    <w:rsid w:val="392B2930"/>
    <w:rsid w:val="394C4C39"/>
    <w:rsid w:val="39553FED"/>
    <w:rsid w:val="39A6320B"/>
    <w:rsid w:val="39D50319"/>
    <w:rsid w:val="39E14E84"/>
    <w:rsid w:val="3A266A6B"/>
    <w:rsid w:val="3A362ECC"/>
    <w:rsid w:val="3A451DB4"/>
    <w:rsid w:val="3AA2628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D13323"/>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3D5750"/>
    <w:rsid w:val="3F577100"/>
    <w:rsid w:val="3F6941E1"/>
    <w:rsid w:val="3F7A6A72"/>
    <w:rsid w:val="3F954FA0"/>
    <w:rsid w:val="3F9B1F35"/>
    <w:rsid w:val="3FA85836"/>
    <w:rsid w:val="3FC610B5"/>
    <w:rsid w:val="400374F9"/>
    <w:rsid w:val="400E7192"/>
    <w:rsid w:val="4019244E"/>
    <w:rsid w:val="40511376"/>
    <w:rsid w:val="40531C58"/>
    <w:rsid w:val="40BF7C1A"/>
    <w:rsid w:val="40C12F37"/>
    <w:rsid w:val="40C91A64"/>
    <w:rsid w:val="40CD0D6A"/>
    <w:rsid w:val="40CD7210"/>
    <w:rsid w:val="40DE2987"/>
    <w:rsid w:val="40E21F81"/>
    <w:rsid w:val="40FF0F16"/>
    <w:rsid w:val="410D47C6"/>
    <w:rsid w:val="41192D98"/>
    <w:rsid w:val="413E5CD9"/>
    <w:rsid w:val="414337A7"/>
    <w:rsid w:val="415E5E0D"/>
    <w:rsid w:val="41955C5F"/>
    <w:rsid w:val="41B46655"/>
    <w:rsid w:val="41BB6EC9"/>
    <w:rsid w:val="41BD0482"/>
    <w:rsid w:val="41C23CEA"/>
    <w:rsid w:val="41EE64C3"/>
    <w:rsid w:val="4238196C"/>
    <w:rsid w:val="424B591E"/>
    <w:rsid w:val="4271634D"/>
    <w:rsid w:val="429E0DD2"/>
    <w:rsid w:val="42B0288A"/>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DC0267"/>
    <w:rsid w:val="44F057A6"/>
    <w:rsid w:val="44F56185"/>
    <w:rsid w:val="4521617F"/>
    <w:rsid w:val="452C2FDD"/>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BB543A"/>
    <w:rsid w:val="49C75DBC"/>
    <w:rsid w:val="49CB0CCD"/>
    <w:rsid w:val="4A007AA5"/>
    <w:rsid w:val="4A323DB6"/>
    <w:rsid w:val="4A473AAB"/>
    <w:rsid w:val="4A803A90"/>
    <w:rsid w:val="4AA610D6"/>
    <w:rsid w:val="4AE939A1"/>
    <w:rsid w:val="4B0C055A"/>
    <w:rsid w:val="4B186EA3"/>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712179"/>
    <w:rsid w:val="4F8B1E5E"/>
    <w:rsid w:val="4FAE0E1F"/>
    <w:rsid w:val="4FF029D9"/>
    <w:rsid w:val="50266D9D"/>
    <w:rsid w:val="5057079F"/>
    <w:rsid w:val="5069668A"/>
    <w:rsid w:val="50740D82"/>
    <w:rsid w:val="50A83CB2"/>
    <w:rsid w:val="50AF5D81"/>
    <w:rsid w:val="50B138A7"/>
    <w:rsid w:val="50EE0825"/>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292F71"/>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6171A01"/>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F3B1A"/>
    <w:rsid w:val="5CD4601F"/>
    <w:rsid w:val="5CDD69F5"/>
    <w:rsid w:val="5CF22878"/>
    <w:rsid w:val="5CF4139A"/>
    <w:rsid w:val="5CF81A09"/>
    <w:rsid w:val="5D006C95"/>
    <w:rsid w:val="5D24117B"/>
    <w:rsid w:val="5D3E33D2"/>
    <w:rsid w:val="5D5364CD"/>
    <w:rsid w:val="5D693C9C"/>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43686C"/>
    <w:rsid w:val="60545CED"/>
    <w:rsid w:val="6056362E"/>
    <w:rsid w:val="60736778"/>
    <w:rsid w:val="60846283"/>
    <w:rsid w:val="608A3BA9"/>
    <w:rsid w:val="60BC3FEF"/>
    <w:rsid w:val="60D715E6"/>
    <w:rsid w:val="60E50A8F"/>
    <w:rsid w:val="60EC120B"/>
    <w:rsid w:val="60EE598F"/>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27C3"/>
    <w:rsid w:val="636C7B02"/>
    <w:rsid w:val="637B447B"/>
    <w:rsid w:val="63870355"/>
    <w:rsid w:val="63D736B7"/>
    <w:rsid w:val="63F5222D"/>
    <w:rsid w:val="640A036F"/>
    <w:rsid w:val="6457430E"/>
    <w:rsid w:val="64684FF6"/>
    <w:rsid w:val="646D7F47"/>
    <w:rsid w:val="64E3778E"/>
    <w:rsid w:val="64F87681"/>
    <w:rsid w:val="65016282"/>
    <w:rsid w:val="652E4984"/>
    <w:rsid w:val="653308D7"/>
    <w:rsid w:val="6541100E"/>
    <w:rsid w:val="654C0BA8"/>
    <w:rsid w:val="65723276"/>
    <w:rsid w:val="65894ACB"/>
    <w:rsid w:val="65B601CD"/>
    <w:rsid w:val="65BC62F1"/>
    <w:rsid w:val="65C57730"/>
    <w:rsid w:val="65D03A9D"/>
    <w:rsid w:val="66113182"/>
    <w:rsid w:val="664352EB"/>
    <w:rsid w:val="665C2B0D"/>
    <w:rsid w:val="66636F9A"/>
    <w:rsid w:val="666D4FDC"/>
    <w:rsid w:val="66731291"/>
    <w:rsid w:val="667A0273"/>
    <w:rsid w:val="66903901"/>
    <w:rsid w:val="66C344E7"/>
    <w:rsid w:val="66F07010"/>
    <w:rsid w:val="66F7316A"/>
    <w:rsid w:val="66FC73C9"/>
    <w:rsid w:val="672079BD"/>
    <w:rsid w:val="67253AE9"/>
    <w:rsid w:val="674421AD"/>
    <w:rsid w:val="67E02C36"/>
    <w:rsid w:val="67E85D1C"/>
    <w:rsid w:val="681465D8"/>
    <w:rsid w:val="68235D74"/>
    <w:rsid w:val="683055A2"/>
    <w:rsid w:val="683E7EE4"/>
    <w:rsid w:val="68444BB2"/>
    <w:rsid w:val="684A6627"/>
    <w:rsid w:val="68517653"/>
    <w:rsid w:val="687B3426"/>
    <w:rsid w:val="68B712D5"/>
    <w:rsid w:val="68C65C0A"/>
    <w:rsid w:val="68E12ED2"/>
    <w:rsid w:val="68FD4084"/>
    <w:rsid w:val="69297938"/>
    <w:rsid w:val="69321393"/>
    <w:rsid w:val="693A4C13"/>
    <w:rsid w:val="696610E4"/>
    <w:rsid w:val="69A60F1E"/>
    <w:rsid w:val="69B2588C"/>
    <w:rsid w:val="69DC5F48"/>
    <w:rsid w:val="69E3692E"/>
    <w:rsid w:val="6A483248"/>
    <w:rsid w:val="6A6D75CE"/>
    <w:rsid w:val="6A83721D"/>
    <w:rsid w:val="6A847D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211BEA"/>
    <w:rsid w:val="6C3B4BAD"/>
    <w:rsid w:val="6C4526AF"/>
    <w:rsid w:val="6C5B55DC"/>
    <w:rsid w:val="6C5D6BCE"/>
    <w:rsid w:val="6C845EBC"/>
    <w:rsid w:val="6CAE03DD"/>
    <w:rsid w:val="6CCF0AA2"/>
    <w:rsid w:val="6CE262A4"/>
    <w:rsid w:val="6CE56E6B"/>
    <w:rsid w:val="6CE6359C"/>
    <w:rsid w:val="6D032DAA"/>
    <w:rsid w:val="6D0B49F2"/>
    <w:rsid w:val="6D1A704D"/>
    <w:rsid w:val="6D1E66A9"/>
    <w:rsid w:val="6D506D1C"/>
    <w:rsid w:val="6D61192D"/>
    <w:rsid w:val="6D675F3C"/>
    <w:rsid w:val="6D6C1DD5"/>
    <w:rsid w:val="6D7446CC"/>
    <w:rsid w:val="6D7521FE"/>
    <w:rsid w:val="6D88011E"/>
    <w:rsid w:val="6D8A298C"/>
    <w:rsid w:val="6D965EA7"/>
    <w:rsid w:val="6DB35DAA"/>
    <w:rsid w:val="6DDE02DA"/>
    <w:rsid w:val="6DED206F"/>
    <w:rsid w:val="6DED3862"/>
    <w:rsid w:val="6E005A26"/>
    <w:rsid w:val="6E327B63"/>
    <w:rsid w:val="6E331B08"/>
    <w:rsid w:val="6E6329C5"/>
    <w:rsid w:val="6E690D37"/>
    <w:rsid w:val="6E6D7744"/>
    <w:rsid w:val="6E7F7DE4"/>
    <w:rsid w:val="6E8403F6"/>
    <w:rsid w:val="6EAC616D"/>
    <w:rsid w:val="6EF26E02"/>
    <w:rsid w:val="6EFF345A"/>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4909FB"/>
    <w:rsid w:val="77676789"/>
    <w:rsid w:val="7774006F"/>
    <w:rsid w:val="777D5C41"/>
    <w:rsid w:val="778F57A9"/>
    <w:rsid w:val="77AB62B1"/>
    <w:rsid w:val="77AE5C93"/>
    <w:rsid w:val="77C345AE"/>
    <w:rsid w:val="77D87C21"/>
    <w:rsid w:val="77ED577F"/>
    <w:rsid w:val="781E71C5"/>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54586F"/>
    <w:rsid w:val="7A621A00"/>
    <w:rsid w:val="7A7B4401"/>
    <w:rsid w:val="7A905081"/>
    <w:rsid w:val="7ACB66ED"/>
    <w:rsid w:val="7AEF7305"/>
    <w:rsid w:val="7B3E0A41"/>
    <w:rsid w:val="7B6C46EB"/>
    <w:rsid w:val="7BB3045A"/>
    <w:rsid w:val="7BBD7B0F"/>
    <w:rsid w:val="7BC53962"/>
    <w:rsid w:val="7BF430D7"/>
    <w:rsid w:val="7C323980"/>
    <w:rsid w:val="7C8A30E5"/>
    <w:rsid w:val="7CDB3559"/>
    <w:rsid w:val="7CE97D7C"/>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3"/>
    <w:basedOn w:val="1"/>
    <w:next w:val="1"/>
    <w:link w:val="23"/>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24"/>
    <w:autoRedefine/>
    <w:qFormat/>
    <w:uiPriority w:val="99"/>
    <w:pPr>
      <w:spacing w:after="120"/>
    </w:pPr>
  </w:style>
  <w:style w:type="paragraph" w:styleId="5">
    <w:name w:val="Document Map"/>
    <w:basedOn w:val="1"/>
    <w:link w:val="30"/>
    <w:autoRedefine/>
    <w:qFormat/>
    <w:uiPriority w:val="99"/>
    <w:rPr>
      <w:rFonts w:ascii="宋体"/>
      <w:sz w:val="18"/>
      <w:szCs w:val="18"/>
    </w:rPr>
  </w:style>
  <w:style w:type="paragraph" w:styleId="6">
    <w:name w:val="annotation text"/>
    <w:basedOn w:val="1"/>
    <w:link w:val="33"/>
    <w:autoRedefine/>
    <w:qFormat/>
    <w:uiPriority w:val="99"/>
    <w:pPr>
      <w:jc w:val="left"/>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8"/>
    <w:autoRedefine/>
    <w:qFormat/>
    <w:uiPriority w:val="99"/>
    <w:rPr>
      <w:sz w:val="18"/>
      <w:szCs w:val="18"/>
    </w:rPr>
  </w:style>
  <w:style w:type="paragraph" w:styleId="9">
    <w:name w:val="footer"/>
    <w:basedOn w:val="1"/>
    <w:link w:val="27"/>
    <w:autoRedefine/>
    <w:qFormat/>
    <w:uiPriority w:val="99"/>
    <w:pPr>
      <w:tabs>
        <w:tab w:val="center" w:pos="4153"/>
        <w:tab w:val="right" w:pos="8306"/>
      </w:tabs>
      <w:snapToGrid w:val="0"/>
      <w:jc w:val="left"/>
    </w:pPr>
    <w:rPr>
      <w:sz w:val="18"/>
      <w:szCs w:val="18"/>
    </w:rPr>
  </w:style>
  <w:style w:type="paragraph" w:styleId="10">
    <w:name w:val="header"/>
    <w:basedOn w:val="1"/>
    <w:link w:val="26"/>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2">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3">
    <w:name w:val="annotation subject"/>
    <w:basedOn w:val="6"/>
    <w:next w:val="6"/>
    <w:link w:val="36"/>
    <w:autoRedefine/>
    <w:unhideWhenUsed/>
    <w:qFormat/>
    <w:uiPriority w:val="99"/>
    <w:rPr>
      <w:b/>
      <w:bCs/>
    </w:rPr>
  </w:style>
  <w:style w:type="paragraph" w:styleId="14">
    <w:name w:val="Body Text First Indent"/>
    <w:basedOn w:val="2"/>
    <w:link w:val="25"/>
    <w:autoRedefine/>
    <w:qFormat/>
    <w:uiPriority w:val="0"/>
    <w:pPr>
      <w:widowControl/>
      <w:ind w:firstLine="420" w:firstLineChars="100"/>
    </w:pPr>
    <w:rPr>
      <w:rFonts w:ascii="Calibri" w:hAnsi="Calibri" w:cs="宋体"/>
      <w:szCs w:val="22"/>
    </w:rPr>
  </w:style>
  <w:style w:type="paragraph" w:styleId="15">
    <w:name w:val="Body Text First Indent 2"/>
    <w:basedOn w:val="7"/>
    <w:autoRedefine/>
    <w:qFormat/>
    <w:uiPriority w:val="0"/>
    <w:pPr>
      <w:spacing w:after="120" w:line="240" w:lineRule="auto"/>
      <w:ind w:left="420" w:leftChars="200" w:firstLine="420"/>
    </w:pPr>
    <w:rPr>
      <w:sz w:val="21"/>
    </w:rPr>
  </w:style>
  <w:style w:type="table" w:styleId="17">
    <w:name w:val="Table Grid"/>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8"/>
    <w:autoRedefine/>
    <w:qFormat/>
    <w:uiPriority w:val="99"/>
    <w:rPr>
      <w:sz w:val="21"/>
      <w:szCs w:val="21"/>
    </w:rPr>
  </w:style>
  <w:style w:type="character" w:customStyle="1" w:styleId="21">
    <w:name w:val="正文缩进2格 Char"/>
    <w:link w:val="22"/>
    <w:autoRedefine/>
    <w:qFormat/>
    <w:uiPriority w:val="0"/>
    <w:rPr>
      <w:rFonts w:ascii="仿宋_GB2312" w:hAnsi="宋体" w:eastAsia="仿宋_GB2312" w:cs="仿宋_GB2312"/>
      <w:sz w:val="31"/>
      <w:szCs w:val="31"/>
    </w:rPr>
  </w:style>
  <w:style w:type="paragraph" w:customStyle="1" w:styleId="22">
    <w:name w:val="正文缩进2格"/>
    <w:basedOn w:val="1"/>
    <w:link w:val="21"/>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3">
    <w:name w:val="标题 3 字符"/>
    <w:basedOn w:val="18"/>
    <w:link w:val="4"/>
    <w:autoRedefine/>
    <w:qFormat/>
    <w:uiPriority w:val="0"/>
    <w:rPr>
      <w:rFonts w:eastAsia="宋体"/>
      <w:b/>
      <w:sz w:val="32"/>
    </w:rPr>
  </w:style>
  <w:style w:type="character" w:customStyle="1" w:styleId="24">
    <w:name w:val="正文文本 字符"/>
    <w:basedOn w:val="18"/>
    <w:link w:val="2"/>
    <w:autoRedefine/>
    <w:qFormat/>
    <w:uiPriority w:val="99"/>
    <w:rPr>
      <w:rFonts w:ascii="Times New Roman" w:hAnsi="Times New Roman" w:eastAsia="宋体" w:cs="Times New Roman"/>
      <w:szCs w:val="20"/>
    </w:rPr>
  </w:style>
  <w:style w:type="character" w:customStyle="1" w:styleId="25">
    <w:name w:val="正文文本首行缩进 字符"/>
    <w:basedOn w:val="24"/>
    <w:link w:val="14"/>
    <w:autoRedefine/>
    <w:qFormat/>
    <w:uiPriority w:val="0"/>
    <w:rPr>
      <w:rFonts w:ascii="Times New Roman" w:hAnsi="Times New Roman" w:eastAsia="宋体" w:cs="Times New Roman"/>
      <w:szCs w:val="20"/>
    </w:rPr>
  </w:style>
  <w:style w:type="character" w:customStyle="1" w:styleId="26">
    <w:name w:val="页眉 字符"/>
    <w:basedOn w:val="18"/>
    <w:link w:val="10"/>
    <w:autoRedefine/>
    <w:qFormat/>
    <w:uiPriority w:val="99"/>
    <w:rPr>
      <w:rFonts w:ascii="Times New Roman" w:hAnsi="Times New Roman" w:eastAsia="宋体" w:cs="Times New Roman"/>
      <w:sz w:val="18"/>
      <w:szCs w:val="18"/>
    </w:rPr>
  </w:style>
  <w:style w:type="character" w:customStyle="1" w:styleId="27">
    <w:name w:val="页脚 字符"/>
    <w:basedOn w:val="18"/>
    <w:link w:val="9"/>
    <w:autoRedefine/>
    <w:qFormat/>
    <w:uiPriority w:val="99"/>
    <w:rPr>
      <w:rFonts w:ascii="Times New Roman" w:hAnsi="Times New Roman" w:eastAsia="宋体" w:cs="Times New Roman"/>
      <w:sz w:val="18"/>
      <w:szCs w:val="18"/>
    </w:rPr>
  </w:style>
  <w:style w:type="character" w:customStyle="1" w:styleId="28">
    <w:name w:val="批注框文本 字符"/>
    <w:basedOn w:val="18"/>
    <w:link w:val="8"/>
    <w:autoRedefine/>
    <w:qFormat/>
    <w:uiPriority w:val="99"/>
    <w:rPr>
      <w:rFonts w:ascii="Times New Roman" w:hAnsi="Times New Roman" w:eastAsia="宋体" w:cs="Times New Roman"/>
      <w:kern w:val="2"/>
      <w:sz w:val="18"/>
      <w:szCs w:val="18"/>
    </w:rPr>
  </w:style>
  <w:style w:type="paragraph" w:customStyle="1" w:styleId="29">
    <w:name w:val="列出段落1"/>
    <w:basedOn w:val="1"/>
    <w:autoRedefine/>
    <w:qFormat/>
    <w:uiPriority w:val="0"/>
    <w:pPr>
      <w:ind w:firstLine="420" w:firstLineChars="200"/>
    </w:pPr>
  </w:style>
  <w:style w:type="character" w:customStyle="1" w:styleId="30">
    <w:name w:val="文档结构图 字符"/>
    <w:basedOn w:val="18"/>
    <w:link w:val="5"/>
    <w:autoRedefine/>
    <w:qFormat/>
    <w:uiPriority w:val="99"/>
    <w:rPr>
      <w:rFonts w:ascii="宋体" w:hAnsi="Times New Roman" w:eastAsia="宋体" w:cs="Times New Roman"/>
      <w:kern w:val="2"/>
      <w:sz w:val="18"/>
      <w:szCs w:val="18"/>
    </w:rPr>
  </w:style>
  <w:style w:type="paragraph" w:customStyle="1" w:styleId="31">
    <w:name w:val="列出段落2"/>
    <w:basedOn w:val="1"/>
    <w:autoRedefine/>
    <w:qFormat/>
    <w:uiPriority w:val="99"/>
    <w:pPr>
      <w:ind w:firstLine="420" w:firstLineChars="200"/>
    </w:pPr>
  </w:style>
  <w:style w:type="paragraph" w:customStyle="1" w:styleId="32">
    <w:name w:val="列表段落1"/>
    <w:basedOn w:val="1"/>
    <w:autoRedefine/>
    <w:qFormat/>
    <w:uiPriority w:val="34"/>
    <w:pPr>
      <w:ind w:firstLine="420" w:firstLineChars="200"/>
    </w:pPr>
  </w:style>
  <w:style w:type="character" w:customStyle="1" w:styleId="33">
    <w:name w:val="批注文字 字符"/>
    <w:basedOn w:val="18"/>
    <w:link w:val="6"/>
    <w:autoRedefine/>
    <w:qFormat/>
    <w:uiPriority w:val="99"/>
    <w:rPr>
      <w:rFonts w:ascii="Times New Roman" w:hAnsi="Times New Roman" w:cs="Times New Roman"/>
      <w:kern w:val="2"/>
      <w:sz w:val="21"/>
    </w:rPr>
  </w:style>
  <w:style w:type="character" w:customStyle="1" w:styleId="34">
    <w:name w:val="fontstyle01"/>
    <w:basedOn w:val="18"/>
    <w:autoRedefine/>
    <w:qFormat/>
    <w:uiPriority w:val="0"/>
    <w:rPr>
      <w:rFonts w:hint="eastAsia" w:ascii="仿宋" w:hAnsi="仿宋" w:eastAsia="仿宋"/>
      <w:color w:val="000000"/>
      <w:sz w:val="28"/>
      <w:szCs w:val="28"/>
    </w:rPr>
  </w:style>
  <w:style w:type="paragraph" w:customStyle="1" w:styleId="35">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6">
    <w:name w:val="批注主题 字符"/>
    <w:basedOn w:val="33"/>
    <w:link w:val="13"/>
    <w:autoRedefine/>
    <w:semiHidden/>
    <w:qFormat/>
    <w:uiPriority w:val="99"/>
    <w:rPr>
      <w:rFonts w:ascii="Times New Roman" w:hAnsi="Times New Roman" w:eastAsia="宋体" w:cs="Times New Roman"/>
      <w:b/>
      <w:bCs/>
      <w:kern w:val="2"/>
      <w:sz w:val="21"/>
    </w:rPr>
  </w:style>
  <w:style w:type="paragraph" w:styleId="37">
    <w:name w:val="List Paragraph"/>
    <w:basedOn w:val="1"/>
    <w:autoRedefine/>
    <w:qFormat/>
    <w:uiPriority w:val="34"/>
    <w:pPr>
      <w:ind w:firstLine="420" w:firstLineChars="200"/>
    </w:pPr>
  </w:style>
  <w:style w:type="table" w:customStyle="1" w:styleId="38">
    <w:name w:val="网格表 6 彩色 - 着色 61"/>
    <w:basedOn w:val="16"/>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9">
    <w:name w:val="_Style 13"/>
    <w:basedOn w:val="1"/>
    <w:next w:val="37"/>
    <w:autoRedefine/>
    <w:qFormat/>
    <w:uiPriority w:val="0"/>
    <w:pPr>
      <w:ind w:firstLine="420" w:firstLineChars="200"/>
    </w:pPr>
    <w:rPr>
      <w:rFonts w:ascii="Calibri" w:hAnsi="Calibri"/>
      <w:szCs w:val="24"/>
    </w:rPr>
  </w:style>
  <w:style w:type="character" w:customStyle="1" w:styleId="40">
    <w:name w:val="未处理的提及1"/>
    <w:basedOn w:val="18"/>
    <w:autoRedefine/>
    <w:semiHidden/>
    <w:unhideWhenUsed/>
    <w:qFormat/>
    <w:uiPriority w:val="99"/>
    <w:rPr>
      <w:color w:val="605E5C"/>
      <w:shd w:val="clear" w:color="auto" w:fill="E1DFDD"/>
    </w:rPr>
  </w:style>
  <w:style w:type="character" w:customStyle="1" w:styleId="41">
    <w:name w:val="未处理的提及2"/>
    <w:basedOn w:val="18"/>
    <w:autoRedefine/>
    <w:semiHidden/>
    <w:unhideWhenUsed/>
    <w:qFormat/>
    <w:uiPriority w:val="99"/>
    <w:rPr>
      <w:color w:val="605E5C"/>
      <w:shd w:val="clear" w:color="auto" w:fill="E1DFDD"/>
    </w:rPr>
  </w:style>
  <w:style w:type="paragraph" w:customStyle="1" w:styleId="42">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3">
    <w:name w:val="font12"/>
    <w:basedOn w:val="18"/>
    <w:autoRedefine/>
    <w:qFormat/>
    <w:uiPriority w:val="0"/>
    <w:rPr>
      <w:rFonts w:hint="eastAsia" w:ascii="宋体" w:hAnsi="宋体" w:eastAsia="宋体" w:cs="宋体"/>
      <w:color w:val="000000"/>
      <w:sz w:val="16"/>
      <w:szCs w:val="16"/>
      <w:u w:val="none"/>
    </w:rPr>
  </w:style>
  <w:style w:type="character" w:customStyle="1" w:styleId="44">
    <w:name w:val="font81"/>
    <w:basedOn w:val="18"/>
    <w:autoRedefine/>
    <w:qFormat/>
    <w:uiPriority w:val="0"/>
    <w:rPr>
      <w:rFonts w:hint="eastAsia" w:ascii="宋体" w:hAnsi="宋体" w:eastAsia="宋体" w:cs="宋体"/>
      <w:color w:val="000000"/>
      <w:sz w:val="22"/>
      <w:szCs w:val="22"/>
      <w:u w:val="none"/>
      <w:vertAlign w:val="superscript"/>
    </w:rPr>
  </w:style>
  <w:style w:type="character" w:customStyle="1" w:styleId="45">
    <w:name w:val="font112"/>
    <w:basedOn w:val="18"/>
    <w:autoRedefine/>
    <w:qFormat/>
    <w:uiPriority w:val="0"/>
    <w:rPr>
      <w:rFonts w:hint="eastAsia" w:ascii="宋体" w:hAnsi="宋体" w:eastAsia="宋体" w:cs="宋体"/>
      <w:color w:val="000000"/>
      <w:sz w:val="16"/>
      <w:szCs w:val="16"/>
      <w:u w:val="none"/>
    </w:rPr>
  </w:style>
  <w:style w:type="character" w:customStyle="1" w:styleId="46">
    <w:name w:val="font51"/>
    <w:basedOn w:val="18"/>
    <w:autoRedefine/>
    <w:qFormat/>
    <w:uiPriority w:val="0"/>
    <w:rPr>
      <w:rFonts w:hint="eastAsia" w:ascii="宋体" w:hAnsi="宋体" w:eastAsia="宋体" w:cs="宋体"/>
      <w:color w:val="000000"/>
      <w:sz w:val="22"/>
      <w:szCs w:val="22"/>
      <w:u w:val="none"/>
    </w:rPr>
  </w:style>
  <w:style w:type="character" w:customStyle="1" w:styleId="47">
    <w:name w:val="font121"/>
    <w:basedOn w:val="18"/>
    <w:autoRedefine/>
    <w:qFormat/>
    <w:uiPriority w:val="0"/>
    <w:rPr>
      <w:rFonts w:hint="eastAsia" w:ascii="宋体" w:hAnsi="宋体" w:eastAsia="宋体" w:cs="宋体"/>
      <w:color w:val="000000"/>
      <w:sz w:val="16"/>
      <w:szCs w:val="16"/>
      <w:u w:val="none"/>
    </w:rPr>
  </w:style>
  <w:style w:type="character" w:customStyle="1" w:styleId="48">
    <w:name w:val="font131"/>
    <w:basedOn w:val="18"/>
    <w:autoRedefine/>
    <w:qFormat/>
    <w:uiPriority w:val="0"/>
    <w:rPr>
      <w:rFonts w:hint="eastAsia" w:ascii="宋体" w:hAnsi="宋体" w:eastAsia="宋体" w:cs="宋体"/>
      <w:color w:val="000000"/>
      <w:sz w:val="22"/>
      <w:szCs w:val="22"/>
      <w:u w:val="none"/>
      <w:vertAlign w:val="subscript"/>
    </w:rPr>
  </w:style>
  <w:style w:type="character" w:customStyle="1" w:styleId="49">
    <w:name w:val="font101"/>
    <w:basedOn w:val="18"/>
    <w:autoRedefine/>
    <w:qFormat/>
    <w:uiPriority w:val="0"/>
    <w:rPr>
      <w:rFonts w:hint="eastAsia" w:ascii="仿宋" w:hAnsi="仿宋" w:eastAsia="仿宋" w:cs="仿宋"/>
      <w:color w:val="000000"/>
      <w:sz w:val="22"/>
      <w:szCs w:val="22"/>
      <w:u w:val="none"/>
    </w:rPr>
  </w:style>
  <w:style w:type="character" w:customStyle="1" w:styleId="50">
    <w:name w:val="font141"/>
    <w:basedOn w:val="18"/>
    <w:autoRedefine/>
    <w:qFormat/>
    <w:uiPriority w:val="0"/>
    <w:rPr>
      <w:rFonts w:ascii="微软雅黑" w:hAnsi="微软雅黑" w:eastAsia="微软雅黑" w:cs="微软雅黑"/>
      <w:color w:val="000000"/>
      <w:sz w:val="22"/>
      <w:szCs w:val="22"/>
      <w:u w:val="none"/>
    </w:rPr>
  </w:style>
  <w:style w:type="character" w:customStyle="1" w:styleId="51">
    <w:name w:val="font21"/>
    <w:basedOn w:val="18"/>
    <w:autoRedefine/>
    <w:qFormat/>
    <w:uiPriority w:val="0"/>
    <w:rPr>
      <w:rFonts w:hint="eastAsia" w:ascii="宋体" w:hAnsi="宋体" w:eastAsia="宋体" w:cs="宋体"/>
      <w:color w:val="000000"/>
      <w:sz w:val="22"/>
      <w:szCs w:val="22"/>
      <w:u w:val="none"/>
    </w:rPr>
  </w:style>
  <w:style w:type="character" w:customStyle="1" w:styleId="52">
    <w:name w:val="font31"/>
    <w:basedOn w:val="18"/>
    <w:autoRedefine/>
    <w:qFormat/>
    <w:uiPriority w:val="0"/>
    <w:rPr>
      <w:rFonts w:hint="default" w:ascii="Times New Roman" w:hAnsi="Times New Roman" w:cs="Times New Roman"/>
      <w:color w:val="000000"/>
      <w:sz w:val="22"/>
      <w:szCs w:val="22"/>
      <w:u w:val="none"/>
    </w:rPr>
  </w:style>
  <w:style w:type="character" w:customStyle="1" w:styleId="53">
    <w:name w:val="font11"/>
    <w:basedOn w:val="18"/>
    <w:autoRedefine/>
    <w:qFormat/>
    <w:uiPriority w:val="0"/>
    <w:rPr>
      <w:rFonts w:hint="eastAsia" w:ascii="宋体" w:hAnsi="宋体" w:eastAsia="宋体" w:cs="宋体"/>
      <w:color w:val="000000"/>
      <w:sz w:val="22"/>
      <w:szCs w:val="22"/>
      <w:u w:val="none"/>
    </w:rPr>
  </w:style>
  <w:style w:type="character" w:customStyle="1" w:styleId="54">
    <w:name w:val="font41"/>
    <w:basedOn w:val="18"/>
    <w:autoRedefine/>
    <w:qFormat/>
    <w:uiPriority w:val="0"/>
    <w:rPr>
      <w:rFonts w:hint="default" w:ascii="Times New Roman" w:hAnsi="Times New Roman" w:cs="Times New Roman"/>
      <w:color w:val="000000"/>
      <w:sz w:val="22"/>
      <w:szCs w:val="22"/>
      <w:u w:val="none"/>
    </w:rPr>
  </w:style>
  <w:style w:type="character" w:customStyle="1" w:styleId="55">
    <w:name w:val="font71"/>
    <w:basedOn w:val="18"/>
    <w:autoRedefine/>
    <w:qFormat/>
    <w:uiPriority w:val="0"/>
    <w:rPr>
      <w:rFonts w:hint="eastAsia" w:ascii="宋体" w:hAnsi="宋体" w:eastAsia="宋体" w:cs="宋体"/>
      <w:b/>
      <w:color w:val="000000"/>
      <w:sz w:val="22"/>
      <w:szCs w:val="22"/>
      <w:u w:val="none"/>
    </w:rPr>
  </w:style>
  <w:style w:type="character" w:customStyle="1" w:styleId="56">
    <w:name w:val="font91"/>
    <w:basedOn w:val="18"/>
    <w:autoRedefine/>
    <w:qFormat/>
    <w:uiPriority w:val="0"/>
    <w:rPr>
      <w:rFonts w:hint="eastAsia" w:ascii="宋体" w:hAnsi="宋体" w:eastAsia="宋体" w:cs="宋体"/>
      <w:color w:val="000000"/>
      <w:sz w:val="22"/>
      <w:szCs w:val="22"/>
      <w:u w:val="none"/>
    </w:rPr>
  </w:style>
  <w:style w:type="character" w:customStyle="1" w:styleId="57">
    <w:name w:val="font61"/>
    <w:basedOn w:val="18"/>
    <w:autoRedefine/>
    <w:qFormat/>
    <w:uiPriority w:val="0"/>
    <w:rPr>
      <w:rFonts w:hint="eastAsia" w:ascii="宋体" w:hAnsi="宋体" w:eastAsia="宋体" w:cs="宋体"/>
      <w:color w:val="000000"/>
      <w:sz w:val="22"/>
      <w:szCs w:val="22"/>
      <w:u w:val="none"/>
    </w:rPr>
  </w:style>
  <w:style w:type="character" w:customStyle="1" w:styleId="58">
    <w:name w:val="font01"/>
    <w:basedOn w:val="18"/>
    <w:autoRedefine/>
    <w:qFormat/>
    <w:uiPriority w:val="0"/>
    <w:rPr>
      <w:rFonts w:hint="eastAsia" w:ascii="宋体" w:hAnsi="宋体" w:eastAsia="宋体" w:cs="宋体"/>
      <w:b/>
      <w:color w:val="000000"/>
      <w:sz w:val="22"/>
      <w:szCs w:val="22"/>
      <w:u w:val="none"/>
    </w:rPr>
  </w:style>
  <w:style w:type="paragraph" w:customStyle="1" w:styleId="59">
    <w:name w:val="WPSOffice手动目录 1"/>
    <w:autoRedefine/>
    <w:qFormat/>
    <w:uiPriority w:val="0"/>
    <w:rPr>
      <w:rFonts w:ascii="Times New Roman" w:hAnsi="Times New Roman" w:eastAsia="宋体" w:cs="Times New Roman"/>
      <w:lang w:val="en-US" w:eastAsia="zh-CN" w:bidi="ar-SA"/>
    </w:rPr>
  </w:style>
  <w:style w:type="paragraph" w:customStyle="1" w:styleId="6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1">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3">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4">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40</Pages>
  <Words>2982</Words>
  <Characters>3103</Characters>
  <Lines>70</Lines>
  <Paragraphs>19</Paragraphs>
  <TotalTime>45</TotalTime>
  <ScaleCrop>false</ScaleCrop>
  <LinksUpToDate>false</LinksUpToDate>
  <CharactersWithSpaces>3108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2025-11-03T03:24:00Z</cp:lastPrinted>
  <dcterms:modified xsi:type="dcterms:W3CDTF">2025-11-03T06:54:26Z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